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4.84pt;margin-top:21.749985pt;width:485.7pt;height:40.15pt;mso-position-horizontal-relative:page;mso-position-vertical-relative:page;z-index:-615016" coordorigin="1097,435" coordsize="9714,803">
            <v:group style="position:absolute;left:1104;top:982;width:9700;height:2" coordorigin="1104,982" coordsize="9700,2">
              <v:shape style="position:absolute;left:1104;top:982;width:9700;height:2" coordorigin="1104,982" coordsize="9700,0" path="m1104,982l10804,982e" filled="false" stroked="true" strokeweight=".72pt" strokecolor="#000000">
                <v:path arrowok="t"/>
              </v:shape>
              <v:shape style="position:absolute;left:1140;top:435;width:2160;height:803" type="#_x0000_t75" stroked="false">
                <v:imagedata r:id="rId7" o:title=""/>
              </v:shape>
            </v:group>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3"/>
          <w:szCs w:val="23"/>
        </w:rPr>
      </w:pPr>
    </w:p>
    <w:p>
      <w:pPr>
        <w:spacing w:line="3865" w:lineRule="exact"/>
        <w:ind w:left="406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6"/>
          <w:sz w:val="20"/>
          <w:szCs w:val="20"/>
        </w:rPr>
        <w:drawing>
          <wp:inline distT="0" distB="0" distL="0" distR="0">
            <wp:extent cx="2236212" cy="2454497"/>
            <wp:effectExtent l="0" t="0" r="0" b="0"/>
            <wp:docPr id="1" name="image3.jpeg" descr=""/>
            <wp:cNvGraphicFramePr>
              <a:graphicFrameLocks noChangeAspect="1"/>
            </wp:cNvGraphicFramePr>
            <a:graphic>
              <a:graphicData uri="http://schemas.openxmlformats.org/drawingml/2006/picture">
                <pic:pic>
                  <pic:nvPicPr>
                    <pic:cNvPr id="2" name="image3.jpeg"/>
                    <pic:cNvPicPr/>
                  </pic:nvPicPr>
                  <pic:blipFill>
                    <a:blip r:embed="rId8" cstate="print"/>
                    <a:stretch>
                      <a:fillRect/>
                    </a:stretch>
                  </pic:blipFill>
                  <pic:spPr>
                    <a:xfrm>
                      <a:off x="0" y="0"/>
                      <a:ext cx="2236212" cy="2454497"/>
                    </a:xfrm>
                    <a:prstGeom prst="rect">
                      <a:avLst/>
                    </a:prstGeom>
                  </pic:spPr>
                </pic:pic>
              </a:graphicData>
            </a:graphic>
          </wp:inline>
        </w:drawing>
      </w:r>
      <w:r>
        <w:rPr>
          <w:rFonts w:ascii="Times New Roman" w:hAnsi="Times New Roman" w:cs="Times New Roman" w:eastAsia="Times New Roman" w:hint="default"/>
          <w:position w:val="-76"/>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p>
      <w:pPr>
        <w:spacing w:line="460" w:lineRule="exact" w:before="0"/>
        <w:ind w:left="1411" w:right="1411" w:firstLine="0"/>
        <w:jc w:val="center"/>
        <w:rPr>
          <w:rFonts w:ascii="宋体" w:hAnsi="宋体" w:cs="宋体" w:eastAsia="宋体" w:hint="default"/>
          <w:sz w:val="36"/>
          <w:szCs w:val="36"/>
        </w:rPr>
      </w:pPr>
      <w:r>
        <w:rPr>
          <w:rFonts w:ascii="宋体" w:hAnsi="宋体" w:cs="宋体" w:eastAsia="宋体" w:hint="default"/>
          <w:b/>
          <w:bCs/>
          <w:sz w:val="36"/>
          <w:szCs w:val="36"/>
        </w:rPr>
        <w:t>荣科科技股份有限公司</w:t>
      </w:r>
      <w:r>
        <w:rPr>
          <w:rFonts w:ascii="宋体" w:hAnsi="宋体" w:cs="宋体" w:eastAsia="宋体" w:hint="default"/>
          <w:sz w:val="36"/>
          <w:szCs w:val="36"/>
        </w:rPr>
      </w:r>
    </w:p>
    <w:p>
      <w:pPr>
        <w:pStyle w:val="Heading2"/>
        <w:spacing w:line="240" w:lineRule="auto" w:before="294"/>
        <w:ind w:left="1406" w:right="1411"/>
        <w:jc w:val="center"/>
        <w:rPr>
          <w:rFonts w:ascii="宋体" w:hAnsi="宋体" w:cs="宋体" w:eastAsia="宋体" w:hint="default"/>
          <w:b w:val="0"/>
          <w:bCs w:val="0"/>
        </w:rPr>
      </w:pPr>
      <w:r>
        <w:rPr>
          <w:rFonts w:ascii="宋体"/>
        </w:rPr>
        <w:t>Bringspring Science and Technology</w:t>
      </w:r>
      <w:r>
        <w:rPr>
          <w:rFonts w:ascii="宋体"/>
          <w:spacing w:val="-34"/>
        </w:rPr>
        <w:t> </w:t>
      </w:r>
      <w:r>
        <w:rPr>
          <w:rFonts w:ascii="宋体"/>
        </w:rPr>
        <w:t>Co.,Ltd.</w:t>
      </w:r>
      <w:r>
        <w:rPr>
          <w:rFonts w:ascii="宋体"/>
          <w:b w:val="0"/>
        </w:rPr>
      </w:r>
    </w:p>
    <w:p>
      <w:pPr>
        <w:spacing w:line="240" w:lineRule="auto" w:before="12"/>
        <w:rPr>
          <w:rFonts w:ascii="宋体" w:hAnsi="宋体" w:cs="宋体" w:eastAsia="宋体" w:hint="default"/>
          <w:b/>
          <w:bCs/>
          <w:sz w:val="28"/>
          <w:szCs w:val="28"/>
        </w:rPr>
      </w:pPr>
    </w:p>
    <w:p>
      <w:pPr>
        <w:spacing w:before="0"/>
        <w:ind w:left="1411" w:right="1411" w:firstLine="0"/>
        <w:jc w:val="center"/>
        <w:rPr>
          <w:rFonts w:ascii="宋体" w:hAnsi="宋体" w:cs="宋体" w:eastAsia="宋体" w:hint="default"/>
          <w:sz w:val="36"/>
          <w:szCs w:val="36"/>
        </w:rPr>
      </w:pPr>
      <w:r>
        <w:rPr>
          <w:rFonts w:ascii="宋体" w:hAnsi="宋体" w:cs="宋体" w:eastAsia="宋体" w:hint="default"/>
          <w:b/>
          <w:bCs/>
          <w:sz w:val="36"/>
          <w:szCs w:val="36"/>
        </w:rPr>
        <w:t>2015</w:t>
      </w:r>
      <w:r>
        <w:rPr>
          <w:rFonts w:ascii="宋体" w:hAnsi="宋体" w:cs="宋体" w:eastAsia="宋体" w:hint="default"/>
          <w:b/>
          <w:bCs/>
          <w:spacing w:val="-98"/>
          <w:sz w:val="36"/>
          <w:szCs w:val="36"/>
        </w:rPr>
        <w:t> </w:t>
      </w:r>
      <w:r>
        <w:rPr>
          <w:rFonts w:ascii="宋体" w:hAnsi="宋体" w:cs="宋体" w:eastAsia="宋体" w:hint="default"/>
          <w:b/>
          <w:bCs/>
          <w:sz w:val="36"/>
          <w:szCs w:val="36"/>
        </w:rPr>
        <w:t>年年度报告</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7"/>
        <w:rPr>
          <w:rFonts w:ascii="宋体" w:hAnsi="宋体" w:cs="宋体" w:eastAsia="宋体" w:hint="default"/>
          <w:b/>
          <w:bCs/>
          <w:sz w:val="49"/>
          <w:szCs w:val="49"/>
        </w:rPr>
      </w:pPr>
    </w:p>
    <w:p>
      <w:pPr>
        <w:spacing w:before="0"/>
        <w:ind w:left="1412" w:right="1411" w:firstLine="0"/>
        <w:jc w:val="center"/>
        <w:rPr>
          <w:rFonts w:ascii="宋体" w:hAnsi="宋体" w:cs="宋体" w:eastAsia="宋体" w:hint="default"/>
          <w:sz w:val="32"/>
          <w:szCs w:val="32"/>
        </w:rPr>
      </w:pPr>
      <w:r>
        <w:rPr>
          <w:rFonts w:ascii="宋体" w:hAnsi="宋体" w:cs="宋体" w:eastAsia="宋体" w:hint="default"/>
          <w:b/>
          <w:bCs/>
          <w:sz w:val="32"/>
          <w:szCs w:val="32"/>
        </w:rPr>
        <w:t>2016</w:t>
      </w:r>
      <w:r>
        <w:rPr>
          <w:rFonts w:ascii="宋体" w:hAnsi="宋体" w:cs="宋体" w:eastAsia="宋体" w:hint="default"/>
          <w:b/>
          <w:bCs/>
          <w:spacing w:val="-82"/>
          <w:sz w:val="32"/>
          <w:szCs w:val="32"/>
        </w:rPr>
        <w:t> </w:t>
      </w:r>
      <w:r>
        <w:rPr>
          <w:rFonts w:ascii="宋体" w:hAnsi="宋体" w:cs="宋体" w:eastAsia="宋体" w:hint="default"/>
          <w:b/>
          <w:bCs/>
          <w:sz w:val="32"/>
          <w:szCs w:val="32"/>
        </w:rPr>
        <w:t>年</w:t>
      </w:r>
      <w:r>
        <w:rPr>
          <w:rFonts w:ascii="宋体" w:hAnsi="宋体" w:cs="宋体" w:eastAsia="宋体" w:hint="default"/>
          <w:b/>
          <w:bCs/>
          <w:spacing w:val="-83"/>
          <w:sz w:val="32"/>
          <w:szCs w:val="32"/>
        </w:rPr>
        <w:t> </w:t>
      </w:r>
      <w:r>
        <w:rPr>
          <w:rFonts w:ascii="宋体" w:hAnsi="宋体" w:cs="宋体" w:eastAsia="宋体" w:hint="default"/>
          <w:b/>
          <w:bCs/>
          <w:sz w:val="32"/>
          <w:szCs w:val="32"/>
        </w:rPr>
        <w:t>03</w:t>
      </w:r>
      <w:r>
        <w:rPr>
          <w:rFonts w:ascii="宋体" w:hAnsi="宋体" w:cs="宋体" w:eastAsia="宋体" w:hint="default"/>
          <w:b/>
          <w:bCs/>
          <w:spacing w:val="-83"/>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0" w:right="0"/>
        </w:sectPr>
      </w:pPr>
    </w:p>
    <w:p>
      <w:pPr>
        <w:spacing w:line="240" w:lineRule="auto" w:before="0"/>
        <w:rPr>
          <w:rFonts w:ascii="宋体" w:hAnsi="宋体" w:cs="宋体" w:eastAsia="宋体" w:hint="default"/>
          <w:b/>
          <w:bCs/>
          <w:sz w:val="20"/>
          <w:szCs w:val="20"/>
        </w:rPr>
      </w:pPr>
      <w:r>
        <w:rPr/>
        <w:pict>
          <v:group style="position:absolute;margin-left:54.84pt;margin-top:28.299988pt;width:485.7pt;height:40.15pt;mso-position-horizontal-relative:page;mso-position-vertical-relative:page;z-index:1048" coordorigin="1097,566" coordsize="9714,803">
            <v:group style="position:absolute;left:1104;top:1112;width:9700;height:2" coordorigin="1104,1112" coordsize="9700,2">
              <v:shape style="position:absolute;left:1104;top:1112;width:9700;height:2" coordorigin="1104,1112" coordsize="9700,0" path="m1104,1112l10804,1112e" filled="false" stroked="true" strokeweight=".72pt" strokecolor="#000000">
                <v:path arrowok="t"/>
              </v:shape>
              <v:shape style="position:absolute;left:1140;top:566;width:2160;height:803" type="#_x0000_t75" stroked="false">
                <v:imagedata r:id="rId7" o:title=""/>
              </v:shape>
            </v:group>
            <w10:wrap type="none"/>
          </v:group>
        </w:pict>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3"/>
          <w:szCs w:val="23"/>
        </w:rPr>
      </w:pPr>
    </w:p>
    <w:p>
      <w:pPr>
        <w:pStyle w:val="Heading1"/>
        <w:spacing w:line="240" w:lineRule="auto"/>
        <w:ind w:left="1410" w:right="1411"/>
        <w:jc w:val="center"/>
        <w:rPr>
          <w:b w:val="0"/>
          <w:bCs w:val="0"/>
        </w:rPr>
      </w:pPr>
      <w:bookmarkStart w:name="_TOC_250010" w:id="1"/>
      <w:bookmarkStart w:name="第一节 重要提示、目录和释义" w:id="2"/>
      <w:r>
        <w:rPr>
          <w:b w:val="0"/>
          <w:bCs w:val="0"/>
        </w:rPr>
      </w:r>
      <w:r>
        <w:rPr/>
        <w:t>第一节</w:t>
      </w:r>
      <w:r>
        <w:rPr>
          <w:spacing w:val="-11"/>
        </w:rPr>
        <w:t> </w:t>
      </w:r>
      <w:r>
        <w:rPr/>
        <w:t>重要提示、目录和释义</w:t>
      </w:r>
      <w:bookmarkEnd w:id="1"/>
      <w:r>
        <w:rPr>
          <w:b w:val="0"/>
          <w:bCs w:val="0"/>
        </w:rPr>
      </w:r>
    </w:p>
    <w:p>
      <w:pPr>
        <w:spacing w:line="240" w:lineRule="auto" w:before="9"/>
        <w:rPr>
          <w:rFonts w:ascii="宋体" w:hAnsi="宋体" w:cs="宋体" w:eastAsia="宋体" w:hint="default"/>
          <w:b/>
          <w:bCs/>
          <w:sz w:val="38"/>
          <w:szCs w:val="38"/>
        </w:rPr>
      </w:pPr>
    </w:p>
    <w:p>
      <w:pPr>
        <w:pStyle w:val="Heading2"/>
        <w:spacing w:line="240" w:lineRule="auto"/>
        <w:ind w:right="1139" w:firstLine="482"/>
        <w:jc w:val="both"/>
        <w:rPr>
          <w:b w:val="0"/>
          <w:bCs w:val="0"/>
        </w:rPr>
      </w:pPr>
      <w:r>
        <w:rPr>
          <w:w w:val="95"/>
        </w:rPr>
        <w:t>本公司董事会、监事会及董事、监事、高级管理人员保证年度报告内容的真实、准确、</w:t>
      </w:r>
      <w:r>
        <w:rPr>
          <w:w w:val="99"/>
        </w:rPr>
        <w:t> </w:t>
      </w:r>
      <w:r>
        <w:rPr/>
        <w:t>完整，不存在虚假记载、误导性陈述或重大遗漏，并承担个别和连带的法律责任。</w:t>
      </w:r>
      <w:r>
        <w:rPr>
          <w:b w:val="0"/>
          <w:bCs w:val="0"/>
        </w:rPr>
      </w:r>
    </w:p>
    <w:p>
      <w:pPr>
        <w:pStyle w:val="Heading2"/>
        <w:spacing w:line="314" w:lineRule="exact" w:before="126"/>
        <w:ind w:right="1130" w:firstLine="482"/>
        <w:jc w:val="both"/>
        <w:rPr>
          <w:b w:val="0"/>
          <w:bCs w:val="0"/>
        </w:rPr>
      </w:pPr>
      <w:r>
        <w:rPr>
          <w:spacing w:val="2"/>
        </w:rPr>
        <w:t>公司负责人付永全、主管会计工作负责人冯丽及会计机构负责人</w:t>
      </w:r>
      <w:r>
        <w:rPr>
          <w:rFonts w:ascii="Times New Roman" w:hAnsi="Times New Roman" w:cs="Times New Roman" w:eastAsia="Times New Roman" w:hint="default"/>
          <w:spacing w:val="2"/>
        </w:rPr>
        <w:t>(</w:t>
      </w:r>
      <w:r>
        <w:rPr>
          <w:spacing w:val="2"/>
        </w:rPr>
        <w:t>会计主管人员</w:t>
      </w:r>
      <w:r>
        <w:rPr>
          <w:rFonts w:ascii="Times New Roman" w:hAnsi="Times New Roman" w:cs="Times New Roman" w:eastAsia="Times New Roman" w:hint="default"/>
          <w:spacing w:val="2"/>
        </w:rPr>
        <w:t>)</w:t>
      </w:r>
      <w:r>
        <w:rPr>
          <w:spacing w:val="2"/>
        </w:rPr>
        <w:t>朱迎秋</w:t>
      </w:r>
      <w:r>
        <w:rPr>
          <w:w w:val="99"/>
        </w:rPr>
        <w:t> </w:t>
      </w:r>
      <w:r>
        <w:rPr/>
        <w:t>声明：保证年度报告中财务报告的真实、准确、完整。</w:t>
      </w:r>
      <w:r>
        <w:rPr>
          <w:b w:val="0"/>
          <w:bCs w:val="0"/>
        </w:rPr>
      </w:r>
    </w:p>
    <w:p>
      <w:pPr>
        <w:pStyle w:val="Heading2"/>
        <w:spacing w:line="314" w:lineRule="auto" w:before="68"/>
        <w:ind w:left="1616" w:right="0"/>
        <w:jc w:val="left"/>
        <w:rPr>
          <w:b w:val="0"/>
          <w:bCs w:val="0"/>
        </w:rPr>
      </w:pPr>
      <w:r>
        <w:rPr/>
        <w:t>所有董事均已出席了审议本报告的董事会会议。</w:t>
      </w:r>
      <w:r>
        <w:rPr>
          <w:w w:val="99"/>
        </w:rPr>
        <w:t> </w:t>
      </w:r>
      <w:r>
        <w:rPr>
          <w:w w:val="95"/>
        </w:rPr>
        <w:t>本报告中所涉及的有关公司未来发展等前瞻性陈述，不构成公司对投资者的实际承诺，</w:t>
      </w:r>
      <w:r>
        <w:rPr>
          <w:b w:val="0"/>
          <w:bCs w:val="0"/>
        </w:rPr>
      </w:r>
    </w:p>
    <w:p>
      <w:pPr>
        <w:pStyle w:val="Heading2"/>
        <w:spacing w:line="239" w:lineRule="exact"/>
        <w:ind w:right="0"/>
        <w:jc w:val="both"/>
        <w:rPr>
          <w:b w:val="0"/>
          <w:bCs w:val="0"/>
        </w:rPr>
      </w:pPr>
      <w:r>
        <w:rPr/>
        <w:t>请广大投资者注意投资风险。其他风险提示如下：</w:t>
      </w:r>
      <w:r>
        <w:rPr>
          <w:b w:val="0"/>
          <w:bCs w:val="0"/>
        </w:rPr>
      </w:r>
    </w:p>
    <w:p>
      <w:pPr>
        <w:pStyle w:val="Heading2"/>
        <w:spacing w:line="240" w:lineRule="auto" w:before="98"/>
        <w:ind w:left="1616" w:right="0"/>
        <w:jc w:val="left"/>
        <w:rPr>
          <w:b w:val="0"/>
          <w:bCs w:val="0"/>
        </w:rPr>
      </w:pPr>
      <w:r>
        <w:rPr>
          <w:rFonts w:ascii="Times New Roman" w:hAnsi="Times New Roman" w:cs="Times New Roman" w:eastAsia="Times New Roman" w:hint="default"/>
        </w:rPr>
        <w:t>1</w:t>
      </w:r>
      <w:r>
        <w:rPr/>
        <w:t>、市场竞争风险</w:t>
      </w:r>
      <w:r>
        <w:rPr>
          <w:b w:val="0"/>
          <w:bCs w:val="0"/>
        </w:rPr>
      </w:r>
    </w:p>
    <w:p>
      <w:pPr>
        <w:pStyle w:val="Heading2"/>
        <w:spacing w:line="232" w:lineRule="auto" w:before="86"/>
        <w:ind w:right="1132" w:firstLine="482"/>
        <w:jc w:val="both"/>
        <w:rPr>
          <w:b w:val="0"/>
          <w:bCs w:val="0"/>
        </w:rPr>
      </w:pPr>
      <w:r>
        <w:rPr/>
        <w:t>经过多年的努力与积累，公司已成为东北区域具有竞争优势的 </w:t>
      </w:r>
      <w:r>
        <w:rPr>
          <w:rFonts w:ascii="Times New Roman" w:hAnsi="Times New Roman" w:cs="Times New Roman" w:eastAsia="Times New Roman" w:hint="default"/>
        </w:rPr>
        <w:t>IT</w:t>
      </w:r>
      <w:r>
        <w:rPr>
          <w:rFonts w:ascii="Times New Roman" w:hAnsi="Times New Roman" w:cs="Times New Roman" w:eastAsia="Times New Roman" w:hint="default"/>
          <w:spacing w:val="23"/>
        </w:rPr>
        <w:t> </w:t>
      </w:r>
      <w:r>
        <w:rPr/>
        <w:t>服务提供商之一。但</w:t>
      </w:r>
      <w:r>
        <w:rPr>
          <w:w w:val="99"/>
        </w:rPr>
        <w:t> </w:t>
      </w:r>
      <w:r>
        <w:rPr/>
        <w:t>随着客户对 </w:t>
      </w:r>
      <w:r>
        <w:rPr>
          <w:rFonts w:ascii="Times New Roman" w:hAnsi="Times New Roman" w:cs="Times New Roman" w:eastAsia="Times New Roman" w:hint="default"/>
        </w:rPr>
        <w:t>IT</w:t>
      </w:r>
      <w:r>
        <w:rPr>
          <w:rFonts w:ascii="Times New Roman" w:hAnsi="Times New Roman" w:cs="Times New Roman" w:eastAsia="Times New Roman" w:hint="default"/>
          <w:spacing w:val="17"/>
        </w:rPr>
        <w:t> </w:t>
      </w:r>
      <w:r>
        <w:rPr/>
        <w:t>服务需求的不断升级，新进入的市场竞争者不断增多，行业竞争将进一步加</w:t>
      </w:r>
      <w:r>
        <w:rPr>
          <w:w w:val="99"/>
        </w:rPr>
        <w:t> </w:t>
      </w:r>
      <w:r>
        <w:rPr>
          <w:w w:val="95"/>
        </w:rPr>
        <w:t>剧。如果公司不能及时进行技术创新和业务模式创新以提高公司竞争力，公司则存在被竞争</w:t>
      </w:r>
      <w:r>
        <w:rPr>
          <w:spacing w:val="99"/>
          <w:w w:val="95"/>
        </w:rPr>
        <w:t> </w:t>
      </w:r>
      <w:r>
        <w:rPr>
          <w:w w:val="95"/>
        </w:rPr>
        <w:t>对手超越的风险。针对此风险，在产品技术方面，公司大力投入，进行差异化创新，力争在</w:t>
      </w:r>
      <w:r>
        <w:rPr>
          <w:spacing w:val="99"/>
          <w:w w:val="95"/>
        </w:rPr>
        <w:t> </w:t>
      </w:r>
      <w:r>
        <w:rPr>
          <w:w w:val="95"/>
        </w:rPr>
        <w:t>细分领域处于全国领先水平；在业务模式方面，逐步探索运营服务模式，不断提升用户黏性</w:t>
      </w:r>
      <w:r>
        <w:rPr>
          <w:spacing w:val="106"/>
          <w:w w:val="95"/>
        </w:rPr>
        <w:t> </w:t>
      </w:r>
      <w:r>
        <w:rPr>
          <w:spacing w:val="106"/>
          <w:w w:val="95"/>
        </w:rPr>
      </w:r>
      <w:r>
        <w:rPr/>
        <w:t>和荣科的品牌价值。</w:t>
      </w:r>
      <w:r>
        <w:rPr>
          <w:b w:val="0"/>
          <w:bCs w:val="0"/>
        </w:rPr>
      </w:r>
    </w:p>
    <w:p>
      <w:pPr>
        <w:pStyle w:val="Heading2"/>
        <w:spacing w:line="297" w:lineRule="auto" w:before="98"/>
        <w:ind w:left="1616" w:right="0"/>
        <w:jc w:val="left"/>
        <w:rPr>
          <w:b w:val="0"/>
          <w:bCs w:val="0"/>
        </w:rPr>
      </w:pPr>
      <w:r>
        <w:rPr>
          <w:rFonts w:ascii="Times New Roman" w:hAnsi="Times New Roman" w:cs="Times New Roman" w:eastAsia="Times New Roman" w:hint="default"/>
        </w:rPr>
        <w:t>2</w:t>
      </w:r>
      <w:r>
        <w:rPr/>
        <w:t>、季节性波动的风险</w:t>
      </w:r>
      <w:r>
        <w:rPr>
          <w:w w:val="99"/>
        </w:rPr>
        <w:t> </w:t>
      </w:r>
      <w:r>
        <w:rPr>
          <w:w w:val="95"/>
        </w:rPr>
        <w:t>公司的主要客户集中在金融、社保医疗、电力、电信、交通运输、教育等行业及政府部</w:t>
      </w:r>
      <w:r>
        <w:rPr>
          <w:b w:val="0"/>
          <w:bCs w:val="0"/>
        </w:rPr>
      </w:r>
    </w:p>
    <w:p>
      <w:pPr>
        <w:pStyle w:val="Heading2"/>
        <w:spacing w:line="253" w:lineRule="exact"/>
        <w:ind w:right="0"/>
        <w:jc w:val="both"/>
        <w:rPr>
          <w:b w:val="0"/>
          <w:bCs w:val="0"/>
        </w:rPr>
      </w:pPr>
      <w:r>
        <w:rPr/>
        <w:t>门，这些客户通常采取预算管理和产品集中采购制度，一般为当年四季度及次年一季度制订</w:t>
      </w:r>
      <w:r>
        <w:rPr>
          <w:b w:val="0"/>
          <w:bCs w:val="0"/>
        </w:rPr>
      </w:r>
    </w:p>
    <w:p>
      <w:pPr>
        <w:pStyle w:val="Heading2"/>
        <w:spacing w:line="237" w:lineRule="auto" w:before="1"/>
        <w:ind w:right="1134"/>
        <w:jc w:val="both"/>
        <w:rPr>
          <w:b w:val="0"/>
          <w:bCs w:val="0"/>
        </w:rPr>
      </w:pPr>
      <w:r>
        <w:rPr>
          <w:w w:val="95"/>
        </w:rPr>
        <w:t>次年年度预算和投资计划，立项、招标通常集中在次年上半年，其招标、采购和实施具有明</w:t>
      </w:r>
      <w:r>
        <w:rPr>
          <w:spacing w:val="99"/>
          <w:w w:val="95"/>
        </w:rPr>
        <w:t> </w:t>
      </w:r>
      <w:r>
        <w:rPr>
          <w:w w:val="95"/>
        </w:rPr>
        <w:t>显的季节性特征。公司除数据中心运营维护服务，其余各项业务受到客户的预算管理制度、</w:t>
      </w:r>
      <w:r>
        <w:rPr>
          <w:spacing w:val="99"/>
          <w:w w:val="95"/>
        </w:rPr>
        <w:t> </w:t>
      </w:r>
      <w:r>
        <w:rPr>
          <w:w w:val="95"/>
        </w:rPr>
        <w:t>招投标流程和项目实施周期等因素的影响。公司的收入呈现较明显的季节性特征，主要在四</w:t>
      </w:r>
      <w:r>
        <w:rPr>
          <w:spacing w:val="99"/>
          <w:w w:val="95"/>
        </w:rPr>
        <w:t> </w:t>
      </w:r>
      <w:r>
        <w:rPr>
          <w:w w:val="95"/>
        </w:rPr>
        <w:t>季度实现，导致公司存在业绩及经营活动现金流季节性波动的风险。针对此风险，公司将深</w:t>
      </w:r>
      <w:r>
        <w:rPr>
          <w:spacing w:val="104"/>
          <w:w w:val="95"/>
        </w:rPr>
        <w:t> </w:t>
      </w:r>
      <w:r>
        <w:rPr>
          <w:spacing w:val="104"/>
          <w:w w:val="95"/>
        </w:rPr>
      </w:r>
      <w:r>
        <w:rPr>
          <w:w w:val="95"/>
        </w:rPr>
        <w:t>耕业务线拓展产品线，平滑业绩波动水平；同时加大回款力度，改善经营活动现金流的季节</w:t>
      </w:r>
      <w:r>
        <w:rPr>
          <w:spacing w:val="99"/>
          <w:w w:val="95"/>
        </w:rPr>
        <w:t> </w:t>
      </w:r>
      <w:r>
        <w:rPr/>
        <w:t>性波动。</w:t>
      </w:r>
      <w:r>
        <w:rPr>
          <w:b w:val="0"/>
          <w:bCs w:val="0"/>
        </w:rPr>
      </w:r>
    </w:p>
    <w:p>
      <w:pPr>
        <w:pStyle w:val="Heading2"/>
        <w:spacing w:line="297" w:lineRule="auto" w:before="98"/>
        <w:ind w:left="1616" w:right="0"/>
        <w:jc w:val="left"/>
        <w:rPr>
          <w:b w:val="0"/>
          <w:bCs w:val="0"/>
        </w:rPr>
      </w:pPr>
      <w:r>
        <w:rPr>
          <w:rFonts w:ascii="Times New Roman" w:hAnsi="Times New Roman" w:cs="Times New Roman" w:eastAsia="Times New Roman" w:hint="default"/>
        </w:rPr>
        <w:t>3</w:t>
      </w:r>
      <w:r>
        <w:rPr/>
        <w:t>、人力资源风险</w:t>
      </w:r>
      <w:r>
        <w:rPr>
          <w:w w:val="99"/>
        </w:rPr>
        <w:t> </w:t>
      </w:r>
      <w:r>
        <w:rPr>
          <w:w w:val="95"/>
        </w:rPr>
        <w:t>科技以人为本，公司预实现持续稳定的发展，人才是关键要素之一。随着行业内竞争的</w:t>
      </w:r>
      <w:r>
        <w:rPr>
          <w:b w:val="0"/>
          <w:bCs w:val="0"/>
        </w:rPr>
      </w:r>
    </w:p>
    <w:p>
      <w:pPr>
        <w:pStyle w:val="Heading2"/>
        <w:spacing w:line="253" w:lineRule="exact"/>
        <w:ind w:right="0"/>
        <w:jc w:val="both"/>
        <w:rPr>
          <w:b w:val="0"/>
          <w:bCs w:val="0"/>
        </w:rPr>
      </w:pPr>
      <w:r>
        <w:rPr/>
        <w:t>逐渐加剧，对于高素质人才的争夺会更加激烈，公司可能面临因竞争而流失人才的风险。针</w:t>
      </w:r>
      <w:r>
        <w:rPr>
          <w:b w:val="0"/>
          <w:bCs w:val="0"/>
        </w:rPr>
      </w:r>
    </w:p>
    <w:p>
      <w:pPr>
        <w:pStyle w:val="Heading2"/>
        <w:spacing w:line="240" w:lineRule="auto"/>
        <w:ind w:right="1139"/>
        <w:jc w:val="both"/>
        <w:rPr>
          <w:b w:val="0"/>
          <w:bCs w:val="0"/>
        </w:rPr>
      </w:pPr>
      <w:r>
        <w:rPr>
          <w:w w:val="95"/>
        </w:rPr>
        <w:t>对此风险，公司充分发挥人才激励机制，继续提高核心人才的薪酬福利，积极营造良好重才</w:t>
      </w:r>
      <w:r>
        <w:rPr>
          <w:spacing w:val="99"/>
          <w:w w:val="95"/>
        </w:rPr>
        <w:t> </w:t>
      </w:r>
      <w:r>
        <w:rPr/>
        <w:t>爱才氛围，完善职业发展通道，让人才真正得到实惠，人才潜能更大发挥。</w:t>
      </w:r>
      <w:r>
        <w:rPr>
          <w:b w:val="0"/>
          <w:bCs w:val="0"/>
        </w:rPr>
      </w:r>
    </w:p>
    <w:p>
      <w:pPr>
        <w:pStyle w:val="Heading2"/>
        <w:spacing w:line="297" w:lineRule="auto" w:before="98"/>
        <w:ind w:left="1616" w:right="0"/>
        <w:jc w:val="left"/>
        <w:rPr>
          <w:b w:val="0"/>
          <w:bCs w:val="0"/>
        </w:rPr>
      </w:pPr>
      <w:r>
        <w:rPr>
          <w:rFonts w:ascii="Times New Roman" w:hAnsi="Times New Roman" w:cs="Times New Roman" w:eastAsia="Times New Roman" w:hint="default"/>
        </w:rPr>
        <w:t>4</w:t>
      </w:r>
      <w:r>
        <w:rPr/>
        <w:t>、固定资产折旧增加而导致利润下滑的风险</w:t>
      </w:r>
      <w:r>
        <w:rPr>
          <w:w w:val="99"/>
        </w:rPr>
        <w:t> </w:t>
      </w:r>
      <w:r>
        <w:rPr>
          <w:w w:val="95"/>
        </w:rPr>
        <w:t>随着公司以募集资金购建固定资产的增加，由此可能发生因固定资产折旧费用大幅增加</w:t>
      </w:r>
      <w:r>
        <w:rPr>
          <w:b w:val="0"/>
          <w:bCs w:val="0"/>
        </w:rPr>
      </w:r>
    </w:p>
    <w:p>
      <w:pPr>
        <w:pStyle w:val="Heading2"/>
        <w:spacing w:line="254" w:lineRule="exact"/>
        <w:ind w:right="0"/>
        <w:jc w:val="both"/>
        <w:rPr>
          <w:b w:val="0"/>
          <w:bCs w:val="0"/>
        </w:rPr>
      </w:pPr>
      <w:r>
        <w:rPr/>
        <w:t>而导致利润下滑的风险。针对此风险，公司将不断提高固定资产使用效能，提升科技创新能</w:t>
      </w:r>
      <w:r>
        <w:rPr>
          <w:b w:val="0"/>
          <w:bCs w:val="0"/>
        </w:rPr>
      </w:r>
    </w:p>
    <w:p>
      <w:pPr>
        <w:pStyle w:val="Heading2"/>
        <w:spacing w:line="314" w:lineRule="exact"/>
        <w:ind w:right="0"/>
        <w:jc w:val="both"/>
        <w:rPr>
          <w:b w:val="0"/>
          <w:bCs w:val="0"/>
        </w:rPr>
      </w:pPr>
      <w:r>
        <w:rPr/>
        <w:t>力，从而拉动收入及利润的持续增长。</w:t>
      </w:r>
      <w:r>
        <w:rPr>
          <w:b w:val="0"/>
          <w:bCs w:val="0"/>
        </w:rPr>
      </w:r>
    </w:p>
    <w:p>
      <w:pPr>
        <w:pStyle w:val="Heading2"/>
        <w:spacing w:line="297" w:lineRule="auto" w:before="98"/>
        <w:ind w:left="1616" w:right="0"/>
        <w:jc w:val="left"/>
        <w:rPr>
          <w:b w:val="0"/>
          <w:bCs w:val="0"/>
        </w:rPr>
      </w:pPr>
      <w:r>
        <w:rPr>
          <w:rFonts w:ascii="Times New Roman" w:hAnsi="Times New Roman" w:cs="Times New Roman" w:eastAsia="Times New Roman" w:hint="default"/>
        </w:rPr>
        <w:t>5</w:t>
      </w:r>
      <w:r>
        <w:rPr/>
        <w:t>、应收账款增加风险</w:t>
      </w:r>
      <w:r>
        <w:rPr>
          <w:w w:val="99"/>
        </w:rPr>
        <w:t> </w:t>
      </w:r>
      <w:r>
        <w:rPr>
          <w:w w:val="95"/>
        </w:rPr>
        <w:t>公司近年来应收账款随着销售规模的增长而不断增加，应收账款的增加将为公司带来一</w:t>
      </w:r>
      <w:r>
        <w:rPr>
          <w:b w:val="0"/>
          <w:bCs w:val="0"/>
        </w:rPr>
      </w:r>
    </w:p>
    <w:p>
      <w:pPr>
        <w:pStyle w:val="Heading2"/>
        <w:spacing w:line="253" w:lineRule="exact"/>
        <w:ind w:right="0"/>
        <w:jc w:val="both"/>
        <w:rPr>
          <w:b w:val="0"/>
          <w:bCs w:val="0"/>
        </w:rPr>
      </w:pPr>
      <w:r>
        <w:rPr/>
        <w:t>定的风险。公司的主要应收账款集中在金融、社保医疗、政府等资质良好及合作多年的优质</w:t>
      </w:r>
      <w:r>
        <w:rPr>
          <w:b w:val="0"/>
          <w:bCs w:val="0"/>
        </w:rPr>
      </w:r>
    </w:p>
    <w:p>
      <w:pPr>
        <w:pStyle w:val="Heading2"/>
        <w:spacing w:line="313" w:lineRule="exact"/>
        <w:ind w:right="0"/>
        <w:jc w:val="both"/>
        <w:rPr>
          <w:b w:val="0"/>
          <w:bCs w:val="0"/>
        </w:rPr>
      </w:pPr>
      <w:r>
        <w:rPr/>
        <w:t>客户，资金回收保障较高，但随着销售规模的不断增加仍存在一定的风险。针对上述风险，</w:t>
      </w:r>
      <w:r>
        <w:rPr>
          <w:b w:val="0"/>
          <w:bCs w:val="0"/>
        </w:rPr>
      </w:r>
    </w:p>
    <w:p>
      <w:pPr>
        <w:spacing w:after="0" w:line="313" w:lineRule="exact"/>
        <w:jc w:val="both"/>
        <w:sectPr>
          <w:footerReference w:type="default" r:id="rId9"/>
          <w:pgSz w:w="11910" w:h="16840"/>
          <w:pgMar w:footer="979" w:header="747" w:top="1060" w:bottom="1160" w:left="0" w:right="0"/>
          <w:pgNumType w:start="2"/>
        </w:sectPr>
      </w:pPr>
    </w:p>
    <w:p>
      <w:pPr>
        <w:spacing w:line="240" w:lineRule="auto" w:before="7"/>
        <w:rPr>
          <w:rFonts w:ascii="宋体" w:hAnsi="宋体" w:cs="宋体" w:eastAsia="宋体" w:hint="default"/>
          <w:b/>
          <w:bCs/>
          <w:sz w:val="23"/>
          <w:szCs w:val="23"/>
        </w:rPr>
      </w:pPr>
      <w:r>
        <w:rPr/>
        <w:pict>
          <v:group style="position:absolute;margin-left:54.84pt;margin-top:28.299988pt;width:485.7pt;height:40.15pt;mso-position-horizontal-relative:page;mso-position-vertical-relative:page;z-index:1072" coordorigin="1097,566" coordsize="9714,803">
            <v:group style="position:absolute;left:1104;top:1112;width:9700;height:2" coordorigin="1104,1112" coordsize="9700,2">
              <v:shape style="position:absolute;left:1104;top:1112;width:9700;height:2" coordorigin="1104,1112" coordsize="9700,0" path="m1104,1112l10804,1112e" filled="false" stroked="true" strokeweight=".72pt" strokecolor="#000000">
                <v:path arrowok="t"/>
              </v:shape>
              <v:shape style="position:absolute;left:1140;top:566;width:2160;height:803" type="#_x0000_t75" stroked="false">
                <v:imagedata r:id="rId7" o:title=""/>
              </v:shape>
            </v:group>
            <w10:wrap type="none"/>
          </v:group>
        </w:pict>
      </w:r>
    </w:p>
    <w:p>
      <w:pPr>
        <w:pStyle w:val="Heading2"/>
        <w:spacing w:line="240" w:lineRule="auto" w:before="26"/>
        <w:ind w:left="1134" w:right="1138"/>
        <w:jc w:val="both"/>
        <w:rPr>
          <w:b w:val="0"/>
          <w:bCs w:val="0"/>
        </w:rPr>
      </w:pPr>
      <w:r>
        <w:rPr>
          <w:w w:val="95"/>
        </w:rPr>
        <w:t>公司管理层将持续加强应收账款的管理工作，加大应收账款的催收和绩效考核力度，实现对</w:t>
      </w:r>
      <w:r>
        <w:rPr>
          <w:spacing w:val="99"/>
          <w:w w:val="95"/>
        </w:rPr>
        <w:t> </w:t>
      </w:r>
      <w:r>
        <w:rPr>
          <w:w w:val="95"/>
        </w:rPr>
        <w:t>应收账款的有效控制，进一步提升资金运营效率。同时，做好客户信用风险评估管理工作，</w:t>
      </w:r>
      <w:r>
        <w:rPr>
          <w:spacing w:val="103"/>
          <w:w w:val="95"/>
        </w:rPr>
        <w:t> </w:t>
      </w:r>
      <w:r>
        <w:rPr>
          <w:spacing w:val="103"/>
          <w:w w:val="95"/>
        </w:rPr>
      </w:r>
      <w:r>
        <w:rPr/>
        <w:t>并对应收账款回收情况有效监督和控制。</w:t>
      </w:r>
      <w:r>
        <w:rPr>
          <w:b w:val="0"/>
          <w:bCs w:val="0"/>
        </w:rPr>
      </w:r>
    </w:p>
    <w:p>
      <w:pPr>
        <w:pStyle w:val="Heading2"/>
        <w:spacing w:line="322" w:lineRule="exact" w:before="96"/>
        <w:ind w:left="1606" w:right="1411"/>
        <w:jc w:val="center"/>
        <w:rPr>
          <w:b w:val="0"/>
          <w:bCs w:val="0"/>
        </w:rPr>
      </w:pPr>
      <w:r>
        <w:rPr/>
        <w:t>公司经本次董事会审议通过的利润分配预案为</w:t>
      </w:r>
      <w:r>
        <w:rPr>
          <w:rFonts w:ascii="Times New Roman" w:hAnsi="Times New Roman" w:cs="Times New Roman" w:eastAsia="Times New Roman" w:hint="default"/>
        </w:rPr>
        <w:t>:</w:t>
      </w:r>
      <w:r>
        <w:rPr/>
        <w:t>以截止</w:t>
      </w:r>
      <w:r>
        <w:rPr>
          <w:spacing w:val="-6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6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64"/>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日公司总股本</w:t>
      </w:r>
      <w:r>
        <w:rPr>
          <w:b w:val="0"/>
          <w:bCs w:val="0"/>
        </w:rPr>
      </w:r>
    </w:p>
    <w:p>
      <w:pPr>
        <w:pStyle w:val="Heading2"/>
        <w:spacing w:line="313" w:lineRule="exact"/>
        <w:ind w:right="0"/>
        <w:jc w:val="both"/>
        <w:rPr>
          <w:b w:val="0"/>
          <w:bCs w:val="0"/>
        </w:rPr>
      </w:pPr>
      <w:r>
        <w:rPr>
          <w:rFonts w:ascii="Times New Roman" w:hAnsi="Times New Roman" w:cs="Times New Roman" w:eastAsia="Times New Roman" w:hint="default"/>
        </w:rPr>
        <w:t>321,429,652 </w:t>
      </w:r>
      <w:r>
        <w:rPr>
          <w:w w:val="99"/>
        </w:rPr>
        <w:t>股为基数</w:t>
      </w:r>
      <w:r>
        <w:rPr>
          <w:spacing w:val="-88"/>
          <w:w w:val="99"/>
        </w:rPr>
        <w:t>，</w:t>
      </w:r>
      <w:r>
        <w:rPr>
          <w:w w:val="99"/>
        </w:rPr>
        <w:t>向全体股东每</w:t>
      </w:r>
      <w:r>
        <w:rPr>
          <w:spacing w:val="-58"/>
        </w:rPr>
        <w:t> </w:t>
      </w:r>
      <w:r>
        <w:rPr>
          <w:rFonts w:ascii="Times New Roman" w:hAnsi="Times New Roman" w:cs="Times New Roman" w:eastAsia="Times New Roman" w:hint="default"/>
        </w:rPr>
        <w:t>10 </w:t>
      </w:r>
      <w:r>
        <w:rPr>
          <w:w w:val="99"/>
        </w:rPr>
        <w:t>股派发现金红利</w:t>
      </w:r>
      <w:r>
        <w:rPr>
          <w:spacing w:val="-59"/>
        </w:rPr>
        <w:t> </w:t>
      </w:r>
      <w:r>
        <w:rPr>
          <w:rFonts w:ascii="Times New Roman" w:hAnsi="Times New Roman" w:cs="Times New Roman" w:eastAsia="Times New Roman" w:hint="default"/>
        </w:rPr>
        <w:t>0.35 </w:t>
      </w:r>
      <w:r>
        <w:rPr>
          <w:spacing w:val="-88"/>
          <w:w w:val="99"/>
        </w:rPr>
        <w:t>元</w:t>
      </w:r>
      <w:r>
        <w:rPr>
          <w:w w:val="99"/>
        </w:rPr>
        <w:t>（含税</w:t>
      </w:r>
      <w:r>
        <w:rPr>
          <w:spacing w:val="-119"/>
          <w:w w:val="99"/>
        </w:rPr>
        <w:t>）</w:t>
      </w:r>
      <w:r>
        <w:rPr>
          <w:spacing w:val="-88"/>
          <w:w w:val="99"/>
        </w:rPr>
        <w:t>，</w:t>
      </w:r>
      <w:r>
        <w:rPr>
          <w:w w:val="99"/>
        </w:rPr>
        <w:t>送红股</w:t>
      </w:r>
      <w:r>
        <w:rPr>
          <w:spacing w:val="-59"/>
        </w:rPr>
        <w:t> </w:t>
      </w:r>
      <w:r>
        <w:rPr>
          <w:rFonts w:ascii="Times New Roman" w:hAnsi="Times New Roman" w:cs="Times New Roman" w:eastAsia="Times New Roman" w:hint="default"/>
        </w:rPr>
        <w:t>0 </w:t>
      </w:r>
      <w:r>
        <w:rPr>
          <w:spacing w:val="-88"/>
          <w:w w:val="99"/>
        </w:rPr>
        <w:t>股</w:t>
      </w:r>
      <w:r>
        <w:rPr>
          <w:w w:val="99"/>
        </w:rPr>
        <w:t>（含税</w:t>
      </w:r>
      <w:r>
        <w:rPr>
          <w:spacing w:val="-120"/>
          <w:w w:val="99"/>
        </w:rPr>
        <w:t>）</w:t>
      </w:r>
      <w:r>
        <w:rPr>
          <w:w w:val="99"/>
        </w:rPr>
        <w:t>，</w:t>
      </w:r>
      <w:r>
        <w:rPr>
          <w:b w:val="0"/>
          <w:bCs w:val="0"/>
        </w:rPr>
      </w:r>
    </w:p>
    <w:p>
      <w:pPr>
        <w:pStyle w:val="Heading2"/>
        <w:spacing w:line="323" w:lineRule="exact"/>
        <w:ind w:left="1134" w:right="0"/>
        <w:jc w:val="both"/>
        <w:rPr>
          <w:b w:val="0"/>
          <w:bCs w:val="0"/>
        </w:rPr>
      </w:pPr>
      <w:r>
        <w:rPr/>
        <w:t>以资本公积金向全体股东每</w:t>
      </w:r>
      <w:r>
        <w:rPr>
          <w:spacing w:val="-62"/>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股转增</w:t>
      </w:r>
      <w:r>
        <w:rPr>
          <w:spacing w:val="-63"/>
        </w:rPr>
        <w:t> </w:t>
      </w:r>
      <w:r>
        <w:rPr>
          <w:rFonts w:ascii="Times New Roman" w:hAnsi="Times New Roman" w:cs="Times New Roman" w:eastAsia="Times New Roman" w:hint="default"/>
        </w:rPr>
        <w:t>0</w:t>
      </w:r>
      <w:r>
        <w:rPr>
          <w:rFonts w:ascii="Times New Roman" w:hAnsi="Times New Roman" w:cs="Times New Roman" w:eastAsia="Times New Roman" w:hint="default"/>
          <w:spacing w:val="-3"/>
        </w:rPr>
        <w:t> </w:t>
      </w:r>
      <w:r>
        <w:rPr/>
        <w:t>股。</w:t>
      </w:r>
      <w:r>
        <w:rPr>
          <w:b w:val="0"/>
          <w:bCs w:val="0"/>
        </w:rPr>
      </w:r>
    </w:p>
    <w:p>
      <w:pPr>
        <w:spacing w:after="0" w:line="323" w:lineRule="exact"/>
        <w:jc w:val="both"/>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r>
        <w:rPr/>
        <w:pict>
          <v:group style="position:absolute;margin-left:54.84pt;margin-top:28.299988pt;width:485.7pt;height:40.15pt;mso-position-horizontal-relative:page;mso-position-vertical-relative:page;z-index:-614944" coordorigin="1097,566" coordsize="9714,803">
            <v:group style="position:absolute;left:1104;top:1112;width:9700;height:2" coordorigin="1104,1112" coordsize="9700,2">
              <v:shape style="position:absolute;left:1104;top:1112;width:9700;height:2" coordorigin="1104,1112" coordsize="9700,0" path="m1104,1112l10804,1112e" filled="false" stroked="true" strokeweight=".72pt" strokecolor="#000000">
                <v:path arrowok="t"/>
              </v:shape>
              <v:shape style="position:absolute;left:1140;top:566;width:2160;height:803" type="#_x0000_t75" stroked="false">
                <v:imagedata r:id="rId7" o:title=""/>
              </v:shape>
            </v:group>
            <w10:wrap type="none"/>
          </v:group>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23"/>
        <w:ind w:left="1412" w:right="1411"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10762"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0">
            <w:r>
              <w:rPr/>
              <w:t>第一节 重要提示</w:t>
            </w:r>
            <w:r>
              <w:rPr>
                <w:spacing w:val="-19"/>
              </w:rPr>
              <w:t> </w:t>
            </w:r>
            <w:r>
              <w:rPr/>
              <w:t>、目录和释义</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第二节</w:t>
            </w:r>
            <w:r>
              <w:rPr>
                <w:spacing w:val="-19"/>
              </w:rPr>
              <w:t> </w:t>
            </w:r>
            <w:r>
              <w:rPr/>
              <w:t>公司简介和主要财务指标</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第三节</w:t>
            </w:r>
            <w:r>
              <w:rPr>
                <w:spacing w:val="-19"/>
              </w:rPr>
              <w:t> </w:t>
            </w:r>
            <w:r>
              <w:rPr/>
              <w:t>公司业务概要</w:t>
            </w:r>
            <w:r>
              <w:rPr>
                <w:rFonts w:ascii="Times New Roman" w:hAnsi="Times New Roman" w:cs="Times New Roman" w:eastAsia="Times New Roman" w:hint="default"/>
              </w:rPr>
              <w:tab/>
              <w:t>14</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第四节</w:t>
            </w:r>
            <w:r>
              <w:rPr>
                <w:spacing w:val="-19"/>
              </w:rPr>
              <w:t> </w:t>
            </w:r>
            <w:r>
              <w:rPr/>
              <w:t>管理层讨论与分析</w:t>
            </w:r>
            <w:r>
              <w:rPr>
                <w:rFonts w:ascii="Times New Roman" w:hAnsi="Times New Roman" w:cs="Times New Roman" w:eastAsia="Times New Roman" w:hint="default"/>
              </w:rPr>
              <w:tab/>
              <w:t>30</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第五节</w:t>
            </w:r>
            <w:r>
              <w:rPr>
                <w:spacing w:val="-19"/>
              </w:rPr>
              <w:t> </w:t>
            </w:r>
            <w:r>
              <w:rPr/>
              <w:t>重要事项</w:t>
            </w:r>
            <w:r>
              <w:rPr>
                <w:rFonts w:ascii="Times New Roman" w:hAnsi="Times New Roman" w:cs="Times New Roman" w:eastAsia="Times New Roman" w:hint="default"/>
              </w:rPr>
              <w:tab/>
              <w:t>39</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第六节</w:t>
            </w:r>
            <w:r>
              <w:rPr>
                <w:spacing w:val="-19"/>
              </w:rPr>
              <w:t> </w:t>
            </w:r>
            <w:r>
              <w:rPr/>
              <w:t>股份变动及股东情况</w:t>
            </w:r>
            <w:r>
              <w:rPr>
                <w:rFonts w:ascii="Times New Roman" w:hAnsi="Times New Roman" w:cs="Times New Roman" w:eastAsia="Times New Roman" w:hint="default"/>
              </w:rPr>
              <w:tab/>
              <w:t>45</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第七节</w:t>
            </w:r>
            <w:r>
              <w:rPr>
                <w:spacing w:val="-19"/>
              </w:rPr>
              <w:t> </w:t>
            </w:r>
            <w:r>
              <w:rPr/>
              <w:t>优先股相关情况</w:t>
            </w:r>
            <w:r>
              <w:rPr>
                <w:rFonts w:ascii="Times New Roman" w:hAnsi="Times New Roman" w:cs="Times New Roman" w:eastAsia="Times New Roman" w:hint="default"/>
              </w:rPr>
              <w:tab/>
              <w:t>45</w:t>
            </w:r>
            <w:r>
              <w:rPr>
                <w:rFonts w:ascii="Times New Roman" w:hAnsi="Times New Roman" w:cs="Times New Roman" w:eastAsia="Times New Roman" w:hint="default"/>
                <w:b w:val="0"/>
                <w:bCs w:val="0"/>
              </w:rPr>
            </w:r>
          </w:hyperlink>
        </w:p>
        <w:p>
          <w:pPr>
            <w:pStyle w:val="TOC1"/>
            <w:tabs>
              <w:tab w:pos="10762"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3">
            <w:r>
              <w:rPr/>
              <w:t>第八节</w:t>
            </w:r>
            <w:r>
              <w:rPr>
                <w:spacing w:val="-19"/>
              </w:rPr>
              <w:t> </w:t>
            </w:r>
            <w:r>
              <w:rPr/>
              <w:t>董事、监事、高级管理人员和员工情况</w:t>
            </w:r>
            <w:r>
              <w:rPr>
                <w:rFonts w:ascii="Times New Roman" w:hAnsi="Times New Roman" w:cs="Times New Roman" w:eastAsia="Times New Roman" w:hint="default"/>
              </w:rPr>
              <w:tab/>
              <w:t>46</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第九节</w:t>
            </w:r>
            <w:r>
              <w:rPr>
                <w:spacing w:val="-19"/>
              </w:rPr>
              <w:t> </w:t>
            </w:r>
            <w:r>
              <w:rPr/>
              <w:t>公司治理</w:t>
            </w:r>
            <w:r>
              <w:rPr>
                <w:rFonts w:ascii="Times New Roman" w:hAnsi="Times New Roman" w:cs="Times New Roman" w:eastAsia="Times New Roman" w:hint="default"/>
              </w:rPr>
              <w:tab/>
              <w:t>52</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第十节</w:t>
            </w:r>
            <w:r>
              <w:rPr>
                <w:spacing w:val="-19"/>
              </w:rPr>
              <w:t> </w:t>
            </w:r>
            <w:r>
              <w:rPr/>
              <w:t>财务报告</w:t>
            </w:r>
            <w:r>
              <w:rPr>
                <w:rFonts w:ascii="Times New Roman" w:hAnsi="Times New Roman" w:cs="Times New Roman" w:eastAsia="Times New Roman" w:hint="default"/>
              </w:rPr>
              <w:tab/>
              <w:t>56</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第十一节</w:t>
            </w:r>
            <w:r>
              <w:rPr>
                <w:spacing w:val="-20"/>
              </w:rPr>
              <w:t> </w:t>
            </w:r>
            <w:r>
              <w:rPr/>
              <w:t>备查文件目录</w:t>
            </w:r>
            <w:r>
              <w:rPr>
                <w:rFonts w:ascii="Times New Roman" w:hAnsi="Times New Roman" w:cs="Times New Roman" w:eastAsia="Times New Roman" w:hint="default"/>
              </w:rPr>
              <w:tab/>
              <w:t>138</w:t>
            </w:r>
            <w:r>
              <w:rPr>
                <w:rFonts w:ascii="Times New Roman" w:hAnsi="Times New Roman" w:cs="Times New Roman" w:eastAsia="Times New Roman" w:hint="default"/>
                <w:b w:val="0"/>
                <w:bCs w:val="0"/>
              </w:rPr>
            </w:r>
          </w:hyperlink>
        </w:p>
        <w:p>
          <w:pPr/>
          <w:r>
            <w:fldChar w:fldCharType="end"/>
          </w:r>
        </w:p>
      </w:sdtContent>
    </w:sdt>
    <w:p>
      <w:pPr>
        <w:spacing w:after="0"/>
        <w:sectPr>
          <w:headerReference w:type="default" r:id="rId10"/>
          <w:pgSz w:w="11910" w:h="16840"/>
          <w:pgMar w:header="867" w:footer="979" w:top="1060" w:bottom="1160" w:left="0" w:right="0"/>
        </w:sectPr>
      </w:pPr>
    </w:p>
    <w:p>
      <w:pPr>
        <w:spacing w:before="644"/>
        <w:ind w:left="1412" w:right="1411"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报告期、本报告期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本公司、公司、股份公司、荣科、荣科科技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荣科科技股份有限公司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荣科有限</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沈阳荣科科技工程有限公司，本公司前身</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享云科技、享云科技公司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享云科技有限责任公司，本公司之控股子公司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上海米健</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上海米健信息技术有限公司，本公司之控股子公司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财通基金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财通基金管理有限公司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嘉慧投资</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浙江海宁嘉慧投资合伙企业（有限合伙）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中华人民共和国证券监督与管理委员会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中国结算深圳分公司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中国证券登记结算有限公司深圳分公司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荣科科技股份有限公司章程</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数据中心第三方服务</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数据中心集成建设与运营维护的第三方服务</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行业信息化解决方案</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重点行业信息化解决方案</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IT</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Information</w:t>
            </w:r>
            <w:r>
              <w:rPr>
                <w:rFonts w:ascii="Times New Roman" w:hAnsi="Times New Roman" w:cs="Times New Roman" w:eastAsia="Times New Roman" w:hint="default"/>
                <w:spacing w:val="-19"/>
                <w:sz w:val="18"/>
                <w:szCs w:val="18"/>
              </w:rPr>
              <w:t> </w:t>
            </w:r>
            <w:r>
              <w:rPr>
                <w:rFonts w:ascii="Times New Roman" w:hAnsi="Times New Roman" w:cs="Times New Roman" w:eastAsia="Times New Roman" w:hint="default"/>
                <w:sz w:val="18"/>
                <w:szCs w:val="18"/>
              </w:rPr>
              <w:t>Technology</w:t>
            </w:r>
            <w:r>
              <w:rPr>
                <w:rFonts w:ascii="宋体" w:hAnsi="宋体" w:cs="宋体" w:eastAsia="宋体" w:hint="default"/>
                <w:sz w:val="18"/>
                <w:szCs w:val="18"/>
              </w:rPr>
              <w:t>，信息技术</w:t>
            </w:r>
          </w:p>
        </w:tc>
      </w:tr>
    </w:tbl>
    <w:p>
      <w:pPr>
        <w:spacing w:after="0" w:line="240" w:lineRule="auto"/>
        <w:jc w:val="left"/>
        <w:rPr>
          <w:rFonts w:ascii="宋体" w:hAnsi="宋体" w:cs="宋体" w:eastAsia="宋体" w:hint="default"/>
          <w:sz w:val="18"/>
          <w:szCs w:val="18"/>
        </w:rPr>
        <w:sectPr>
          <w:headerReference w:type="default" r:id="rId11"/>
          <w:pgSz w:w="11910" w:h="16840"/>
          <w:pgMar w:header="566" w:footer="979" w:top="1360" w:bottom="1160" w:left="0" w:right="0"/>
        </w:sect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1"/>
        <w:spacing w:line="240" w:lineRule="auto"/>
        <w:ind w:left="3624" w:right="0"/>
        <w:jc w:val="left"/>
        <w:rPr>
          <w:b w:val="0"/>
          <w:bCs w:val="0"/>
        </w:rPr>
      </w:pPr>
      <w:bookmarkStart w:name="_TOC_250009" w:id="3"/>
      <w:bookmarkStart w:name="第二节 公司简介和主要财务指标" w:id="4"/>
      <w:r>
        <w:rPr>
          <w:b w:val="0"/>
          <w:bCs w:val="0"/>
        </w:rPr>
      </w:r>
      <w:r>
        <w:rPr/>
        <w:t>第二节</w:t>
      </w:r>
      <w:r>
        <w:rPr>
          <w:spacing w:val="-11"/>
        </w:rPr>
        <w:t> </w:t>
      </w:r>
      <w:r>
        <w:rPr/>
        <w:t>公司简介和主要财务指标</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pict>
          <v:group style="position:absolute;margin-left:172.339996pt;margin-top:114.735596pt;width:361.5pt;height:19.6pt;mso-position-horizontal-relative:page;mso-position-vertical-relative:paragraph;z-index:-614920" coordorigin="3447,2295" coordsize="7230,392">
            <v:shape style="position:absolute;left:3447;top:2295;width:7230;height:392" coordorigin="3447,2295" coordsize="7230,392" path="m3447,2686l10676,2686,10676,2295,3447,2295,3447,2686xe" filled="true" fillcolor="#ffffff" stroked="false">
              <v:path arrowok="t"/>
              <v:fill type="solid"/>
            </v:shape>
            <w10:wrap type="none"/>
          </v:group>
        </w:pict>
      </w: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荣科科技</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300290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荣科科技股份有限公司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荣科科技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Bringspring Science and Technology</w:t>
            </w:r>
            <w:r>
              <w:rPr>
                <w:rFonts w:ascii="Times New Roman"/>
                <w:spacing w:val="-24"/>
                <w:sz w:val="18"/>
              </w:rPr>
              <w:t> </w:t>
            </w:r>
            <w:r>
              <w:rPr>
                <w:rFonts w:ascii="Times New Roman"/>
                <w:sz w:val="18"/>
              </w:rPr>
              <w:t>Co.,Ltd.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Bringspring</w:t>
            </w:r>
            <w:r>
              <w:rPr>
                <w:rFonts w:ascii="Times New Roman"/>
                <w:spacing w:val="-4"/>
                <w:sz w:val="18"/>
              </w:rPr>
              <w:t> </w:t>
            </w:r>
            <w:r>
              <w:rPr>
                <w:rFonts w:ascii="Times New Roman"/>
                <w:sz w:val="18"/>
              </w:rPr>
              <w:t>tech.</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付永全</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沈阳市和平区和平北大街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62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110002</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沈阳市和平区和平北大街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62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110002</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2">
              <w:r>
                <w:rPr>
                  <w:rFonts w:ascii="Times New Roman"/>
                  <w:sz w:val="18"/>
                </w:rPr>
                <w:t>http://www.bringspring.com</w:t>
              </w:r>
            </w:hyperlink>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3">
              <w:r>
                <w:rPr>
                  <w:rFonts w:ascii="Times New Roman"/>
                  <w:sz w:val="18"/>
                </w:rPr>
                <w:t>zqtz@bringspring.com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冯丽</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徐蓉蓉</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沈阳市和平区和平北大街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62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沈阳市和平区和平北大街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62 </w:t>
            </w:r>
            <w:r>
              <w:rPr>
                <w:rFonts w:ascii="宋体" w:hAnsi="宋体" w:cs="宋体" w:eastAsia="宋体" w:hint="default"/>
                <w:sz w:val="18"/>
                <w:szCs w:val="18"/>
              </w:rPr>
              <w:t>号</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024</w:t>
            </w:r>
            <w:r>
              <w:rPr>
                <w:rFonts w:ascii="宋体" w:hAnsi="宋体" w:cs="宋体" w:eastAsia="宋体" w:hint="default"/>
                <w:sz w:val="18"/>
                <w:szCs w:val="18"/>
              </w:rPr>
              <w:t>－</w:t>
            </w:r>
            <w:r>
              <w:rPr>
                <w:rFonts w:ascii="Times New Roman" w:hAnsi="Times New Roman" w:cs="Times New Roman" w:eastAsia="Times New Roman" w:hint="default"/>
                <w:sz w:val="18"/>
                <w:szCs w:val="18"/>
              </w:rPr>
              <w:t>86901698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024</w:t>
            </w:r>
            <w:r>
              <w:rPr>
                <w:rFonts w:ascii="宋体" w:hAnsi="宋体" w:cs="宋体" w:eastAsia="宋体" w:hint="default"/>
                <w:sz w:val="18"/>
                <w:szCs w:val="18"/>
              </w:rPr>
              <w:t>－</w:t>
            </w:r>
            <w:r>
              <w:rPr>
                <w:rFonts w:ascii="Times New Roman" w:hAnsi="Times New Roman" w:cs="Times New Roman" w:eastAsia="Times New Roman" w:hint="default"/>
                <w:sz w:val="18"/>
                <w:szCs w:val="18"/>
              </w:rPr>
              <w:t>22851050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024</w:t>
            </w:r>
            <w:r>
              <w:rPr>
                <w:rFonts w:ascii="宋体" w:hAnsi="宋体" w:cs="宋体" w:eastAsia="宋体" w:hint="default"/>
                <w:sz w:val="18"/>
                <w:szCs w:val="18"/>
              </w:rPr>
              <w:t>－</w:t>
            </w:r>
            <w:r>
              <w:rPr>
                <w:rFonts w:ascii="Times New Roman" w:hAnsi="Times New Roman" w:cs="Times New Roman" w:eastAsia="Times New Roman" w:hint="default"/>
                <w:sz w:val="18"/>
                <w:szCs w:val="18"/>
              </w:rPr>
              <w:t>22851050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024</w:t>
            </w:r>
            <w:r>
              <w:rPr>
                <w:rFonts w:ascii="宋体" w:hAnsi="宋体" w:cs="宋体" w:eastAsia="宋体" w:hint="default"/>
                <w:sz w:val="18"/>
                <w:szCs w:val="18"/>
              </w:rPr>
              <w:t>－</w:t>
            </w:r>
            <w:r>
              <w:rPr>
                <w:rFonts w:ascii="Times New Roman" w:hAnsi="Times New Roman" w:cs="Times New Roman" w:eastAsia="Times New Roman" w:hint="default"/>
                <w:sz w:val="18"/>
                <w:szCs w:val="18"/>
              </w:rPr>
              <w:t>22851050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3">
              <w:r>
                <w:rPr>
                  <w:rFonts w:ascii="Times New Roman"/>
                  <w:sz w:val="18"/>
                </w:rPr>
                <w:t>zqtz@bringspring.com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3">
              <w:r>
                <w:rPr>
                  <w:rFonts w:ascii="Times New Roman"/>
                  <w:sz w:val="18"/>
                </w:rPr>
                <w:t>zqtz@bringspring.com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《证券日报》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4">
              <w:r>
                <w:rPr>
                  <w:rFonts w:ascii="Times New Roman"/>
                  <w:sz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公司证券投资部</w:t>
            </w:r>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四、其他有关资料" w:id="8"/>
      <w:bookmarkEnd w:id="8"/>
      <w:r>
        <w:rPr>
          <w:b w:val="0"/>
          <w:bCs w:val="0"/>
        </w:rPr>
      </w:r>
      <w:r>
        <w:rPr/>
        <w:t>四、其他有关资料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0"/>
        <w:jc w:val="left"/>
      </w:pPr>
      <w:r>
        <w:rPr/>
        <w:t>公司聘请的会计师事务所</w:t>
      </w:r>
    </w:p>
    <w:p>
      <w:pPr>
        <w:spacing w:after="0" w:line="240" w:lineRule="auto"/>
        <w:jc w:val="left"/>
        <w:sectPr>
          <w:pgSz w:w="11910" w:h="16840"/>
          <w:pgMar w:header="566" w:footer="979" w:top="1360" w:bottom="1160" w:left="0" w:right="0"/>
        </w:sectPr>
      </w:pPr>
    </w:p>
    <w:p>
      <w:pPr>
        <w:spacing w:line="240" w:lineRule="auto" w:before="6"/>
        <w:rPr>
          <w:rFonts w:ascii="宋体" w:hAnsi="宋体" w:cs="宋体" w:eastAsia="宋体" w:hint="default"/>
          <w:sz w:val="5"/>
          <w:szCs w:val="5"/>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华普天健会计师事务所（特殊普通合伙）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北京市西城区阜城门外大街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号外经贸大厦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宫国超、王逸飞、佟海光</w:t>
            </w:r>
          </w:p>
        </w:tc>
      </w:tr>
    </w:tbl>
    <w:p>
      <w:pPr>
        <w:pStyle w:val="BodyText"/>
        <w:spacing w:line="240" w:lineRule="auto" w:before="51"/>
        <w:ind w:right="0"/>
        <w:jc w:val="left"/>
      </w:pPr>
      <w:r>
        <w:rPr/>
        <w:t>公司聘请的报告期内履行持续督导职责的保荐机构</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华西证券股份有限公司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97"/>
              <w:jc w:val="left"/>
              <w:rPr>
                <w:rFonts w:ascii="宋体" w:hAnsi="宋体" w:cs="宋体" w:eastAsia="宋体" w:hint="default"/>
                <w:sz w:val="18"/>
                <w:szCs w:val="18"/>
              </w:rPr>
            </w:pPr>
            <w:r>
              <w:rPr>
                <w:rFonts w:ascii="宋体" w:hAnsi="宋体" w:cs="宋体" w:eastAsia="宋体" w:hint="default"/>
                <w:sz w:val="18"/>
                <w:szCs w:val="18"/>
              </w:rPr>
              <w:t>四川省成都市高新区天府二 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号国窑大厦</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袁宗、程敏敏</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日</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51"/>
        <w:ind w:right="0"/>
        <w:jc w:val="left"/>
      </w:pPr>
      <w:r>
        <w:rPr/>
        <w:t>公司聘请的报告期内履行持续督导职责的财务顾问</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0"/>
        <w:jc w:val="left"/>
      </w:pPr>
      <w:r>
        <w:rPr/>
        <w:t>公司是否因会计政策变更及会计差错更正等追溯调整或重述以前年度会计数据</w:t>
      </w:r>
    </w:p>
    <w:p>
      <w:pPr>
        <w:pStyle w:val="BodyText"/>
        <w:spacing w:line="240" w:lineRule="auto" w:before="117"/>
        <w:ind w:left="113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14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541,872,970.24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411,919,507.99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31.55%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375,586,047.92</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50,635,453.88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56,946,829.11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-11.08%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53,211,289.80</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45,976,761.63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54,142,899.21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47,168,700.22</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52,973,661.95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-27,009,449.76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296.13%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-113,996,084.75</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0.1707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0.2094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-18.48%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0.1956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0.1707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0.2094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-18.48%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0.1956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6.01 </w:t>
            </w:r>
            <w:r>
              <w:rPr>
                <w:rFonts w:ascii="宋体" w:hAnsi="宋体" w:cs="宋体" w:eastAsia="宋体" w:hint="default"/>
                <w:sz w:val="18"/>
                <w:szCs w:val="18"/>
              </w:rPr>
              <w:t>个百分点</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14.58%</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1,070,124,752.53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654,340,929.71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63.54%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565,615,807.03</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855,317,558.02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432,593,035.53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97.72%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386,504,020.87</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78,061,852.87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117,355,298.93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90,355,789.63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256,100,028.81</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5,374,849.43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12,305,883.88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2,575,217.47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30,379,503.10</w:t>
            </w:r>
          </w:p>
        </w:tc>
      </w:tr>
    </w:tbl>
    <w:p>
      <w:pPr>
        <w:spacing w:after="0" w:line="240" w:lineRule="auto"/>
        <w:jc w:val="right"/>
        <w:rPr>
          <w:rFonts w:ascii="Times New Roman" w:hAnsi="Times New Roman" w:cs="Times New Roman" w:eastAsia="Times New Roman" w:hint="default"/>
          <w:sz w:val="18"/>
          <w:szCs w:val="18"/>
        </w:rPr>
        <w:sectPr>
          <w:pgSz w:w="11910" w:h="16840"/>
          <w:pgMar w:header="566" w:footer="979" w:top="1360" w:bottom="1160" w:left="0" w:right="0"/>
        </w:sectPr>
      </w:pPr>
    </w:p>
    <w:p>
      <w:pPr>
        <w:spacing w:line="240" w:lineRule="auto" w:before="6"/>
        <w:rPr>
          <w:rFonts w:ascii="宋体" w:hAnsi="宋体" w:cs="宋体" w:eastAsia="宋体" w:hint="default"/>
          <w:sz w:val="5"/>
          <w:szCs w:val="5"/>
        </w:rPr>
      </w:pPr>
    </w:p>
    <w:tbl>
      <w:tblPr>
        <w:tblW w:w="0" w:type="auto"/>
        <w:jc w:val="left"/>
        <w:tblInd w:w="1129" w:type="dxa"/>
        <w:tblLayout w:type="fixed"/>
        <w:tblCellMar>
          <w:top w:w="0" w:type="dxa"/>
          <w:left w:w="0" w:type="dxa"/>
          <w:bottom w:w="0" w:type="dxa"/>
          <w:right w:w="0" w:type="dxa"/>
        </w:tblCellMar>
        <w:tblLook w:val="01E0"/>
      </w:tblPr>
      <w:tblGrid>
        <w:gridCol w:w="2621"/>
        <w:gridCol w:w="1740"/>
        <w:gridCol w:w="1739"/>
        <w:gridCol w:w="1740"/>
        <w:gridCol w:w="1729"/>
      </w:tblGrid>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5,373,442.11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9,462,962.99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2,573,097.92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28,567,258.61</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-76,002,760.35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-19,692,272.73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-12,115,487.50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160,784,182.53</w:t>
            </w:r>
          </w:p>
        </w:tc>
      </w:tr>
    </w:tbl>
    <w:p>
      <w:pPr>
        <w:pStyle w:val="BodyText"/>
        <w:spacing w:line="240" w:lineRule="auto" w:before="51"/>
        <w:ind w:right="0"/>
        <w:jc w:val="left"/>
      </w:pPr>
      <w:r>
        <w:rPr/>
        <w:t>上述财务指标或其加总数是否与公司已披露季度报告、半年度报告相关财务指标存在重大差异</w:t>
      </w:r>
    </w:p>
    <w:p>
      <w:pPr>
        <w:pStyle w:val="BodyText"/>
        <w:spacing w:line="240" w:lineRule="auto" w:before="117"/>
        <w:ind w:left="113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1133" w:right="20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3"/>
        <w:spacing w:line="240" w:lineRule="auto"/>
        <w:ind w:left="1133"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1133"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244,728.68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154,961.48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-2,662.55</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1"/>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5,196,900.00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1,927,000.00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5,067,050.00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39,717.66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51,106.04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53,387.32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1,102,752.00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1,697,800.00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822,654.09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431,889.62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746,027.21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26,957.98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4,658,692.25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2,803,929.90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6,042,589.58</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left="1133" w:right="1116"/>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566" w:footer="979" w:top="1360" w:bottom="1160" w:left="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1"/>
        <w:spacing w:line="240" w:lineRule="auto"/>
        <w:ind w:right="1411"/>
        <w:jc w:val="center"/>
        <w:rPr>
          <w:b w:val="0"/>
          <w:bCs w:val="0"/>
        </w:rPr>
      </w:pPr>
      <w:bookmarkStart w:name="_TOC_250008" w:id="15"/>
      <w:bookmarkStart w:name="第三节 公司业务概要" w:id="16"/>
      <w:r>
        <w:rPr>
          <w:b w:val="0"/>
          <w:bCs w:val="0"/>
        </w:rPr>
      </w:r>
      <w:r>
        <w:rPr/>
        <w:t>第三节</w:t>
      </w:r>
      <w:r>
        <w:rPr>
          <w:spacing w:val="-7"/>
        </w:rPr>
        <w:t> </w:t>
      </w:r>
      <w:r>
        <w:rPr/>
        <w:t>公司业务概要</w:t>
      </w:r>
      <w:bookmarkEnd w:id="15"/>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left="1134" w:right="0"/>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一）主要业务" w:id="18"/>
      <w:bookmarkEnd w:id="18"/>
      <w:r>
        <w:rPr>
          <w:b w:val="0"/>
          <w:bCs w:val="0"/>
        </w:rPr>
      </w:r>
      <w:r>
        <w:rPr/>
        <w:t>（一）主要业务</w:t>
      </w:r>
      <w:r>
        <w:rPr>
          <w:b w:val="0"/>
          <w:bCs w:val="0"/>
        </w:rPr>
      </w:r>
    </w:p>
    <w:p>
      <w:pPr>
        <w:spacing w:line="240" w:lineRule="auto" w:before="9"/>
        <w:rPr>
          <w:rFonts w:ascii="宋体" w:hAnsi="宋体" w:cs="宋体" w:eastAsia="宋体" w:hint="default"/>
          <w:b/>
          <w:bCs/>
          <w:sz w:val="27"/>
          <w:szCs w:val="27"/>
        </w:rPr>
      </w:pPr>
    </w:p>
    <w:p>
      <w:pPr>
        <w:pStyle w:val="BodyText"/>
        <w:spacing w:line="319" w:lineRule="auto"/>
        <w:ind w:right="1131" w:firstLine="360"/>
        <w:jc w:val="both"/>
      </w:pPr>
      <w:r>
        <w:rPr>
          <w:spacing w:val="-2"/>
        </w:rPr>
        <w:t>报告期内，公司所从事的主要业务为智慧医疗、健康数据和智能融合云两个板块。智慧医疗、健康数据业务板块，主要</w:t>
      </w:r>
      <w:r>
        <w:rPr/>
        <w:t> </w:t>
      </w:r>
      <w:r>
        <w:rPr>
          <w:spacing w:val="-2"/>
        </w:rPr>
        <w:t>是基于临床信息化细分产品和健康大数据平台，为客户提供标准、高效的医疗信息化软件产品；智能融合云业务板块，主要</w:t>
      </w:r>
      <w:r>
        <w:rPr>
          <w:spacing w:val="-66"/>
        </w:rPr>
        <w:t> </w:t>
      </w:r>
      <w:r>
        <w:rPr>
          <w:spacing w:val="-66"/>
        </w:rPr>
      </w:r>
      <w:r>
        <w:rPr>
          <w:spacing w:val="-2"/>
        </w:rPr>
        <w:t>是依托于智能融合云平台与大数据云中心服务，为面向互联网加时代的医疗、教育、金融等关键行业客户提供全方位的智能</w:t>
      </w:r>
      <w:r>
        <w:rPr>
          <w:spacing w:val="-66"/>
        </w:rPr>
        <w:t> </w:t>
      </w:r>
      <w:r>
        <w:rPr>
          <w:spacing w:val="-66"/>
        </w:rPr>
      </w:r>
      <w:r>
        <w:rPr/>
        <w:t>化的融合云解决方案和服务。</w:t>
      </w:r>
    </w:p>
    <w:p>
      <w:pPr>
        <w:pStyle w:val="BodyText"/>
        <w:spacing w:line="338" w:lineRule="auto" w:before="58"/>
        <w:ind w:left="1494" w:right="0" w:firstLine="90"/>
        <w:jc w:val="left"/>
      </w:pPr>
      <w:r>
        <w:rPr>
          <w:rFonts w:ascii="Times New Roman" w:hAnsi="Times New Roman" w:cs="Times New Roman" w:eastAsia="Times New Roman" w:hint="default"/>
        </w:rPr>
        <w:t>1</w:t>
      </w:r>
      <w:r>
        <w:rPr/>
        <w:t>、智慧医疗、健康数据 </w:t>
      </w:r>
      <w:r>
        <w:rPr>
          <w:spacing w:val="-2"/>
        </w:rPr>
        <w:t>公司综合考虑了目前国内智慧医疗、健康数据发展阶段及发展趋势、市场潜在空间、竞争格局、产品化程度及是否具备</w:t>
      </w:r>
    </w:p>
    <w:p>
      <w:pPr>
        <w:pStyle w:val="BodyText"/>
        <w:spacing w:line="319" w:lineRule="auto" w:before="2"/>
        <w:ind w:right="0"/>
        <w:jc w:val="left"/>
      </w:pPr>
      <w:r>
        <w:rPr>
          <w:spacing w:val="-2"/>
        </w:rPr>
        <w:t>数据积累条件等多种因素，同时结合自身的条件，荣科科技最终选择了临床医疗信息化与医疗大数据领域作为了公司未来发</w:t>
      </w:r>
      <w:r>
        <w:rPr>
          <w:spacing w:val="-64"/>
        </w:rPr>
        <w:t> </w:t>
      </w:r>
      <w:r>
        <w:rPr>
          <w:spacing w:val="-64"/>
        </w:rPr>
      </w:r>
      <w:r>
        <w:rPr/>
        <w:t>展的重点方向，作出了与现有医疗信息化与健康大数据厂商差异化的战略定位。</w:t>
      </w:r>
    </w:p>
    <w:p>
      <w:pPr>
        <w:pStyle w:val="BodyText"/>
        <w:spacing w:line="240" w:lineRule="auto" w:before="56"/>
        <w:ind w:left="1494" w:right="0"/>
        <w:jc w:val="left"/>
      </w:pPr>
      <w:r>
        <w:rPr/>
        <w:t>公司智慧医疗、健康数据解决方案及产品主要包括三类：</w:t>
      </w:r>
    </w:p>
    <w:p>
      <w:pPr>
        <w:pStyle w:val="BodyText"/>
        <w:spacing w:line="302" w:lineRule="auto" w:before="116"/>
        <w:ind w:left="1133" w:right="0" w:firstLine="360"/>
        <w:jc w:val="left"/>
      </w:pPr>
      <w:r>
        <w:rPr/>
        <w:t>（</w:t>
      </w:r>
      <w:r>
        <w:rPr>
          <w:rFonts w:ascii="Times New Roman" w:hAnsi="Times New Roman" w:cs="Times New Roman" w:eastAsia="Times New Roman" w:hint="default"/>
        </w:rPr>
        <w:t>1</w:t>
      </w:r>
      <w:r>
        <w:rPr/>
        <w:t>）临床应用细分领域产品。目前荣科及上海米健拥有的临床信息化产品包括重症监护（</w:t>
      </w:r>
      <w:r>
        <w:rPr>
          <w:rFonts w:ascii="Times New Roman" w:hAnsi="Times New Roman" w:cs="Times New Roman" w:eastAsia="Times New Roman" w:hint="default"/>
        </w:rPr>
        <w:t>ICU</w:t>
      </w:r>
      <w:r>
        <w:rPr/>
        <w:t>）、急诊管理、肾病内</w:t>
      </w:r>
      <w:r>
        <w:rPr>
          <w:spacing w:val="1"/>
        </w:rPr>
        <w:t> </w:t>
      </w:r>
      <w:r>
        <w:rPr/>
        <w:t>科（血透）、手术麻醉、护理资源规划等主要产品，未来将继续向新的临床产品如放疗等进行拓展。</w:t>
      </w:r>
    </w:p>
    <w:p>
      <w:pPr>
        <w:pStyle w:val="BodyText"/>
        <w:spacing w:line="302" w:lineRule="auto" w:before="68"/>
        <w:ind w:right="0" w:firstLine="360"/>
        <w:jc w:val="left"/>
      </w:pPr>
      <w:r>
        <w:rPr>
          <w:spacing w:val="-2"/>
        </w:rPr>
        <w:t>（</w:t>
      </w:r>
      <w:r>
        <w:rPr>
          <w:rFonts w:ascii="Times New Roman" w:hAnsi="Times New Roman" w:cs="Times New Roman" w:eastAsia="Times New Roman" w:hint="default"/>
          <w:spacing w:val="-2"/>
        </w:rPr>
        <w:t>2</w:t>
      </w:r>
      <w:r>
        <w:rPr>
          <w:spacing w:val="-2"/>
        </w:rPr>
        <w:t>）数据平台级产品。主要包括物联网设备数据采集平台、医疗系统集成平台、远程医疗云平台、区域健康档案平台、</w:t>
      </w:r>
      <w:r>
        <w:rPr/>
        <w:t> 基于分布式架构的区域数据共享平台以及区域云医院平台等。</w:t>
      </w:r>
    </w:p>
    <w:p>
      <w:pPr>
        <w:pStyle w:val="BodyText"/>
        <w:spacing w:line="309" w:lineRule="auto" w:before="68"/>
        <w:ind w:left="1133" w:right="0" w:firstLine="360"/>
        <w:jc w:val="left"/>
      </w:pPr>
      <w:r>
        <w:rPr>
          <w:spacing w:val="-2"/>
        </w:rPr>
        <w:t>（</w:t>
      </w:r>
      <w:r>
        <w:rPr>
          <w:rFonts w:ascii="Times New Roman" w:hAnsi="Times New Roman" w:cs="Times New Roman" w:eastAsia="Times New Roman" w:hint="default"/>
          <w:spacing w:val="-2"/>
        </w:rPr>
        <w:t>3</w:t>
      </w:r>
      <w:r>
        <w:rPr>
          <w:spacing w:val="-2"/>
        </w:rPr>
        <w:t>）健康大数据</w:t>
      </w:r>
      <w:r>
        <w:rPr>
          <w:rFonts w:ascii="Times New Roman" w:hAnsi="Times New Roman" w:cs="Times New Roman" w:eastAsia="Times New Roman" w:hint="default"/>
          <w:spacing w:val="-2"/>
        </w:rPr>
        <w:t>O2O</w:t>
      </w:r>
      <w:r>
        <w:rPr>
          <w:spacing w:val="-2"/>
        </w:rPr>
        <w:t>平台。荣科将借着国家科技支撑项目打造健康管理</w:t>
      </w:r>
      <w:r>
        <w:rPr>
          <w:rFonts w:ascii="Times New Roman" w:hAnsi="Times New Roman" w:cs="Times New Roman" w:eastAsia="Times New Roman" w:hint="default"/>
          <w:spacing w:val="-2"/>
        </w:rPr>
        <w:t>O2O</w:t>
      </w:r>
      <w:r>
        <w:rPr>
          <w:spacing w:val="-2"/>
        </w:rPr>
        <w:t>平台，将三甲医院、社区医院、养老中心、</w:t>
      </w:r>
      <w:r>
        <w:rPr/>
        <w:t> </w:t>
      </w:r>
      <w:r>
        <w:rPr>
          <w:spacing w:val="-2"/>
        </w:rPr>
        <w:t>第三方检验中心、健康管理中心等多方资源汇聚到平台上来，旨在将优质医疗资源、新型健康服务管理理念传递到基层，打</w:t>
      </w:r>
      <w:r>
        <w:rPr>
          <w:spacing w:val="-66"/>
        </w:rPr>
        <w:t> </w:t>
      </w:r>
      <w:r>
        <w:rPr>
          <w:spacing w:val="-66"/>
        </w:rPr>
      </w:r>
      <w:r>
        <w:rPr/>
        <w:t>造健康</w:t>
      </w:r>
      <w:r>
        <w:rPr>
          <w:rFonts w:ascii="Times New Roman" w:hAnsi="Times New Roman" w:cs="Times New Roman" w:eastAsia="Times New Roman" w:hint="default"/>
        </w:rPr>
        <w:t>O2O</w:t>
      </w:r>
      <w:r>
        <w:rPr/>
        <w:t>一站式服务平台。</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p>
      <w:pPr>
        <w:spacing w:line="4347" w:lineRule="exact"/>
        <w:ind w:left="2112" w:right="0" w:firstLine="0"/>
        <w:rPr>
          <w:rFonts w:ascii="宋体" w:hAnsi="宋体" w:cs="宋体" w:eastAsia="宋体" w:hint="default"/>
          <w:sz w:val="20"/>
          <w:szCs w:val="20"/>
        </w:rPr>
      </w:pPr>
      <w:r>
        <w:rPr>
          <w:rFonts w:ascii="宋体" w:hAnsi="宋体" w:cs="宋体" w:eastAsia="宋体" w:hint="default"/>
          <w:position w:val="-86"/>
          <w:sz w:val="20"/>
          <w:szCs w:val="20"/>
        </w:rPr>
        <w:drawing>
          <wp:inline distT="0" distB="0" distL="0" distR="0">
            <wp:extent cx="4878069" cy="2760345"/>
            <wp:effectExtent l="0" t="0" r="0" b="0"/>
            <wp:docPr id="3" name="image4.jpeg" descr=""/>
            <wp:cNvGraphicFramePr>
              <a:graphicFrameLocks noChangeAspect="1"/>
            </wp:cNvGraphicFramePr>
            <a:graphic>
              <a:graphicData uri="http://schemas.openxmlformats.org/drawingml/2006/picture">
                <pic:pic>
                  <pic:nvPicPr>
                    <pic:cNvPr id="4" name="image4.jpeg"/>
                    <pic:cNvPicPr/>
                  </pic:nvPicPr>
                  <pic:blipFill>
                    <a:blip r:embed="rId15" cstate="print"/>
                    <a:stretch>
                      <a:fillRect/>
                    </a:stretch>
                  </pic:blipFill>
                  <pic:spPr>
                    <a:xfrm>
                      <a:off x="0" y="0"/>
                      <a:ext cx="4878069" cy="2760345"/>
                    </a:xfrm>
                    <a:prstGeom prst="rect">
                      <a:avLst/>
                    </a:prstGeom>
                  </pic:spPr>
                </pic:pic>
              </a:graphicData>
            </a:graphic>
          </wp:inline>
        </w:drawing>
      </w:r>
      <w:r>
        <w:rPr>
          <w:rFonts w:ascii="宋体" w:hAnsi="宋体" w:cs="宋体" w:eastAsia="宋体" w:hint="default"/>
          <w:position w:val="-86"/>
          <w:sz w:val="20"/>
          <w:szCs w:val="20"/>
        </w:rPr>
      </w:r>
    </w:p>
    <w:p>
      <w:pPr>
        <w:pStyle w:val="BodyText"/>
        <w:spacing w:line="240" w:lineRule="auto" w:before="62"/>
        <w:ind w:left="1411" w:right="1411"/>
        <w:jc w:val="center"/>
      </w:pPr>
      <w:r>
        <w:rPr/>
        <w:t>图</w:t>
      </w:r>
      <w:r>
        <w:rPr>
          <w:rFonts w:ascii="Times New Roman" w:hAnsi="Times New Roman" w:cs="Times New Roman" w:eastAsia="Times New Roman" w:hint="default"/>
        </w:rPr>
        <w:t>-</w:t>
      </w:r>
      <w:r>
        <w:rPr/>
        <w:t>荣科科技智慧医疗解决方案与产品布局概览</w:t>
      </w:r>
    </w:p>
    <w:p>
      <w:pPr>
        <w:pStyle w:val="BodyText"/>
        <w:spacing w:line="240" w:lineRule="auto" w:before="103"/>
        <w:ind w:left="1494" w:right="0"/>
        <w:jc w:val="left"/>
      </w:pPr>
      <w:r>
        <w:rPr>
          <w:rFonts w:ascii="Times New Roman" w:hAnsi="Times New Roman" w:cs="Times New Roman" w:eastAsia="Times New Roman" w:hint="default"/>
        </w:rPr>
        <w:t>2</w:t>
      </w:r>
      <w:r>
        <w:rPr/>
        <w:t>、智能融合云</w:t>
      </w:r>
    </w:p>
    <w:p>
      <w:pPr>
        <w:pStyle w:val="BodyText"/>
        <w:spacing w:line="300" w:lineRule="auto" w:before="101"/>
        <w:ind w:left="1133" w:right="0" w:firstLine="360"/>
        <w:jc w:val="left"/>
      </w:pPr>
      <w:r>
        <w:rPr/>
        <w:t>移动互联网时代，云计算、物联网、人工智能、大数据等技术的蓬勃发展，正在推动</w:t>
      </w:r>
      <w:r>
        <w:rPr>
          <w:rFonts w:ascii="Times New Roman" w:hAnsi="Times New Roman" w:cs="Times New Roman" w:eastAsia="Times New Roman" w:hint="default"/>
        </w:rPr>
        <w:t>IT</w:t>
      </w:r>
      <w:r>
        <w:rPr/>
        <w:t>向</w:t>
      </w:r>
      <w:r>
        <w:rPr>
          <w:rFonts w:ascii="Times New Roman" w:hAnsi="Times New Roman" w:cs="Times New Roman" w:eastAsia="Times New Roman" w:hint="default"/>
        </w:rPr>
        <w:t>DT</w:t>
      </w:r>
      <w:r>
        <w:rPr/>
        <w:t>加速转变。公司结合行业 </w:t>
      </w:r>
      <w:r>
        <w:rPr>
          <w:spacing w:val="-2"/>
        </w:rPr>
        <w:t>前沿技术并根据客户不同阶段的需求，推出荣科智能融合云平台和大数据服务，简称“智能融合云”。荣科智能融合云，为</w:t>
      </w:r>
    </w:p>
    <w:p>
      <w:pPr>
        <w:spacing w:after="0" w:line="300" w:lineRule="auto"/>
        <w:jc w:val="left"/>
        <w:sectPr>
          <w:pgSz w:w="11910" w:h="16840"/>
          <w:pgMar w:header="566" w:footer="979" w:top="1360" w:bottom="1160" w:left="0" w:right="0"/>
        </w:sectPr>
      </w:pPr>
    </w:p>
    <w:p>
      <w:pPr>
        <w:pStyle w:val="BodyText"/>
        <w:spacing w:line="240" w:lineRule="auto" w:before="82"/>
        <w:ind w:right="0"/>
        <w:jc w:val="both"/>
      </w:pPr>
      <w:r>
        <w:rPr>
          <w:spacing w:val="-4"/>
        </w:rPr>
        <w:t>智慧医疗、健康数据业务拓展提供了最佳云平台和数据服务支撑，并能够满足金融、教育等关键行业客户云时代的发展要求。</w:t>
      </w:r>
    </w:p>
    <w:p>
      <w:pPr>
        <w:pStyle w:val="BodyText"/>
        <w:spacing w:line="338" w:lineRule="auto" w:before="116"/>
        <w:ind w:left="1494" w:right="0"/>
        <w:jc w:val="left"/>
      </w:pPr>
      <w:r>
        <w:rPr/>
        <w:t>（</w:t>
      </w:r>
      <w:r>
        <w:rPr>
          <w:rFonts w:ascii="Times New Roman" w:hAnsi="Times New Roman" w:cs="Times New Roman" w:eastAsia="Times New Roman" w:hint="default"/>
        </w:rPr>
        <w:t>1</w:t>
      </w:r>
      <w:r>
        <w:rPr/>
        <w:t>）智能融合云服务 </w:t>
      </w:r>
      <w:r>
        <w:rPr>
          <w:spacing w:val="-2"/>
        </w:rPr>
        <w:t>智能融合云服务主要是为医疗、教育、金融等关键细分行业提供云解决方案。公司根据行业客户不同需求，分别推出智</w:t>
      </w:r>
    </w:p>
    <w:p>
      <w:pPr>
        <w:pStyle w:val="BodyText"/>
        <w:spacing w:line="312" w:lineRule="auto" w:before="2"/>
        <w:ind w:left="1133" w:right="1131"/>
        <w:jc w:val="both"/>
      </w:pPr>
      <w:r>
        <w:rPr>
          <w:spacing w:val="-2"/>
        </w:rPr>
        <w:t>慧城市云，智慧民生云、智慧教育云以及智慧金融容灾云等行业特定的云服务。这些行业云服务能够行业客户从外部到内部</w:t>
      </w:r>
      <w:r>
        <w:rPr>
          <w:spacing w:val="-66"/>
        </w:rPr>
        <w:t> </w:t>
      </w:r>
      <w:r>
        <w:rPr>
          <w:spacing w:val="-66"/>
        </w:rPr>
      </w:r>
      <w:r>
        <w:rPr>
          <w:spacing w:val="-2"/>
        </w:rPr>
        <w:t>快速实现互联网化，消除传统信息孤岛，实现数据的共享与互联，从而提升企业生产和沟通效率。而且不同行业的云服务特</w:t>
      </w:r>
      <w:r>
        <w:rPr>
          <w:spacing w:val="-66"/>
        </w:rPr>
        <w:t> </w:t>
      </w:r>
      <w:r>
        <w:rPr>
          <w:spacing w:val="-66"/>
        </w:rPr>
      </w:r>
      <w:r>
        <w:rPr>
          <w:spacing w:val="-1"/>
        </w:rPr>
        <w:t>点，将能够满足各行业差异化服务需求。面对云计算和大数据库的浪潮，传统行业需要集行业应用、</w:t>
      </w:r>
      <w:r>
        <w:rPr>
          <w:rFonts w:ascii="Times New Roman" w:hAnsi="Times New Roman" w:cs="Times New Roman" w:eastAsia="Times New Roman" w:hint="default"/>
          <w:spacing w:val="-1"/>
        </w:rPr>
        <w:t>ICT</w:t>
      </w:r>
      <w:r>
        <w:rPr>
          <w:spacing w:val="-1"/>
        </w:rPr>
        <w:t>基础架构等于一体</w:t>
      </w:r>
      <w:r>
        <w:rPr>
          <w:spacing w:val="-52"/>
        </w:rPr>
        <w:t> </w:t>
      </w:r>
      <w:r>
        <w:rPr>
          <w:spacing w:val="-52"/>
        </w:rPr>
      </w:r>
      <w:r>
        <w:rPr/>
        <w:t>的能满足个性化需求的行业云，并且行业云出现以后不仅可以满足企业云需求，还可以降低云资源的重复创建和使用。</w:t>
      </w:r>
    </w:p>
    <w:p>
      <w:pPr>
        <w:pStyle w:val="BodyText"/>
        <w:spacing w:line="338" w:lineRule="auto" w:before="62"/>
        <w:ind w:left="1494" w:right="0"/>
        <w:jc w:val="left"/>
      </w:pPr>
      <w:r>
        <w:rPr/>
        <w:t>（</w:t>
      </w:r>
      <w:r>
        <w:rPr>
          <w:rFonts w:ascii="Times New Roman" w:hAnsi="Times New Roman" w:cs="Times New Roman" w:eastAsia="Times New Roman" w:hint="default"/>
        </w:rPr>
        <w:t>2</w:t>
      </w:r>
      <w:r>
        <w:rPr/>
        <w:t>）智能融合云运营 </w:t>
      </w:r>
      <w:r>
        <w:rPr>
          <w:spacing w:val="-2"/>
        </w:rPr>
        <w:t>智能融合云运营主要是通过智能融合云平台，利用大数据技术对行业客户提供智能式、主动式服务模式。利用云平台技</w:t>
      </w:r>
    </w:p>
    <w:p>
      <w:pPr>
        <w:pStyle w:val="BodyText"/>
        <w:spacing w:line="309" w:lineRule="auto" w:before="2"/>
        <w:ind w:right="1131"/>
        <w:jc w:val="both"/>
      </w:pPr>
      <w:r>
        <w:rPr/>
        <w:t>术实现“客户</w:t>
      </w:r>
      <w:r>
        <w:rPr>
          <w:rFonts w:ascii="Times New Roman" w:hAnsi="Times New Roman" w:cs="Times New Roman" w:eastAsia="Times New Roman" w:hint="default"/>
        </w:rPr>
        <w:t>-</w:t>
      </w:r>
      <w:r>
        <w:rPr/>
        <w:t>荣科”一体式运营服务，为客户业务安全可靠稳定运行保驾护航。</w:t>
      </w:r>
      <w:r>
        <w:rPr>
          <w:spacing w:val="-51"/>
        </w:rPr>
        <w:t> </w:t>
      </w:r>
      <w:r>
        <w:rPr/>
        <w:t>荣科智能融合云运营中心更是通过智能云</w:t>
      </w:r>
      <w:r>
        <w:rPr/>
        <w:t> </w:t>
      </w:r>
      <w:r>
        <w:rPr>
          <w:spacing w:val="-2"/>
        </w:rPr>
        <w:t>档案实时交互式传递客户业务运行信息、资源配置信息以及其他管理信息，增强客户体验；运营中心要通过机器学习、大数</w:t>
      </w:r>
      <w:r>
        <w:rPr>
          <w:spacing w:val="-66"/>
        </w:rPr>
        <w:t> </w:t>
      </w:r>
      <w:r>
        <w:rPr>
          <w:spacing w:val="-66"/>
        </w:rPr>
      </w:r>
      <w:r>
        <w:rPr/>
        <w:t>据平台等技术打造“智能云专家”系统，要走到先知先觉，防患于未然。</w:t>
      </w:r>
    </w:p>
    <w:p>
      <w:pPr>
        <w:spacing w:line="240" w:lineRule="auto" w:before="10"/>
        <w:rPr>
          <w:rFonts w:ascii="宋体" w:hAnsi="宋体" w:cs="宋体" w:eastAsia="宋体" w:hint="default"/>
          <w:sz w:val="24"/>
          <w:szCs w:val="24"/>
        </w:rPr>
      </w:pPr>
    </w:p>
    <w:p>
      <w:pPr>
        <w:pStyle w:val="Heading4"/>
        <w:spacing w:line="240" w:lineRule="auto"/>
        <w:ind w:right="0"/>
        <w:jc w:val="both"/>
        <w:rPr>
          <w:b w:val="0"/>
          <w:bCs w:val="0"/>
        </w:rPr>
      </w:pPr>
      <w:bookmarkStart w:name="（二）所属行业发展阶段、周期特点及公司所处的行业地位" w:id="19"/>
      <w:bookmarkEnd w:id="19"/>
      <w:r>
        <w:rPr>
          <w:b w:val="0"/>
          <w:bCs w:val="0"/>
        </w:rPr>
      </w:r>
      <w:r>
        <w:rPr/>
        <w:t>（二）所属行业发展阶段、周期特点及公司所处的行业地位</w:t>
      </w:r>
      <w:r>
        <w:rPr>
          <w:b w:val="0"/>
          <w:bCs w:val="0"/>
        </w:rPr>
      </w:r>
    </w:p>
    <w:p>
      <w:pPr>
        <w:spacing w:line="240" w:lineRule="auto" w:before="0"/>
        <w:rPr>
          <w:rFonts w:ascii="宋体" w:hAnsi="宋体" w:cs="宋体" w:eastAsia="宋体" w:hint="default"/>
          <w:b/>
          <w:bCs/>
          <w:sz w:val="18"/>
          <w:szCs w:val="18"/>
        </w:rPr>
      </w:pPr>
    </w:p>
    <w:p>
      <w:pPr>
        <w:pStyle w:val="BodyText"/>
        <w:spacing w:line="300" w:lineRule="auto" w:before="141"/>
        <w:ind w:left="1494" w:right="0"/>
        <w:jc w:val="left"/>
      </w:pPr>
      <w:r>
        <w:rPr>
          <w:rFonts w:ascii="Times New Roman" w:hAnsi="Times New Roman" w:cs="Times New Roman" w:eastAsia="Times New Roman" w:hint="default"/>
        </w:rPr>
        <w:t>1</w:t>
      </w:r>
      <w:r>
        <w:rPr/>
        <w:t>、智慧医疗、健康数据 </w:t>
      </w:r>
      <w:r>
        <w:rPr>
          <w:spacing w:val="-1"/>
        </w:rPr>
        <w:t>从发展阶段上看，当前我国医疗信息化已经走过了以医院成本管理为核心的医院管理信息化（</w:t>
      </w:r>
      <w:r>
        <w:rPr>
          <w:rFonts w:ascii="Times New Roman" w:hAnsi="Times New Roman" w:cs="Times New Roman" w:eastAsia="Times New Roman" w:hint="default"/>
          <w:spacing w:val="-1"/>
        </w:rPr>
        <w:t>HIS</w:t>
      </w:r>
      <w:r>
        <w:rPr>
          <w:spacing w:val="-1"/>
        </w:rPr>
        <w:t>）阶段，进入到以医</w:t>
      </w:r>
    </w:p>
    <w:p>
      <w:pPr>
        <w:pStyle w:val="BodyText"/>
        <w:spacing w:line="240" w:lineRule="auto" w:before="13"/>
        <w:ind w:left="1133" w:right="0"/>
        <w:jc w:val="both"/>
      </w:pPr>
      <w:r>
        <w:rPr/>
        <w:t>疗质量管理为核心的临床管理信息化阶段（</w:t>
      </w:r>
      <w:r>
        <w:rPr>
          <w:rFonts w:ascii="Times New Roman" w:hAnsi="Times New Roman" w:cs="Times New Roman" w:eastAsia="Times New Roman" w:hint="default"/>
        </w:rPr>
        <w:t>CIS</w:t>
      </w:r>
      <w:r>
        <w:rPr/>
        <w:t>）以及以临床业务整合为核心的区域医疗信息化阶段。</w:t>
      </w:r>
    </w:p>
    <w:p>
      <w:pPr>
        <w:spacing w:line="240" w:lineRule="auto" w:before="11"/>
        <w:rPr>
          <w:rFonts w:ascii="宋体" w:hAnsi="宋体" w:cs="宋体" w:eastAsia="宋体" w:hint="default"/>
          <w:sz w:val="16"/>
          <w:szCs w:val="16"/>
        </w:rPr>
      </w:pPr>
    </w:p>
    <w:p>
      <w:pPr>
        <w:spacing w:line="5049" w:lineRule="exact"/>
        <w:ind w:left="1991" w:right="0" w:firstLine="0"/>
        <w:rPr>
          <w:rFonts w:ascii="宋体" w:hAnsi="宋体" w:cs="宋体" w:eastAsia="宋体" w:hint="default"/>
          <w:sz w:val="20"/>
          <w:szCs w:val="20"/>
        </w:rPr>
      </w:pPr>
      <w:r>
        <w:rPr>
          <w:rFonts w:ascii="宋体" w:hAnsi="宋体" w:cs="宋体" w:eastAsia="宋体" w:hint="default"/>
          <w:position w:val="-100"/>
          <w:sz w:val="20"/>
          <w:szCs w:val="20"/>
        </w:rPr>
        <w:drawing>
          <wp:inline distT="0" distB="0" distL="0" distR="0">
            <wp:extent cx="5031104" cy="3206115"/>
            <wp:effectExtent l="0" t="0" r="0" b="0"/>
            <wp:docPr id="5" name="image5.jpeg" descr=""/>
            <wp:cNvGraphicFramePr>
              <a:graphicFrameLocks noChangeAspect="1"/>
            </wp:cNvGraphicFramePr>
            <a:graphic>
              <a:graphicData uri="http://schemas.openxmlformats.org/drawingml/2006/picture">
                <pic:pic>
                  <pic:nvPicPr>
                    <pic:cNvPr id="6" name="image5.jpeg"/>
                    <pic:cNvPicPr/>
                  </pic:nvPicPr>
                  <pic:blipFill>
                    <a:blip r:embed="rId16" cstate="print"/>
                    <a:stretch>
                      <a:fillRect/>
                    </a:stretch>
                  </pic:blipFill>
                  <pic:spPr>
                    <a:xfrm>
                      <a:off x="0" y="0"/>
                      <a:ext cx="5031104" cy="3206115"/>
                    </a:xfrm>
                    <a:prstGeom prst="rect">
                      <a:avLst/>
                    </a:prstGeom>
                  </pic:spPr>
                </pic:pic>
              </a:graphicData>
            </a:graphic>
          </wp:inline>
        </w:drawing>
      </w:r>
      <w:r>
        <w:rPr>
          <w:rFonts w:ascii="宋体" w:hAnsi="宋体" w:cs="宋体" w:eastAsia="宋体" w:hint="default"/>
          <w:position w:val="-100"/>
          <w:sz w:val="20"/>
          <w:szCs w:val="20"/>
        </w:rPr>
      </w:r>
    </w:p>
    <w:p>
      <w:pPr>
        <w:spacing w:line="240" w:lineRule="auto" w:before="10"/>
        <w:rPr>
          <w:rFonts w:ascii="宋体" w:hAnsi="宋体" w:cs="宋体" w:eastAsia="宋体" w:hint="default"/>
          <w:sz w:val="13"/>
          <w:szCs w:val="13"/>
        </w:rPr>
      </w:pPr>
    </w:p>
    <w:p>
      <w:pPr>
        <w:pStyle w:val="BodyText"/>
        <w:spacing w:line="338" w:lineRule="auto"/>
        <w:ind w:left="1493" w:right="0" w:firstLine="2449"/>
        <w:jc w:val="left"/>
      </w:pPr>
      <w:r>
        <w:rPr/>
        <w:t>图</w:t>
      </w:r>
      <w:r>
        <w:rPr>
          <w:rFonts w:ascii="Times New Roman" w:hAnsi="Times New Roman" w:cs="Times New Roman" w:eastAsia="Times New Roman" w:hint="default"/>
        </w:rPr>
        <w:t>-</w:t>
      </w:r>
      <w:r>
        <w:rPr/>
        <w:t>荣科科技主打的临床信息化产品目前渗透率较低 </w:t>
      </w:r>
      <w:r>
        <w:rPr>
          <w:spacing w:val="-4"/>
        </w:rPr>
        <w:t>当前国内医技科室信息化应用如</w:t>
      </w:r>
      <w:r>
        <w:rPr>
          <w:rFonts w:ascii="Times New Roman" w:hAnsi="Times New Roman" w:cs="Times New Roman" w:eastAsia="Times New Roman" w:hint="default"/>
          <w:spacing w:val="-4"/>
        </w:rPr>
        <w:t>PACS</w:t>
      </w:r>
      <w:r>
        <w:rPr>
          <w:spacing w:val="-4"/>
        </w:rPr>
        <w:t>、超声影像系统、</w:t>
      </w:r>
      <w:r>
        <w:rPr>
          <w:rFonts w:ascii="Times New Roman" w:hAnsi="Times New Roman" w:cs="Times New Roman" w:eastAsia="Times New Roman" w:hint="default"/>
          <w:spacing w:val="-4"/>
        </w:rPr>
        <w:t>LIS</w:t>
      </w:r>
      <w:r>
        <w:rPr>
          <w:spacing w:val="-4"/>
        </w:rPr>
        <w:t>（实验室信息系统）等系统渗透率相对较高，竞争也很激烈，</w:t>
      </w:r>
    </w:p>
    <w:p>
      <w:pPr>
        <w:pStyle w:val="BodyText"/>
        <w:spacing w:line="230" w:lineRule="exact"/>
        <w:ind w:left="1133" w:right="0"/>
        <w:jc w:val="both"/>
      </w:pPr>
      <w:r>
        <w:rPr/>
        <w:t>当前该领域已处于饱和状态。以</w:t>
      </w:r>
      <w:r>
        <w:rPr>
          <w:rFonts w:ascii="Times New Roman" w:hAnsi="Times New Roman" w:cs="Times New Roman" w:eastAsia="Times New Roman" w:hint="default"/>
        </w:rPr>
        <w:t>PACS</w:t>
      </w:r>
      <w:r>
        <w:rPr/>
        <w:t>为例，根据</w:t>
      </w:r>
      <w:r>
        <w:rPr>
          <w:rFonts w:ascii="Times New Roman" w:hAnsi="Times New Roman" w:cs="Times New Roman" w:eastAsia="Times New Roman" w:hint="default"/>
        </w:rPr>
        <w:t>2012</w:t>
      </w:r>
      <w:r>
        <w:rPr/>
        <w:t>年的数据，我国共有</w:t>
      </w:r>
      <w:r>
        <w:rPr>
          <w:rFonts w:ascii="Times New Roman" w:hAnsi="Times New Roman" w:cs="Times New Roman" w:eastAsia="Times New Roman" w:hint="default"/>
        </w:rPr>
        <w:t>PACS</w:t>
      </w:r>
      <w:r>
        <w:rPr/>
        <w:t>厂商</w:t>
      </w:r>
      <w:r>
        <w:rPr>
          <w:rFonts w:ascii="Times New Roman" w:hAnsi="Times New Roman" w:cs="Times New Roman" w:eastAsia="Times New Roman" w:hint="default"/>
        </w:rPr>
        <w:t>300</w:t>
      </w:r>
      <w:r>
        <w:rPr/>
        <w:t>多家，包括跨国巨头</w:t>
      </w:r>
      <w:r>
        <w:rPr>
          <w:rFonts w:ascii="Times New Roman" w:hAnsi="Times New Roman" w:cs="Times New Roman" w:eastAsia="Times New Roman" w:hint="default"/>
        </w:rPr>
        <w:t>GE</w:t>
      </w:r>
      <w:r>
        <w:rPr/>
        <w:t>、</w:t>
      </w:r>
      <w:r>
        <w:rPr>
          <w:rFonts w:ascii="Times New Roman" w:hAnsi="Times New Roman" w:cs="Times New Roman" w:eastAsia="Times New Roman" w:hint="default"/>
        </w:rPr>
        <w:t>Philips</w:t>
      </w:r>
      <w:r>
        <w:rPr/>
        <w:t>、</w:t>
      </w:r>
    </w:p>
    <w:p>
      <w:pPr>
        <w:pStyle w:val="BodyText"/>
        <w:spacing w:line="302" w:lineRule="auto" w:before="63"/>
        <w:ind w:left="1133" w:right="1129"/>
        <w:jc w:val="both"/>
      </w:pPr>
      <w:r>
        <w:rPr>
          <w:spacing w:val="-1"/>
          <w:w w:val="99"/>
        </w:rPr>
        <w:t>西门子、锐珂、富士、爱克发等，以及国内厂商如东软、华海等。而真正涉及到核心科室如重症监护（</w:t>
      </w:r>
      <w:r>
        <w:rPr>
          <w:rFonts w:ascii="Times New Roman" w:hAnsi="Times New Roman" w:cs="Times New Roman" w:eastAsia="Times New Roman" w:hint="default"/>
          <w:spacing w:val="-1"/>
          <w:w w:val="99"/>
        </w:rPr>
        <w:t>ICU</w:t>
      </w:r>
      <w:r>
        <w:rPr>
          <w:spacing w:val="-1"/>
          <w:w w:val="99"/>
        </w:rPr>
        <w:t>）、远程医疗、</w:t>
      </w:r>
      <w:r>
        <w:rPr>
          <w:spacing w:val="-76"/>
          <w:w w:val="99"/>
        </w:rPr>
        <w:t> </w:t>
      </w:r>
      <w:r>
        <w:rPr>
          <w:spacing w:val="-76"/>
          <w:w w:val="99"/>
        </w:rPr>
      </w:r>
      <w:r>
        <w:rPr/>
        <w:t>急诊、手术麻醉等的信息化渗透率却相对较低，这正是荣科当前重点攻坚的细分领域。</w:t>
      </w:r>
    </w:p>
    <w:p>
      <w:pPr>
        <w:pStyle w:val="BodyText"/>
        <w:spacing w:line="316" w:lineRule="auto" w:before="69"/>
        <w:ind w:left="1133" w:right="0" w:firstLine="360"/>
        <w:jc w:val="left"/>
      </w:pPr>
      <w:r>
        <w:rPr>
          <w:spacing w:val="-2"/>
        </w:rPr>
        <w:t>公司临床信息化产品已处于行业领先地位。由于荣科所处的重症监护、急诊、护理等领域信息化渗透率较低，目前相关</w:t>
      </w:r>
      <w:r>
        <w:rPr/>
        <w:t> </w:t>
      </w:r>
      <w:r>
        <w:rPr>
          <w:spacing w:val="-4"/>
        </w:rPr>
        <w:t>供应商规模都相对较小，很多厂商处在产品研发阶段或产品试推广阶段，只有在手术麻醉领域有麦迪斯顿这样深耕时间较长、</w:t>
      </w:r>
      <w:r>
        <w:rPr>
          <w:spacing w:val="-44"/>
        </w:rPr>
        <w:t> </w:t>
      </w:r>
      <w:r>
        <w:rPr>
          <w:spacing w:val="-44"/>
        </w:rPr>
      </w:r>
      <w:r>
        <w:rPr>
          <w:spacing w:val="-2"/>
        </w:rPr>
        <w:t>规模较大的厂商。相比而言，荣科和上海米健已拥有成熟的产品，并实现了在众多顶级三甲医院的落地上线，已占据了行业</w:t>
      </w:r>
    </w:p>
    <w:p>
      <w:pPr>
        <w:spacing w:after="0" w:line="316" w:lineRule="auto"/>
        <w:jc w:val="left"/>
        <w:sectPr>
          <w:pgSz w:w="11910" w:h="16840"/>
          <w:pgMar w:header="566" w:footer="979" w:top="1360" w:bottom="1160" w:left="0" w:right="0"/>
        </w:sectPr>
      </w:pPr>
    </w:p>
    <w:p>
      <w:pPr>
        <w:pStyle w:val="BodyText"/>
        <w:spacing w:line="240" w:lineRule="auto" w:before="82"/>
        <w:ind w:right="0"/>
        <w:jc w:val="left"/>
      </w:pPr>
      <w:r>
        <w:rPr/>
        <w:t>领先地位。</w:t>
      </w:r>
    </w:p>
    <w:p>
      <w:pPr>
        <w:pStyle w:val="BodyText"/>
        <w:spacing w:line="309" w:lineRule="auto" w:before="115"/>
        <w:ind w:left="1133" w:right="1130" w:firstLine="420"/>
        <w:jc w:val="both"/>
      </w:pPr>
      <w:r>
        <w:rPr/>
        <w:t>公司已拥有众多顶级三甲医院的标杆客户，未来有望向更多客户拓展。当前荣科主打的临床信息化产品以及数据平台 级产品已在北大人民医院、沈阳军区总医院、</w:t>
      </w:r>
      <w:r>
        <w:rPr>
          <w:rFonts w:ascii="Times New Roman" w:hAnsi="Times New Roman" w:cs="Times New Roman" w:eastAsia="Times New Roman" w:hint="default"/>
        </w:rPr>
        <w:t>301</w:t>
      </w:r>
      <w:r>
        <w:rPr/>
        <w:t>医院等多个全国顶级三甲医院上线，这是对公司产品先进性和创新性的最</w:t>
      </w:r>
      <w:r>
        <w:rPr>
          <w:spacing w:val="-83"/>
        </w:rPr>
        <w:t> </w:t>
      </w:r>
      <w:r>
        <w:rPr>
          <w:spacing w:val="-83"/>
        </w:rPr>
      </w:r>
      <w:r>
        <w:rPr/>
        <w:t>好证明。未来公司有望通过标杆客户的示范效应将产品推广到更多的医院中去。</w:t>
      </w:r>
    </w:p>
    <w:p>
      <w:pPr>
        <w:pStyle w:val="BodyText"/>
        <w:spacing w:line="319" w:lineRule="auto" w:before="64"/>
        <w:ind w:left="1133" w:right="1133" w:firstLine="420"/>
        <w:jc w:val="both"/>
      </w:pPr>
      <w:r>
        <w:rPr/>
        <w:t>除围绕临床医疗信息化产品及数据平台级产品不断丰富产品线及拓展客户外，公司还积极探索新型健康服务模式，创 新健康大数据</w:t>
      </w:r>
      <w:r>
        <w:rPr>
          <w:rFonts w:ascii="Times New Roman" w:hAnsi="Times New Roman" w:cs="Times New Roman" w:eastAsia="Times New Roman" w:hint="default"/>
        </w:rPr>
        <w:t>O2O</w:t>
      </w:r>
      <w:r>
        <w:rPr/>
        <w:t>平台模式，以期成为社区云健康服务的先行者。</w:t>
      </w:r>
    </w:p>
    <w:p>
      <w:pPr>
        <w:pStyle w:val="BodyText"/>
        <w:spacing w:line="312" w:lineRule="auto" w:before="35"/>
        <w:ind w:right="1129" w:firstLine="420"/>
        <w:jc w:val="both"/>
      </w:pPr>
      <w:r>
        <w:rPr/>
        <w:t>荣科健康大数据</w:t>
      </w:r>
      <w:r>
        <w:rPr>
          <w:rFonts w:ascii="Times New Roman" w:hAnsi="Times New Roman" w:cs="Times New Roman" w:eastAsia="Times New Roman" w:hint="default"/>
        </w:rPr>
        <w:t>O2O</w:t>
      </w:r>
      <w:r>
        <w:rPr/>
        <w:t>平台旨在探索个性化诊疗创新服务模式和运营机制，构建健康服务产业生态系统。因此需要突破</w:t>
      </w:r>
      <w:r>
        <w:rPr>
          <w:spacing w:val="1"/>
        </w:rPr>
        <w:t> </w:t>
      </w:r>
      <w:r>
        <w:rPr>
          <w:spacing w:val="-2"/>
        </w:rPr>
        <w:t>基于大数据的个性化诊疗、健康评估等关键技术，构建基于第三方数据管理服务的大数据综合健康服务平台，对接区域医疗</w:t>
      </w:r>
      <w:r>
        <w:rPr>
          <w:spacing w:val="-66"/>
        </w:rPr>
        <w:t> </w:t>
      </w:r>
      <w:r>
        <w:rPr>
          <w:spacing w:val="-66"/>
        </w:rPr>
      </w:r>
      <w:r>
        <w:rPr>
          <w:spacing w:val="-2"/>
        </w:rPr>
        <w:t>信息平台、第三方检验影像、主动医疗服务以及新农合等已有医疗服务资源，探索综合健康服务平台及个性化诊疗服务新服</w:t>
      </w:r>
      <w:r>
        <w:rPr>
          <w:spacing w:val="-65"/>
        </w:rPr>
        <w:t> </w:t>
      </w:r>
      <w:r>
        <w:rPr>
          <w:spacing w:val="-65"/>
        </w:rPr>
      </w:r>
      <w:r>
        <w:rPr/>
        <w:t>务模式和运营机制。</w:t>
      </w:r>
    </w:p>
    <w:p>
      <w:pPr>
        <w:pStyle w:val="BodyText"/>
        <w:spacing w:line="309" w:lineRule="auto" w:before="61"/>
        <w:ind w:right="1132" w:firstLine="420"/>
        <w:jc w:val="both"/>
      </w:pPr>
      <w:r>
        <w:rPr/>
        <w:t>健康管理是一个极其复杂庞大的生态系统，需要各方资源的配合及我国居民为服务付费意识的培养。一方面需要突破 </w:t>
      </w:r>
      <w:r>
        <w:rPr>
          <w:spacing w:val="-2"/>
        </w:rPr>
        <w:t>健康大数据</w:t>
      </w:r>
      <w:r>
        <w:rPr>
          <w:rFonts w:ascii="Times New Roman" w:hAnsi="Times New Roman" w:cs="Times New Roman" w:eastAsia="Times New Roman" w:hint="default"/>
          <w:spacing w:val="-2"/>
        </w:rPr>
        <w:t>O2O</w:t>
      </w:r>
      <w:r>
        <w:rPr>
          <w:spacing w:val="-2"/>
        </w:rPr>
        <w:t>平台的数据整理、分析及挖掘难题；一方面整合硬件厂商提高前端监测设备的灵敏性、准确性及便捷性；同</w:t>
      </w:r>
      <w:r>
        <w:rPr>
          <w:spacing w:val="-53"/>
        </w:rPr>
        <w:t> </w:t>
      </w:r>
      <w:r>
        <w:rPr>
          <w:spacing w:val="-53"/>
        </w:rPr>
      </w:r>
      <w:r>
        <w:rPr/>
        <w:t>时探索切实有效的面向社区居民、企业、个人健康管理的收费模式。</w:t>
      </w:r>
    </w:p>
    <w:p>
      <w:pPr>
        <w:pStyle w:val="BodyText"/>
        <w:spacing w:line="240" w:lineRule="auto" w:before="65"/>
        <w:ind w:left="1554" w:right="0"/>
        <w:jc w:val="left"/>
      </w:pPr>
      <w:r>
        <w:rPr/>
        <w:t>目前，健康管理和健康大数据尚处在发展阶段，国家对此连续出台了多项政策，市场有待爆发。</w:t>
      </w:r>
    </w:p>
    <w:p>
      <w:pPr>
        <w:pStyle w:val="BodyText"/>
        <w:spacing w:line="300" w:lineRule="auto" w:before="115"/>
        <w:ind w:left="1494" w:right="0"/>
        <w:jc w:val="left"/>
      </w:pPr>
      <w:r>
        <w:rPr>
          <w:rFonts w:ascii="Times New Roman" w:hAnsi="Times New Roman" w:cs="Times New Roman" w:eastAsia="Times New Roman" w:hint="default"/>
        </w:rPr>
        <w:t>2</w:t>
      </w:r>
      <w:r>
        <w:rPr/>
        <w:t>、智能融合云服务 </w:t>
      </w:r>
      <w:r>
        <w:rPr>
          <w:spacing w:val="-2"/>
        </w:rPr>
        <w:t>移动互联网的来临，物联网、人工智能、大数据、云计算等新的技术层出不穷。云服务和云运营将是一个商业模式、厂</w:t>
      </w:r>
    </w:p>
    <w:p>
      <w:pPr>
        <w:pStyle w:val="BodyText"/>
        <w:spacing w:line="316" w:lineRule="auto" w:before="31"/>
        <w:ind w:right="0"/>
        <w:jc w:val="left"/>
      </w:pPr>
      <w:r>
        <w:rPr>
          <w:spacing w:val="-2"/>
        </w:rPr>
        <w:t>商细分、项目交付的转折点。政府的供给侧改革、效率和安全等因素也必然会促进云服务和云运营大规模应用，也将带动荣</w:t>
      </w:r>
      <w:r>
        <w:rPr>
          <w:spacing w:val="-66"/>
        </w:rPr>
        <w:t> </w:t>
      </w:r>
      <w:r>
        <w:rPr>
          <w:spacing w:val="-66"/>
        </w:rPr>
      </w:r>
      <w:r>
        <w:rPr/>
        <w:t>科科技进入一个新的高度。</w:t>
      </w:r>
    </w:p>
    <w:p>
      <w:pPr>
        <w:pStyle w:val="BodyText"/>
        <w:spacing w:line="316" w:lineRule="auto" w:before="19"/>
        <w:ind w:right="1131" w:firstLine="360"/>
        <w:jc w:val="both"/>
      </w:pPr>
      <w:r>
        <w:rPr>
          <w:spacing w:val="-2"/>
        </w:rPr>
        <w:t>智能融合云提供的云服务和云运营两种核心服务，将依托融合云平台和大数据技术，主要是为医疗、教育、金融等关键</w:t>
      </w:r>
      <w:r>
        <w:rPr/>
        <w:t> </w:t>
      </w:r>
      <w:r>
        <w:rPr>
          <w:spacing w:val="-2"/>
        </w:rPr>
        <w:t>行业客户提供专业化、标准化和互联网化的服务。公司具有十年区域行业客户的丰富经验，使公司能够在面对先进技术（云</w:t>
      </w:r>
      <w:r>
        <w:rPr>
          <w:spacing w:val="-66"/>
        </w:rPr>
        <w:t> </w:t>
      </w:r>
      <w:r>
        <w:rPr>
          <w:spacing w:val="-66"/>
        </w:rPr>
      </w:r>
      <w:r>
        <w:rPr/>
        <w:t>服务、大数据和人工智能等）的时候能够做出更好的选择，以满足并引导客户需求。</w:t>
      </w:r>
    </w:p>
    <w:p>
      <w:pPr>
        <w:pStyle w:val="BodyText"/>
        <w:spacing w:line="309" w:lineRule="auto" w:before="19"/>
        <w:ind w:left="1133" w:right="1131" w:firstLine="360"/>
        <w:jc w:val="both"/>
      </w:pPr>
      <w:r>
        <w:rPr>
          <w:spacing w:val="-2"/>
        </w:rPr>
        <w:t>公司智能融合云经过多年的发展，获得区域内良好的口碑和客户认可。在区域经济整体放缓的情况下，报告期内公司智</w:t>
      </w:r>
      <w:r>
        <w:rPr/>
        <w:t> </w:t>
      </w:r>
      <w:r>
        <w:rPr>
          <w:spacing w:val="-2"/>
        </w:rPr>
        <w:t>能融合云签约创历史新高。目前，智能融合云在东北区域</w:t>
      </w:r>
      <w:r>
        <w:rPr>
          <w:rFonts w:ascii="Times New Roman" w:hAnsi="Times New Roman" w:cs="Times New Roman" w:eastAsia="Times New Roman" w:hint="default"/>
          <w:spacing w:val="-2"/>
        </w:rPr>
        <w:t>IT</w:t>
      </w:r>
      <w:r>
        <w:rPr>
          <w:spacing w:val="-2"/>
        </w:rPr>
        <w:t>服务市场占有率第一，并力争成为医疗、教育、金融等细分行业</w:t>
      </w:r>
      <w:r>
        <w:rPr>
          <w:spacing w:val="-55"/>
        </w:rPr>
        <w:t> </w:t>
      </w:r>
      <w:r>
        <w:rPr>
          <w:spacing w:val="-55"/>
        </w:rPr>
      </w:r>
      <w:r>
        <w:rPr/>
        <w:t>智能融合云领域的领导者。</w:t>
      </w:r>
    </w:p>
    <w:p>
      <w:pPr>
        <w:spacing w:line="240" w:lineRule="auto" w:before="2"/>
        <w:rPr>
          <w:rFonts w:ascii="宋体" w:hAnsi="宋体" w:cs="宋体" w:eastAsia="宋体" w:hint="default"/>
          <w:sz w:val="21"/>
          <w:szCs w:val="21"/>
        </w:rPr>
      </w:pPr>
    </w:p>
    <w:p>
      <w:pPr>
        <w:pStyle w:val="Heading2"/>
        <w:spacing w:line="240" w:lineRule="auto"/>
        <w:ind w:right="0"/>
        <w:jc w:val="left"/>
        <w:rPr>
          <w:b w:val="0"/>
          <w:bCs w:val="0"/>
        </w:rPr>
      </w:pPr>
      <w:bookmarkStart w:name="二、主要资产重大变化情况" w:id="20"/>
      <w:bookmarkEnd w:id="20"/>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主要资产重大变化情况" w:id="21"/>
      <w:bookmarkEnd w:id="21"/>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01" w:type="dxa"/>
        <w:tblLayout w:type="fixed"/>
        <w:tblCellMar>
          <w:top w:w="0" w:type="dxa"/>
          <w:left w:w="0" w:type="dxa"/>
          <w:bottom w:w="0" w:type="dxa"/>
          <w:right w:w="0" w:type="dxa"/>
        </w:tblCellMar>
        <w:tblLook w:val="01E0"/>
      </w:tblPr>
      <w:tblGrid>
        <w:gridCol w:w="1560"/>
        <w:gridCol w:w="8008"/>
      </w:tblGrid>
      <w:tr>
        <w:trPr>
          <w:trHeight w:val="76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8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634" w:hRule="exact"/>
        </w:trPr>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股权资产</w:t>
            </w:r>
          </w:p>
        </w:tc>
        <w:tc>
          <w:tcPr>
            <w:tcW w:w="800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报告期内，本公司以货币资金</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12,750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万元受让上海米健信息技术有限公司</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股权，具体信息详见本 报告第十节、八、</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固定资产</w:t>
            </w:r>
          </w:p>
        </w:tc>
        <w:tc>
          <w:tcPr>
            <w:tcW w:w="800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固定资产期末余额较期初余额减少</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20,566,263.84</w:t>
            </w:r>
            <w:r>
              <w:rPr>
                <w:rFonts w:ascii="Times New Roman" w:hAnsi="Times New Roman" w:cs="Times New Roman" w:eastAsia="Times New Roman" w:hint="default"/>
                <w:spacing w:val="-13"/>
                <w:sz w:val="18"/>
                <w:szCs w:val="18"/>
              </w:rPr>
              <w:t> </w:t>
            </w:r>
            <w:r>
              <w:rPr>
                <w:rFonts w:ascii="宋体" w:hAnsi="宋体" w:cs="宋体" w:eastAsia="宋体" w:hint="default"/>
                <w:spacing w:val="-9"/>
                <w:sz w:val="18"/>
                <w:szCs w:val="18"/>
              </w:rPr>
              <w:t>元，降幅</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23.49%</w:t>
            </w:r>
            <w:r>
              <w:rPr>
                <w:rFonts w:ascii="宋体" w:hAnsi="宋体" w:cs="宋体" w:eastAsia="宋体" w:hint="default"/>
                <w:sz w:val="18"/>
                <w:szCs w:val="18"/>
              </w:rPr>
              <w:t>，主要系公司本报告期内研发中心及 综合办公楼改造转入在建工程所致。</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无形资产</w:t>
            </w:r>
          </w:p>
        </w:tc>
        <w:tc>
          <w:tcPr>
            <w:tcW w:w="800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40"/>
              <w:jc w:val="left"/>
              <w:rPr>
                <w:rFonts w:ascii="宋体" w:hAnsi="宋体" w:cs="宋体" w:eastAsia="宋体" w:hint="default"/>
                <w:sz w:val="18"/>
                <w:szCs w:val="18"/>
              </w:rPr>
            </w:pPr>
            <w:r>
              <w:rPr>
                <w:rFonts w:ascii="宋体" w:hAnsi="宋体" w:cs="宋体" w:eastAsia="宋体" w:hint="default"/>
                <w:sz w:val="18"/>
                <w:szCs w:val="18"/>
              </w:rPr>
              <w:t>无形资产期末余额较期初余额增加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5,690,283.30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元，增幅</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30.25%</w:t>
            </w:r>
            <w:r>
              <w:rPr>
                <w:rFonts w:ascii="宋体" w:hAnsi="宋体" w:cs="宋体" w:eastAsia="宋体" w:hint="default"/>
                <w:sz w:val="18"/>
                <w:szCs w:val="18"/>
              </w:rPr>
              <w:t>，主要系公司本报告期内因收购子公 司而合并的无形资产增加所致。</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在建工程</w:t>
            </w:r>
          </w:p>
        </w:tc>
        <w:tc>
          <w:tcPr>
            <w:tcW w:w="800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40"/>
              <w:jc w:val="left"/>
              <w:rPr>
                <w:rFonts w:ascii="宋体" w:hAnsi="宋体" w:cs="宋体" w:eastAsia="宋体" w:hint="default"/>
                <w:sz w:val="18"/>
                <w:szCs w:val="18"/>
              </w:rPr>
            </w:pPr>
            <w:r>
              <w:rPr>
                <w:rFonts w:ascii="宋体" w:hAnsi="宋体" w:cs="宋体" w:eastAsia="宋体" w:hint="default"/>
                <w:sz w:val="18"/>
                <w:szCs w:val="18"/>
              </w:rPr>
              <w:t>在建工程期末余额较期初余额增加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30,075,558.32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元，增幅</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100.00%</w:t>
            </w:r>
            <w:r>
              <w:rPr>
                <w:rFonts w:ascii="宋体" w:hAnsi="宋体" w:cs="宋体" w:eastAsia="宋体" w:hint="default"/>
                <w:sz w:val="18"/>
                <w:szCs w:val="18"/>
              </w:rPr>
              <w:t>，主要系公司本报告期内实施研发 中心及综合办公楼建设项目所致。</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800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货币资金期末余额较期初余额增加</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178,077,348.85</w:t>
            </w:r>
            <w:r>
              <w:rPr>
                <w:rFonts w:ascii="Times New Roman" w:hAnsi="Times New Roman" w:cs="Times New Roman" w:eastAsia="Times New Roman" w:hint="default"/>
                <w:spacing w:val="-12"/>
                <w:sz w:val="18"/>
                <w:szCs w:val="18"/>
              </w:rPr>
              <w:t> </w:t>
            </w:r>
            <w:r>
              <w:rPr>
                <w:rFonts w:ascii="宋体" w:hAnsi="宋体" w:cs="宋体" w:eastAsia="宋体" w:hint="default"/>
                <w:spacing w:val="-9"/>
                <w:sz w:val="18"/>
                <w:szCs w:val="18"/>
              </w:rPr>
              <w:t>元，增幅</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128.75%</w:t>
            </w:r>
            <w:r>
              <w:rPr>
                <w:rFonts w:ascii="宋体" w:hAnsi="宋体" w:cs="宋体" w:eastAsia="宋体" w:hint="default"/>
                <w:sz w:val="18"/>
                <w:szCs w:val="18"/>
              </w:rPr>
              <w:t>，主要系本公司于报告期非公开发 行股票募集资金所致。</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8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18"/>
                <w:szCs w:val="18"/>
              </w:rPr>
            </w:pPr>
            <w:r>
              <w:rPr>
                <w:rFonts w:ascii="宋体" w:hAnsi="宋体" w:cs="宋体" w:eastAsia="宋体" w:hint="default"/>
                <w:sz w:val="18"/>
                <w:szCs w:val="18"/>
              </w:rPr>
              <w:t>应收账款期末账面价值较期初账面价值增加</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92,451,710.85</w:t>
            </w:r>
            <w:r>
              <w:rPr>
                <w:rFonts w:ascii="Times New Roman" w:hAnsi="Times New Roman" w:cs="Times New Roman" w:eastAsia="Times New Roman" w:hint="default"/>
                <w:spacing w:val="-13"/>
                <w:sz w:val="18"/>
                <w:szCs w:val="18"/>
              </w:rPr>
              <w:t> </w:t>
            </w:r>
            <w:r>
              <w:rPr>
                <w:rFonts w:ascii="宋体" w:hAnsi="宋体" w:cs="宋体" w:eastAsia="宋体" w:hint="default"/>
                <w:spacing w:val="-9"/>
                <w:sz w:val="18"/>
                <w:szCs w:val="18"/>
              </w:rPr>
              <w:t>元，增幅</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28.40%</w:t>
            </w:r>
            <w:r>
              <w:rPr>
                <w:rFonts w:ascii="宋体" w:hAnsi="宋体" w:cs="宋体" w:eastAsia="宋体" w:hint="default"/>
                <w:sz w:val="18"/>
                <w:szCs w:val="18"/>
              </w:rPr>
              <w:t>，主要系公司本报告期业务</w:t>
            </w:r>
          </w:p>
        </w:tc>
      </w:tr>
    </w:tbl>
    <w:p>
      <w:pPr>
        <w:spacing w:after="0" w:line="240" w:lineRule="auto"/>
        <w:jc w:val="center"/>
        <w:rPr>
          <w:rFonts w:ascii="宋体" w:hAnsi="宋体" w:cs="宋体" w:eastAsia="宋体" w:hint="default"/>
          <w:sz w:val="18"/>
          <w:szCs w:val="18"/>
        </w:rPr>
        <w:sectPr>
          <w:pgSz w:w="11910" w:h="16840"/>
          <w:pgMar w:header="566" w:footer="979" w:top="1360" w:bottom="1160" w:left="0" w:right="0"/>
        </w:sectPr>
      </w:pPr>
    </w:p>
    <w:p>
      <w:pPr>
        <w:spacing w:line="240" w:lineRule="auto" w:before="6"/>
        <w:rPr>
          <w:rFonts w:ascii="宋体" w:hAnsi="宋体" w:cs="宋体" w:eastAsia="宋体" w:hint="default"/>
          <w:b/>
          <w:bCs/>
          <w:sz w:val="5"/>
          <w:szCs w:val="5"/>
        </w:rPr>
      </w:pPr>
    </w:p>
    <w:tbl>
      <w:tblPr>
        <w:tblW w:w="0" w:type="auto"/>
        <w:jc w:val="left"/>
        <w:tblInd w:w="1101" w:type="dxa"/>
        <w:tblLayout w:type="fixed"/>
        <w:tblCellMar>
          <w:top w:w="0" w:type="dxa"/>
          <w:left w:w="0" w:type="dxa"/>
          <w:bottom w:w="0" w:type="dxa"/>
          <w:right w:w="0" w:type="dxa"/>
        </w:tblCellMar>
        <w:tblLook w:val="01E0"/>
      </w:tblPr>
      <w:tblGrid>
        <w:gridCol w:w="1560"/>
        <w:gridCol w:w="8008"/>
      </w:tblGrid>
      <w:tr>
        <w:trPr>
          <w:trHeight w:val="362" w:hRule="exact"/>
        </w:trPr>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8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规模扩大所致。</w:t>
            </w: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商誉</w:t>
            </w:r>
          </w:p>
        </w:tc>
        <w:tc>
          <w:tcPr>
            <w:tcW w:w="800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商誉期末余额较期初余额增加</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126,125,037.69</w:t>
            </w:r>
            <w:r>
              <w:rPr>
                <w:rFonts w:ascii="Times New Roman" w:hAnsi="Times New Roman" w:cs="Times New Roman" w:eastAsia="Times New Roman" w:hint="default"/>
                <w:spacing w:val="-6"/>
                <w:sz w:val="18"/>
                <w:szCs w:val="18"/>
              </w:rPr>
              <w:t> </w:t>
            </w:r>
            <w:r>
              <w:rPr>
                <w:rFonts w:ascii="宋体" w:hAnsi="宋体" w:cs="宋体" w:eastAsia="宋体" w:hint="default"/>
                <w:spacing w:val="-4"/>
                <w:sz w:val="18"/>
                <w:szCs w:val="18"/>
              </w:rPr>
              <w:t>元，增幅</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1,463.78%</w:t>
            </w:r>
            <w:r>
              <w:rPr>
                <w:rFonts w:ascii="宋体" w:hAnsi="宋体" w:cs="宋体" w:eastAsia="宋体" w:hint="default"/>
                <w:sz w:val="18"/>
                <w:szCs w:val="18"/>
              </w:rPr>
              <w:t>，主要系本公司收购上海米健信息技 术有限公司</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51.00%</w:t>
            </w:r>
            <w:r>
              <w:rPr>
                <w:rFonts w:ascii="宋体" w:hAnsi="宋体" w:cs="宋体" w:eastAsia="宋体" w:hint="default"/>
                <w:sz w:val="18"/>
                <w:szCs w:val="18"/>
              </w:rPr>
              <w:t>股权，公司按非同一控制下的企业合并将合并成本与确认的被收购方可辨认净资产 公允价值份额之间的差额确认为商誉所致。</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主要境外资产情况" w:id="22"/>
      <w:bookmarkEnd w:id="22"/>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核心竞争力分析" w:id="23"/>
      <w:bookmarkEnd w:id="23"/>
      <w:r>
        <w:rPr>
          <w:b w:val="0"/>
          <w:bCs w:val="0"/>
        </w:rPr>
      </w:r>
      <w:r>
        <w:rPr/>
        <w:t>三、核心竞争力分析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0"/>
        <w:jc w:val="left"/>
      </w:pPr>
      <w:r>
        <w:rPr/>
        <w:t>报告期内，公司新增软件著作权</w:t>
      </w:r>
      <w:r>
        <w:rPr>
          <w:rFonts w:ascii="Times New Roman" w:hAnsi="Times New Roman" w:cs="Times New Roman" w:eastAsia="Times New Roman" w:hint="default"/>
        </w:rPr>
        <w:t>5</w:t>
      </w:r>
      <w:r>
        <w:rPr/>
        <w:t>项，具体情况如下：</w:t>
      </w:r>
    </w:p>
    <w:p>
      <w:pPr>
        <w:spacing w:line="240" w:lineRule="auto" w:before="13"/>
        <w:rPr>
          <w:rFonts w:ascii="宋体" w:hAnsi="宋体" w:cs="宋体" w:eastAsia="宋体" w:hint="default"/>
          <w:sz w:val="3"/>
          <w:szCs w:val="3"/>
        </w:rPr>
      </w:pPr>
    </w:p>
    <w:tbl>
      <w:tblPr>
        <w:tblW w:w="0" w:type="auto"/>
        <w:jc w:val="left"/>
        <w:tblInd w:w="1126" w:type="dxa"/>
        <w:tblLayout w:type="fixed"/>
        <w:tblCellMar>
          <w:top w:w="0" w:type="dxa"/>
          <w:left w:w="0" w:type="dxa"/>
          <w:bottom w:w="0" w:type="dxa"/>
          <w:right w:w="0" w:type="dxa"/>
        </w:tblCellMar>
        <w:tblLook w:val="01E0"/>
      </w:tblPr>
      <w:tblGrid>
        <w:gridCol w:w="688"/>
        <w:gridCol w:w="3230"/>
        <w:gridCol w:w="2760"/>
        <w:gridCol w:w="1601"/>
      </w:tblGrid>
      <w:tr>
        <w:trPr>
          <w:trHeight w:val="347" w:hRule="exact"/>
        </w:trPr>
        <w:tc>
          <w:tcPr>
            <w:tcW w:w="68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b/>
                <w:bCs/>
                <w:sz w:val="20"/>
                <w:szCs w:val="20"/>
              </w:rPr>
              <w:t>序号</w:t>
            </w:r>
            <w:r>
              <w:rPr>
                <w:rFonts w:ascii="宋体" w:hAnsi="宋体" w:cs="宋体" w:eastAsia="宋体" w:hint="default"/>
                <w:sz w:val="20"/>
                <w:szCs w:val="20"/>
              </w:rPr>
            </w:r>
          </w:p>
        </w:tc>
        <w:tc>
          <w:tcPr>
            <w:tcW w:w="323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b/>
                <w:bCs/>
                <w:sz w:val="20"/>
                <w:szCs w:val="20"/>
              </w:rPr>
              <w:t>证书名称</w:t>
            </w:r>
            <w:r>
              <w:rPr>
                <w:rFonts w:ascii="宋体" w:hAnsi="宋体" w:cs="宋体" w:eastAsia="宋体" w:hint="default"/>
                <w:sz w:val="20"/>
                <w:szCs w:val="20"/>
              </w:rPr>
            </w:r>
          </w:p>
        </w:tc>
        <w:tc>
          <w:tcPr>
            <w:tcW w:w="27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b/>
                <w:bCs/>
                <w:sz w:val="20"/>
                <w:szCs w:val="20"/>
              </w:rPr>
              <w:t>发证机关</w:t>
            </w:r>
            <w:r>
              <w:rPr>
                <w:rFonts w:ascii="宋体" w:hAnsi="宋体" w:cs="宋体" w:eastAsia="宋体" w:hint="default"/>
                <w:sz w:val="20"/>
                <w:szCs w:val="20"/>
              </w:rPr>
            </w:r>
          </w:p>
        </w:tc>
        <w:tc>
          <w:tcPr>
            <w:tcW w:w="16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b/>
                <w:bCs/>
                <w:sz w:val="20"/>
                <w:szCs w:val="20"/>
              </w:rPr>
              <w:t>证书编号</w:t>
            </w:r>
            <w:r>
              <w:rPr>
                <w:rFonts w:ascii="宋体" w:hAnsi="宋体" w:cs="宋体" w:eastAsia="宋体" w:hint="default"/>
                <w:sz w:val="20"/>
                <w:szCs w:val="20"/>
              </w:rPr>
            </w:r>
          </w:p>
        </w:tc>
      </w:tr>
      <w:tr>
        <w:trPr>
          <w:trHeight w:val="347" w:hRule="exact"/>
        </w:trPr>
        <w:tc>
          <w:tcPr>
            <w:tcW w:w="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w w:val="100"/>
                <w:sz w:val="20"/>
              </w:rPr>
              <w:t>1</w:t>
            </w:r>
          </w:p>
        </w:tc>
        <w:tc>
          <w:tcPr>
            <w:tcW w:w="3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荣科移动应急系统</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Times New Roman" w:hAnsi="Times New Roman" w:cs="Times New Roman" w:eastAsia="Times New Roman" w:hint="default"/>
                <w:sz w:val="20"/>
                <w:szCs w:val="20"/>
              </w:rPr>
            </w:pPr>
            <w:r>
              <w:rPr>
                <w:rFonts w:ascii="Times New Roman"/>
                <w:sz w:val="20"/>
              </w:rPr>
              <w:t>2015SR219680</w:t>
            </w:r>
          </w:p>
        </w:tc>
      </w:tr>
      <w:tr>
        <w:trPr>
          <w:trHeight w:val="348" w:hRule="exact"/>
        </w:trPr>
        <w:tc>
          <w:tcPr>
            <w:tcW w:w="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w w:val="100"/>
                <w:sz w:val="20"/>
              </w:rPr>
              <w:t>2</w:t>
            </w:r>
          </w:p>
        </w:tc>
        <w:tc>
          <w:tcPr>
            <w:tcW w:w="3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荣科网络医院系统</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Times New Roman" w:hAnsi="Times New Roman" w:cs="Times New Roman" w:eastAsia="Times New Roman" w:hint="default"/>
                <w:sz w:val="20"/>
                <w:szCs w:val="20"/>
              </w:rPr>
            </w:pPr>
            <w:r>
              <w:rPr>
                <w:rFonts w:ascii="Times New Roman"/>
                <w:sz w:val="20"/>
              </w:rPr>
              <w:t>2015SR219675</w:t>
            </w:r>
          </w:p>
        </w:tc>
      </w:tr>
      <w:tr>
        <w:trPr>
          <w:trHeight w:val="347" w:hRule="exact"/>
        </w:trPr>
        <w:tc>
          <w:tcPr>
            <w:tcW w:w="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Times New Roman" w:hAnsi="Times New Roman" w:cs="Times New Roman" w:eastAsia="Times New Roman" w:hint="default"/>
                <w:sz w:val="20"/>
                <w:szCs w:val="20"/>
              </w:rPr>
            </w:pPr>
            <w:r>
              <w:rPr>
                <w:rFonts w:ascii="Times New Roman"/>
                <w:w w:val="100"/>
                <w:sz w:val="20"/>
              </w:rPr>
              <w:t>3</w:t>
            </w:r>
          </w:p>
        </w:tc>
        <w:tc>
          <w:tcPr>
            <w:tcW w:w="3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荣科医院护理资源规划系统</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Times New Roman" w:hAnsi="Times New Roman" w:cs="Times New Roman" w:eastAsia="Times New Roman" w:hint="default"/>
                <w:sz w:val="20"/>
                <w:szCs w:val="20"/>
              </w:rPr>
            </w:pPr>
            <w:r>
              <w:rPr>
                <w:rFonts w:ascii="Times New Roman"/>
                <w:sz w:val="20"/>
              </w:rPr>
              <w:t>2015SR219672</w:t>
            </w:r>
          </w:p>
        </w:tc>
      </w:tr>
      <w:tr>
        <w:trPr>
          <w:trHeight w:val="347" w:hRule="exact"/>
        </w:trPr>
        <w:tc>
          <w:tcPr>
            <w:tcW w:w="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w w:val="100"/>
                <w:sz w:val="20"/>
              </w:rPr>
              <w:t>4</w:t>
            </w:r>
          </w:p>
        </w:tc>
        <w:tc>
          <w:tcPr>
            <w:tcW w:w="3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荣科智慧社区系统</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Times New Roman" w:hAnsi="Times New Roman" w:cs="Times New Roman" w:eastAsia="Times New Roman" w:hint="default"/>
                <w:sz w:val="20"/>
                <w:szCs w:val="20"/>
              </w:rPr>
            </w:pPr>
            <w:r>
              <w:rPr>
                <w:rFonts w:ascii="Times New Roman"/>
                <w:sz w:val="20"/>
              </w:rPr>
              <w:t>2015SR219806</w:t>
            </w:r>
          </w:p>
        </w:tc>
      </w:tr>
      <w:tr>
        <w:trPr>
          <w:trHeight w:val="348" w:hRule="exact"/>
        </w:trPr>
        <w:tc>
          <w:tcPr>
            <w:tcW w:w="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w w:val="100"/>
                <w:sz w:val="20"/>
              </w:rPr>
              <w:t>5</w:t>
            </w:r>
          </w:p>
        </w:tc>
        <w:tc>
          <w:tcPr>
            <w:tcW w:w="3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荣科数据中心大数据采集系统</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Times New Roman" w:hAnsi="Times New Roman" w:cs="Times New Roman" w:eastAsia="Times New Roman" w:hint="default"/>
                <w:sz w:val="20"/>
                <w:szCs w:val="20"/>
              </w:rPr>
            </w:pPr>
            <w:r>
              <w:rPr>
                <w:rFonts w:ascii="Times New Roman"/>
                <w:sz w:val="20"/>
              </w:rPr>
              <w:t>2015SR272044</w:t>
            </w:r>
          </w:p>
        </w:tc>
      </w:tr>
    </w:tbl>
    <w:p>
      <w:pPr>
        <w:pStyle w:val="BodyText"/>
        <w:spacing w:line="240" w:lineRule="auto" w:before="10"/>
        <w:ind w:right="0"/>
        <w:jc w:val="left"/>
      </w:pPr>
      <w:r>
        <w:rPr/>
        <w:t>上海米健拥有软件著作权</w:t>
      </w:r>
      <w:r>
        <w:rPr>
          <w:rFonts w:ascii="宋体" w:hAnsi="宋体" w:cs="宋体" w:eastAsia="宋体" w:hint="default"/>
        </w:rPr>
        <w:t>19</w:t>
      </w:r>
      <w:r>
        <w:rPr/>
        <w:t>项，具体情况如下：</w:t>
      </w:r>
    </w:p>
    <w:p>
      <w:pPr>
        <w:spacing w:line="240" w:lineRule="auto" w:before="0"/>
        <w:rPr>
          <w:rFonts w:ascii="宋体" w:hAnsi="宋体" w:cs="宋体" w:eastAsia="宋体" w:hint="default"/>
          <w:sz w:val="5"/>
          <w:szCs w:val="5"/>
        </w:rPr>
      </w:pPr>
    </w:p>
    <w:tbl>
      <w:tblPr>
        <w:tblW w:w="0" w:type="auto"/>
        <w:jc w:val="left"/>
        <w:tblInd w:w="1126" w:type="dxa"/>
        <w:tblLayout w:type="fixed"/>
        <w:tblCellMar>
          <w:top w:w="0" w:type="dxa"/>
          <w:left w:w="0" w:type="dxa"/>
          <w:bottom w:w="0" w:type="dxa"/>
          <w:right w:w="0" w:type="dxa"/>
        </w:tblCellMar>
        <w:tblLook w:val="01E0"/>
      </w:tblPr>
      <w:tblGrid>
        <w:gridCol w:w="568"/>
        <w:gridCol w:w="3544"/>
        <w:gridCol w:w="2566"/>
        <w:gridCol w:w="1601"/>
      </w:tblGrid>
      <w:tr>
        <w:trPr>
          <w:trHeight w:val="346" w:hRule="exact"/>
        </w:trPr>
        <w:tc>
          <w:tcPr>
            <w:tcW w:w="5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right="1"/>
              <w:jc w:val="center"/>
              <w:rPr>
                <w:rFonts w:ascii="宋体" w:hAnsi="宋体" w:cs="宋体" w:eastAsia="宋体" w:hint="default"/>
                <w:sz w:val="20"/>
                <w:szCs w:val="20"/>
              </w:rPr>
            </w:pPr>
            <w:r>
              <w:rPr>
                <w:rFonts w:ascii="宋体" w:hAnsi="宋体" w:cs="宋体" w:eastAsia="宋体" w:hint="default"/>
                <w:b/>
                <w:bCs/>
                <w:sz w:val="20"/>
                <w:szCs w:val="20"/>
              </w:rPr>
              <w:t>序号</w:t>
            </w:r>
            <w:r>
              <w:rPr>
                <w:rFonts w:ascii="宋体" w:hAnsi="宋体" w:cs="宋体" w:eastAsia="宋体" w:hint="default"/>
                <w:sz w:val="20"/>
                <w:szCs w:val="20"/>
              </w:rPr>
            </w:r>
          </w:p>
        </w:tc>
        <w:tc>
          <w:tcPr>
            <w:tcW w:w="35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b/>
                <w:bCs/>
                <w:sz w:val="20"/>
                <w:szCs w:val="20"/>
              </w:rPr>
              <w:t>证书名称</w:t>
            </w:r>
            <w:r>
              <w:rPr>
                <w:rFonts w:ascii="宋体" w:hAnsi="宋体" w:cs="宋体" w:eastAsia="宋体" w:hint="default"/>
                <w:sz w:val="20"/>
                <w:szCs w:val="20"/>
              </w:rPr>
            </w:r>
          </w:p>
        </w:tc>
        <w:tc>
          <w:tcPr>
            <w:tcW w:w="256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right="1"/>
              <w:jc w:val="center"/>
              <w:rPr>
                <w:rFonts w:ascii="宋体" w:hAnsi="宋体" w:cs="宋体" w:eastAsia="宋体" w:hint="default"/>
                <w:sz w:val="20"/>
                <w:szCs w:val="20"/>
              </w:rPr>
            </w:pPr>
            <w:r>
              <w:rPr>
                <w:rFonts w:ascii="宋体" w:hAnsi="宋体" w:cs="宋体" w:eastAsia="宋体" w:hint="default"/>
                <w:b/>
                <w:bCs/>
                <w:sz w:val="20"/>
                <w:szCs w:val="20"/>
              </w:rPr>
              <w:t>发证机关</w:t>
            </w:r>
            <w:r>
              <w:rPr>
                <w:rFonts w:ascii="宋体" w:hAnsi="宋体" w:cs="宋体" w:eastAsia="宋体" w:hint="default"/>
                <w:sz w:val="20"/>
                <w:szCs w:val="20"/>
              </w:rPr>
            </w:r>
          </w:p>
        </w:tc>
        <w:tc>
          <w:tcPr>
            <w:tcW w:w="16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left="1" w:right="0"/>
              <w:jc w:val="center"/>
              <w:rPr>
                <w:rFonts w:ascii="宋体" w:hAnsi="宋体" w:cs="宋体" w:eastAsia="宋体" w:hint="default"/>
                <w:sz w:val="20"/>
                <w:szCs w:val="20"/>
              </w:rPr>
            </w:pPr>
            <w:r>
              <w:rPr>
                <w:rFonts w:ascii="宋体" w:hAnsi="宋体" w:cs="宋体" w:eastAsia="宋体" w:hint="default"/>
                <w:b/>
                <w:bCs/>
                <w:sz w:val="20"/>
                <w:szCs w:val="20"/>
              </w:rPr>
              <w:t>证书编号</w:t>
            </w:r>
            <w:r>
              <w:rPr>
                <w:rFonts w:ascii="宋体" w:hAnsi="宋体" w:cs="宋体" w:eastAsia="宋体" w:hint="default"/>
                <w:sz w:val="20"/>
                <w:szCs w:val="20"/>
              </w:rPr>
            </w:r>
          </w:p>
        </w:tc>
      </w:tr>
      <w:tr>
        <w:trPr>
          <w:trHeight w:val="428"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20"/>
                <w:szCs w:val="20"/>
              </w:rPr>
            </w:pPr>
            <w:r>
              <w:rPr>
                <w:rFonts w:ascii="Times New Roman"/>
                <w:w w:val="100"/>
                <w:sz w:val="20"/>
              </w:rPr>
              <w:t>1</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米健居民电子健康档案管理软件</w:t>
            </w:r>
          </w:p>
        </w:tc>
        <w:tc>
          <w:tcPr>
            <w:tcW w:w="2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2012SR065779</w:t>
            </w:r>
          </w:p>
        </w:tc>
      </w:tr>
      <w:tr>
        <w:trPr>
          <w:trHeight w:val="426"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center"/>
              <w:rPr>
                <w:rFonts w:ascii="Times New Roman" w:hAnsi="Times New Roman" w:cs="Times New Roman" w:eastAsia="Times New Roman" w:hint="default"/>
                <w:sz w:val="20"/>
                <w:szCs w:val="20"/>
              </w:rPr>
            </w:pPr>
            <w:r>
              <w:rPr>
                <w:rFonts w:ascii="Times New Roman"/>
                <w:w w:val="100"/>
                <w:sz w:val="20"/>
              </w:rPr>
              <w:t>2</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米健医学影像存储及共享平台软件</w:t>
            </w:r>
          </w:p>
        </w:tc>
        <w:tc>
          <w:tcPr>
            <w:tcW w:w="2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2012SR065782</w:t>
            </w:r>
          </w:p>
        </w:tc>
      </w:tr>
      <w:tr>
        <w:trPr>
          <w:trHeight w:val="42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20"/>
                <w:szCs w:val="20"/>
              </w:rPr>
            </w:pPr>
            <w:r>
              <w:rPr>
                <w:rFonts w:ascii="Times New Roman"/>
                <w:w w:val="100"/>
                <w:sz w:val="20"/>
              </w:rPr>
              <w:t>3</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米健远程医疗会诊管理软件</w:t>
            </w:r>
          </w:p>
        </w:tc>
        <w:tc>
          <w:tcPr>
            <w:tcW w:w="2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2012SR065948</w:t>
            </w:r>
          </w:p>
        </w:tc>
      </w:tr>
      <w:tr>
        <w:trPr>
          <w:trHeight w:val="42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center"/>
              <w:rPr>
                <w:rFonts w:ascii="Times New Roman" w:hAnsi="Times New Roman" w:cs="Times New Roman" w:eastAsia="Times New Roman" w:hint="default"/>
                <w:sz w:val="20"/>
                <w:szCs w:val="20"/>
              </w:rPr>
            </w:pPr>
            <w:r>
              <w:rPr>
                <w:rFonts w:ascii="Times New Roman"/>
                <w:w w:val="100"/>
                <w:sz w:val="20"/>
              </w:rPr>
              <w:t>4</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米健医生应用软件</w:t>
            </w:r>
          </w:p>
        </w:tc>
        <w:tc>
          <w:tcPr>
            <w:tcW w:w="2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2014SR009776</w:t>
            </w:r>
          </w:p>
        </w:tc>
      </w:tr>
      <w:tr>
        <w:trPr>
          <w:trHeight w:val="42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center"/>
              <w:rPr>
                <w:rFonts w:ascii="Times New Roman" w:hAnsi="Times New Roman" w:cs="Times New Roman" w:eastAsia="Times New Roman" w:hint="default"/>
                <w:sz w:val="20"/>
                <w:szCs w:val="20"/>
              </w:rPr>
            </w:pPr>
            <w:r>
              <w:rPr>
                <w:rFonts w:ascii="Times New Roman"/>
                <w:w w:val="100"/>
                <w:sz w:val="20"/>
              </w:rPr>
              <w:t>5</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米健急诊医疗信息系统管理软件</w:t>
            </w:r>
          </w:p>
        </w:tc>
        <w:tc>
          <w:tcPr>
            <w:tcW w:w="2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2014SR016791</w:t>
            </w:r>
          </w:p>
        </w:tc>
      </w:tr>
      <w:tr>
        <w:trPr>
          <w:trHeight w:val="42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center"/>
              <w:rPr>
                <w:rFonts w:ascii="Times New Roman" w:hAnsi="Times New Roman" w:cs="Times New Roman" w:eastAsia="Times New Roman" w:hint="default"/>
                <w:sz w:val="20"/>
                <w:szCs w:val="20"/>
              </w:rPr>
            </w:pPr>
            <w:r>
              <w:rPr>
                <w:rFonts w:ascii="Times New Roman"/>
                <w:w w:val="100"/>
                <w:sz w:val="20"/>
              </w:rPr>
              <w:t>6</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米健手术麻醉信息管理软件</w:t>
            </w:r>
          </w:p>
        </w:tc>
        <w:tc>
          <w:tcPr>
            <w:tcW w:w="2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2013SR040568</w:t>
            </w:r>
          </w:p>
        </w:tc>
      </w:tr>
      <w:tr>
        <w:trPr>
          <w:trHeight w:val="42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center"/>
              <w:rPr>
                <w:rFonts w:ascii="Times New Roman" w:hAnsi="Times New Roman" w:cs="Times New Roman" w:eastAsia="Times New Roman" w:hint="default"/>
                <w:sz w:val="20"/>
                <w:szCs w:val="20"/>
              </w:rPr>
            </w:pPr>
            <w:r>
              <w:rPr>
                <w:rFonts w:ascii="Times New Roman"/>
                <w:w w:val="100"/>
                <w:sz w:val="20"/>
              </w:rPr>
              <w:t>7</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米健重症监护信息集成及流程整合平台软件</w:t>
            </w:r>
          </w:p>
        </w:tc>
        <w:tc>
          <w:tcPr>
            <w:tcW w:w="2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2013SR043831</w:t>
            </w:r>
          </w:p>
        </w:tc>
      </w:tr>
      <w:tr>
        <w:trPr>
          <w:trHeight w:val="426"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center"/>
              <w:rPr>
                <w:rFonts w:ascii="Times New Roman" w:hAnsi="Times New Roman" w:cs="Times New Roman" w:eastAsia="Times New Roman" w:hint="default"/>
                <w:sz w:val="20"/>
                <w:szCs w:val="20"/>
              </w:rPr>
            </w:pPr>
            <w:r>
              <w:rPr>
                <w:rFonts w:ascii="Times New Roman"/>
                <w:w w:val="100"/>
                <w:sz w:val="20"/>
              </w:rPr>
              <w:t>8</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米健移动医生工作站软件</w:t>
            </w:r>
          </w:p>
        </w:tc>
        <w:tc>
          <w:tcPr>
            <w:tcW w:w="2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2014SR055877</w:t>
            </w:r>
          </w:p>
        </w:tc>
      </w:tr>
      <w:tr>
        <w:trPr>
          <w:trHeight w:val="42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20"/>
                <w:szCs w:val="20"/>
              </w:rPr>
            </w:pPr>
            <w:r>
              <w:rPr>
                <w:rFonts w:ascii="Times New Roman"/>
                <w:w w:val="100"/>
                <w:sz w:val="20"/>
              </w:rPr>
              <w:t>9</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米健重症医学临床信息系统应用软件</w:t>
            </w:r>
          </w:p>
        </w:tc>
        <w:tc>
          <w:tcPr>
            <w:tcW w:w="2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2014SR198992</w:t>
            </w:r>
          </w:p>
        </w:tc>
      </w:tr>
      <w:tr>
        <w:trPr>
          <w:trHeight w:val="42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1"/>
              <w:jc w:val="center"/>
              <w:rPr>
                <w:rFonts w:ascii="Times New Roman" w:hAnsi="Times New Roman" w:cs="Times New Roman" w:eastAsia="Times New Roman" w:hint="default"/>
                <w:sz w:val="20"/>
                <w:szCs w:val="20"/>
              </w:rPr>
            </w:pPr>
            <w:r>
              <w:rPr>
                <w:rFonts w:ascii="Times New Roman"/>
                <w:sz w:val="20"/>
              </w:rPr>
              <w:t>10</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米健手术室麻醉临床信息系统应用软件</w:t>
            </w:r>
          </w:p>
        </w:tc>
        <w:tc>
          <w:tcPr>
            <w:tcW w:w="2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2014SR186904</w:t>
            </w:r>
          </w:p>
        </w:tc>
      </w:tr>
      <w:tr>
        <w:trPr>
          <w:trHeight w:val="42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1"/>
              <w:jc w:val="center"/>
              <w:rPr>
                <w:rFonts w:ascii="Times New Roman" w:hAnsi="Times New Roman" w:cs="Times New Roman" w:eastAsia="Times New Roman" w:hint="default"/>
                <w:sz w:val="20"/>
                <w:szCs w:val="20"/>
              </w:rPr>
            </w:pPr>
            <w:r>
              <w:rPr>
                <w:rFonts w:ascii="Times New Roman"/>
                <w:sz w:val="20"/>
              </w:rPr>
              <w:t>11</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米健移动护理管理软件</w:t>
            </w:r>
          </w:p>
        </w:tc>
        <w:tc>
          <w:tcPr>
            <w:tcW w:w="2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2015SR000806</w:t>
            </w:r>
          </w:p>
        </w:tc>
      </w:tr>
      <w:tr>
        <w:trPr>
          <w:trHeight w:val="42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1"/>
              <w:jc w:val="center"/>
              <w:rPr>
                <w:rFonts w:ascii="Times New Roman" w:hAnsi="Times New Roman" w:cs="Times New Roman" w:eastAsia="Times New Roman" w:hint="default"/>
                <w:sz w:val="20"/>
                <w:szCs w:val="20"/>
              </w:rPr>
            </w:pPr>
            <w:r>
              <w:rPr>
                <w:rFonts w:ascii="Times New Roman"/>
                <w:sz w:val="20"/>
              </w:rPr>
              <w:t>12</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米健数字化手术室系统管理软件</w:t>
            </w:r>
          </w:p>
        </w:tc>
        <w:tc>
          <w:tcPr>
            <w:tcW w:w="2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2015SR011528</w:t>
            </w:r>
          </w:p>
        </w:tc>
      </w:tr>
      <w:tr>
        <w:trPr>
          <w:trHeight w:val="42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1"/>
              <w:jc w:val="center"/>
              <w:rPr>
                <w:rFonts w:ascii="Times New Roman" w:hAnsi="Times New Roman" w:cs="Times New Roman" w:eastAsia="Times New Roman" w:hint="default"/>
                <w:sz w:val="20"/>
                <w:szCs w:val="20"/>
              </w:rPr>
            </w:pPr>
            <w:r>
              <w:rPr>
                <w:rFonts w:ascii="Times New Roman"/>
                <w:sz w:val="20"/>
              </w:rPr>
              <w:t>13</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米健移动医生查房临床信息系统应用软件</w:t>
            </w:r>
          </w:p>
        </w:tc>
        <w:tc>
          <w:tcPr>
            <w:tcW w:w="2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2015SR028701</w:t>
            </w:r>
          </w:p>
        </w:tc>
      </w:tr>
      <w:tr>
        <w:trPr>
          <w:trHeight w:val="426"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1"/>
              <w:jc w:val="center"/>
              <w:rPr>
                <w:rFonts w:ascii="Times New Roman" w:hAnsi="Times New Roman" w:cs="Times New Roman" w:eastAsia="Times New Roman" w:hint="default"/>
                <w:sz w:val="20"/>
                <w:szCs w:val="20"/>
              </w:rPr>
            </w:pPr>
            <w:r>
              <w:rPr>
                <w:rFonts w:ascii="Times New Roman"/>
                <w:sz w:val="20"/>
              </w:rPr>
              <w:t>14</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米健医学影像存档与通讯系统应用软件</w:t>
            </w:r>
          </w:p>
        </w:tc>
        <w:tc>
          <w:tcPr>
            <w:tcW w:w="2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2015SR063946</w:t>
            </w:r>
          </w:p>
        </w:tc>
      </w:tr>
      <w:tr>
        <w:trPr>
          <w:trHeight w:val="42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center"/>
              <w:rPr>
                <w:rFonts w:ascii="Times New Roman" w:hAnsi="Times New Roman" w:cs="Times New Roman" w:eastAsia="Times New Roman" w:hint="default"/>
                <w:sz w:val="20"/>
                <w:szCs w:val="20"/>
              </w:rPr>
            </w:pPr>
            <w:r>
              <w:rPr>
                <w:rFonts w:ascii="Times New Roman"/>
                <w:sz w:val="20"/>
              </w:rPr>
              <w:t>15</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米健医院信息集成平台管理软件</w:t>
            </w:r>
          </w:p>
        </w:tc>
        <w:tc>
          <w:tcPr>
            <w:tcW w:w="2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2015SR063704</w:t>
            </w:r>
          </w:p>
        </w:tc>
      </w:tr>
      <w:tr>
        <w:trPr>
          <w:trHeight w:val="42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1"/>
              <w:jc w:val="center"/>
              <w:rPr>
                <w:rFonts w:ascii="Times New Roman" w:hAnsi="Times New Roman" w:cs="Times New Roman" w:eastAsia="Times New Roman" w:hint="default"/>
                <w:sz w:val="20"/>
                <w:szCs w:val="20"/>
              </w:rPr>
            </w:pPr>
            <w:r>
              <w:rPr>
                <w:rFonts w:ascii="Times New Roman"/>
                <w:sz w:val="20"/>
              </w:rPr>
              <w:t>16</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米健血气采集工作站应用软件</w:t>
            </w:r>
          </w:p>
        </w:tc>
        <w:tc>
          <w:tcPr>
            <w:tcW w:w="2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2015SR189642</w:t>
            </w:r>
          </w:p>
        </w:tc>
      </w:tr>
      <w:tr>
        <w:trPr>
          <w:trHeight w:val="42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1"/>
              <w:jc w:val="center"/>
              <w:rPr>
                <w:rFonts w:ascii="Times New Roman" w:hAnsi="Times New Roman" w:cs="Times New Roman" w:eastAsia="Times New Roman" w:hint="default"/>
                <w:sz w:val="20"/>
                <w:szCs w:val="20"/>
              </w:rPr>
            </w:pPr>
            <w:r>
              <w:rPr>
                <w:rFonts w:ascii="Times New Roman"/>
                <w:sz w:val="20"/>
              </w:rPr>
              <w:t>17</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米健预检分诊信息系统管理软件</w:t>
            </w:r>
          </w:p>
        </w:tc>
        <w:tc>
          <w:tcPr>
            <w:tcW w:w="2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2015SR197642</w:t>
            </w:r>
          </w:p>
        </w:tc>
      </w:tr>
    </w:tbl>
    <w:p>
      <w:pPr>
        <w:spacing w:after="0" w:line="240" w:lineRule="auto"/>
        <w:jc w:val="center"/>
        <w:rPr>
          <w:rFonts w:ascii="Times New Roman" w:hAnsi="Times New Roman" w:cs="Times New Roman" w:eastAsia="Times New Roman" w:hint="default"/>
          <w:sz w:val="18"/>
          <w:szCs w:val="18"/>
        </w:rPr>
        <w:sectPr>
          <w:pgSz w:w="11910" w:h="16840"/>
          <w:pgMar w:header="566" w:footer="979" w:top="1360" w:bottom="1160" w:left="0" w:right="0"/>
        </w:sectPr>
      </w:pPr>
    </w:p>
    <w:p>
      <w:pPr>
        <w:spacing w:line="240" w:lineRule="auto" w:before="6"/>
        <w:rPr>
          <w:rFonts w:ascii="宋体" w:hAnsi="宋体" w:cs="宋体" w:eastAsia="宋体" w:hint="default"/>
          <w:sz w:val="5"/>
          <w:szCs w:val="5"/>
        </w:rPr>
      </w:pPr>
    </w:p>
    <w:tbl>
      <w:tblPr>
        <w:tblW w:w="0" w:type="auto"/>
        <w:jc w:val="left"/>
        <w:tblInd w:w="1126" w:type="dxa"/>
        <w:tblLayout w:type="fixed"/>
        <w:tblCellMar>
          <w:top w:w="0" w:type="dxa"/>
          <w:left w:w="0" w:type="dxa"/>
          <w:bottom w:w="0" w:type="dxa"/>
          <w:right w:w="0" w:type="dxa"/>
        </w:tblCellMar>
        <w:tblLook w:val="01E0"/>
      </w:tblPr>
      <w:tblGrid>
        <w:gridCol w:w="568"/>
        <w:gridCol w:w="3544"/>
        <w:gridCol w:w="2566"/>
        <w:gridCol w:w="1601"/>
      </w:tblGrid>
      <w:tr>
        <w:trPr>
          <w:trHeight w:val="42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1"/>
              <w:jc w:val="center"/>
              <w:rPr>
                <w:rFonts w:ascii="Times New Roman" w:hAnsi="Times New Roman" w:cs="Times New Roman" w:eastAsia="Times New Roman" w:hint="default"/>
                <w:sz w:val="20"/>
                <w:szCs w:val="20"/>
              </w:rPr>
            </w:pPr>
            <w:r>
              <w:rPr>
                <w:rFonts w:ascii="Times New Roman"/>
                <w:sz w:val="20"/>
              </w:rPr>
              <w:t>18</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米健院前急救临床信息系统应用软件</w:t>
            </w:r>
          </w:p>
        </w:tc>
        <w:tc>
          <w:tcPr>
            <w:tcW w:w="2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95" w:right="0"/>
              <w:jc w:val="left"/>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2015SR198763</w:t>
            </w:r>
          </w:p>
        </w:tc>
      </w:tr>
      <w:tr>
        <w:trPr>
          <w:trHeight w:val="42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1"/>
              <w:jc w:val="center"/>
              <w:rPr>
                <w:rFonts w:ascii="Times New Roman" w:hAnsi="Times New Roman" w:cs="Times New Roman" w:eastAsia="Times New Roman" w:hint="default"/>
                <w:sz w:val="20"/>
                <w:szCs w:val="20"/>
              </w:rPr>
            </w:pPr>
            <w:r>
              <w:rPr>
                <w:rFonts w:ascii="Times New Roman"/>
                <w:sz w:val="20"/>
              </w:rPr>
              <w:t>19</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米健急危重症信息集成平台软件</w:t>
            </w:r>
          </w:p>
        </w:tc>
        <w:tc>
          <w:tcPr>
            <w:tcW w:w="2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95" w:right="0"/>
              <w:jc w:val="left"/>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2015SR247319</w:t>
            </w:r>
          </w:p>
        </w:tc>
      </w:tr>
    </w:tbl>
    <w:p>
      <w:pPr>
        <w:pStyle w:val="BodyText"/>
        <w:spacing w:line="240" w:lineRule="auto" w:before="10"/>
        <w:ind w:right="0"/>
        <w:jc w:val="left"/>
      </w:pPr>
      <w:r>
        <w:rPr/>
        <w:t>易健信息拥有软件著作权</w:t>
      </w:r>
      <w:r>
        <w:rPr>
          <w:rFonts w:ascii="宋体" w:hAnsi="宋体" w:cs="宋体" w:eastAsia="宋体" w:hint="default"/>
        </w:rPr>
        <w:t>10</w:t>
      </w:r>
      <w:r>
        <w:rPr/>
        <w:t>项，具体情况如下：</w:t>
      </w:r>
    </w:p>
    <w:p>
      <w:pPr>
        <w:spacing w:line="240" w:lineRule="auto" w:before="13"/>
        <w:rPr>
          <w:rFonts w:ascii="宋体" w:hAnsi="宋体" w:cs="宋体" w:eastAsia="宋体" w:hint="default"/>
          <w:sz w:val="5"/>
          <w:szCs w:val="5"/>
        </w:rPr>
      </w:pPr>
    </w:p>
    <w:tbl>
      <w:tblPr>
        <w:tblW w:w="0" w:type="auto"/>
        <w:jc w:val="left"/>
        <w:tblInd w:w="1117" w:type="dxa"/>
        <w:tblLayout w:type="fixed"/>
        <w:tblCellMar>
          <w:top w:w="0" w:type="dxa"/>
          <w:left w:w="0" w:type="dxa"/>
          <w:bottom w:w="0" w:type="dxa"/>
          <w:right w:w="0" w:type="dxa"/>
        </w:tblCellMar>
        <w:tblLook w:val="01E0"/>
      </w:tblPr>
      <w:tblGrid>
        <w:gridCol w:w="687"/>
        <w:gridCol w:w="3231"/>
        <w:gridCol w:w="2760"/>
        <w:gridCol w:w="1600"/>
      </w:tblGrid>
      <w:tr>
        <w:trPr>
          <w:trHeight w:val="335" w:hRule="exact"/>
        </w:trPr>
        <w:tc>
          <w:tcPr>
            <w:tcW w:w="68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55" w:lineRule="exact"/>
              <w:ind w:right="0"/>
              <w:jc w:val="center"/>
              <w:rPr>
                <w:rFonts w:ascii="宋体" w:hAnsi="宋体" w:cs="宋体" w:eastAsia="宋体" w:hint="default"/>
                <w:sz w:val="20"/>
                <w:szCs w:val="20"/>
              </w:rPr>
            </w:pPr>
            <w:r>
              <w:rPr>
                <w:rFonts w:ascii="宋体" w:hAnsi="宋体" w:cs="宋体" w:eastAsia="宋体" w:hint="default"/>
                <w:b/>
                <w:bCs/>
                <w:sz w:val="20"/>
                <w:szCs w:val="20"/>
              </w:rPr>
              <w:t>序号</w:t>
            </w:r>
            <w:r>
              <w:rPr>
                <w:rFonts w:ascii="宋体" w:hAnsi="宋体" w:cs="宋体" w:eastAsia="宋体" w:hint="default"/>
                <w:sz w:val="20"/>
                <w:szCs w:val="20"/>
              </w:rPr>
            </w:r>
          </w:p>
        </w:tc>
        <w:tc>
          <w:tcPr>
            <w:tcW w:w="323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55" w:lineRule="exact"/>
              <w:ind w:right="0"/>
              <w:jc w:val="center"/>
              <w:rPr>
                <w:rFonts w:ascii="宋体" w:hAnsi="宋体" w:cs="宋体" w:eastAsia="宋体" w:hint="default"/>
                <w:sz w:val="20"/>
                <w:szCs w:val="20"/>
              </w:rPr>
            </w:pPr>
            <w:r>
              <w:rPr>
                <w:rFonts w:ascii="宋体" w:hAnsi="宋体" w:cs="宋体" w:eastAsia="宋体" w:hint="default"/>
                <w:b/>
                <w:bCs/>
                <w:sz w:val="20"/>
                <w:szCs w:val="20"/>
              </w:rPr>
              <w:t>证书名称</w:t>
            </w:r>
            <w:r>
              <w:rPr>
                <w:rFonts w:ascii="宋体" w:hAnsi="宋体" w:cs="宋体" w:eastAsia="宋体" w:hint="default"/>
                <w:sz w:val="20"/>
                <w:szCs w:val="20"/>
              </w:rPr>
            </w:r>
          </w:p>
        </w:tc>
        <w:tc>
          <w:tcPr>
            <w:tcW w:w="27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55" w:lineRule="exact"/>
              <w:ind w:right="1"/>
              <w:jc w:val="center"/>
              <w:rPr>
                <w:rFonts w:ascii="宋体" w:hAnsi="宋体" w:cs="宋体" w:eastAsia="宋体" w:hint="default"/>
                <w:sz w:val="20"/>
                <w:szCs w:val="20"/>
              </w:rPr>
            </w:pPr>
            <w:r>
              <w:rPr>
                <w:rFonts w:ascii="宋体" w:hAnsi="宋体" w:cs="宋体" w:eastAsia="宋体" w:hint="default"/>
                <w:b/>
                <w:bCs/>
                <w:sz w:val="20"/>
                <w:szCs w:val="20"/>
              </w:rPr>
              <w:t>发证机关</w:t>
            </w:r>
            <w:r>
              <w:rPr>
                <w:rFonts w:ascii="宋体" w:hAnsi="宋体" w:cs="宋体" w:eastAsia="宋体" w:hint="default"/>
                <w:sz w:val="20"/>
                <w:szCs w:val="20"/>
              </w:rPr>
            </w:r>
          </w:p>
        </w:tc>
        <w:tc>
          <w:tcPr>
            <w:tcW w:w="16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55" w:lineRule="exact"/>
              <w:ind w:right="0"/>
              <w:jc w:val="center"/>
              <w:rPr>
                <w:rFonts w:ascii="宋体" w:hAnsi="宋体" w:cs="宋体" w:eastAsia="宋体" w:hint="default"/>
                <w:sz w:val="20"/>
                <w:szCs w:val="20"/>
              </w:rPr>
            </w:pPr>
            <w:r>
              <w:rPr>
                <w:rFonts w:ascii="宋体" w:hAnsi="宋体" w:cs="宋体" w:eastAsia="宋体" w:hint="default"/>
                <w:b/>
                <w:bCs/>
                <w:sz w:val="20"/>
                <w:szCs w:val="20"/>
              </w:rPr>
              <w:t>证书编号</w:t>
            </w:r>
            <w:r>
              <w:rPr>
                <w:rFonts w:ascii="宋体" w:hAnsi="宋体" w:cs="宋体" w:eastAsia="宋体" w:hint="default"/>
                <w:sz w:val="20"/>
                <w:szCs w:val="20"/>
              </w:rPr>
            </w:r>
          </w:p>
        </w:tc>
      </w:tr>
      <w:tr>
        <w:trPr>
          <w:trHeight w:val="42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center"/>
              <w:rPr>
                <w:rFonts w:ascii="Times New Roman" w:hAnsi="Times New Roman" w:cs="Times New Roman" w:eastAsia="Times New Roman" w:hint="default"/>
                <w:sz w:val="20"/>
                <w:szCs w:val="20"/>
              </w:rPr>
            </w:pPr>
            <w:r>
              <w:rPr>
                <w:rFonts w:ascii="Times New Roman"/>
                <w:w w:val="100"/>
                <w:sz w:val="20"/>
              </w:rPr>
              <w:t>1</w:t>
            </w:r>
          </w:p>
        </w:tc>
        <w:tc>
          <w:tcPr>
            <w:tcW w:w="3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易健手术麻醉信息管理软件</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2012SR066042</w:t>
            </w:r>
          </w:p>
        </w:tc>
      </w:tr>
      <w:tr>
        <w:trPr>
          <w:trHeight w:val="42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center"/>
              <w:rPr>
                <w:rFonts w:ascii="Times New Roman" w:hAnsi="Times New Roman" w:cs="Times New Roman" w:eastAsia="Times New Roman" w:hint="default"/>
                <w:sz w:val="20"/>
                <w:szCs w:val="20"/>
              </w:rPr>
            </w:pPr>
            <w:r>
              <w:rPr>
                <w:rFonts w:ascii="Times New Roman"/>
                <w:w w:val="100"/>
                <w:sz w:val="20"/>
              </w:rPr>
              <w:t>2</w:t>
            </w:r>
          </w:p>
        </w:tc>
        <w:tc>
          <w:tcPr>
            <w:tcW w:w="3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易健手术麻醉信息管理软件</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2013SR012747</w:t>
            </w:r>
          </w:p>
        </w:tc>
      </w:tr>
      <w:tr>
        <w:trPr>
          <w:trHeight w:val="42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center"/>
              <w:rPr>
                <w:rFonts w:ascii="Times New Roman" w:hAnsi="Times New Roman" w:cs="Times New Roman" w:eastAsia="Times New Roman" w:hint="default"/>
                <w:sz w:val="20"/>
                <w:szCs w:val="20"/>
              </w:rPr>
            </w:pPr>
            <w:r>
              <w:rPr>
                <w:rFonts w:ascii="Times New Roman"/>
                <w:w w:val="100"/>
                <w:sz w:val="20"/>
              </w:rPr>
              <w:t>3</w:t>
            </w:r>
          </w:p>
        </w:tc>
        <w:tc>
          <w:tcPr>
            <w:tcW w:w="3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易健医疗信息集成及共享平台软件</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2012SR065992</w:t>
            </w:r>
          </w:p>
        </w:tc>
      </w:tr>
      <w:tr>
        <w:trPr>
          <w:trHeight w:val="42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center"/>
              <w:rPr>
                <w:rFonts w:ascii="Times New Roman" w:hAnsi="Times New Roman" w:cs="Times New Roman" w:eastAsia="Times New Roman" w:hint="default"/>
                <w:sz w:val="20"/>
                <w:szCs w:val="20"/>
              </w:rPr>
            </w:pPr>
            <w:r>
              <w:rPr>
                <w:rFonts w:ascii="Times New Roman"/>
                <w:w w:val="100"/>
                <w:sz w:val="20"/>
              </w:rPr>
              <w:t>4</w:t>
            </w:r>
          </w:p>
        </w:tc>
        <w:tc>
          <w:tcPr>
            <w:tcW w:w="3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易健重症监护临床信息管理软件</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2013SR043828</w:t>
            </w:r>
          </w:p>
        </w:tc>
      </w:tr>
      <w:tr>
        <w:trPr>
          <w:trHeight w:val="426"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center"/>
              <w:rPr>
                <w:rFonts w:ascii="Times New Roman" w:hAnsi="Times New Roman" w:cs="Times New Roman" w:eastAsia="Times New Roman" w:hint="default"/>
                <w:sz w:val="20"/>
                <w:szCs w:val="20"/>
              </w:rPr>
            </w:pPr>
            <w:r>
              <w:rPr>
                <w:rFonts w:ascii="Times New Roman"/>
                <w:w w:val="100"/>
                <w:sz w:val="20"/>
              </w:rPr>
              <w:t>5</w:t>
            </w:r>
          </w:p>
        </w:tc>
        <w:tc>
          <w:tcPr>
            <w:tcW w:w="3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居民电子健康档案共享平台</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2013SR007019</w:t>
            </w:r>
          </w:p>
        </w:tc>
      </w:tr>
      <w:tr>
        <w:trPr>
          <w:trHeight w:val="42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20"/>
                <w:szCs w:val="20"/>
              </w:rPr>
            </w:pPr>
            <w:r>
              <w:rPr>
                <w:rFonts w:ascii="Times New Roman"/>
                <w:w w:val="100"/>
                <w:sz w:val="20"/>
              </w:rPr>
              <w:t>6</w:t>
            </w:r>
          </w:p>
        </w:tc>
        <w:tc>
          <w:tcPr>
            <w:tcW w:w="3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易健移动查房系统管理软件</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2013SR128306</w:t>
            </w:r>
          </w:p>
        </w:tc>
      </w:tr>
      <w:tr>
        <w:trPr>
          <w:trHeight w:val="42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center"/>
              <w:rPr>
                <w:rFonts w:ascii="Times New Roman" w:hAnsi="Times New Roman" w:cs="Times New Roman" w:eastAsia="Times New Roman" w:hint="default"/>
                <w:sz w:val="20"/>
                <w:szCs w:val="20"/>
              </w:rPr>
            </w:pPr>
            <w:r>
              <w:rPr>
                <w:rFonts w:ascii="Times New Roman"/>
                <w:w w:val="100"/>
                <w:sz w:val="20"/>
              </w:rPr>
              <w:t>7</w:t>
            </w:r>
          </w:p>
        </w:tc>
        <w:tc>
          <w:tcPr>
            <w:tcW w:w="3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易健急诊临床信息系统管理软件</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2014SR004504</w:t>
            </w:r>
          </w:p>
        </w:tc>
      </w:tr>
      <w:tr>
        <w:trPr>
          <w:trHeight w:val="42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center"/>
              <w:rPr>
                <w:rFonts w:ascii="Times New Roman" w:hAnsi="Times New Roman" w:cs="Times New Roman" w:eastAsia="Times New Roman" w:hint="default"/>
                <w:sz w:val="20"/>
                <w:szCs w:val="20"/>
              </w:rPr>
            </w:pPr>
            <w:r>
              <w:rPr>
                <w:rFonts w:ascii="Times New Roman"/>
                <w:w w:val="100"/>
                <w:sz w:val="20"/>
              </w:rPr>
              <w:t>8</w:t>
            </w:r>
          </w:p>
        </w:tc>
        <w:tc>
          <w:tcPr>
            <w:tcW w:w="3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易健医生掌上应用软件</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2014SR009833</w:t>
            </w:r>
          </w:p>
        </w:tc>
      </w:tr>
      <w:tr>
        <w:trPr>
          <w:trHeight w:val="42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center"/>
              <w:rPr>
                <w:rFonts w:ascii="Times New Roman" w:hAnsi="Times New Roman" w:cs="Times New Roman" w:eastAsia="Times New Roman" w:hint="default"/>
                <w:sz w:val="20"/>
                <w:szCs w:val="20"/>
              </w:rPr>
            </w:pPr>
            <w:r>
              <w:rPr>
                <w:rFonts w:ascii="Times New Roman"/>
                <w:w w:val="100"/>
                <w:sz w:val="20"/>
              </w:rPr>
              <w:t>9</w:t>
            </w:r>
          </w:p>
        </w:tc>
        <w:tc>
          <w:tcPr>
            <w:tcW w:w="3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易健手术室麻醉临床信息系统管理软件</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2014SR189977</w:t>
            </w:r>
          </w:p>
        </w:tc>
      </w:tr>
      <w:tr>
        <w:trPr>
          <w:trHeight w:val="42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center"/>
              <w:rPr>
                <w:rFonts w:ascii="Times New Roman" w:hAnsi="Times New Roman" w:cs="Times New Roman" w:eastAsia="Times New Roman" w:hint="default"/>
                <w:sz w:val="20"/>
                <w:szCs w:val="20"/>
              </w:rPr>
            </w:pPr>
            <w:r>
              <w:rPr>
                <w:rFonts w:ascii="Times New Roman"/>
                <w:sz w:val="20"/>
              </w:rPr>
              <w:t>10</w:t>
            </w:r>
          </w:p>
        </w:tc>
        <w:tc>
          <w:tcPr>
            <w:tcW w:w="3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易健重症监护临床信息管理软件</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2014SR208635</w:t>
            </w:r>
          </w:p>
        </w:tc>
      </w:tr>
    </w:tbl>
    <w:p>
      <w:pPr>
        <w:spacing w:line="240" w:lineRule="auto" w:before="3"/>
        <w:rPr>
          <w:rFonts w:ascii="宋体" w:hAnsi="宋体" w:cs="宋体" w:eastAsia="宋体" w:hint="default"/>
          <w:sz w:val="21"/>
          <w:szCs w:val="21"/>
        </w:rPr>
      </w:pPr>
    </w:p>
    <w:p>
      <w:pPr>
        <w:pStyle w:val="BodyText"/>
        <w:spacing w:line="240" w:lineRule="auto" w:before="44"/>
        <w:ind w:right="0"/>
        <w:jc w:val="left"/>
      </w:pPr>
      <w:r>
        <w:rPr/>
        <w:t>报告期内，公司新增专利</w:t>
      </w:r>
      <w:r>
        <w:rPr>
          <w:rFonts w:ascii="宋体" w:hAnsi="宋体" w:cs="宋体" w:eastAsia="宋体" w:hint="default"/>
        </w:rPr>
        <w:t>1</w:t>
      </w:r>
      <w:r>
        <w:rPr/>
        <w:t>项，具体情况如下：</w:t>
      </w:r>
    </w:p>
    <w:p>
      <w:pPr>
        <w:spacing w:line="240" w:lineRule="auto" w:before="0"/>
        <w:rPr>
          <w:rFonts w:ascii="宋体" w:hAnsi="宋体" w:cs="宋体" w:eastAsia="宋体" w:hint="default"/>
          <w:sz w:val="5"/>
          <w:szCs w:val="5"/>
        </w:rPr>
      </w:pPr>
    </w:p>
    <w:tbl>
      <w:tblPr>
        <w:tblW w:w="0" w:type="auto"/>
        <w:jc w:val="left"/>
        <w:tblInd w:w="1126" w:type="dxa"/>
        <w:tblLayout w:type="fixed"/>
        <w:tblCellMar>
          <w:top w:w="0" w:type="dxa"/>
          <w:left w:w="0" w:type="dxa"/>
          <w:bottom w:w="0" w:type="dxa"/>
          <w:right w:w="0" w:type="dxa"/>
        </w:tblCellMar>
        <w:tblLook w:val="01E0"/>
      </w:tblPr>
      <w:tblGrid>
        <w:gridCol w:w="783"/>
        <w:gridCol w:w="3230"/>
        <w:gridCol w:w="1058"/>
        <w:gridCol w:w="1984"/>
        <w:gridCol w:w="1277"/>
      </w:tblGrid>
      <w:tr>
        <w:trPr>
          <w:trHeight w:val="347" w:hRule="exact"/>
        </w:trPr>
        <w:tc>
          <w:tcPr>
            <w:tcW w:w="78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b/>
                <w:bCs/>
                <w:sz w:val="20"/>
                <w:szCs w:val="20"/>
              </w:rPr>
              <w:t>序号</w:t>
            </w:r>
            <w:r>
              <w:rPr>
                <w:rFonts w:ascii="宋体" w:hAnsi="宋体" w:cs="宋体" w:eastAsia="宋体" w:hint="default"/>
                <w:sz w:val="20"/>
                <w:szCs w:val="20"/>
              </w:rPr>
            </w:r>
          </w:p>
        </w:tc>
        <w:tc>
          <w:tcPr>
            <w:tcW w:w="323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b/>
                <w:bCs/>
                <w:sz w:val="20"/>
                <w:szCs w:val="20"/>
              </w:rPr>
              <w:t>专利名称</w:t>
            </w:r>
            <w:r>
              <w:rPr>
                <w:rFonts w:ascii="宋体" w:hAnsi="宋体" w:cs="宋体" w:eastAsia="宋体" w:hint="default"/>
                <w:sz w:val="20"/>
                <w:szCs w:val="20"/>
              </w:rPr>
            </w:r>
          </w:p>
        </w:tc>
        <w:tc>
          <w:tcPr>
            <w:tcW w:w="105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left="121" w:right="0"/>
              <w:jc w:val="left"/>
              <w:rPr>
                <w:rFonts w:ascii="宋体" w:hAnsi="宋体" w:cs="宋体" w:eastAsia="宋体" w:hint="default"/>
                <w:sz w:val="20"/>
                <w:szCs w:val="20"/>
              </w:rPr>
            </w:pPr>
            <w:r>
              <w:rPr>
                <w:rFonts w:ascii="宋体" w:hAnsi="宋体" w:cs="宋体" w:eastAsia="宋体" w:hint="default"/>
                <w:b/>
                <w:bCs/>
                <w:sz w:val="20"/>
                <w:szCs w:val="20"/>
              </w:rPr>
              <w:t>专利类型</w:t>
            </w:r>
            <w:r>
              <w:rPr>
                <w:rFonts w:ascii="宋体" w:hAnsi="宋体" w:cs="宋体" w:eastAsia="宋体" w:hint="default"/>
                <w:sz w:val="20"/>
                <w:szCs w:val="20"/>
              </w:rPr>
            </w:r>
          </w:p>
        </w:tc>
        <w:tc>
          <w:tcPr>
            <w:tcW w:w="19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b/>
                <w:bCs/>
                <w:sz w:val="20"/>
                <w:szCs w:val="20"/>
              </w:rPr>
              <w:t>专利号</w:t>
            </w:r>
            <w:r>
              <w:rPr>
                <w:rFonts w:ascii="宋体" w:hAnsi="宋体" w:cs="宋体" w:eastAsia="宋体" w:hint="default"/>
                <w:sz w:val="20"/>
                <w:szCs w:val="20"/>
              </w:rPr>
            </w:r>
          </w:p>
        </w:tc>
        <w:tc>
          <w:tcPr>
            <w:tcW w:w="12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b/>
                <w:bCs/>
                <w:sz w:val="20"/>
                <w:szCs w:val="20"/>
              </w:rPr>
              <w:t>授权日期</w:t>
            </w:r>
            <w:r>
              <w:rPr>
                <w:rFonts w:ascii="宋体" w:hAnsi="宋体" w:cs="宋体" w:eastAsia="宋体" w:hint="default"/>
                <w:sz w:val="20"/>
                <w:szCs w:val="20"/>
              </w:rPr>
            </w:r>
          </w:p>
        </w:tc>
      </w:tr>
      <w:tr>
        <w:trPr>
          <w:trHeight w:val="348" w:hRule="exact"/>
        </w:trPr>
        <w:tc>
          <w:tcPr>
            <w:tcW w:w="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w w:val="100"/>
                <w:sz w:val="20"/>
              </w:rPr>
              <w:t>1</w:t>
            </w:r>
          </w:p>
        </w:tc>
        <w:tc>
          <w:tcPr>
            <w:tcW w:w="3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电力电能表图像自动识别方法</w:t>
            </w:r>
          </w:p>
        </w:tc>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61"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201010150835.7</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Times New Roman" w:hAnsi="Times New Roman" w:cs="Times New Roman" w:eastAsia="Times New Roman" w:hint="default"/>
                <w:sz w:val="20"/>
                <w:szCs w:val="20"/>
              </w:rPr>
            </w:pPr>
            <w:r>
              <w:rPr>
                <w:rFonts w:ascii="Times New Roman"/>
                <w:sz w:val="20"/>
              </w:rPr>
              <w:t>2015.9.2</w:t>
            </w:r>
          </w:p>
        </w:tc>
      </w:tr>
    </w:tbl>
    <w:p>
      <w:pPr>
        <w:pStyle w:val="BodyText"/>
        <w:spacing w:line="240" w:lineRule="auto" w:before="10"/>
        <w:ind w:right="0"/>
        <w:jc w:val="left"/>
      </w:pPr>
      <w:r>
        <w:rPr/>
        <w:t>上海米健拥有专利</w:t>
      </w:r>
      <w:r>
        <w:rPr>
          <w:rFonts w:ascii="宋体" w:hAnsi="宋体" w:cs="宋体" w:eastAsia="宋体" w:hint="default"/>
        </w:rPr>
        <w:t>3</w:t>
      </w:r>
      <w:r>
        <w:rPr/>
        <w:t>项，具体情况如下：</w:t>
      </w:r>
    </w:p>
    <w:p>
      <w:pPr>
        <w:spacing w:line="240" w:lineRule="auto" w:before="0"/>
        <w:rPr>
          <w:rFonts w:ascii="宋体" w:hAnsi="宋体" w:cs="宋体" w:eastAsia="宋体" w:hint="default"/>
          <w:sz w:val="5"/>
          <w:szCs w:val="5"/>
        </w:rPr>
      </w:pPr>
    </w:p>
    <w:tbl>
      <w:tblPr>
        <w:tblW w:w="0" w:type="auto"/>
        <w:jc w:val="left"/>
        <w:tblInd w:w="1089" w:type="dxa"/>
        <w:tblLayout w:type="fixed"/>
        <w:tblCellMar>
          <w:top w:w="0" w:type="dxa"/>
          <w:left w:w="0" w:type="dxa"/>
          <w:bottom w:w="0" w:type="dxa"/>
          <w:right w:w="0" w:type="dxa"/>
        </w:tblCellMar>
        <w:tblLook w:val="01E0"/>
      </w:tblPr>
      <w:tblGrid>
        <w:gridCol w:w="710"/>
        <w:gridCol w:w="3870"/>
        <w:gridCol w:w="1658"/>
        <w:gridCol w:w="2127"/>
        <w:gridCol w:w="1349"/>
      </w:tblGrid>
      <w:tr>
        <w:trPr>
          <w:trHeight w:val="347" w:hRule="exact"/>
        </w:trPr>
        <w:tc>
          <w:tcPr>
            <w:tcW w:w="7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b/>
                <w:bCs/>
                <w:sz w:val="20"/>
                <w:szCs w:val="20"/>
              </w:rPr>
              <w:t>序号</w:t>
            </w:r>
            <w:r>
              <w:rPr>
                <w:rFonts w:ascii="宋体" w:hAnsi="宋体" w:cs="宋体" w:eastAsia="宋体" w:hint="default"/>
                <w:sz w:val="20"/>
                <w:szCs w:val="20"/>
              </w:rPr>
            </w:r>
          </w:p>
        </w:tc>
        <w:tc>
          <w:tcPr>
            <w:tcW w:w="387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right="2"/>
              <w:jc w:val="center"/>
              <w:rPr>
                <w:rFonts w:ascii="宋体" w:hAnsi="宋体" w:cs="宋体" w:eastAsia="宋体" w:hint="default"/>
                <w:sz w:val="20"/>
                <w:szCs w:val="20"/>
              </w:rPr>
            </w:pPr>
            <w:r>
              <w:rPr>
                <w:rFonts w:ascii="宋体" w:hAnsi="宋体" w:cs="宋体" w:eastAsia="宋体" w:hint="default"/>
                <w:b/>
                <w:bCs/>
                <w:sz w:val="20"/>
                <w:szCs w:val="20"/>
              </w:rPr>
              <w:t>专利名称</w:t>
            </w:r>
            <w:r>
              <w:rPr>
                <w:rFonts w:ascii="宋体" w:hAnsi="宋体" w:cs="宋体" w:eastAsia="宋体" w:hint="default"/>
                <w:sz w:val="20"/>
                <w:szCs w:val="20"/>
              </w:rPr>
            </w:r>
          </w:p>
        </w:tc>
        <w:tc>
          <w:tcPr>
            <w:tcW w:w="165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left="419" w:right="0"/>
              <w:jc w:val="left"/>
              <w:rPr>
                <w:rFonts w:ascii="宋体" w:hAnsi="宋体" w:cs="宋体" w:eastAsia="宋体" w:hint="default"/>
                <w:sz w:val="20"/>
                <w:szCs w:val="20"/>
              </w:rPr>
            </w:pPr>
            <w:r>
              <w:rPr>
                <w:rFonts w:ascii="宋体" w:hAnsi="宋体" w:cs="宋体" w:eastAsia="宋体" w:hint="default"/>
                <w:b/>
                <w:bCs/>
                <w:sz w:val="20"/>
                <w:szCs w:val="20"/>
              </w:rPr>
              <w:t>专利类型</w:t>
            </w:r>
            <w:r>
              <w:rPr>
                <w:rFonts w:ascii="宋体" w:hAnsi="宋体" w:cs="宋体" w:eastAsia="宋体" w:hint="default"/>
                <w:sz w:val="20"/>
                <w:szCs w:val="20"/>
              </w:rPr>
            </w:r>
          </w:p>
        </w:tc>
        <w:tc>
          <w:tcPr>
            <w:tcW w:w="212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b/>
                <w:bCs/>
                <w:sz w:val="20"/>
                <w:szCs w:val="20"/>
              </w:rPr>
              <w:t>专利号</w:t>
            </w:r>
            <w:r>
              <w:rPr>
                <w:rFonts w:ascii="宋体" w:hAnsi="宋体" w:cs="宋体" w:eastAsia="宋体" w:hint="default"/>
                <w:sz w:val="20"/>
                <w:szCs w:val="20"/>
              </w:rPr>
            </w:r>
          </w:p>
        </w:tc>
        <w:tc>
          <w:tcPr>
            <w:tcW w:w="134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b/>
                <w:bCs/>
                <w:sz w:val="20"/>
                <w:szCs w:val="20"/>
              </w:rPr>
              <w:t>授权日期</w:t>
            </w:r>
            <w:r>
              <w:rPr>
                <w:rFonts w:ascii="宋体" w:hAnsi="宋体" w:cs="宋体" w:eastAsia="宋体" w:hint="default"/>
                <w:sz w:val="20"/>
                <w:szCs w:val="20"/>
              </w:rPr>
            </w:r>
          </w:p>
        </w:tc>
      </w:tr>
      <w:tr>
        <w:trPr>
          <w:trHeight w:val="42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w w:val="100"/>
                <w:sz w:val="20"/>
              </w:rPr>
              <w:t>1</w:t>
            </w:r>
          </w:p>
        </w:tc>
        <w:tc>
          <w:tcPr>
            <w:tcW w:w="3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医学数据提取装置、医学数据提取与分析装置</w:t>
            </w:r>
          </w:p>
        </w:tc>
        <w:tc>
          <w:tcPr>
            <w:tcW w:w="1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实用新型专利证书</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201520139484.8</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2015.9.9</w:t>
            </w:r>
          </w:p>
        </w:tc>
      </w:tr>
      <w:tr>
        <w:trPr>
          <w:trHeight w:val="42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w w:val="100"/>
                <w:sz w:val="20"/>
              </w:rPr>
              <w:t>2</w:t>
            </w:r>
          </w:p>
        </w:tc>
        <w:tc>
          <w:tcPr>
            <w:tcW w:w="3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一种一体化预检分诊系统</w:t>
            </w:r>
          </w:p>
        </w:tc>
        <w:tc>
          <w:tcPr>
            <w:tcW w:w="1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实用新型专利证书</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201520373098.5</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2015.10.14</w:t>
            </w:r>
          </w:p>
        </w:tc>
      </w:tr>
      <w:tr>
        <w:trPr>
          <w:trHeight w:val="42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w w:val="100"/>
                <w:sz w:val="20"/>
              </w:rPr>
              <w:t>3</w:t>
            </w:r>
          </w:p>
        </w:tc>
        <w:tc>
          <w:tcPr>
            <w:tcW w:w="3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一种监护仪数据采集系统</w:t>
            </w:r>
          </w:p>
        </w:tc>
        <w:tc>
          <w:tcPr>
            <w:tcW w:w="1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实用新型专利证书</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201520508272.2</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2015.12.9</w:t>
            </w:r>
          </w:p>
        </w:tc>
      </w:tr>
    </w:tbl>
    <w:p>
      <w:pPr>
        <w:spacing w:after="0" w:line="240" w:lineRule="auto"/>
        <w:jc w:val="center"/>
        <w:rPr>
          <w:rFonts w:ascii="Times New Roman" w:hAnsi="Times New Roman" w:cs="Times New Roman" w:eastAsia="Times New Roman" w:hint="default"/>
          <w:sz w:val="18"/>
          <w:szCs w:val="18"/>
        </w:rPr>
        <w:sectPr>
          <w:pgSz w:w="11910" w:h="16840"/>
          <w:pgMar w:header="566" w:footer="979" w:top="13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Heading1"/>
        <w:spacing w:line="240" w:lineRule="auto"/>
        <w:ind w:right="1411"/>
        <w:jc w:val="center"/>
        <w:rPr>
          <w:b w:val="0"/>
          <w:bCs w:val="0"/>
        </w:rPr>
      </w:pPr>
      <w:bookmarkStart w:name="_TOC_250007" w:id="24"/>
      <w:bookmarkStart w:name="第四节 管理层讨论与分析" w:id="25"/>
      <w:r>
        <w:rPr>
          <w:b w:val="0"/>
          <w:bCs w:val="0"/>
        </w:rPr>
      </w:r>
      <w:r>
        <w:rPr/>
        <w:t>第四节</w:t>
      </w:r>
      <w:r>
        <w:rPr>
          <w:spacing w:val="-9"/>
        </w:rPr>
        <w:t> </w:t>
      </w:r>
      <w:r>
        <w:rPr/>
        <w:t>管理层讨论与分析</w:t>
      </w:r>
      <w:bookmarkEnd w:id="24"/>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概述" w:id="26"/>
      <w:bookmarkEnd w:id="26"/>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left="1133" w:right="1033" w:firstLine="360"/>
        <w:jc w:val="left"/>
      </w:pPr>
      <w:r>
        <w:rPr>
          <w:rFonts w:ascii="Times New Roman" w:hAnsi="Times New Roman" w:cs="Times New Roman" w:eastAsia="Times New Roman" w:hint="default"/>
          <w:spacing w:val="-2"/>
        </w:rPr>
        <w:t>2015</w:t>
      </w:r>
      <w:r>
        <w:rPr>
          <w:spacing w:val="-2"/>
        </w:rPr>
        <w:t>年，公司成立十周年。在董事会的正确领导下，荣科从一家区域内初创公司，逐步成为最具成长潜力的上市公司之</w:t>
      </w:r>
      <w:r>
        <w:rPr/>
        <w:t> 一，这些离不开党和政府的亲切关怀，广大投资者的信任，客户的大力支持，合作伙伴的协同帮助和公司员工的辛勤付出。 </w:t>
      </w:r>
      <w:r>
        <w:rPr>
          <w:rFonts w:ascii="Times New Roman" w:hAnsi="Times New Roman" w:cs="Times New Roman" w:eastAsia="Times New Roman" w:hint="default"/>
        </w:rPr>
        <w:t>2015</w:t>
      </w:r>
      <w:r>
        <w:rPr/>
        <w:t>年，公司创业板上市三周年。公司深感责任的重大，沿着成为一家伟大的值得人尊敬的上市公司的远大目标载梦前行。 </w:t>
      </w:r>
      <w:r>
        <w:rPr>
          <w:spacing w:val="-2"/>
        </w:rPr>
        <w:t>特别是自</w:t>
      </w:r>
      <w:r>
        <w:rPr>
          <w:rFonts w:ascii="Times New Roman" w:hAnsi="Times New Roman" w:cs="Times New Roman" w:eastAsia="Times New Roman" w:hint="default"/>
          <w:spacing w:val="-2"/>
        </w:rPr>
        <w:t>2014</w:t>
      </w:r>
      <w:r>
        <w:rPr>
          <w:spacing w:val="-2"/>
        </w:rPr>
        <w:t>年开始，公司提出以二次创业为契机，推动实施战略转型，截止目前取得了非常可喜的成绩。报告期内，公司</w:t>
      </w:r>
      <w:r>
        <w:rPr>
          <w:spacing w:val="-62"/>
        </w:rPr>
        <w:t> </w:t>
      </w:r>
      <w:r>
        <w:rPr>
          <w:spacing w:val="-62"/>
        </w:rPr>
      </w:r>
      <w:r>
        <w:rPr/>
        <w:t>完成上市以来的首次非公开发行，为公司的可持续发展提供强有力的保障；收购上海米健</w:t>
      </w:r>
      <w:r>
        <w:rPr>
          <w:rFonts w:ascii="Times New Roman" w:hAnsi="Times New Roman" w:cs="Times New Roman" w:eastAsia="Times New Roman" w:hint="default"/>
        </w:rPr>
        <w:t>51%</w:t>
      </w:r>
      <w:r>
        <w:rPr/>
        <w:t>股权，由此快速拓展公司在智 </w:t>
      </w:r>
      <w:r>
        <w:rPr>
          <w:spacing w:val="-2"/>
        </w:rPr>
        <w:t>慧医疗领域特别是临床医疗信息化产品线，并高效的形成了完整的面向全国市场布局和相对完善的服务网络；公司联合中科</w:t>
      </w:r>
      <w:r>
        <w:rPr>
          <w:spacing w:val="-64"/>
        </w:rPr>
        <w:t> </w:t>
      </w:r>
      <w:r>
        <w:rPr>
          <w:spacing w:val="-64"/>
        </w:rPr>
      </w:r>
      <w:r>
        <w:rPr>
          <w:spacing w:val="-2"/>
        </w:rPr>
        <w:t>院沈阳自动化研究所、东北大学、沈阳军区总医院共同承接了国家科技支撑项目（“基于大数据应用的综合健康服务平台研</w:t>
      </w:r>
      <w:r>
        <w:rPr>
          <w:spacing w:val="-72"/>
        </w:rPr>
        <w:t> </w:t>
      </w:r>
      <w:r>
        <w:rPr>
          <w:spacing w:val="-72"/>
        </w:rPr>
      </w:r>
      <w:r>
        <w:rPr>
          <w:spacing w:val="-5"/>
        </w:rPr>
        <w:t>发及应用示范项目”），在产学研的道路上又迈出了坚实的一步，同时将为公司在健康大数据领域积累更多经验；公司紧紧抓</w:t>
      </w:r>
      <w:r>
        <w:rPr>
          <w:spacing w:val="-78"/>
        </w:rPr>
        <w:t> </w:t>
      </w:r>
      <w:r>
        <w:rPr>
          <w:spacing w:val="-78"/>
        </w:rPr>
      </w:r>
      <w:r>
        <w:rPr>
          <w:spacing w:val="-2"/>
        </w:rPr>
        <w:t>住智慧城市发展机遇，创新智能融合云平台，在已经到来的云与大数据时代，结合大数据与人工智能技术，形成了公司在医</w:t>
      </w:r>
      <w:r>
        <w:rPr>
          <w:spacing w:val="-66"/>
        </w:rPr>
        <w:t> </w:t>
      </w:r>
      <w:r>
        <w:rPr>
          <w:spacing w:val="-66"/>
        </w:rPr>
      </w:r>
      <w:r>
        <w:rPr/>
        <w:t>疗、教育、金融等关键行业的智能融合云服务与云运营的领先地位。</w:t>
      </w:r>
    </w:p>
    <w:p>
      <w:pPr>
        <w:pStyle w:val="BodyText"/>
        <w:spacing w:line="316" w:lineRule="auto" w:before="24"/>
        <w:ind w:right="0" w:firstLine="360"/>
        <w:jc w:val="left"/>
      </w:pPr>
      <w:r>
        <w:rPr>
          <w:spacing w:val="-4"/>
        </w:rPr>
        <w:t>报告期内，在公司战略的指导下，公司在市场拓展、收入完成、业务优化、技术创新、管理增效等方面取得了良好成绩，</w:t>
      </w:r>
      <w:r>
        <w:rPr/>
        <w:t> 实现了年初预定的工作目标：</w:t>
      </w:r>
    </w:p>
    <w:p>
      <w:pPr>
        <w:spacing w:line="240" w:lineRule="auto" w:before="5"/>
        <w:rPr>
          <w:rFonts w:ascii="宋体" w:hAnsi="宋体" w:cs="宋体" w:eastAsia="宋体" w:hint="default"/>
          <w:sz w:val="13"/>
          <w:szCs w:val="13"/>
        </w:rPr>
      </w:pPr>
    </w:p>
    <w:p>
      <w:pPr>
        <w:pStyle w:val="BodyText"/>
        <w:spacing w:line="316" w:lineRule="auto"/>
        <w:ind w:left="1494" w:right="0" w:firstLine="1"/>
        <w:jc w:val="left"/>
      </w:pPr>
      <w:r>
        <w:rPr>
          <w:rFonts w:ascii="宋体" w:hAnsi="宋体" w:cs="宋体" w:eastAsia="宋体" w:hint="default"/>
          <w:b/>
          <w:bCs/>
        </w:rPr>
        <w:t>（一）客户战略方面</w:t>
      </w:r>
      <w:r>
        <w:rPr>
          <w:rFonts w:ascii="宋体" w:hAnsi="宋体" w:cs="宋体" w:eastAsia="宋体" w:hint="default"/>
          <w:b/>
          <w:bCs/>
          <w:w w:val="99"/>
        </w:rPr>
        <w:t> </w:t>
      </w:r>
      <w:r>
        <w:rPr>
          <w:spacing w:val="-2"/>
        </w:rPr>
        <w:t>报告期内，公司全面布局国内外市场，不断优化销售渠道，在巩固原有市场的基础上，进一步拓展市场区域，力争实现</w:t>
      </w:r>
    </w:p>
    <w:p>
      <w:pPr>
        <w:pStyle w:val="BodyText"/>
        <w:spacing w:line="316" w:lineRule="auto" w:before="19"/>
        <w:ind w:left="1494" w:right="0" w:hanging="360"/>
        <w:jc w:val="left"/>
      </w:pPr>
      <w:r>
        <w:rPr/>
        <w:t>国内外市场的快速发展。 </w:t>
      </w:r>
      <w:r>
        <w:rPr>
          <w:spacing w:val="-1"/>
        </w:rPr>
        <w:t>公司以自有资金</w:t>
      </w:r>
      <w:r>
        <w:rPr>
          <w:rFonts w:ascii="Times New Roman" w:hAnsi="Times New Roman" w:cs="Times New Roman" w:eastAsia="Times New Roman" w:hint="default"/>
          <w:spacing w:val="-1"/>
        </w:rPr>
        <w:t>12,750</w:t>
      </w:r>
      <w:r>
        <w:rPr>
          <w:spacing w:val="-1"/>
        </w:rPr>
        <w:t>万元受让上海米健</w:t>
      </w:r>
      <w:r>
        <w:rPr>
          <w:rFonts w:ascii="Times New Roman" w:hAnsi="Times New Roman" w:cs="Times New Roman" w:eastAsia="Times New Roman" w:hint="default"/>
          <w:spacing w:val="-1"/>
        </w:rPr>
        <w:t>51%</w:t>
      </w:r>
      <w:r>
        <w:rPr>
          <w:spacing w:val="-1"/>
        </w:rPr>
        <w:t>股权，成为其控股股东。凭借此次收购公司将快速拓展智慧医疗、健康数</w:t>
      </w:r>
    </w:p>
    <w:p>
      <w:pPr>
        <w:pStyle w:val="BodyText"/>
        <w:spacing w:line="316" w:lineRule="auto"/>
        <w:ind w:left="1494" w:right="0" w:hanging="360"/>
        <w:jc w:val="left"/>
      </w:pPr>
      <w:r>
        <w:rPr/>
        <w:t>据业务版图，实现资源优化整合，提升公司整体市场地位和竞争实力。 </w:t>
      </w:r>
      <w:r>
        <w:rPr>
          <w:spacing w:val="-4"/>
        </w:rPr>
        <w:t>报告期内，公司不断提升客户服务质量，提升项目管理水平，大大提高了实施部门的工作动力，项目交付能力大幅提高，</w:t>
      </w:r>
    </w:p>
    <w:p>
      <w:pPr>
        <w:pStyle w:val="BodyText"/>
        <w:spacing w:line="316" w:lineRule="auto" w:before="19"/>
        <w:ind w:left="1494" w:right="0" w:hanging="360"/>
        <w:jc w:val="left"/>
      </w:pPr>
      <w:r>
        <w:rPr>
          <w:spacing w:val="-4"/>
        </w:rPr>
        <w:t>项目实施质量稳步提升。通过公司上下的共同努力，齐抓共管，重点客户的满意度始终维持在较高水平，实现了客户零投诉。</w:t>
      </w:r>
      <w:r>
        <w:rPr>
          <w:spacing w:val="-46"/>
        </w:rPr>
        <w:t> </w:t>
      </w:r>
      <w:r>
        <w:rPr>
          <w:spacing w:val="-46"/>
        </w:rPr>
      </w:r>
      <w:r>
        <w:rPr/>
        <w:t>报告期内，公司持续加强平台建设丰富公司资质，申办了</w:t>
      </w:r>
      <w:r>
        <w:rPr>
          <w:rFonts w:ascii="Times New Roman" w:hAnsi="Times New Roman" w:cs="Times New Roman" w:eastAsia="Times New Roman" w:hint="default"/>
        </w:rPr>
        <w:t>ISO27001</w:t>
      </w:r>
      <w:r>
        <w:rPr/>
        <w:t>（信息安全管理体系）认证、</w:t>
      </w:r>
      <w:r>
        <w:rPr>
          <w:rFonts w:ascii="Times New Roman" w:hAnsi="Times New Roman" w:cs="Times New Roman" w:eastAsia="Times New Roman" w:hint="default"/>
        </w:rPr>
        <w:t>ISO20000(</w:t>
      </w:r>
      <w:r>
        <w:rPr/>
        <w:t>信息技术服</w:t>
      </w:r>
    </w:p>
    <w:p>
      <w:pPr>
        <w:pStyle w:val="BodyText"/>
        <w:spacing w:line="248" w:lineRule="exact"/>
        <w:ind w:right="0"/>
        <w:jc w:val="left"/>
      </w:pPr>
      <w:r>
        <w:rPr/>
        <w:t>务管理体系）认证、信息安全服务资质（软件安全开发</w:t>
      </w:r>
      <w:r>
        <w:rPr>
          <w:rFonts w:ascii="Times New Roman" w:hAnsi="Times New Roman" w:cs="Times New Roman" w:eastAsia="Times New Roman" w:hint="default"/>
        </w:rPr>
        <w:t>2</w:t>
      </w:r>
      <w:r>
        <w:rPr/>
        <w:t>级、安全集成</w:t>
      </w:r>
      <w:r>
        <w:rPr>
          <w:rFonts w:ascii="Times New Roman" w:hAnsi="Times New Roman" w:cs="Times New Roman" w:eastAsia="Times New Roman" w:hint="default"/>
        </w:rPr>
        <w:t>2</w:t>
      </w:r>
      <w:r>
        <w:rPr/>
        <w:t>级）等多项资质。</w:t>
      </w:r>
    </w:p>
    <w:p>
      <w:pPr>
        <w:spacing w:line="240" w:lineRule="auto" w:before="9"/>
        <w:rPr>
          <w:rFonts w:ascii="宋体" w:hAnsi="宋体" w:cs="宋体" w:eastAsia="宋体" w:hint="default"/>
          <w:sz w:val="16"/>
          <w:szCs w:val="16"/>
        </w:rPr>
      </w:pPr>
    </w:p>
    <w:p>
      <w:pPr>
        <w:pStyle w:val="BodyText"/>
        <w:spacing w:line="316" w:lineRule="auto"/>
        <w:ind w:left="1493" w:right="0" w:firstLine="1"/>
        <w:jc w:val="left"/>
      </w:pPr>
      <w:r>
        <w:rPr>
          <w:rFonts w:ascii="宋体" w:hAnsi="宋体" w:cs="宋体" w:eastAsia="宋体" w:hint="default"/>
          <w:b/>
          <w:bCs/>
        </w:rPr>
        <w:t>（二）人才战略方面</w:t>
      </w:r>
      <w:r>
        <w:rPr>
          <w:rFonts w:ascii="宋体" w:hAnsi="宋体" w:cs="宋体" w:eastAsia="宋体" w:hint="default"/>
          <w:b/>
          <w:bCs/>
          <w:w w:val="99"/>
        </w:rPr>
        <w:t> </w:t>
      </w:r>
      <w:r>
        <w:rPr>
          <w:spacing w:val="-2"/>
        </w:rPr>
        <w:t>报告期内，公司通过人员结构优化实现组织效率提升，并通过高能人才的引进，实现了专家型荣科的建设。公司不断的</w:t>
      </w:r>
    </w:p>
    <w:p>
      <w:pPr>
        <w:pStyle w:val="BodyText"/>
        <w:spacing w:line="316" w:lineRule="auto" w:before="19"/>
        <w:ind w:left="1493" w:right="0" w:hanging="360"/>
        <w:jc w:val="left"/>
      </w:pPr>
      <w:r>
        <w:rPr/>
        <w:t>完善人才机制，注重人才培养及梯队建设，在此基础上，不断创新、完善人才发展机制，加强战略储备及人才结构升级。 </w:t>
      </w:r>
      <w:r>
        <w:rPr>
          <w:spacing w:val="-2"/>
        </w:rPr>
        <w:t>在人才培训及梯队建设方面，报告期内重点加大对现有员工的培育和提升，继续完善员工的职业发展通道及管理者梯队</w:t>
      </w:r>
    </w:p>
    <w:p>
      <w:pPr>
        <w:pStyle w:val="BodyText"/>
        <w:spacing w:line="309" w:lineRule="auto" w:before="19"/>
        <w:ind w:left="1133" w:right="1033"/>
        <w:jc w:val="left"/>
      </w:pPr>
      <w:r>
        <w:rPr/>
        <w:t>建设。目前</w:t>
      </w:r>
      <w:r>
        <w:rPr>
          <w:rFonts w:ascii="Times New Roman" w:hAnsi="Times New Roman" w:cs="Times New Roman" w:eastAsia="Times New Roman" w:hint="default"/>
        </w:rPr>
        <w:t>90%</w:t>
      </w:r>
      <w:r>
        <w:rPr/>
        <w:t>以上的高管均有培训人选，并做到了定期对培训人选进行在岗实践、工作指导。在培训方面使用“荣科云学 院”支持培训工作，强化线上线下学习，并引入了微信微课堂的培训方式，实现了“按参训人员类别、等级有针对性实施” 的培训目标。</w:t>
      </w:r>
    </w:p>
    <w:p>
      <w:pPr>
        <w:spacing w:line="240" w:lineRule="auto" w:before="10"/>
        <w:rPr>
          <w:rFonts w:ascii="宋体" w:hAnsi="宋体" w:cs="宋体" w:eastAsia="宋体" w:hint="default"/>
          <w:sz w:val="13"/>
          <w:szCs w:val="13"/>
        </w:rPr>
      </w:pPr>
    </w:p>
    <w:p>
      <w:pPr>
        <w:pStyle w:val="BodyText"/>
        <w:spacing w:line="316" w:lineRule="auto"/>
        <w:ind w:left="1583" w:right="1123" w:hanging="89"/>
        <w:jc w:val="left"/>
      </w:pPr>
      <w:r>
        <w:rPr>
          <w:rFonts w:ascii="宋体" w:hAnsi="宋体" w:cs="宋体" w:eastAsia="宋体" w:hint="default"/>
          <w:b/>
          <w:bCs/>
        </w:rPr>
        <w:t>（三）创新战略方面</w:t>
      </w:r>
      <w:r>
        <w:rPr>
          <w:rFonts w:ascii="宋体" w:hAnsi="宋体" w:cs="宋体" w:eastAsia="宋体" w:hint="default"/>
          <w:b/>
          <w:bCs/>
          <w:w w:val="99"/>
        </w:rPr>
        <w:t> </w:t>
      </w:r>
      <w:r>
        <w:rPr/>
        <w:t>报告期内，公司继续坚持“智慧新荣科”创新战略，进一步聚焦到智慧医疗、健康数据方向。综合考虑了目前国内医</w:t>
      </w:r>
    </w:p>
    <w:p>
      <w:pPr>
        <w:pStyle w:val="BodyText"/>
        <w:spacing w:line="314" w:lineRule="auto" w:before="17"/>
        <w:ind w:left="1133" w:right="1131"/>
        <w:jc w:val="both"/>
      </w:pPr>
      <w:r>
        <w:rPr>
          <w:spacing w:val="-2"/>
        </w:rPr>
        <w:t>疗信息化发展阶段及发展趋势、市场潜在空间、竞争格局、产品化程度及是否具备数据积累条件等多种因素，同时结合自身</w:t>
      </w:r>
      <w:r>
        <w:rPr>
          <w:spacing w:val="-66"/>
        </w:rPr>
        <w:t> </w:t>
      </w:r>
      <w:r>
        <w:rPr>
          <w:spacing w:val="-66"/>
        </w:rPr>
      </w:r>
      <w:r>
        <w:rPr>
          <w:spacing w:val="-2"/>
        </w:rPr>
        <w:t>的条件，公司最终选择了临床医疗信息化与健康大数据领域作为了公司未来发展的重点方向，作出了与现有医疗信息化和健</w:t>
      </w:r>
      <w:r>
        <w:rPr>
          <w:spacing w:val="-64"/>
        </w:rPr>
        <w:t> </w:t>
      </w:r>
      <w:r>
        <w:rPr>
          <w:spacing w:val="-64"/>
        </w:rPr>
      </w:r>
      <w:r>
        <w:rPr/>
        <w:t>康大数据厂商差异化的战略定位</w:t>
      </w:r>
      <w:r>
        <w:rPr>
          <w:rFonts w:ascii="Times New Roman" w:hAnsi="Times New Roman" w:cs="Times New Roman" w:eastAsia="Times New Roman" w:hint="default"/>
        </w:rPr>
        <w:t>:</w:t>
      </w:r>
      <w:r>
        <w:rPr>
          <w:rFonts w:ascii="Times New Roman" w:hAnsi="Times New Roman" w:cs="Times New Roman" w:eastAsia="Times New Roman" w:hint="default"/>
          <w:spacing w:val="6"/>
        </w:rPr>
        <w:t> </w:t>
      </w:r>
      <w:r>
        <w:rPr/>
        <w:t>致力于成为临床应用细分领域的领导者、数据平台方向的区域领导者和医疗健康大数据领 </w:t>
      </w:r>
      <w:r>
        <w:rPr>
          <w:spacing w:val="-2"/>
        </w:rPr>
        <w:t>域的创新者。在此战略指引下，通过自身研发以及与控股公司上海米健的合作，公司在相关领域形成了一系列领先的产品和</w:t>
      </w:r>
      <w:r>
        <w:rPr>
          <w:spacing w:val="-66"/>
        </w:rPr>
        <w:t> </w:t>
      </w:r>
      <w:r>
        <w:rPr>
          <w:spacing w:val="-66"/>
        </w:rPr>
      </w:r>
      <w:r>
        <w:rPr/>
        <w:t>解决方案。</w:t>
      </w:r>
    </w:p>
    <w:p>
      <w:pPr>
        <w:spacing w:after="0" w:line="314" w:lineRule="auto"/>
        <w:jc w:val="both"/>
        <w:sectPr>
          <w:pgSz w:w="11910" w:h="16840"/>
          <w:pgMar w:header="566" w:footer="979" w:top="1360" w:bottom="1160" w:left="0" w:right="0"/>
        </w:sectPr>
      </w:pPr>
    </w:p>
    <w:p>
      <w:pPr>
        <w:pStyle w:val="BodyText"/>
        <w:spacing w:line="316" w:lineRule="auto" w:before="81"/>
        <w:ind w:left="1493" w:right="0" w:firstLine="1"/>
        <w:jc w:val="left"/>
      </w:pPr>
      <w:r>
        <w:rPr>
          <w:rFonts w:ascii="宋体" w:hAnsi="宋体" w:cs="宋体" w:eastAsia="宋体" w:hint="default"/>
          <w:b/>
          <w:bCs/>
        </w:rPr>
        <w:t>（四）成本战略方面</w:t>
      </w:r>
      <w:r>
        <w:rPr>
          <w:rFonts w:ascii="宋体" w:hAnsi="宋体" w:cs="宋体" w:eastAsia="宋体" w:hint="default"/>
          <w:b/>
          <w:bCs/>
          <w:w w:val="99"/>
        </w:rPr>
        <w:t> </w:t>
      </w:r>
      <w:r>
        <w:rPr>
          <w:spacing w:val="-2"/>
        </w:rPr>
        <w:t>报告期内，公司围绕着“智慧、健康、安全”这三个维度，进一步打造公司核心技术竞争力，在成本管控方面也取得相</w:t>
      </w:r>
    </w:p>
    <w:p>
      <w:pPr>
        <w:pStyle w:val="BodyText"/>
        <w:spacing w:line="240" w:lineRule="auto" w:before="19"/>
        <w:ind w:left="1133" w:right="0"/>
        <w:jc w:val="left"/>
      </w:pPr>
      <w:r>
        <w:rPr/>
        <w:t>当可喜的成绩，主要工作从以下几个方面开展：</w:t>
      </w:r>
    </w:p>
    <w:p>
      <w:pPr>
        <w:pStyle w:val="BodyText"/>
        <w:spacing w:line="300" w:lineRule="auto" w:before="76"/>
        <w:ind w:right="1122" w:firstLine="360"/>
        <w:jc w:val="left"/>
      </w:pPr>
      <w:r>
        <w:rPr>
          <w:rFonts w:ascii="Times New Roman" w:hAnsi="Times New Roman" w:cs="Times New Roman" w:eastAsia="Times New Roman" w:hint="default"/>
        </w:rPr>
        <w:t>1</w:t>
      </w:r>
      <w:r>
        <w:rPr/>
        <w:t>、优化了组织结构，引进了重点领域科技人才，从管理、专业两条路线畅通员工职业发展通道，分模块、分业务进行 管理，有效利用了管理资源，节约了管理成本。</w:t>
      </w:r>
    </w:p>
    <w:p>
      <w:pPr>
        <w:pStyle w:val="BodyText"/>
        <w:spacing w:line="300" w:lineRule="auto" w:before="31"/>
        <w:ind w:right="1122" w:firstLine="360"/>
        <w:jc w:val="left"/>
      </w:pPr>
      <w:r>
        <w:rPr>
          <w:rFonts w:ascii="Times New Roman" w:hAnsi="Times New Roman" w:cs="Times New Roman" w:eastAsia="Times New Roman" w:hint="default"/>
        </w:rPr>
        <w:t>2</w:t>
      </w:r>
      <w:r>
        <w:rPr/>
        <w:t>、加强了项目成本控制管理，在项目实施过程中，对项目成本进行有效的组织、实施、控制、跟踪、分析和考核等管 理活动，以强化经营管理，提高成本核算水平，降低项目成本，实现目标利润，创造良好经济效益。</w:t>
      </w:r>
    </w:p>
    <w:p>
      <w:pPr>
        <w:pStyle w:val="BodyText"/>
        <w:spacing w:line="300" w:lineRule="auto" w:before="31"/>
        <w:ind w:right="1122" w:firstLine="360"/>
        <w:jc w:val="left"/>
      </w:pPr>
      <w:r>
        <w:rPr>
          <w:rFonts w:ascii="Times New Roman" w:hAnsi="Times New Roman" w:cs="Times New Roman" w:eastAsia="Times New Roman" w:hint="default"/>
        </w:rPr>
        <w:t>3</w:t>
      </w:r>
      <w:r>
        <w:rPr/>
        <w:t>、加强了应用软件产品的研发投入，加大了软件产品化比例，优化了基础研发平台，提高了软件的开发效率，减少成 本投入，提高了盈利能力。</w:t>
      </w:r>
    </w:p>
    <w:p>
      <w:pPr>
        <w:pStyle w:val="BodyText"/>
        <w:spacing w:line="240" w:lineRule="auto" w:before="31"/>
        <w:ind w:left="1494" w:right="0"/>
        <w:jc w:val="left"/>
      </w:pPr>
      <w:r>
        <w:rPr>
          <w:rFonts w:ascii="Times New Roman" w:hAnsi="Times New Roman" w:cs="Times New Roman" w:eastAsia="Times New Roman" w:hint="default"/>
        </w:rPr>
        <w:t>4</w:t>
      </w:r>
      <w:r>
        <w:rPr/>
        <w:t>、预算管理水平较往年有大幅度提升，逐步实现以预算为导向控制成本费用支出，使成本费用得到了有效控制。</w:t>
      </w:r>
    </w:p>
    <w:p>
      <w:pPr>
        <w:spacing w:line="240" w:lineRule="auto" w:before="9"/>
        <w:rPr>
          <w:rFonts w:ascii="宋体" w:hAnsi="宋体" w:cs="宋体" w:eastAsia="宋体" w:hint="default"/>
          <w:sz w:val="16"/>
          <w:szCs w:val="16"/>
        </w:rPr>
      </w:pPr>
    </w:p>
    <w:p>
      <w:pPr>
        <w:pStyle w:val="BodyText"/>
        <w:spacing w:line="316" w:lineRule="auto"/>
        <w:ind w:left="1493" w:right="0" w:firstLine="1"/>
        <w:jc w:val="left"/>
      </w:pPr>
      <w:r>
        <w:rPr>
          <w:rFonts w:ascii="宋体" w:hAnsi="宋体" w:cs="宋体" w:eastAsia="宋体" w:hint="default"/>
          <w:b/>
          <w:bCs/>
        </w:rPr>
        <w:t>（五）内部控制方面</w:t>
      </w:r>
      <w:r>
        <w:rPr>
          <w:rFonts w:ascii="宋体" w:hAnsi="宋体" w:cs="宋体" w:eastAsia="宋体" w:hint="default"/>
          <w:b/>
          <w:bCs/>
          <w:w w:val="99"/>
        </w:rPr>
        <w:t> </w:t>
      </w:r>
      <w:r>
        <w:rPr>
          <w:spacing w:val="-2"/>
        </w:rPr>
        <w:t>报告期内，公司通过加强内部控制，提升管理效能，控制经营风险，持续建设“以风险为导向，以制度为保障，以流程</w:t>
      </w:r>
    </w:p>
    <w:p>
      <w:pPr>
        <w:pStyle w:val="BodyText"/>
        <w:spacing w:line="316" w:lineRule="auto" w:before="19"/>
        <w:ind w:left="1133" w:right="0"/>
        <w:jc w:val="left"/>
      </w:pPr>
      <w:r>
        <w:rPr>
          <w:spacing w:val="-2"/>
        </w:rPr>
        <w:t>为驱动，以内审为工具”的内部控制体系。首先，在日常经营管理中不断建立健全内控管理制度和业务流程。其次，在全公</w:t>
      </w:r>
      <w:r>
        <w:rPr>
          <w:spacing w:val="-67"/>
        </w:rPr>
        <w:t> </w:t>
      </w:r>
      <w:r>
        <w:rPr>
          <w:spacing w:val="-67"/>
        </w:rPr>
      </w:r>
      <w:r>
        <w:rPr>
          <w:spacing w:val="-4"/>
        </w:rPr>
        <w:t>司范围内开展内部控制评价工作。再次，针对重点管理领域和业务环节，实施内部控制审计。最后，深入开展自查自纠工作，</w:t>
      </w:r>
      <w:r>
        <w:rPr>
          <w:spacing w:val="-43"/>
        </w:rPr>
        <w:t> </w:t>
      </w:r>
      <w:r>
        <w:rPr>
          <w:spacing w:val="-43"/>
        </w:rPr>
      </w:r>
      <w:r>
        <w:rPr/>
        <w:t>发现并改进内部控制缺陷。通过以上内控管理工作，促进公司稳健发展。</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二、主营业务分析" w:id="27"/>
      <w:bookmarkEnd w:id="27"/>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概述" w:id="28"/>
      <w:bookmarkEnd w:id="28"/>
      <w:r>
        <w:rPr>
          <w:b w:val="0"/>
          <w:bCs w:val="0"/>
        </w:rPr>
      </w:r>
      <w:r>
        <w:rPr>
          <w:rFonts w:ascii="Times New Roman" w:hAnsi="Times New Roman" w:cs="Times New Roman" w:eastAsia="Times New Roman" w:hint="default"/>
        </w:rPr>
        <w:t>1</w:t>
      </w:r>
      <w:r>
        <w:rPr/>
        <w:t>、概述</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062" w:firstLine="360"/>
        <w:jc w:val="left"/>
      </w:pPr>
      <w:r>
        <w:rPr/>
        <w:t>本报告期营业收入</w:t>
      </w:r>
      <w:r>
        <w:rPr>
          <w:rFonts w:ascii="Times New Roman" w:hAnsi="Times New Roman" w:cs="Times New Roman" w:eastAsia="Times New Roman" w:hint="default"/>
        </w:rPr>
        <w:t>541,872,970.24</w:t>
      </w:r>
      <w:r>
        <w:rPr/>
        <w:t>元，较上年同期增加</w:t>
      </w:r>
      <w:r>
        <w:rPr>
          <w:rFonts w:ascii="Times New Roman" w:hAnsi="Times New Roman" w:cs="Times New Roman" w:eastAsia="Times New Roman" w:hint="default"/>
        </w:rPr>
        <w:t>129,953,462.25</w:t>
      </w:r>
      <w:r>
        <w:rPr/>
        <w:t>元，同比增长</w:t>
      </w:r>
      <w:r>
        <w:rPr>
          <w:rFonts w:ascii="Times New Roman" w:hAnsi="Times New Roman" w:cs="Times New Roman" w:eastAsia="Times New Roman" w:hint="default"/>
        </w:rPr>
        <w:t>31.55%</w:t>
      </w:r>
      <w:r>
        <w:rPr/>
        <w:t>，营业成本</w:t>
      </w:r>
      <w:r>
        <w:rPr>
          <w:rFonts w:ascii="Times New Roman" w:hAnsi="Times New Roman" w:cs="Times New Roman" w:eastAsia="Times New Roman" w:hint="default"/>
        </w:rPr>
        <w:t>372,664,253.22</w:t>
      </w:r>
      <w:r>
        <w:rPr/>
        <w:t>元，</w:t>
      </w:r>
      <w:r>
        <w:rPr>
          <w:spacing w:val="1"/>
        </w:rPr>
        <w:t> </w:t>
      </w:r>
      <w:r>
        <w:rPr/>
        <w:t>较上年同期增加</w:t>
      </w:r>
      <w:r>
        <w:rPr>
          <w:rFonts w:ascii="Times New Roman" w:hAnsi="Times New Roman" w:cs="Times New Roman" w:eastAsia="Times New Roman" w:hint="default"/>
        </w:rPr>
        <w:t>103,596,664.08</w:t>
      </w:r>
      <w:r>
        <w:rPr/>
        <w:t>元，同比增长</w:t>
      </w:r>
      <w:r>
        <w:rPr>
          <w:rFonts w:ascii="Times New Roman" w:hAnsi="Times New Roman" w:cs="Times New Roman" w:eastAsia="Times New Roman" w:hint="default"/>
        </w:rPr>
        <w:t>38.50%</w:t>
      </w:r>
      <w:r>
        <w:rPr/>
        <w:t>，主要系本报告期内公司业务规模扩大所致。</w:t>
      </w:r>
    </w:p>
    <w:p>
      <w:pPr>
        <w:pStyle w:val="BodyText"/>
        <w:spacing w:line="300" w:lineRule="auto" w:before="13"/>
        <w:ind w:right="1197" w:firstLine="360"/>
        <w:jc w:val="left"/>
      </w:pPr>
      <w:r>
        <w:rPr/>
        <w:t>本报告期销售费用</w:t>
      </w:r>
      <w:r>
        <w:rPr>
          <w:rFonts w:ascii="Times New Roman" w:hAnsi="Times New Roman" w:cs="Times New Roman" w:eastAsia="Times New Roman" w:hint="default"/>
        </w:rPr>
        <w:t>19,238,252.15</w:t>
      </w:r>
      <w:r>
        <w:rPr/>
        <w:t>元，较上年同期增加</w:t>
      </w:r>
      <w:r>
        <w:rPr>
          <w:rFonts w:ascii="Times New Roman" w:hAnsi="Times New Roman" w:cs="Times New Roman" w:eastAsia="Times New Roman" w:hint="default"/>
        </w:rPr>
        <w:t>3,227,816.38</w:t>
      </w:r>
      <w:r>
        <w:rPr/>
        <w:t>元，同比增长</w:t>
      </w:r>
      <w:r>
        <w:rPr>
          <w:rFonts w:ascii="Times New Roman" w:hAnsi="Times New Roman" w:cs="Times New Roman" w:eastAsia="Times New Roman" w:hint="default"/>
        </w:rPr>
        <w:t>20.16%</w:t>
      </w:r>
      <w:r>
        <w:rPr/>
        <w:t>，主要系本报告期内职工薪酬增 加所致。</w:t>
      </w:r>
    </w:p>
    <w:p>
      <w:pPr>
        <w:pStyle w:val="BodyText"/>
        <w:spacing w:line="300" w:lineRule="auto" w:before="31"/>
        <w:ind w:left="1133" w:right="0" w:firstLine="360"/>
        <w:jc w:val="left"/>
      </w:pPr>
      <w:r>
        <w:rPr>
          <w:spacing w:val="-1"/>
        </w:rPr>
        <w:t>本报告期管理费用</w:t>
      </w:r>
      <w:r>
        <w:rPr>
          <w:rFonts w:ascii="Times New Roman" w:hAnsi="Times New Roman" w:cs="Times New Roman" w:eastAsia="Times New Roman" w:hint="default"/>
          <w:spacing w:val="-1"/>
        </w:rPr>
        <w:t>72,498,871.57</w:t>
      </w:r>
      <w:r>
        <w:rPr>
          <w:spacing w:val="-1"/>
        </w:rPr>
        <w:t>元，较上年同期增加</w:t>
      </w:r>
      <w:r>
        <w:rPr>
          <w:rFonts w:ascii="Times New Roman" w:hAnsi="Times New Roman" w:cs="Times New Roman" w:eastAsia="Times New Roman" w:hint="default"/>
          <w:spacing w:val="-1"/>
        </w:rPr>
        <w:t>15,861,650.20</w:t>
      </w:r>
      <w:r>
        <w:rPr>
          <w:spacing w:val="-1"/>
        </w:rPr>
        <w:t>元，同比增长</w:t>
      </w:r>
      <w:r>
        <w:rPr>
          <w:rFonts w:ascii="Times New Roman" w:hAnsi="Times New Roman" w:cs="Times New Roman" w:eastAsia="Times New Roman" w:hint="default"/>
          <w:spacing w:val="-1"/>
        </w:rPr>
        <w:t>28.01%</w:t>
      </w:r>
      <w:r>
        <w:rPr>
          <w:spacing w:val="-1"/>
        </w:rPr>
        <w:t>，主要系本报告期内职工薪酬及</w:t>
      </w:r>
      <w:r>
        <w:rPr/>
        <w:t> 研究与开发费用等增加所致。</w:t>
      </w:r>
    </w:p>
    <w:p>
      <w:pPr>
        <w:pStyle w:val="BodyText"/>
        <w:spacing w:line="300" w:lineRule="auto" w:before="31"/>
        <w:ind w:left="1493" w:right="0"/>
        <w:jc w:val="left"/>
      </w:pPr>
      <w:r>
        <w:rPr>
          <w:spacing w:val="-3"/>
        </w:rPr>
        <w:t>本报告期财务费用</w:t>
      </w:r>
      <w:r>
        <w:rPr>
          <w:rFonts w:ascii="Times New Roman" w:hAnsi="Times New Roman" w:cs="Times New Roman" w:eastAsia="Times New Roman" w:hint="default"/>
          <w:spacing w:val="-3"/>
        </w:rPr>
        <w:t>3,713,194.68</w:t>
      </w:r>
      <w:r>
        <w:rPr>
          <w:spacing w:val="-3"/>
        </w:rPr>
        <w:t>元，较上年同期减少</w:t>
      </w:r>
      <w:r>
        <w:rPr>
          <w:rFonts w:ascii="Times New Roman" w:hAnsi="Times New Roman" w:cs="Times New Roman" w:eastAsia="Times New Roman" w:hint="default"/>
          <w:spacing w:val="-3"/>
        </w:rPr>
        <w:t>750,386.46</w:t>
      </w:r>
      <w:r>
        <w:rPr>
          <w:spacing w:val="-3"/>
        </w:rPr>
        <w:t>元，同比下降</w:t>
      </w:r>
      <w:r>
        <w:rPr>
          <w:rFonts w:ascii="Times New Roman" w:hAnsi="Times New Roman" w:cs="Times New Roman" w:eastAsia="Times New Roman" w:hint="default"/>
          <w:spacing w:val="-3"/>
        </w:rPr>
        <w:t>16.81%</w:t>
      </w:r>
      <w:r>
        <w:rPr>
          <w:spacing w:val="-3"/>
        </w:rPr>
        <w:t>，主要系本报告期利息收入增加所致。</w:t>
      </w:r>
      <w:r>
        <w:rPr>
          <w:spacing w:val="-34"/>
        </w:rPr>
        <w:t> </w:t>
      </w:r>
      <w:r>
        <w:rPr>
          <w:spacing w:val="-34"/>
        </w:rPr>
      </w:r>
      <w:r>
        <w:rPr/>
        <w:t>本报告期资产减值损失</w:t>
      </w:r>
      <w:r>
        <w:rPr>
          <w:rFonts w:ascii="Times New Roman" w:hAnsi="Times New Roman" w:cs="Times New Roman" w:eastAsia="Times New Roman" w:hint="default"/>
        </w:rPr>
        <w:t>14,136,951.81</w:t>
      </w:r>
      <w:r>
        <w:rPr/>
        <w:t>元，较上年同期增加</w:t>
      </w:r>
      <w:r>
        <w:rPr>
          <w:rFonts w:ascii="Times New Roman" w:hAnsi="Times New Roman" w:cs="Times New Roman" w:eastAsia="Times New Roman" w:hint="default"/>
        </w:rPr>
        <w:t>6,503,752.79</w:t>
      </w:r>
      <w:r>
        <w:rPr/>
        <w:t>元，同比增长</w:t>
      </w:r>
      <w:r>
        <w:rPr>
          <w:rFonts w:ascii="Times New Roman" w:hAnsi="Times New Roman" w:cs="Times New Roman" w:eastAsia="Times New Roman" w:hint="default"/>
        </w:rPr>
        <w:t>85.20%</w:t>
      </w:r>
      <w:r>
        <w:rPr/>
        <w:t>，主要系本报告期坏账准备</w:t>
      </w:r>
    </w:p>
    <w:p>
      <w:pPr>
        <w:pStyle w:val="BodyText"/>
        <w:spacing w:line="316" w:lineRule="auto" w:before="13"/>
        <w:ind w:left="1493" w:right="1198" w:hanging="360"/>
        <w:jc w:val="left"/>
      </w:pPr>
      <w:r>
        <w:rPr/>
        <w:t>金额增加所致。 本报告期研发投入</w:t>
      </w:r>
      <w:r>
        <w:rPr>
          <w:rFonts w:ascii="Times New Roman" w:hAnsi="Times New Roman" w:cs="Times New Roman" w:eastAsia="Times New Roman" w:hint="default"/>
        </w:rPr>
        <w:t>31,861,578.82</w:t>
      </w:r>
      <w:r>
        <w:rPr/>
        <w:t>元，较上年同期增加</w:t>
      </w:r>
      <w:r>
        <w:rPr>
          <w:rFonts w:ascii="Times New Roman" w:hAnsi="Times New Roman" w:cs="Times New Roman" w:eastAsia="Times New Roman" w:hint="default"/>
        </w:rPr>
        <w:t>5,278,256.85</w:t>
      </w:r>
      <w:r>
        <w:rPr/>
        <w:t>元，同比增长</w:t>
      </w:r>
      <w:r>
        <w:rPr>
          <w:rFonts w:ascii="Times New Roman" w:hAnsi="Times New Roman" w:cs="Times New Roman" w:eastAsia="Times New Roman" w:hint="default"/>
        </w:rPr>
        <w:t>19.86%</w:t>
      </w:r>
      <w:r>
        <w:rPr/>
        <w:t>，主要系本报告期内加大研发投</w:t>
      </w:r>
    </w:p>
    <w:p>
      <w:pPr>
        <w:pStyle w:val="BodyText"/>
        <w:spacing w:line="316" w:lineRule="auto"/>
        <w:ind w:left="1494" w:right="0" w:hanging="360"/>
        <w:jc w:val="left"/>
      </w:pPr>
      <w:r>
        <w:rPr/>
        <w:t>入力度，研发规模扩大所致。 </w:t>
      </w:r>
      <w:r>
        <w:rPr>
          <w:spacing w:val="-2"/>
        </w:rPr>
        <w:t>本报告期经营活动产生的现金流量净额</w:t>
      </w:r>
      <w:r>
        <w:rPr>
          <w:rFonts w:ascii="Times New Roman" w:hAnsi="Times New Roman" w:cs="Times New Roman" w:eastAsia="Times New Roman" w:hint="default"/>
          <w:spacing w:val="-2"/>
        </w:rPr>
        <w:t>52,973,661.95</w:t>
      </w:r>
      <w:r>
        <w:rPr>
          <w:spacing w:val="-2"/>
        </w:rPr>
        <w:t>元，较上年同期增加</w:t>
      </w:r>
      <w:r>
        <w:rPr>
          <w:rFonts w:ascii="Times New Roman" w:hAnsi="Times New Roman" w:cs="Times New Roman" w:eastAsia="Times New Roman" w:hint="default"/>
          <w:spacing w:val="-2"/>
        </w:rPr>
        <w:t>79,983,111.71</w:t>
      </w:r>
      <w:r>
        <w:rPr>
          <w:spacing w:val="-2"/>
        </w:rPr>
        <w:t>元，同比增长</w:t>
      </w:r>
      <w:r>
        <w:rPr>
          <w:rFonts w:ascii="Times New Roman" w:hAnsi="Times New Roman" w:cs="Times New Roman" w:eastAsia="Times New Roman" w:hint="default"/>
          <w:spacing w:val="-2"/>
        </w:rPr>
        <w:t>296.13%</w:t>
      </w:r>
      <w:r>
        <w:rPr>
          <w:spacing w:val="-2"/>
        </w:rPr>
        <w:t>，主要系本</w:t>
      </w:r>
    </w:p>
    <w:p>
      <w:pPr>
        <w:pStyle w:val="BodyText"/>
        <w:spacing w:line="235" w:lineRule="exact"/>
        <w:ind w:left="1133" w:right="0"/>
        <w:jc w:val="left"/>
      </w:pPr>
      <w:r>
        <w:rPr/>
        <w:t>报告期内销售商品、提供劳务取得的现金增加所致。</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收入与成本" w:id="29"/>
      <w:bookmarkEnd w:id="29"/>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营业收入构成" w:id="30"/>
      <w:bookmarkEnd w:id="30"/>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892" w:type="dxa"/>
        <w:tblLayout w:type="fixed"/>
        <w:tblCellMar>
          <w:top w:w="0" w:type="dxa"/>
          <w:left w:w="0" w:type="dxa"/>
          <w:bottom w:w="0" w:type="dxa"/>
          <w:right w:w="0" w:type="dxa"/>
        </w:tblCellMar>
        <w:tblLook w:val="01E0"/>
      </w:tblPr>
      <w:tblGrid>
        <w:gridCol w:w="2152"/>
        <w:gridCol w:w="1605"/>
        <w:gridCol w:w="1583"/>
        <w:gridCol w:w="1606"/>
        <w:gridCol w:w="1571"/>
        <w:gridCol w:w="1606"/>
      </w:tblGrid>
      <w:tr>
        <w:trPr>
          <w:trHeight w:val="205" w:hRule="exact"/>
        </w:trPr>
        <w:tc>
          <w:tcPr>
            <w:tcW w:w="2152"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7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152" w:type="dxa"/>
            <w:vMerge w:val="restart"/>
            <w:tcBorders>
              <w:top w:val="nil" w:sz="6" w:space="0" w:color="auto"/>
              <w:left w:val="single" w:sz="4" w:space="0" w:color="000000"/>
              <w:right w:val="single" w:sz="4" w:space="0" w:color="000000"/>
            </w:tcBorders>
            <w:shd w:val="clear" w:color="auto" w:fill="D2D2D2"/>
          </w:tcPr>
          <w:p>
            <w:pPr/>
          </w:p>
        </w:tc>
        <w:tc>
          <w:tcPr>
            <w:tcW w:w="3188" w:type="dxa"/>
            <w:gridSpan w:val="2"/>
            <w:vMerge/>
            <w:tcBorders>
              <w:left w:val="single" w:sz="4" w:space="0" w:color="000000"/>
              <w:bottom w:val="single" w:sz="4" w:space="0" w:color="000000"/>
              <w:right w:val="single" w:sz="4" w:space="0" w:color="000000"/>
            </w:tcBorders>
            <w:shd w:val="clear" w:color="auto" w:fill="D2D2D2"/>
          </w:tcPr>
          <w:p>
            <w:pPr/>
          </w:p>
        </w:tc>
        <w:tc>
          <w:tcPr>
            <w:tcW w:w="3177" w:type="dxa"/>
            <w:gridSpan w:val="2"/>
            <w:vMerge/>
            <w:tcBorders>
              <w:left w:val="single" w:sz="4" w:space="0" w:color="000000"/>
              <w:bottom w:val="single" w:sz="4" w:space="0" w:color="000000"/>
              <w:right w:val="single" w:sz="4" w:space="0" w:color="000000"/>
            </w:tcBorders>
            <w:shd w:val="clear" w:color="auto" w:fill="D2D2D2"/>
          </w:tcPr>
          <w:p>
            <w:pPr/>
          </w:p>
        </w:tc>
        <w:tc>
          <w:tcPr>
            <w:tcW w:w="160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4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2152" w:type="dxa"/>
            <w:vMerge/>
            <w:tcBorders>
              <w:left w:val="single" w:sz="4" w:space="0" w:color="000000"/>
              <w:bottom w:val="nil" w:sz="6" w:space="0" w:color="auto"/>
              <w:right w:val="single" w:sz="4" w:space="0" w:color="000000"/>
            </w:tcBorders>
            <w:shd w:val="clear" w:color="auto" w:fill="D2D2D2"/>
          </w:tcPr>
          <w:p>
            <w:pPr/>
          </w:p>
        </w:tc>
        <w:tc>
          <w:tcPr>
            <w:tcW w:w="1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9"/>
              <w:jc w:val="center"/>
              <w:rPr>
                <w:rFonts w:ascii="宋体" w:hAnsi="宋体" w:cs="宋体" w:eastAsia="宋体" w:hint="default"/>
                <w:sz w:val="18"/>
                <w:szCs w:val="18"/>
              </w:rPr>
            </w:pPr>
            <w:r>
              <w:rPr>
                <w:rFonts w:ascii="宋体" w:hAnsi="宋体" w:cs="宋体" w:eastAsia="宋体" w:hint="default"/>
                <w:sz w:val="18"/>
                <w:szCs w:val="18"/>
              </w:rPr>
              <w:t>金额</w:t>
            </w:r>
          </w:p>
        </w:tc>
        <w:tc>
          <w:tcPr>
            <w:tcW w:w="1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8"/>
              <w:jc w:val="center"/>
              <w:rPr>
                <w:rFonts w:ascii="宋体" w:hAnsi="宋体" w:cs="宋体" w:eastAsia="宋体" w:hint="default"/>
                <w:sz w:val="18"/>
                <w:szCs w:val="18"/>
              </w:rPr>
            </w:pPr>
            <w:r>
              <w:rPr>
                <w:rFonts w:ascii="宋体" w:hAnsi="宋体" w:cs="宋体" w:eastAsia="宋体" w:hint="default"/>
                <w:sz w:val="18"/>
                <w:szCs w:val="18"/>
              </w:rPr>
              <w:t>金额</w:t>
            </w:r>
          </w:p>
        </w:tc>
        <w:tc>
          <w:tcPr>
            <w:tcW w:w="15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6"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2152"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5" w:type="dxa"/>
            <w:vMerge/>
            <w:tcBorders>
              <w:left w:val="single" w:sz="4" w:space="0" w:color="000000"/>
              <w:bottom w:val="single" w:sz="4" w:space="0" w:color="000000"/>
              <w:right w:val="single" w:sz="4" w:space="0" w:color="000000"/>
            </w:tcBorders>
            <w:shd w:val="clear" w:color="auto" w:fill="D2D2D2"/>
          </w:tcPr>
          <w:p>
            <w:pPr/>
          </w:p>
        </w:tc>
        <w:tc>
          <w:tcPr>
            <w:tcW w:w="1583" w:type="dxa"/>
            <w:vMerge/>
            <w:tcBorders>
              <w:left w:val="single" w:sz="4" w:space="0" w:color="000000"/>
              <w:bottom w:val="single" w:sz="4" w:space="0" w:color="000000"/>
              <w:right w:val="single" w:sz="4" w:space="0" w:color="000000"/>
            </w:tcBorders>
            <w:shd w:val="clear" w:color="auto" w:fill="D2D2D2"/>
          </w:tcPr>
          <w:p>
            <w:pPr/>
          </w:p>
        </w:tc>
        <w:tc>
          <w:tcPr>
            <w:tcW w:w="1606" w:type="dxa"/>
            <w:vMerge/>
            <w:tcBorders>
              <w:left w:val="single" w:sz="4" w:space="0" w:color="000000"/>
              <w:bottom w:val="single" w:sz="4" w:space="0" w:color="000000"/>
              <w:right w:val="single" w:sz="4" w:space="0" w:color="000000"/>
            </w:tcBorders>
            <w:shd w:val="clear" w:color="auto" w:fill="D2D2D2"/>
          </w:tcPr>
          <w:p>
            <w:pPr/>
          </w:p>
        </w:tc>
        <w:tc>
          <w:tcPr>
            <w:tcW w:w="1571" w:type="dxa"/>
            <w:vMerge/>
            <w:tcBorders>
              <w:left w:val="single" w:sz="4" w:space="0" w:color="000000"/>
              <w:bottom w:val="single" w:sz="4" w:space="0" w:color="000000"/>
              <w:right w:val="single" w:sz="4" w:space="0" w:color="000000"/>
            </w:tcBorders>
            <w:shd w:val="clear" w:color="auto" w:fill="D2D2D2"/>
          </w:tcPr>
          <w:p>
            <w:pPr/>
          </w:p>
        </w:tc>
        <w:tc>
          <w:tcPr>
            <w:tcW w:w="160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2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605"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left="425" w:right="0"/>
              <w:jc w:val="left"/>
              <w:rPr>
                <w:rFonts w:ascii="Times New Roman" w:hAnsi="Times New Roman" w:cs="Times New Roman" w:eastAsia="Times New Roman" w:hint="default"/>
                <w:sz w:val="18"/>
                <w:szCs w:val="18"/>
              </w:rPr>
            </w:pPr>
            <w:r>
              <w:rPr>
                <w:rFonts w:ascii="Times New Roman"/>
                <w:sz w:val="18"/>
              </w:rPr>
              <w:t>541,872,970.24</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606"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left="431" w:right="0"/>
              <w:jc w:val="left"/>
              <w:rPr>
                <w:rFonts w:ascii="Times New Roman" w:hAnsi="Times New Roman" w:cs="Times New Roman" w:eastAsia="Times New Roman" w:hint="default"/>
                <w:sz w:val="18"/>
                <w:szCs w:val="18"/>
              </w:rPr>
            </w:pPr>
            <w:r>
              <w:rPr>
                <w:rFonts w:ascii="Times New Roman"/>
                <w:sz w:val="18"/>
              </w:rPr>
              <w:t>411,919,507.99</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06" w:right="0"/>
              <w:jc w:val="left"/>
              <w:rPr>
                <w:rFonts w:ascii="Times New Roman" w:hAnsi="Times New Roman" w:cs="Times New Roman" w:eastAsia="Times New Roman" w:hint="default"/>
                <w:sz w:val="18"/>
                <w:szCs w:val="18"/>
              </w:rPr>
            </w:pPr>
            <w:r>
              <w:rPr>
                <w:rFonts w:ascii="Times New Roman"/>
                <w:sz w:val="18"/>
              </w:rPr>
              <w:t>31.55%</w:t>
            </w:r>
          </w:p>
        </w:tc>
      </w:tr>
      <w:tr>
        <w:trPr>
          <w:trHeight w:val="397" w:hRule="exact"/>
        </w:trPr>
        <w:tc>
          <w:tcPr>
            <w:tcW w:w="10123"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2" w:right="0"/>
              <w:jc w:val="left"/>
              <w:rPr>
                <w:rFonts w:ascii="宋体" w:hAnsi="宋体" w:cs="宋体" w:eastAsia="宋体" w:hint="default"/>
                <w:sz w:val="18"/>
                <w:szCs w:val="18"/>
              </w:rPr>
            </w:pPr>
            <w:r>
              <w:rPr>
                <w:rFonts w:ascii="宋体" w:hAnsi="宋体" w:cs="宋体" w:eastAsia="宋体" w:hint="default"/>
                <w:sz w:val="18"/>
                <w:szCs w:val="18"/>
              </w:rPr>
              <w:t>分行业</w:t>
            </w:r>
          </w:p>
        </w:tc>
      </w:tr>
    </w:tbl>
    <w:p>
      <w:pPr>
        <w:spacing w:after="0" w:line="240" w:lineRule="auto"/>
        <w:jc w:val="left"/>
        <w:rPr>
          <w:rFonts w:ascii="宋体" w:hAnsi="宋体" w:cs="宋体" w:eastAsia="宋体" w:hint="default"/>
          <w:sz w:val="18"/>
          <w:szCs w:val="18"/>
        </w:rPr>
        <w:sectPr>
          <w:pgSz w:w="11910" w:h="16840"/>
          <w:pgMar w:header="566" w:footer="979" w:top="1360" w:bottom="1160" w:left="0" w:right="0"/>
        </w:sectPr>
      </w:pPr>
    </w:p>
    <w:p>
      <w:pPr>
        <w:spacing w:line="240" w:lineRule="auto" w:before="6"/>
        <w:rPr>
          <w:rFonts w:ascii="宋体" w:hAnsi="宋体" w:cs="宋体" w:eastAsia="宋体" w:hint="default"/>
          <w:sz w:val="5"/>
          <w:szCs w:val="5"/>
        </w:rPr>
      </w:pPr>
    </w:p>
    <w:tbl>
      <w:tblPr>
        <w:tblW w:w="0" w:type="auto"/>
        <w:jc w:val="left"/>
        <w:tblInd w:w="880" w:type="dxa"/>
        <w:tblLayout w:type="fixed"/>
        <w:tblCellMar>
          <w:top w:w="0" w:type="dxa"/>
          <w:left w:w="0" w:type="dxa"/>
          <w:bottom w:w="0" w:type="dxa"/>
          <w:right w:w="0" w:type="dxa"/>
        </w:tblCellMar>
        <w:tblLook w:val="01E0"/>
      </w:tblPr>
      <w:tblGrid>
        <w:gridCol w:w="2164"/>
        <w:gridCol w:w="1594"/>
        <w:gridCol w:w="1595"/>
        <w:gridCol w:w="1594"/>
        <w:gridCol w:w="1594"/>
        <w:gridCol w:w="1595"/>
      </w:tblGrid>
      <w:tr>
        <w:trPr>
          <w:trHeight w:val="402" w:hRule="exact"/>
        </w:trPr>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111,856,808.80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73,917,224.46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17.94%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51.33%</w:t>
            </w:r>
          </w:p>
        </w:tc>
      </w:tr>
      <w:tr>
        <w:trPr>
          <w:trHeight w:val="402" w:hRule="exact"/>
        </w:trPr>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社保医疗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110,502,639.15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83,051,604.26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20.16%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33.05%</w:t>
            </w:r>
          </w:p>
        </w:tc>
      </w:tr>
      <w:tr>
        <w:trPr>
          <w:trHeight w:val="402" w:hRule="exact"/>
        </w:trPr>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129,746,806.70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85,967,230.94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20.87%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50.93%</w:t>
            </w:r>
          </w:p>
        </w:tc>
      </w:tr>
      <w:tr>
        <w:trPr>
          <w:trHeight w:val="402" w:hRule="exact"/>
        </w:trPr>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11,682,826.13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12,991,048.08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-10.07%</w:t>
            </w:r>
          </w:p>
        </w:tc>
      </w:tr>
      <w:tr>
        <w:trPr>
          <w:trHeight w:val="402" w:hRule="exact"/>
        </w:trPr>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电力</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14,706,101.86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19,609,296.25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-25.00%</w:t>
            </w:r>
          </w:p>
        </w:tc>
      </w:tr>
      <w:tr>
        <w:trPr>
          <w:trHeight w:val="402" w:hRule="exact"/>
        </w:trPr>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交通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20,908,579.67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6,071,863.83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244.35%</w:t>
            </w:r>
          </w:p>
        </w:tc>
      </w:tr>
      <w:tr>
        <w:trPr>
          <w:trHeight w:val="402" w:hRule="exact"/>
        </w:trPr>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142,469,207.93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130,311,240.17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31.65%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9.33%</w:t>
            </w:r>
          </w:p>
        </w:tc>
      </w:tr>
      <w:tr>
        <w:trPr>
          <w:trHeight w:val="402" w:hRule="exact"/>
        </w:trPr>
        <w:tc>
          <w:tcPr>
            <w:tcW w:w="1013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数据中心第三方服务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345,666,208.24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289,829,845.45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70.36%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19.27%</w:t>
            </w:r>
          </w:p>
        </w:tc>
      </w:tr>
      <w:tr>
        <w:trPr>
          <w:trHeight w:val="402" w:hRule="exact"/>
        </w:trPr>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行业信息化解决方案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83,849,545.62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47,832,632.12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75.30%</w:t>
            </w:r>
          </w:p>
        </w:tc>
      </w:tr>
      <w:tr>
        <w:trPr>
          <w:trHeight w:val="402" w:hRule="exact"/>
        </w:trPr>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金融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外包服务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111,856,808.80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73,917,224.46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17.94%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51.33%</w:t>
            </w:r>
          </w:p>
        </w:tc>
      </w:tr>
      <w:tr>
        <w:trPr>
          <w:trHeight w:val="402" w:hRule="exact"/>
        </w:trPr>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500,407.58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339,805.96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47.26%</w:t>
            </w:r>
          </w:p>
        </w:tc>
      </w:tr>
      <w:tr>
        <w:trPr>
          <w:trHeight w:val="402" w:hRule="exact"/>
        </w:trPr>
        <w:tc>
          <w:tcPr>
            <w:tcW w:w="1013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辽宁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415,167,359.83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356,290,890.25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16.52%</w:t>
            </w:r>
          </w:p>
        </w:tc>
      </w:tr>
      <w:tr>
        <w:trPr>
          <w:trHeight w:val="402" w:hRule="exact"/>
        </w:trPr>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吉林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50,285,350.16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20,826,093.64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141.45%</w:t>
            </w:r>
          </w:p>
        </w:tc>
      </w:tr>
      <w:tr>
        <w:trPr>
          <w:trHeight w:val="402" w:hRule="exact"/>
        </w:trPr>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黑龙江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618,047.83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0.11%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435,590.47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0.11%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41.89%</w:t>
            </w:r>
          </w:p>
        </w:tc>
      </w:tr>
      <w:tr>
        <w:trPr>
          <w:trHeight w:val="402" w:hRule="exact"/>
        </w:trPr>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20,625,012.41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18,871,011.09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9.29%</w:t>
            </w:r>
          </w:p>
        </w:tc>
      </w:tr>
      <w:tr>
        <w:trPr>
          <w:trHeight w:val="402" w:hRule="exact"/>
        </w:trPr>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55,177,200.01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15,495,922.54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256.08%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占公司营业收入或营业利润10%以上的行业、产品或地区情况" w:id="31"/>
      <w:bookmarkEnd w:id="31"/>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879" w:type="dxa"/>
        <w:tblLayout w:type="fixed"/>
        <w:tblCellMar>
          <w:top w:w="0" w:type="dxa"/>
          <w:left w:w="0" w:type="dxa"/>
          <w:bottom w:w="0" w:type="dxa"/>
          <w:right w:w="0" w:type="dxa"/>
        </w:tblCellMar>
        <w:tblLook w:val="01E0"/>
      </w:tblPr>
      <w:tblGrid>
        <w:gridCol w:w="1934"/>
        <w:gridCol w:w="1367"/>
        <w:gridCol w:w="1366"/>
        <w:gridCol w:w="1367"/>
        <w:gridCol w:w="1367"/>
        <w:gridCol w:w="1368"/>
        <w:gridCol w:w="1370"/>
      </w:tblGrid>
      <w:tr>
        <w:trPr>
          <w:trHeight w:val="714" w:hRule="exact"/>
        </w:trPr>
        <w:tc>
          <w:tcPr>
            <w:tcW w:w="19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8"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9" w:right="47" w:hanging="270"/>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1013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111,856,808.80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78,843,865.81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59.60%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-3.66%</w:t>
            </w:r>
          </w:p>
        </w:tc>
      </w:tr>
      <w:tr>
        <w:trPr>
          <w:trHeight w:val="402" w:hRule="exact"/>
        </w:trPr>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社保医疗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110,502,639.15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51,017,534.35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23.30%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3.65%</w:t>
            </w:r>
          </w:p>
        </w:tc>
      </w:tr>
      <w:tr>
        <w:trPr>
          <w:trHeight w:val="402" w:hRule="exact"/>
        </w:trPr>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129,746,806.70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103,946,927.20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68.20%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-8.23%</w:t>
            </w:r>
          </w:p>
        </w:tc>
      </w:tr>
      <w:tr>
        <w:trPr>
          <w:trHeight w:val="402" w:hRule="exact"/>
        </w:trPr>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142,469,207.93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105,828,449.62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-1.87%</w:t>
            </w:r>
          </w:p>
        </w:tc>
      </w:tr>
      <w:tr>
        <w:trPr>
          <w:trHeight w:val="402" w:hRule="exact"/>
        </w:trPr>
        <w:tc>
          <w:tcPr>
            <w:tcW w:w="1013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数据中心第三方服务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345,666,208.24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268,574,427.22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29.40%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-6.09%</w:t>
            </w:r>
          </w:p>
        </w:tc>
      </w:tr>
      <w:tr>
        <w:trPr>
          <w:trHeight w:val="402" w:hRule="exact"/>
        </w:trPr>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行业信息化解决方案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83,849,545.62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24,916,548.93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-4.43%</w:t>
            </w:r>
          </w:p>
        </w:tc>
      </w:tr>
      <w:tr>
        <w:trPr>
          <w:trHeight w:val="402" w:hRule="exact"/>
        </w:trPr>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外包服务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111,856,808.80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78,843,865.81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59.60%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-3.66%</w:t>
            </w:r>
          </w:p>
        </w:tc>
      </w:tr>
      <w:tr>
        <w:trPr>
          <w:trHeight w:val="402" w:hRule="exact"/>
        </w:trPr>
        <w:tc>
          <w:tcPr>
            <w:tcW w:w="1013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bl>
    <w:p>
      <w:pPr>
        <w:spacing w:after="0" w:line="240" w:lineRule="auto"/>
        <w:jc w:val="left"/>
        <w:rPr>
          <w:rFonts w:ascii="宋体" w:hAnsi="宋体" w:cs="宋体" w:eastAsia="宋体" w:hint="default"/>
          <w:sz w:val="18"/>
          <w:szCs w:val="18"/>
        </w:rPr>
        <w:sectPr>
          <w:pgSz w:w="11910" w:h="16840"/>
          <w:pgMar w:header="566" w:footer="979" w:top="1360" w:bottom="1160" w:left="0" w:right="0"/>
        </w:sectPr>
      </w:pPr>
    </w:p>
    <w:p>
      <w:pPr>
        <w:spacing w:line="240" w:lineRule="auto" w:before="6"/>
        <w:rPr>
          <w:rFonts w:ascii="宋体" w:hAnsi="宋体" w:cs="宋体" w:eastAsia="宋体" w:hint="default"/>
          <w:sz w:val="5"/>
          <w:szCs w:val="5"/>
        </w:rPr>
      </w:pPr>
    </w:p>
    <w:tbl>
      <w:tblPr>
        <w:tblW w:w="0" w:type="auto"/>
        <w:jc w:val="left"/>
        <w:tblInd w:w="879" w:type="dxa"/>
        <w:tblLayout w:type="fixed"/>
        <w:tblCellMar>
          <w:top w:w="0" w:type="dxa"/>
          <w:left w:w="0" w:type="dxa"/>
          <w:bottom w:w="0" w:type="dxa"/>
          <w:right w:w="0" w:type="dxa"/>
        </w:tblCellMar>
        <w:tblLook w:val="01E0"/>
      </w:tblPr>
      <w:tblGrid>
        <w:gridCol w:w="1934"/>
        <w:gridCol w:w="1367"/>
        <w:gridCol w:w="1366"/>
        <w:gridCol w:w="1367"/>
        <w:gridCol w:w="1367"/>
        <w:gridCol w:w="1368"/>
        <w:gridCol w:w="1370"/>
      </w:tblGrid>
      <w:tr>
        <w:trPr>
          <w:trHeight w:val="402" w:hRule="exact"/>
        </w:trPr>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辽宁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415,167,359.83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296,536,483.70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23.09%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-3.81%</w:t>
            </w:r>
          </w:p>
        </w:tc>
      </w:tr>
      <w:tr>
        <w:trPr>
          <w:trHeight w:val="402" w:hRule="exact"/>
        </w:trPr>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55,177,200.01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22,704,133.65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256.08%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210.21%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6.08%</w:t>
            </w:r>
          </w:p>
        </w:tc>
      </w:tr>
    </w:tbl>
    <w:p>
      <w:pPr>
        <w:pStyle w:val="BodyText"/>
        <w:spacing w:line="240" w:lineRule="auto" w:before="51"/>
        <w:ind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4"/>
        <w:ind w:left="11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3）公司实物销售收入是否大于劳务收入" w:id="32"/>
      <w:bookmarkEnd w:id="32"/>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4）公司已签订的重大销售合同截至本报告期的履行情况" w:id="33"/>
      <w:bookmarkEnd w:id="33"/>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5）营业成本构成" w:id="34"/>
      <w:bookmarkEnd w:id="34"/>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产品分类</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879" w:type="dxa"/>
        <w:tblLayout w:type="fixed"/>
        <w:tblCellMar>
          <w:top w:w="0" w:type="dxa"/>
          <w:left w:w="0" w:type="dxa"/>
          <w:bottom w:w="0" w:type="dxa"/>
          <w:right w:w="0" w:type="dxa"/>
        </w:tblCellMar>
        <w:tblLook w:val="01E0"/>
      </w:tblPr>
      <w:tblGrid>
        <w:gridCol w:w="1936"/>
        <w:gridCol w:w="1367"/>
        <w:gridCol w:w="1367"/>
        <w:gridCol w:w="1368"/>
        <w:gridCol w:w="1367"/>
        <w:gridCol w:w="1367"/>
        <w:gridCol w:w="1367"/>
      </w:tblGrid>
      <w:tr>
        <w:trPr>
          <w:trHeight w:val="402" w:hRule="exact"/>
        </w:trPr>
        <w:tc>
          <w:tcPr>
            <w:tcW w:w="19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02"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936"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数据中心第三方服务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268,574,427.22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207,559,817.78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29.40%</w:t>
            </w:r>
          </w:p>
        </w:tc>
      </w:tr>
      <w:tr>
        <w:trPr>
          <w:trHeight w:val="402" w:hRule="exact"/>
        </w:trPr>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行业信息化解决方案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24,916,548.93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12,095,205.98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106.00%</w:t>
            </w:r>
          </w:p>
        </w:tc>
      </w:tr>
      <w:tr>
        <w:trPr>
          <w:trHeight w:val="402" w:hRule="exact"/>
        </w:trPr>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外包服务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78,843,865.81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49,399,481.28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59.60%</w:t>
            </w:r>
          </w:p>
        </w:tc>
      </w:tr>
      <w:tr>
        <w:trPr>
          <w:trHeight w:val="402" w:hRule="exact"/>
        </w:trPr>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329,411.26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13,084.10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2,417.65%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报告期内合并范围是否发生变动" w:id="35"/>
      <w:bookmarkEnd w:id="35"/>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left="1133" w:right="80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本期发生的非同一控制下企业合并</w:t>
      </w:r>
    </w:p>
    <w:p>
      <w:pPr>
        <w:spacing w:line="240" w:lineRule="auto" w:before="3"/>
        <w:rPr>
          <w:rFonts w:ascii="宋体" w:hAnsi="宋体" w:cs="宋体" w:eastAsia="宋体" w:hint="default"/>
          <w:sz w:val="2"/>
          <w:szCs w:val="2"/>
        </w:rPr>
      </w:pPr>
    </w:p>
    <w:tbl>
      <w:tblPr>
        <w:tblW w:w="0" w:type="auto"/>
        <w:jc w:val="left"/>
        <w:tblInd w:w="1124" w:type="dxa"/>
        <w:tblLayout w:type="fixed"/>
        <w:tblCellMar>
          <w:top w:w="0" w:type="dxa"/>
          <w:left w:w="0" w:type="dxa"/>
          <w:bottom w:w="0" w:type="dxa"/>
          <w:right w:w="0" w:type="dxa"/>
        </w:tblCellMar>
        <w:tblLook w:val="01E0"/>
      </w:tblPr>
      <w:tblGrid>
        <w:gridCol w:w="2518"/>
        <w:gridCol w:w="1558"/>
        <w:gridCol w:w="1561"/>
        <w:gridCol w:w="1833"/>
        <w:gridCol w:w="1649"/>
      </w:tblGrid>
      <w:tr>
        <w:trPr>
          <w:trHeight w:val="432" w:hRule="exact"/>
        </w:trPr>
        <w:tc>
          <w:tcPr>
            <w:tcW w:w="251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被购买方名称</w:t>
            </w:r>
          </w:p>
        </w:tc>
        <w:tc>
          <w:tcPr>
            <w:tcW w:w="155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股权取得时点</w:t>
            </w:r>
          </w:p>
        </w:tc>
        <w:tc>
          <w:tcPr>
            <w:tcW w:w="1561"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股权取得成本</w:t>
            </w:r>
          </w:p>
        </w:tc>
        <w:tc>
          <w:tcPr>
            <w:tcW w:w="183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股权取得比例（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49"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股权取得方式</w:t>
            </w:r>
          </w:p>
        </w:tc>
      </w:tr>
      <w:tr>
        <w:trPr>
          <w:trHeight w:val="433" w:hRule="exact"/>
        </w:trPr>
        <w:tc>
          <w:tcPr>
            <w:tcW w:w="25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上海米健信息技术有限公司</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2015-10-31</w:t>
            </w:r>
          </w:p>
        </w:tc>
        <w:tc>
          <w:tcPr>
            <w:tcW w:w="1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127,500,000.00</w:t>
            </w:r>
          </w:p>
        </w:tc>
        <w:tc>
          <w:tcPr>
            <w:tcW w:w="18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51.00</w:t>
            </w:r>
          </w:p>
        </w:tc>
        <w:tc>
          <w:tcPr>
            <w:tcW w:w="16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收购股权</w:t>
            </w:r>
          </w:p>
        </w:tc>
      </w:tr>
    </w:tbl>
    <w:p>
      <w:pPr>
        <w:pStyle w:val="BodyText"/>
        <w:spacing w:line="240" w:lineRule="auto" w:before="51"/>
        <w:ind w:right="0"/>
        <w:jc w:val="left"/>
      </w:pPr>
      <w:r>
        <w:rPr/>
        <w:t>（续表）</w:t>
      </w:r>
    </w:p>
    <w:p>
      <w:pPr>
        <w:spacing w:line="240" w:lineRule="auto" w:before="0"/>
        <w:rPr>
          <w:rFonts w:ascii="宋体" w:hAnsi="宋体" w:cs="宋体" w:eastAsia="宋体" w:hint="default"/>
          <w:sz w:val="8"/>
          <w:szCs w:val="8"/>
        </w:rPr>
      </w:pPr>
    </w:p>
    <w:tbl>
      <w:tblPr>
        <w:tblW w:w="0" w:type="auto"/>
        <w:jc w:val="left"/>
        <w:tblInd w:w="1124" w:type="dxa"/>
        <w:tblLayout w:type="fixed"/>
        <w:tblCellMar>
          <w:top w:w="0" w:type="dxa"/>
          <w:left w:w="0" w:type="dxa"/>
          <w:bottom w:w="0" w:type="dxa"/>
          <w:right w:w="0" w:type="dxa"/>
        </w:tblCellMar>
        <w:tblLook w:val="01E0"/>
      </w:tblPr>
      <w:tblGrid>
        <w:gridCol w:w="2519"/>
        <w:gridCol w:w="1277"/>
        <w:gridCol w:w="1700"/>
        <w:gridCol w:w="1700"/>
        <w:gridCol w:w="1922"/>
      </w:tblGrid>
      <w:tr>
        <w:trPr>
          <w:trHeight w:val="784" w:hRule="exact"/>
        </w:trPr>
        <w:tc>
          <w:tcPr>
            <w:tcW w:w="2519"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被购买方名称</w:t>
            </w:r>
          </w:p>
        </w:tc>
        <w:tc>
          <w:tcPr>
            <w:tcW w:w="1277"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购买日</w:t>
            </w:r>
          </w:p>
        </w:tc>
        <w:tc>
          <w:tcPr>
            <w:tcW w:w="170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购买日的确定依据</w:t>
            </w:r>
          </w:p>
        </w:tc>
        <w:tc>
          <w:tcPr>
            <w:tcW w:w="170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360" w:lineRule="auto" w:before="61"/>
              <w:ind w:left="208" w:right="209" w:firstLine="90"/>
              <w:jc w:val="left"/>
              <w:rPr>
                <w:rFonts w:ascii="宋体" w:hAnsi="宋体" w:cs="宋体" w:eastAsia="宋体" w:hint="default"/>
                <w:sz w:val="18"/>
                <w:szCs w:val="18"/>
              </w:rPr>
            </w:pPr>
            <w:r>
              <w:rPr>
                <w:rFonts w:ascii="宋体" w:hAnsi="宋体" w:cs="宋体" w:eastAsia="宋体" w:hint="default"/>
                <w:sz w:val="18"/>
                <w:szCs w:val="18"/>
              </w:rPr>
              <w:t>购买日至期末 被购买方的收入</w:t>
            </w:r>
          </w:p>
        </w:tc>
        <w:tc>
          <w:tcPr>
            <w:tcW w:w="192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360" w:lineRule="auto" w:before="61"/>
              <w:ind w:left="230" w:right="230" w:firstLine="180"/>
              <w:jc w:val="left"/>
              <w:rPr>
                <w:rFonts w:ascii="宋体" w:hAnsi="宋体" w:cs="宋体" w:eastAsia="宋体" w:hint="default"/>
                <w:sz w:val="18"/>
                <w:szCs w:val="18"/>
              </w:rPr>
            </w:pPr>
            <w:r>
              <w:rPr>
                <w:rFonts w:ascii="宋体" w:hAnsi="宋体" w:cs="宋体" w:eastAsia="宋体" w:hint="default"/>
                <w:sz w:val="18"/>
                <w:szCs w:val="18"/>
              </w:rPr>
              <w:t>购买日至期末 被购买方的净利润</w:t>
            </w:r>
          </w:p>
        </w:tc>
      </w:tr>
      <w:tr>
        <w:trPr>
          <w:trHeight w:val="433" w:hRule="exact"/>
        </w:trPr>
        <w:tc>
          <w:tcPr>
            <w:tcW w:w="25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上海米健信息技术有限公司</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2015-10-31</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取得控制权</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321" w:right="0"/>
              <w:jc w:val="left"/>
              <w:rPr>
                <w:rFonts w:ascii="Times New Roman" w:hAnsi="Times New Roman" w:cs="Times New Roman" w:eastAsia="Times New Roman" w:hint="default"/>
                <w:sz w:val="18"/>
                <w:szCs w:val="18"/>
              </w:rPr>
            </w:pPr>
            <w:r>
              <w:rPr>
                <w:rFonts w:ascii="Times New Roman"/>
                <w:sz w:val="18"/>
              </w:rPr>
              <w:t>27,277,330.69</w:t>
            </w:r>
          </w:p>
        </w:tc>
        <w:tc>
          <w:tcPr>
            <w:tcW w:w="19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433" w:right="0"/>
              <w:jc w:val="left"/>
              <w:rPr>
                <w:rFonts w:ascii="Times New Roman" w:hAnsi="Times New Roman" w:cs="Times New Roman" w:eastAsia="Times New Roman" w:hint="default"/>
                <w:sz w:val="18"/>
                <w:szCs w:val="18"/>
              </w:rPr>
            </w:pPr>
            <w:r>
              <w:rPr>
                <w:rFonts w:ascii="Times New Roman"/>
                <w:sz w:val="18"/>
              </w:rPr>
              <w:t>19,346,206.14</w:t>
            </w:r>
          </w:p>
        </w:tc>
      </w:tr>
    </w:tbl>
    <w:p>
      <w:pPr>
        <w:pStyle w:val="BodyText"/>
        <w:spacing w:line="319" w:lineRule="auto" w:before="51"/>
        <w:ind w:left="1133" w:right="1118"/>
        <w:jc w:val="left"/>
      </w:pPr>
      <w:r>
        <w:rPr>
          <w:spacing w:val="-2"/>
        </w:rPr>
        <w:t>苏州易健医疗信息技术有限公司和北京米东信息技术有限公司系上海米健信息技术有限公司之子公司，本次合并报表将其纳</w:t>
      </w:r>
      <w:r>
        <w:rPr>
          <w:spacing w:val="-64"/>
        </w:rPr>
        <w:t> </w:t>
      </w:r>
      <w:r>
        <w:rPr>
          <w:spacing w:val="-64"/>
        </w:rPr>
      </w:r>
      <w:r>
        <w:rPr/>
        <w:t>入合并范围。</w:t>
      </w:r>
    </w:p>
    <w:p>
      <w:pPr>
        <w:spacing w:after="0" w:line="319" w:lineRule="auto"/>
        <w:jc w:val="left"/>
        <w:sectPr>
          <w:pgSz w:w="11910" w:h="16840"/>
          <w:pgMar w:header="566" w:footer="979" w:top="1360" w:bottom="1160" w:left="0" w:right="0"/>
        </w:sectPr>
      </w:pPr>
    </w:p>
    <w:p>
      <w:pPr>
        <w:pStyle w:val="Heading3"/>
        <w:spacing w:line="240" w:lineRule="auto" w:before="56"/>
        <w:ind w:right="0"/>
        <w:jc w:val="left"/>
        <w:rPr>
          <w:b w:val="0"/>
          <w:bCs w:val="0"/>
        </w:rPr>
      </w:pPr>
      <w:bookmarkStart w:name="（7）公司报告期内业务、产品或服务发生重大变化或调整有关情况" w:id="36"/>
      <w:bookmarkEnd w:id="36"/>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8）主要销售客户和主要供应商情况" w:id="37"/>
      <w:bookmarkEnd w:id="37"/>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3" w:right="0"/>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120,941,136.04</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22.32%</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791"/>
        <w:gridCol w:w="3313"/>
        <w:gridCol w:w="2322"/>
        <w:gridCol w:w="3143"/>
      </w:tblGrid>
      <w:tr>
        <w:trPr>
          <w:trHeight w:val="401"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9" w:right="0"/>
              <w:jc w:val="center"/>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56,176,267.91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10.37%</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9" w:right="0"/>
              <w:jc w:val="center"/>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24,785,367.51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4.57%</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9" w:right="0"/>
              <w:jc w:val="center"/>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15,927,059.84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2.94%</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9" w:right="0"/>
              <w:jc w:val="center"/>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13,208,233.39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2.44%</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9" w:right="0"/>
              <w:jc w:val="center"/>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10,844,207.39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w:t>
            </w:r>
          </w:p>
        </w:tc>
      </w:tr>
      <w:tr>
        <w:trPr>
          <w:trHeight w:val="403"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120,941,136.04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22.32%</w:t>
            </w:r>
          </w:p>
        </w:tc>
      </w:tr>
    </w:tbl>
    <w:p>
      <w:pPr>
        <w:pStyle w:val="BodyText"/>
        <w:spacing w:line="240" w:lineRule="auto" w:before="51"/>
        <w:ind w:right="0"/>
        <w:jc w:val="left"/>
      </w:pPr>
      <w:r>
        <w:rPr/>
        <w:t>公司主要供应商情况</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65,655,952.60</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21.32%</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2"/>
        <w:rPr>
          <w:rFonts w:ascii="宋体" w:hAnsi="宋体" w:cs="宋体" w:eastAsia="宋体" w:hint="default"/>
          <w:sz w:val="6"/>
          <w:szCs w:val="6"/>
        </w:rPr>
      </w:pPr>
    </w:p>
    <w:tbl>
      <w:tblPr>
        <w:tblW w:w="0" w:type="auto"/>
        <w:jc w:val="left"/>
        <w:tblInd w:w="114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18,387,621.70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5.97%</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17,773,843.59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5.77%</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10,437,087.20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9,708,699.27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3.15%</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9,348,700.84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3.04%</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65,655,952.60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21.32%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费用" w:id="38"/>
      <w:bookmarkEnd w:id="38"/>
      <w:r>
        <w:rPr>
          <w:b w:val="0"/>
          <w:bCs w:val="0"/>
        </w:rPr>
      </w:r>
      <w:r>
        <w:rPr>
          <w:rFonts w:ascii="Times New Roman" w:hAnsi="Times New Roman" w:cs="Times New Roman" w:eastAsia="Times New Roman" w:hint="default"/>
        </w:rPr>
        <w:t>3</w:t>
      </w:r>
      <w:r>
        <w:rPr/>
        <w:t>、费用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971"/>
        <w:gridCol w:w="1146"/>
        <w:gridCol w:w="1134"/>
        <w:gridCol w:w="1134"/>
        <w:gridCol w:w="5172"/>
      </w:tblGrid>
      <w:tr>
        <w:trPr>
          <w:trHeight w:val="401" w:hRule="exact"/>
        </w:trPr>
        <w:tc>
          <w:tcPr>
            <w:tcW w:w="9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1"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5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19,238,252.15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16,010,435.77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20.16%</w:t>
            </w:r>
          </w:p>
        </w:tc>
        <w:tc>
          <w:tcPr>
            <w:tcW w:w="5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主要系本报告期职工薪酬等增加所致。</w:t>
            </w:r>
          </w:p>
        </w:tc>
      </w:tr>
      <w:tr>
        <w:trPr>
          <w:trHeight w:val="402" w:hRule="exact"/>
        </w:trPr>
        <w:tc>
          <w:tcPr>
            <w:tcW w:w="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72,498,871.57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56,637,221.37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28.01%</w:t>
            </w:r>
          </w:p>
        </w:tc>
        <w:tc>
          <w:tcPr>
            <w:tcW w:w="5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主要系本报告期职工薪酬及研究与开发费用等增加所致。</w:t>
            </w:r>
          </w:p>
        </w:tc>
      </w:tr>
      <w:tr>
        <w:trPr>
          <w:trHeight w:val="403" w:hRule="exact"/>
        </w:trPr>
        <w:tc>
          <w:tcPr>
            <w:tcW w:w="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3,713,194.68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4,463,581.14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-16.81%</w:t>
            </w:r>
          </w:p>
        </w:tc>
        <w:tc>
          <w:tcPr>
            <w:tcW w:w="5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主要系本报告期利息收入增加所致。</w:t>
            </w:r>
          </w:p>
        </w:tc>
      </w:tr>
    </w:tbl>
    <w:p>
      <w:pPr>
        <w:spacing w:after="0" w:line="240" w:lineRule="auto"/>
        <w:jc w:val="left"/>
        <w:rPr>
          <w:rFonts w:ascii="宋体" w:hAnsi="宋体" w:cs="宋体" w:eastAsia="宋体" w:hint="default"/>
          <w:sz w:val="18"/>
          <w:szCs w:val="18"/>
        </w:rPr>
        <w:sectPr>
          <w:pgSz w:w="11910" w:h="16840"/>
          <w:pgMar w:header="566" w:footer="979" w:top="1360" w:bottom="1160" w:left="0" w:right="0"/>
        </w:sectPr>
      </w:pPr>
    </w:p>
    <w:p>
      <w:pPr>
        <w:pStyle w:val="Heading3"/>
        <w:spacing w:line="240" w:lineRule="auto" w:before="57"/>
        <w:ind w:right="0"/>
        <w:jc w:val="left"/>
        <w:rPr>
          <w:b w:val="0"/>
          <w:bCs w:val="0"/>
        </w:rPr>
      </w:pPr>
      <w:bookmarkStart w:name="4、研发投入" w:id="39"/>
      <w:bookmarkEnd w:id="39"/>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1133"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报告期内，公司正在研发的项目如下：</w:t>
      </w:r>
    </w:p>
    <w:p>
      <w:pPr>
        <w:pStyle w:val="BodyText"/>
        <w:tabs>
          <w:tab w:pos="878" w:val="left" w:leader="none"/>
          <w:tab w:pos="5485" w:val="left" w:leader="none"/>
          <w:tab w:pos="10023" w:val="left" w:leader="none"/>
          <w:tab w:pos="10981" w:val="left" w:leader="none"/>
        </w:tabs>
        <w:spacing w:line="240" w:lineRule="auto" w:before="69"/>
        <w:ind w:left="207" w:right="0"/>
        <w:jc w:val="left"/>
      </w:pPr>
      <w:r>
        <w:rPr/>
        <w:t>序号</w:t>
        <w:tab/>
        <w:t>项目名称</w:t>
        <w:tab/>
        <w:t>项目简介</w:t>
        <w:tab/>
        <w:t>目前阶段</w:t>
        <w:tab/>
        <w:t>拟达目标</w:t>
      </w:r>
    </w:p>
    <w:p>
      <w:pPr>
        <w:spacing w:line="240" w:lineRule="auto" w:before="3"/>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pgSz w:w="11910" w:h="16840"/>
          <w:pgMar w:header="566" w:footer="979" w:top="1360" w:bottom="1160" w:left="0" w:right="0"/>
        </w:sectPr>
      </w:pPr>
    </w:p>
    <w:p>
      <w:pPr>
        <w:spacing w:line="240" w:lineRule="auto" w:before="4"/>
        <w:rPr>
          <w:rFonts w:ascii="宋体" w:hAnsi="宋体" w:cs="宋体" w:eastAsia="宋体" w:hint="default"/>
          <w:sz w:val="15"/>
          <w:szCs w:val="15"/>
        </w:rPr>
      </w:pPr>
    </w:p>
    <w:p>
      <w:pPr>
        <w:pStyle w:val="BodyText"/>
        <w:spacing w:line="216" w:lineRule="exact"/>
        <w:ind w:left="681" w:right="-19"/>
        <w:jc w:val="left"/>
      </w:pPr>
      <w:r>
        <w:rPr>
          <w:spacing w:val="7"/>
        </w:rPr>
        <w:t>公司统一开发</w:t>
      </w:r>
      <w:r>
        <w:rPr/>
      </w:r>
    </w:p>
    <w:p>
      <w:pPr>
        <w:pStyle w:val="BodyText"/>
        <w:spacing w:line="142" w:lineRule="exact"/>
        <w:ind w:left="342" w:right="-19"/>
        <w:jc w:val="left"/>
        <w:rPr>
          <w:rFonts w:ascii="Times New Roman" w:hAnsi="Times New Roman" w:cs="Times New Roman" w:eastAsia="Times New Roman" w:hint="default"/>
        </w:rPr>
      </w:pPr>
      <w:r>
        <w:rPr>
          <w:rFonts w:ascii="Times New Roman"/>
        </w:rPr>
        <w:t>1</w:t>
      </w:r>
    </w:p>
    <w:p>
      <w:pPr>
        <w:pStyle w:val="BodyText"/>
        <w:spacing w:line="190" w:lineRule="exact"/>
        <w:ind w:left="662" w:right="741"/>
        <w:jc w:val="center"/>
      </w:pPr>
      <w:r>
        <w:rPr/>
        <w:t>平台</w:t>
      </w:r>
    </w:p>
    <w:p>
      <w:pPr>
        <w:pStyle w:val="BodyText"/>
        <w:tabs>
          <w:tab w:pos="9226" w:val="left" w:leader="none"/>
        </w:tabs>
        <w:spacing w:line="300" w:lineRule="auto" w:before="44"/>
        <w:ind w:left="-29" w:right="293"/>
        <w:jc w:val="left"/>
      </w:pPr>
      <w:r>
        <w:rPr/>
        <w:br w:type="column"/>
      </w:r>
      <w:r>
        <w:rPr/>
        <w:t>延续</w:t>
      </w:r>
      <w:r>
        <w:rPr>
          <w:rFonts w:ascii="Times New Roman" w:hAnsi="Times New Roman" w:cs="Times New Roman" w:eastAsia="Times New Roman" w:hint="default"/>
        </w:rPr>
        <w:t>2014</w:t>
      </w:r>
      <w:r>
        <w:rPr/>
        <w:t>年的公司统一开发平台项目，基于</w:t>
      </w:r>
      <w:r>
        <w:rPr>
          <w:rFonts w:ascii="Times New Roman" w:hAnsi="Times New Roman" w:cs="Times New Roman" w:eastAsia="Times New Roman" w:hint="default"/>
        </w:rPr>
        <w:t>J2EE5</w:t>
      </w:r>
      <w:r>
        <w:rPr/>
        <w:t>架构，全面采用开源技术框架（</w:t>
      </w:r>
      <w:r>
        <w:rPr>
          <w:rFonts w:ascii="Times New Roman" w:hAnsi="Times New Roman" w:cs="Times New Roman" w:eastAsia="Times New Roman" w:hint="default"/>
        </w:rPr>
        <w:t>ionic</w:t>
      </w:r>
      <w:r>
        <w:rPr/>
        <w:t>，</w:t>
      </w:r>
      <w:r>
        <w:rPr>
          <w:rFonts w:ascii="Times New Roman" w:hAnsi="Times New Roman" w:cs="Times New Roman" w:eastAsia="Times New Roman" w:hint="default"/>
        </w:rPr>
        <w:t>Struts</w:t>
      </w:r>
      <w:r>
        <w:rPr/>
        <w:t>，</w:t>
      </w:r>
      <w:r>
        <w:rPr>
          <w:rFonts w:ascii="Times New Roman" w:hAnsi="Times New Roman" w:cs="Times New Roman" w:eastAsia="Times New Roman" w:hint="default"/>
        </w:rPr>
        <w:t>Spring</w:t>
      </w:r>
      <w:r>
        <w:rPr/>
        <w:t>， </w:t>
      </w:r>
      <w:r>
        <w:rPr>
          <w:rFonts w:ascii="Times New Roman" w:hAnsi="Times New Roman" w:cs="Times New Roman" w:eastAsia="Times New Roman" w:hint="default"/>
        </w:rPr>
        <w:t>Hibernate</w:t>
      </w:r>
      <w:r>
        <w:rPr/>
        <w:t>），在此基础上，做二次的开发和整合形成底层架构，搭建标准的一体化的应用开发平台。新</w:t>
      </w:r>
      <w:r>
        <w:rPr>
          <w:spacing w:val="-64"/>
        </w:rPr>
        <w:t> </w:t>
      </w:r>
      <w:r>
        <w:rPr/>
        <w:t>新版本研发</w:t>
        <w:tab/>
        <w:t>产品化</w:t>
      </w:r>
      <w:r>
        <w:rPr/>
        <w:t> 版本中增加了移动支持、</w:t>
      </w:r>
      <w:r>
        <w:rPr>
          <w:rFonts w:ascii="Times New Roman" w:hAnsi="Times New Roman" w:cs="Times New Roman" w:eastAsia="Times New Roman" w:hint="default"/>
        </w:rPr>
        <w:t>BI</w:t>
      </w:r>
      <w:r>
        <w:rPr/>
        <w:t>报表支持、缓存等，为公司各项目提供了更好的支持。</w:t>
      </w:r>
    </w:p>
    <w:p>
      <w:pPr>
        <w:spacing w:after="0" w:line="300" w:lineRule="auto"/>
        <w:jc w:val="left"/>
        <w:sectPr>
          <w:type w:val="continuous"/>
          <w:pgSz w:w="11910" w:h="16840"/>
          <w:pgMar w:top="1060" w:bottom="1160" w:left="0" w:right="0"/>
          <w:cols w:num="2" w:equalWidth="0">
            <w:col w:w="1805" w:space="40"/>
            <w:col w:w="10065"/>
          </w:cols>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tabs>
          <w:tab w:pos="681" w:val="left" w:leader="none"/>
        </w:tabs>
        <w:spacing w:line="240" w:lineRule="auto" w:before="125"/>
        <w:ind w:left="342" w:right="-20"/>
        <w:jc w:val="left"/>
      </w:pPr>
      <w:r>
        <w:rPr>
          <w:rFonts w:ascii="Times New Roman" w:hAnsi="Times New Roman" w:cs="Times New Roman" w:eastAsia="Times New Roman" w:hint="default"/>
        </w:rPr>
        <w:t>2</w:t>
        <w:tab/>
      </w:r>
      <w:r>
        <w:rPr/>
        <w:t>医患服务平台</w:t>
      </w:r>
    </w:p>
    <w:p>
      <w:pPr>
        <w:pStyle w:val="BodyText"/>
        <w:spacing w:line="312" w:lineRule="auto" w:before="128"/>
        <w:ind w:left="14" w:right="0"/>
        <w:jc w:val="both"/>
      </w:pPr>
      <w:r>
        <w:rPr/>
        <w:br w:type="column"/>
      </w:r>
      <w:r>
        <w:rPr/>
        <w:t>延续</w:t>
      </w:r>
      <w:r>
        <w:rPr>
          <w:rFonts w:ascii="Times New Roman" w:hAnsi="Times New Roman" w:cs="Times New Roman" w:eastAsia="Times New Roman" w:hint="default"/>
        </w:rPr>
        <w:t>2014</w:t>
      </w:r>
      <w:r>
        <w:rPr/>
        <w:t>年的研发项目，今年进行新版本的研发，是在</w:t>
      </w:r>
      <w:r>
        <w:rPr>
          <w:rFonts w:ascii="Times New Roman" w:hAnsi="Times New Roman" w:cs="Times New Roman" w:eastAsia="Times New Roman" w:hint="default"/>
        </w:rPr>
        <w:t>“</w:t>
      </w:r>
      <w:r>
        <w:rPr/>
        <w:t>以病人为中心</w:t>
      </w:r>
      <w:r>
        <w:rPr>
          <w:rFonts w:ascii="Times New Roman" w:hAnsi="Times New Roman" w:cs="Times New Roman" w:eastAsia="Times New Roman" w:hint="default"/>
        </w:rPr>
        <w:t>”</w:t>
      </w:r>
      <w:r>
        <w:rPr/>
        <w:t>的医疗理念的基础之上的升级之 作，旨在为患者提供更优质、更贴心的服务，结合了无线网络技术、移动计算机技术，使患者在就诊、 </w:t>
      </w:r>
      <w:r>
        <w:rPr>
          <w:spacing w:val="-1"/>
        </w:rPr>
        <w:t>住院的同时，能够及时并准确的获取到自己的相关医疗数据，既能提高诊疗质量又能提高诊疗效率，是</w:t>
      </w:r>
      <w:r>
        <w:rPr>
          <w:spacing w:val="-87"/>
        </w:rPr>
        <w:t> </w:t>
      </w:r>
      <w:r>
        <w:rPr>
          <w:spacing w:val="-87"/>
        </w:rPr>
      </w:r>
      <w:r>
        <w:rPr/>
        <w:t>今后医院信息化发展的上层趋势。该系统目前已进入市场推广阶段，市场前景很好。</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pStyle w:val="BodyText"/>
        <w:tabs>
          <w:tab w:pos="1114" w:val="left" w:leader="none"/>
        </w:tabs>
        <w:spacing w:line="240" w:lineRule="auto" w:before="125"/>
        <w:ind w:left="66" w:right="0"/>
        <w:jc w:val="left"/>
      </w:pPr>
      <w:r>
        <w:rPr/>
        <w:t>产品推广</w:t>
        <w:tab/>
        <w:t>产品化</w:t>
      </w:r>
    </w:p>
    <w:p>
      <w:pPr>
        <w:spacing w:after="0" w:line="240" w:lineRule="auto"/>
        <w:jc w:val="left"/>
        <w:sectPr>
          <w:type w:val="continuous"/>
          <w:pgSz w:w="11910" w:h="16840"/>
          <w:pgMar w:top="1060" w:bottom="1160" w:left="0" w:right="0"/>
          <w:cols w:num="3" w:equalWidth="0">
            <w:col w:w="1762" w:space="40"/>
            <w:col w:w="8116" w:space="40"/>
            <w:col w:w="1952"/>
          </w:cols>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6"/>
          <w:szCs w:val="16"/>
        </w:rPr>
      </w:pPr>
    </w:p>
    <w:p>
      <w:pPr>
        <w:pStyle w:val="BodyText"/>
        <w:spacing w:line="216" w:lineRule="exact"/>
        <w:ind w:left="681" w:right="-19"/>
        <w:jc w:val="left"/>
      </w:pPr>
      <w:r>
        <w:rPr>
          <w:spacing w:val="7"/>
        </w:rPr>
        <w:t>社保基金风险</w:t>
      </w:r>
      <w:r>
        <w:rPr/>
      </w:r>
    </w:p>
    <w:p>
      <w:pPr>
        <w:pStyle w:val="BodyText"/>
        <w:spacing w:line="142" w:lineRule="exact"/>
        <w:ind w:left="342" w:right="-19"/>
        <w:jc w:val="left"/>
        <w:rPr>
          <w:rFonts w:ascii="Times New Roman" w:hAnsi="Times New Roman" w:cs="Times New Roman" w:eastAsia="Times New Roman" w:hint="default"/>
        </w:rPr>
      </w:pPr>
      <w:r>
        <w:rPr>
          <w:rFonts w:ascii="Times New Roman"/>
        </w:rPr>
        <w:t>3</w:t>
      </w:r>
    </w:p>
    <w:p>
      <w:pPr>
        <w:pStyle w:val="BodyText"/>
        <w:spacing w:line="190" w:lineRule="exact"/>
        <w:ind w:left="681" w:right="-19"/>
        <w:jc w:val="left"/>
      </w:pPr>
      <w:r>
        <w:rPr/>
        <w:t>监督审核系统</w:t>
      </w:r>
    </w:p>
    <w:p>
      <w:pPr>
        <w:pStyle w:val="BodyText"/>
        <w:spacing w:line="302" w:lineRule="auto" w:before="137"/>
        <w:ind w:left="-29" w:right="-12"/>
        <w:jc w:val="left"/>
      </w:pPr>
      <w:r>
        <w:rPr/>
        <w:br w:type="column"/>
      </w:r>
      <w:r>
        <w:rPr/>
        <w:t>延续</w:t>
      </w:r>
      <w:r>
        <w:rPr>
          <w:rFonts w:ascii="Times New Roman" w:hAnsi="Times New Roman" w:cs="Times New Roman" w:eastAsia="Times New Roman" w:hint="default"/>
        </w:rPr>
        <w:t>2014</w:t>
      </w:r>
      <w:r>
        <w:rPr/>
        <w:t>年的研发项目，社保基金风险监督预测平台是一个以完善公共决策服务体系为目标的一体化平 </w:t>
      </w:r>
      <w:r>
        <w:rPr>
          <w:spacing w:val="-3"/>
        </w:rPr>
        <w:t>台产品，该产品通过整合现有软硬件和信息资源，将服务延伸至基层网点，为社会领导决策层提供便捷、</w:t>
      </w:r>
      <w:r>
        <w:rPr>
          <w:spacing w:val="-84"/>
        </w:rPr>
        <w:t> </w:t>
      </w:r>
      <w:r>
        <w:rPr>
          <w:spacing w:val="-84"/>
        </w:rPr>
      </w:r>
      <w:r>
        <w:rPr/>
        <w:t>多样的</w:t>
      </w:r>
      <w:r>
        <w:rPr>
          <w:rFonts w:ascii="Times New Roman" w:hAnsi="Times New Roman" w:cs="Times New Roman" w:eastAsia="Times New Roman" w:hint="default"/>
        </w:rPr>
        <w:t>“</w:t>
      </w:r>
      <w:r>
        <w:rPr/>
        <w:t>一站式</w:t>
      </w:r>
      <w:r>
        <w:rPr>
          <w:rFonts w:ascii="Times New Roman" w:hAnsi="Times New Roman" w:cs="Times New Roman" w:eastAsia="Times New Roman" w:hint="default"/>
        </w:rPr>
        <w:t>”</w:t>
      </w:r>
      <w:r>
        <w:rPr/>
        <w:t>人力资源和社会保障服务功能。该产品不仅包括人脸识别系统、数据交换系统、咨询服 务系统、预警管理系统、基金监管系统等功能，也可提供决策支持系统、</w:t>
      </w:r>
      <w:r>
        <w:rPr>
          <w:rFonts w:ascii="Times New Roman" w:hAnsi="Times New Roman" w:cs="Times New Roman" w:eastAsia="Times New Roman" w:hint="default"/>
        </w:rPr>
        <w:t>BI</w:t>
      </w:r>
      <w:r>
        <w:rPr/>
        <w:t>智能分析等扩展功能。与传 统的人力资源和社会保障服务相比，社保基金风险监督预测平台是一个</w:t>
      </w:r>
      <w:r>
        <w:rPr>
          <w:rFonts w:ascii="Times New Roman" w:hAnsi="Times New Roman" w:cs="Times New Roman" w:eastAsia="Times New Roman" w:hint="default"/>
        </w:rPr>
        <w:t>“</w:t>
      </w:r>
      <w:r>
        <w:rPr/>
        <w:t>全新</w:t>
      </w:r>
      <w:r>
        <w:rPr>
          <w:rFonts w:ascii="Times New Roman" w:hAnsi="Times New Roman" w:cs="Times New Roman" w:eastAsia="Times New Roman" w:hint="default"/>
        </w:rPr>
        <w:t>”</w:t>
      </w:r>
      <w:r>
        <w:rPr/>
        <w:t>的智能决策分析系统，它 不受时间和空间约束为社保决策层提供</w:t>
      </w:r>
      <w:r>
        <w:rPr>
          <w:rFonts w:ascii="Times New Roman" w:hAnsi="Times New Roman" w:cs="Times New Roman" w:eastAsia="Times New Roman" w:hint="default"/>
        </w:rPr>
        <w:t>24</w:t>
      </w:r>
      <w:r>
        <w:rPr/>
        <w:t>小时的</w:t>
      </w:r>
      <w:r>
        <w:rPr>
          <w:rFonts w:ascii="Times New Roman" w:hAnsi="Times New Roman" w:cs="Times New Roman" w:eastAsia="Times New Roman" w:hint="default"/>
        </w:rPr>
        <w:t>“</w:t>
      </w:r>
      <w:r>
        <w:rPr/>
        <w:t>统一</w:t>
      </w:r>
      <w:r>
        <w:rPr>
          <w:rFonts w:ascii="Times New Roman" w:hAnsi="Times New Roman" w:cs="Times New Roman" w:eastAsia="Times New Roman" w:hint="default"/>
        </w:rPr>
        <w:t>”</w:t>
      </w:r>
      <w:r>
        <w:rPr/>
        <w:t>服务。荣科社保基金风险监督预测平台主要的客 户群体为领导决策层和社保监管层。目前该系统已在社保行业进行推广。</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tabs>
          <w:tab w:pos="1064" w:val="left" w:leader="none"/>
        </w:tabs>
        <w:spacing w:line="240" w:lineRule="auto" w:before="131"/>
        <w:ind w:left="17" w:right="0"/>
        <w:jc w:val="left"/>
      </w:pPr>
      <w:r>
        <w:rPr/>
        <w:t>产品推广</w:t>
        <w:tab/>
        <w:t>产品化</w:t>
      </w:r>
    </w:p>
    <w:p>
      <w:pPr>
        <w:spacing w:after="0" w:line="240" w:lineRule="auto"/>
        <w:jc w:val="left"/>
        <w:sectPr>
          <w:type w:val="continuous"/>
          <w:pgSz w:w="11910" w:h="16840"/>
          <w:pgMar w:top="1060" w:bottom="1160" w:left="0" w:right="0"/>
          <w:cols w:num="3" w:equalWidth="0">
            <w:col w:w="1805" w:space="40"/>
            <w:col w:w="8122" w:space="40"/>
            <w:col w:w="1903"/>
          </w:cols>
        </w:sectPr>
      </w:pPr>
    </w:p>
    <w:p>
      <w:pPr>
        <w:spacing w:line="240" w:lineRule="auto" w:before="9"/>
        <w:rPr>
          <w:rFonts w:ascii="宋体" w:hAnsi="宋体" w:cs="宋体" w:eastAsia="宋体" w:hint="default"/>
          <w:sz w:val="7"/>
          <w:szCs w:val="7"/>
        </w:rPr>
      </w:pPr>
    </w:p>
    <w:p>
      <w:pPr>
        <w:spacing w:after="0" w:line="240" w:lineRule="auto"/>
        <w:rPr>
          <w:rFonts w:ascii="宋体" w:hAnsi="宋体" w:cs="宋体" w:eastAsia="宋体" w:hint="default"/>
          <w:sz w:val="7"/>
          <w:szCs w:val="7"/>
        </w:rPr>
        <w:sectPr>
          <w:type w:val="continuous"/>
          <w:pgSz w:w="11910" w:h="16840"/>
          <w:pgMar w:top="1060" w:bottom="1160" w:left="0" w:right="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16" w:lineRule="exact" w:before="118"/>
        <w:ind w:left="681" w:right="-19"/>
        <w:jc w:val="left"/>
      </w:pPr>
      <w:r>
        <w:rPr>
          <w:spacing w:val="7"/>
        </w:rPr>
        <w:t>医疗大数据平</w:t>
      </w:r>
      <w:r>
        <w:rPr/>
      </w:r>
    </w:p>
    <w:p>
      <w:pPr>
        <w:pStyle w:val="BodyText"/>
        <w:spacing w:line="142" w:lineRule="exact"/>
        <w:ind w:left="342" w:right="-19"/>
        <w:jc w:val="left"/>
        <w:rPr>
          <w:rFonts w:ascii="Times New Roman" w:hAnsi="Times New Roman" w:cs="Times New Roman" w:eastAsia="Times New Roman" w:hint="default"/>
        </w:rPr>
      </w:pPr>
      <w:r>
        <w:rPr>
          <w:rFonts w:ascii="Times New Roman"/>
        </w:rPr>
        <w:t>4</w:t>
      </w:r>
    </w:p>
    <w:p>
      <w:pPr>
        <w:pStyle w:val="BodyText"/>
        <w:spacing w:line="190" w:lineRule="exact"/>
        <w:ind w:left="482" w:right="741"/>
        <w:jc w:val="center"/>
      </w:pPr>
      <w:r>
        <w:rPr/>
        <w:t>台</w:t>
      </w:r>
    </w:p>
    <w:p>
      <w:pPr>
        <w:pStyle w:val="BodyText"/>
        <w:spacing w:line="314" w:lineRule="auto" w:before="44"/>
        <w:ind w:left="-29" w:right="-12"/>
        <w:jc w:val="left"/>
      </w:pPr>
      <w:r>
        <w:rPr/>
        <w:br w:type="column"/>
      </w:r>
      <w:r>
        <w:rPr/>
        <w:t>延续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年的研发项目，与国家科技支撑计划项目和募投项目相应。目前对健康人群及慢性病人群的 健康筛查和管理不足，定向保健人群的医疗保障问题突出，不能获取最优惠的医疗服务；健康大数据呈 </w:t>
      </w:r>
      <w:r>
        <w:rPr>
          <w:spacing w:val="-3"/>
        </w:rPr>
        <w:t>现爆发式增长，缺乏有效的管理和利用，基层医疗服务水平有待提高，政府监管和控制手段有待于加强；</w:t>
      </w:r>
      <w:r>
        <w:rPr>
          <w:spacing w:val="-84"/>
        </w:rPr>
        <w:t> </w:t>
      </w:r>
      <w:r>
        <w:rPr>
          <w:spacing w:val="-84"/>
        </w:rPr>
      </w:r>
      <w:r>
        <w:rPr/>
        <w:t>商业上没有形成健全、完善、可持续运营的健康服务体系，市场上缺乏全方位、成套、开放的健康服务</w:t>
      </w:r>
      <w:r>
        <w:rPr/>
        <w:t> 平台产品；针对这些情况，提出了该持续数年的研发项目，重点针对医疗大数据平台研发、医学建模、 新型商业模式等问题进行探索，面向军地基层健康服务人群，提供综合健康服务。平台已经进行了初步 的商业模式规划，积极探索基于大数据的健康服务模式，并已经在辽宁部分区县开始试点。</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0"/>
          <w:szCs w:val="20"/>
        </w:rPr>
      </w:pPr>
    </w:p>
    <w:p>
      <w:pPr>
        <w:pStyle w:val="BodyText"/>
        <w:tabs>
          <w:tab w:pos="974" w:val="left" w:leader="none"/>
        </w:tabs>
        <w:spacing w:line="240" w:lineRule="auto"/>
        <w:ind w:left="17" w:right="0"/>
        <w:jc w:val="left"/>
      </w:pPr>
      <w:r>
        <w:rPr/>
        <w:t>产品试用</w:t>
        <w:tab/>
        <w:t>运营平台</w:t>
      </w:r>
    </w:p>
    <w:p>
      <w:pPr>
        <w:spacing w:after="0" w:line="240" w:lineRule="auto"/>
        <w:jc w:val="left"/>
        <w:sectPr>
          <w:type w:val="continuous"/>
          <w:pgSz w:w="11910" w:h="16840"/>
          <w:pgMar w:top="1060" w:bottom="1160" w:left="0" w:right="0"/>
          <w:cols w:num="3" w:equalWidth="0">
            <w:col w:w="1805" w:space="40"/>
            <w:col w:w="8122" w:space="40"/>
            <w:col w:w="1903"/>
          </w:cols>
        </w:sectPr>
      </w:pPr>
    </w:p>
    <w:p>
      <w:pPr>
        <w:pStyle w:val="BodyText"/>
        <w:spacing w:line="300" w:lineRule="atLeast" w:before="84"/>
        <w:ind w:left="681" w:right="0" w:firstLine="1134"/>
        <w:jc w:val="left"/>
      </w:pPr>
      <w:r>
        <w:rPr/>
        <w:t>延续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年的研发项目，主要是解决医疗设备集成问题，以及根据业务流程和管理需求开发出精细化 </w:t>
      </w:r>
      <w:r>
        <w:rPr>
          <w:spacing w:val="-2"/>
        </w:rPr>
        <w:t>重症监护系统的软件应用系统。重症监护信息系统和医疗设备一体化解决方案相结合，就满足了重症监护的真正需求。</w:t>
      </w:r>
    </w:p>
    <w:p>
      <w:pPr>
        <w:pStyle w:val="BodyText"/>
        <w:spacing w:line="132" w:lineRule="exact"/>
        <w:ind w:left="342" w:right="0"/>
        <w:jc w:val="left"/>
        <w:rPr>
          <w:rFonts w:ascii="Times New Roman" w:hAnsi="Times New Roman" w:cs="Times New Roman" w:eastAsia="Times New Roman" w:hint="default"/>
        </w:rPr>
      </w:pPr>
      <w:r>
        <w:rPr>
          <w:rFonts w:ascii="Times New Roman"/>
        </w:rPr>
        <w:t>5</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16"/>
          <w:szCs w:val="16"/>
        </w:rPr>
      </w:pPr>
    </w:p>
    <w:p>
      <w:pPr>
        <w:pStyle w:val="BodyText"/>
        <w:tabs>
          <w:tab w:pos="1064" w:val="left" w:leader="none"/>
        </w:tabs>
        <w:spacing w:line="212" w:lineRule="exact"/>
        <w:ind w:left="17" w:right="0"/>
        <w:jc w:val="left"/>
      </w:pPr>
      <w:r>
        <w:rPr/>
        <w:t>产品推广</w:t>
        <w:tab/>
        <w:t>产品化</w:t>
      </w:r>
    </w:p>
    <w:p>
      <w:pPr>
        <w:spacing w:after="0" w:line="212" w:lineRule="exact"/>
        <w:jc w:val="left"/>
        <w:sectPr>
          <w:type w:val="continuous"/>
          <w:pgSz w:w="11910" w:h="16840"/>
          <w:pgMar w:top="1060" w:bottom="1160" w:left="0" w:right="0"/>
          <w:cols w:num="2" w:equalWidth="0">
            <w:col w:w="9967" w:space="40"/>
            <w:col w:w="1903"/>
          </w:cols>
        </w:sectPr>
      </w:pPr>
    </w:p>
    <w:p>
      <w:pPr>
        <w:pStyle w:val="BodyText"/>
        <w:spacing w:line="195" w:lineRule="exact"/>
        <w:ind w:left="681" w:right="-20"/>
        <w:jc w:val="left"/>
      </w:pPr>
      <w:r>
        <w:rPr/>
        <w:t>（</w:t>
      </w:r>
      <w:r>
        <w:rPr>
          <w:rFonts w:ascii="Times New Roman" w:hAnsi="Times New Roman" w:cs="Times New Roman" w:eastAsia="Times New Roman" w:hint="default"/>
        </w:rPr>
        <w:t>ICU</w:t>
      </w:r>
      <w:r>
        <w:rPr/>
        <w:t>）研发</w:t>
      </w:r>
    </w:p>
    <w:p>
      <w:pPr>
        <w:pStyle w:val="BodyText"/>
        <w:spacing w:line="194" w:lineRule="exact"/>
        <w:ind w:left="64" w:right="0"/>
        <w:jc w:val="left"/>
      </w:pPr>
      <w:r>
        <w:rPr/>
        <w:br w:type="column"/>
      </w:r>
      <w:r>
        <w:rPr/>
        <w:t>该系统已经在阜外心血管医院试运行，同时与深度合作的上海米健的</w:t>
      </w:r>
      <w:r>
        <w:rPr>
          <w:spacing w:val="-67"/>
        </w:rPr>
        <w:t> </w:t>
      </w:r>
      <w:r>
        <w:rPr>
          <w:rFonts w:ascii="Times New Roman" w:hAnsi="Times New Roman" w:cs="Times New Roman" w:eastAsia="Times New Roman" w:hint="default"/>
        </w:rPr>
        <w:t>ICU</w:t>
      </w:r>
      <w:r>
        <w:rPr>
          <w:rFonts w:ascii="Times New Roman" w:hAnsi="Times New Roman" w:cs="Times New Roman" w:eastAsia="Times New Roman" w:hint="default"/>
          <w:spacing w:val="-22"/>
        </w:rPr>
        <w:t> </w:t>
      </w:r>
      <w:r>
        <w:rPr>
          <w:spacing w:val="-3"/>
        </w:rPr>
        <w:t>产品在进行整合，整体系统功</w:t>
      </w:r>
    </w:p>
    <w:p>
      <w:pPr>
        <w:pStyle w:val="BodyText"/>
        <w:spacing w:line="240" w:lineRule="auto" w:before="64"/>
        <w:ind w:left="64" w:right="0"/>
        <w:jc w:val="left"/>
      </w:pPr>
      <w:r>
        <w:rPr/>
        <w:t>能已经嵌入米健的</w:t>
      </w:r>
      <w:r>
        <w:rPr>
          <w:spacing w:val="-46"/>
        </w:rPr>
        <w:t> </w:t>
      </w:r>
      <w:r>
        <w:rPr>
          <w:rFonts w:ascii="Times New Roman" w:hAnsi="Times New Roman" w:cs="Times New Roman" w:eastAsia="Times New Roman" w:hint="default"/>
        </w:rPr>
        <w:t>ICU</w:t>
      </w:r>
      <w:r>
        <w:rPr>
          <w:rFonts w:ascii="Times New Roman" w:hAnsi="Times New Roman" w:cs="Times New Roman" w:eastAsia="Times New Roman" w:hint="default"/>
          <w:spacing w:val="-2"/>
        </w:rPr>
        <w:t> </w:t>
      </w:r>
      <w:r>
        <w:rPr/>
        <w:t>系列产品，并与米健配合，启动了大规模的市场推广工作。</w:t>
      </w:r>
    </w:p>
    <w:p>
      <w:pPr>
        <w:spacing w:after="0" w:line="240" w:lineRule="auto"/>
        <w:jc w:val="left"/>
        <w:sectPr>
          <w:type w:val="continuous"/>
          <w:pgSz w:w="11910" w:h="16840"/>
          <w:pgMar w:top="1060" w:bottom="1160" w:left="0" w:right="0"/>
          <w:cols w:num="2" w:equalWidth="0">
            <w:col w:w="1712" w:space="40"/>
            <w:col w:w="10158"/>
          </w:cols>
        </w:sectPr>
      </w:pPr>
    </w:p>
    <w:p>
      <w:pPr>
        <w:spacing w:line="240" w:lineRule="auto" w:before="2"/>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type w:val="continuous"/>
          <w:pgSz w:w="11910" w:h="16840"/>
          <w:pgMar w:top="1060" w:bottom="1160" w:left="0" w:right="0"/>
        </w:sectPr>
      </w:pPr>
    </w:p>
    <w:p>
      <w:pPr>
        <w:pStyle w:val="BodyText"/>
        <w:spacing w:line="240" w:lineRule="auto" w:before="44"/>
        <w:ind w:left="681" w:right="-5"/>
        <w:jc w:val="left"/>
      </w:pPr>
      <w:r>
        <w:rPr/>
        <w:t>基于视频的特延续</w:t>
      </w:r>
      <w:r>
        <w:rPr>
          <w:rFonts w:ascii="Times New Roman" w:hAnsi="Times New Roman" w:cs="Times New Roman" w:eastAsia="Times New Roman" w:hint="default"/>
        </w:rPr>
        <w:t>2014</w:t>
      </w:r>
      <w:r>
        <w:rPr/>
        <w:t>年的研发项目，将智能视频监控技术与物联网融合，借助物联网思路和技术为智能视频监控产</w:t>
      </w:r>
    </w:p>
    <w:p>
      <w:pPr>
        <w:pStyle w:val="BodyText"/>
        <w:tabs>
          <w:tab w:pos="681" w:val="left" w:leader="none"/>
        </w:tabs>
        <w:spacing w:line="302" w:lineRule="auto" w:before="63"/>
        <w:ind w:left="681" w:right="0" w:hanging="340"/>
        <w:jc w:val="left"/>
      </w:pPr>
      <w:r>
        <w:rPr>
          <w:rFonts w:ascii="Times New Roman" w:hAnsi="Times New Roman" w:cs="Times New Roman" w:eastAsia="Times New Roman" w:hint="default"/>
        </w:rPr>
        <w:t>6</w:t>
        <w:tab/>
      </w:r>
      <w:r>
        <w:rPr/>
        <w:t>定行为智能分品的发展提供一个有力的支撑，形成对一些特定行为的建模学习和识别核心算法，如走私行为、恐怖行</w:t>
      </w:r>
      <w:r>
        <w:rPr>
          <w:spacing w:val="-79"/>
        </w:rPr>
        <w:t> </w:t>
      </w:r>
      <w:r>
        <w:rPr>
          <w:spacing w:val="-79"/>
        </w:rPr>
      </w:r>
      <w:r>
        <w:rPr/>
        <w:t>析与识别模型</w:t>
      </w:r>
      <w:r>
        <w:rPr>
          <w:spacing w:val="-36"/>
        </w:rPr>
        <w:t> </w:t>
      </w:r>
      <w:r>
        <w:rPr/>
        <w:t>为等。</w:t>
      </w:r>
    </w:p>
    <w:p>
      <w:pPr>
        <w:spacing w:line="240" w:lineRule="auto" w:before="0"/>
        <w:rPr>
          <w:rFonts w:ascii="宋体" w:hAnsi="宋体" w:cs="宋体" w:eastAsia="宋体" w:hint="default"/>
          <w:sz w:val="18"/>
          <w:szCs w:val="18"/>
        </w:rPr>
      </w:pPr>
      <w:r>
        <w:rPr/>
        <w:br w:type="column"/>
      </w:r>
      <w:r>
        <w:rPr>
          <w:rFonts w:ascii="宋体"/>
          <w:sz w:val="18"/>
        </w:rPr>
      </w:r>
    </w:p>
    <w:p>
      <w:pPr>
        <w:pStyle w:val="BodyText"/>
        <w:tabs>
          <w:tab w:pos="1154" w:val="left" w:leader="none"/>
        </w:tabs>
        <w:spacing w:line="240" w:lineRule="auto" w:before="121"/>
        <w:ind w:left="107" w:right="0"/>
        <w:jc w:val="left"/>
      </w:pPr>
      <w:r>
        <w:rPr/>
        <w:t>产品试用</w:t>
        <w:tab/>
        <w:t>产品化</w:t>
      </w:r>
    </w:p>
    <w:p>
      <w:pPr>
        <w:spacing w:after="0" w:line="240" w:lineRule="auto"/>
        <w:jc w:val="left"/>
        <w:sectPr>
          <w:type w:val="continuous"/>
          <w:pgSz w:w="11910" w:h="16840"/>
          <w:pgMar w:top="1060" w:bottom="1160" w:left="0" w:right="0"/>
          <w:cols w:num="2" w:equalWidth="0">
            <w:col w:w="9877" w:space="40"/>
            <w:col w:w="1993"/>
          </w:cols>
        </w:sectPr>
      </w:pPr>
    </w:p>
    <w:p>
      <w:pPr>
        <w:pStyle w:val="BodyText"/>
        <w:spacing w:line="216" w:lineRule="exact" w:before="143"/>
        <w:ind w:left="681" w:right="-6"/>
        <w:jc w:val="left"/>
      </w:pPr>
      <w:r>
        <w:rPr/>
        <w:t>荣科肾内综合重点优化了基于物联网平台的设备连接，同时在往平台化和肾病慢病管理方向升级；基于产品自身的完</w:t>
      </w:r>
    </w:p>
    <w:p>
      <w:pPr>
        <w:pStyle w:val="BodyText"/>
        <w:spacing w:line="152" w:lineRule="exact"/>
        <w:ind w:left="342" w:right="-6"/>
        <w:jc w:val="left"/>
        <w:rPr>
          <w:rFonts w:ascii="Times New Roman" w:hAnsi="Times New Roman" w:cs="Times New Roman" w:eastAsia="Times New Roman" w:hint="default"/>
        </w:rPr>
      </w:pPr>
      <w:r>
        <w:rPr>
          <w:rFonts w:ascii="Times New Roman"/>
        </w:rPr>
        <w:t>7</w:t>
      </w:r>
    </w:p>
    <w:p>
      <w:pPr>
        <w:spacing w:line="240" w:lineRule="auto" w:before="1"/>
        <w:rPr>
          <w:rFonts w:ascii="Times New Roman" w:hAnsi="Times New Roman" w:cs="Times New Roman" w:eastAsia="Times New Roman" w:hint="default"/>
          <w:sz w:val="26"/>
          <w:szCs w:val="26"/>
        </w:rPr>
      </w:pPr>
      <w:r>
        <w:rPr/>
        <w:br w:type="column"/>
      </w:r>
      <w:r>
        <w:rPr>
          <w:rFonts w:ascii="Times New Roman"/>
          <w:sz w:val="26"/>
        </w:rPr>
      </w:r>
    </w:p>
    <w:p>
      <w:pPr>
        <w:pStyle w:val="BodyText"/>
        <w:tabs>
          <w:tab w:pos="1155" w:val="left" w:leader="none"/>
        </w:tabs>
        <w:spacing w:line="212" w:lineRule="exact"/>
        <w:ind w:left="108" w:right="0"/>
        <w:jc w:val="left"/>
      </w:pPr>
      <w:r>
        <w:rPr/>
        <w:t>产品推广</w:t>
        <w:tab/>
        <w:t>产品化</w:t>
      </w:r>
    </w:p>
    <w:p>
      <w:pPr>
        <w:spacing w:after="0" w:line="212" w:lineRule="exact"/>
        <w:jc w:val="left"/>
        <w:sectPr>
          <w:type w:val="continuous"/>
          <w:pgSz w:w="11910" w:h="16840"/>
          <w:pgMar w:top="1060" w:bottom="1160" w:left="0" w:right="0"/>
          <w:cols w:num="2" w:equalWidth="0">
            <w:col w:w="9876" w:space="40"/>
            <w:col w:w="1994"/>
          </w:cols>
        </w:sectPr>
      </w:pPr>
    </w:p>
    <w:p>
      <w:pPr>
        <w:pStyle w:val="BodyText"/>
        <w:tabs>
          <w:tab w:pos="1815" w:val="left" w:leader="none"/>
        </w:tabs>
        <w:spacing w:line="180" w:lineRule="exact"/>
        <w:ind w:left="681" w:right="0"/>
        <w:jc w:val="left"/>
      </w:pPr>
      <w:r>
        <w:rPr/>
        <w:t>管理系统</w:t>
        <w:tab/>
        <w:t>善和市场推广力度的加大，在市场上取得了一系列突破。</w:t>
      </w:r>
    </w:p>
    <w:p>
      <w:pPr>
        <w:spacing w:line="240" w:lineRule="auto" w:before="3"/>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type w:val="continuous"/>
          <w:pgSz w:w="11910" w:h="16840"/>
          <w:pgMar w:top="1060" w:bottom="1160" w:left="0" w:right="0"/>
        </w:sectPr>
      </w:pPr>
    </w:p>
    <w:p>
      <w:pPr>
        <w:pStyle w:val="BodyText"/>
        <w:spacing w:line="300" w:lineRule="auto" w:before="44"/>
        <w:ind w:left="1816" w:right="-12"/>
        <w:jc w:val="left"/>
      </w:pPr>
      <w:r>
        <w:rPr/>
        <w:t>延续</w:t>
      </w:r>
      <w:r>
        <w:rPr>
          <w:rFonts w:ascii="Times New Roman" w:hAnsi="Times New Roman" w:cs="Times New Roman" w:eastAsia="Times New Roman" w:hint="default"/>
        </w:rPr>
        <w:t>2014</w:t>
      </w:r>
      <w:r>
        <w:rPr/>
        <w:t>年的研发项目，智慧社区运营平台是以基于</w:t>
      </w:r>
      <w:r>
        <w:rPr>
          <w:rFonts w:ascii="Times New Roman" w:hAnsi="Times New Roman" w:cs="Times New Roman" w:eastAsia="Times New Roman" w:hint="default"/>
        </w:rPr>
        <w:t>O2O</w:t>
      </w:r>
      <w:r>
        <w:rPr/>
        <w:t>模式，实现社区线上、线下综合服务的一种新 </w:t>
      </w:r>
      <w:r>
        <w:rPr>
          <w:spacing w:val="-3"/>
        </w:rPr>
        <w:t>理念。充分利用物联网、云计算、移动互联网等新一代信息技术的集成应用，为社区居民提供一个安全、</w:t>
      </w:r>
    </w:p>
    <w:p>
      <w:pPr>
        <w:pStyle w:val="BodyText"/>
        <w:spacing w:line="216" w:lineRule="exact" w:before="33"/>
        <w:ind w:left="681" w:right="-12"/>
        <w:jc w:val="left"/>
      </w:pPr>
      <w:r>
        <w:rPr/>
        <w:t>智慧社区运营舒适、便利的现代化、智慧化生活环境，从而形成基于信息化、智能化社会管理与服务的一种新的管理</w:t>
      </w:r>
    </w:p>
    <w:p>
      <w:pPr>
        <w:pStyle w:val="BodyText"/>
        <w:spacing w:line="151" w:lineRule="exact"/>
        <w:ind w:left="342" w:right="-12"/>
        <w:jc w:val="left"/>
        <w:rPr>
          <w:rFonts w:ascii="Times New Roman" w:hAnsi="Times New Roman" w:cs="Times New Roman" w:eastAsia="Times New Roman" w:hint="default"/>
        </w:rPr>
      </w:pPr>
      <w:r>
        <w:rPr>
          <w:rFonts w:ascii="Times New Roman"/>
        </w:rPr>
        <w:t>8</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17"/>
          <w:szCs w:val="17"/>
        </w:rPr>
      </w:pPr>
    </w:p>
    <w:p>
      <w:pPr>
        <w:pStyle w:val="BodyText"/>
        <w:tabs>
          <w:tab w:pos="974" w:val="left" w:leader="none"/>
        </w:tabs>
        <w:spacing w:line="210" w:lineRule="exact"/>
        <w:ind w:left="16" w:right="0"/>
        <w:jc w:val="left"/>
      </w:pPr>
      <w:r>
        <w:rPr/>
        <w:t>产品推广</w:t>
        <w:tab/>
        <w:t>运营平台</w:t>
      </w:r>
    </w:p>
    <w:p>
      <w:pPr>
        <w:spacing w:after="0" w:line="210" w:lineRule="exact"/>
        <w:jc w:val="left"/>
        <w:sectPr>
          <w:type w:val="continuous"/>
          <w:pgSz w:w="11910" w:h="16840"/>
          <w:pgMar w:top="1060" w:bottom="1160" w:left="0" w:right="0"/>
          <w:cols w:num="2" w:equalWidth="0">
            <w:col w:w="9967" w:space="40"/>
            <w:col w:w="1903"/>
          </w:cols>
        </w:sectPr>
      </w:pPr>
    </w:p>
    <w:p>
      <w:pPr>
        <w:pStyle w:val="BodyText"/>
        <w:tabs>
          <w:tab w:pos="1815" w:val="left" w:leader="none"/>
        </w:tabs>
        <w:spacing w:line="181" w:lineRule="exact"/>
        <w:ind w:left="681" w:right="0"/>
        <w:jc w:val="left"/>
      </w:pPr>
      <w:r>
        <w:rPr/>
        <w:pict>
          <v:group style="position:absolute;margin-left:4.860pt;margin-top:135.479980pt;width:585.7pt;height:630.5pt;mso-position-horizontal-relative:page;mso-position-vertical-relative:page;z-index:-614896" coordorigin="97,2710" coordsize="11714,12610">
            <v:group style="position:absolute;left:112;top:2737;width:552;height:2" coordorigin="112,2737" coordsize="552,2">
              <v:shape style="position:absolute;left:112;top:2737;width:552;height:2" coordorigin="112,2737" coordsize="552,0" path="m112,2737l664,2737e" filled="false" stroked="true" strokeweight=".48pt" strokecolor="#bebebe">
                <v:path arrowok="t"/>
              </v:shape>
            </v:group>
            <v:group style="position:absolute;left:113;top:2742;width:2;height:393" coordorigin="113,2742" coordsize="2,393">
              <v:shape style="position:absolute;left:113;top:2742;width:2;height:393" coordorigin="113,2742" coordsize="0,393" path="m113,2742l113,3135e" filled="false" stroked="true" strokeweight=".12pt" strokecolor="#bebebe">
                <v:path arrowok="t"/>
              </v:shape>
            </v:group>
            <v:group style="position:absolute;left:662;top:2742;width:2;height:393" coordorigin="662,2742" coordsize="2,393">
              <v:shape style="position:absolute;left:662;top:2742;width:2;height:393" coordorigin="662,2742" coordsize="0,393" path="m662,2742l662,3135e" filled="false" stroked="true" strokeweight=".12pt" strokecolor="#bebebe">
                <v:path arrowok="t"/>
              </v:shape>
            </v:group>
            <v:group style="position:absolute;left:112;top:3140;width:552;height:2" coordorigin="112,3140" coordsize="552,2">
              <v:shape style="position:absolute;left:112;top:3140;width:552;height:2" coordorigin="112,3140" coordsize="552,0" path="m112,3140l664,3140e" filled="false" stroked="true" strokeweight=".48pt" strokecolor="#bebebe">
                <v:path arrowok="t"/>
              </v:shape>
            </v:group>
            <v:group style="position:absolute;left:114;top:2742;width:548;height:393" coordorigin="114,2742" coordsize="548,393">
              <v:shape style="position:absolute;left:114;top:2742;width:548;height:393" coordorigin="114,2742" coordsize="548,393" path="m114,3135l661,3135,661,2742,114,2742,114,3135xe" filled="true" fillcolor="#bebebe" stroked="false">
                <v:path arrowok="t"/>
                <v:fill type="solid"/>
              </v:shape>
            </v:group>
            <v:group style="position:absolute;left:678;top:2737;width:1122;height:2" coordorigin="678,2737" coordsize="1122,2">
              <v:shape style="position:absolute;left:678;top:2737;width:1122;height:2" coordorigin="678,2737" coordsize="1122,0" path="m678,2737l1799,2737e" filled="false" stroked="true" strokeweight=".48pt" strokecolor="#bebebe">
                <v:path arrowok="t"/>
              </v:shape>
            </v:group>
            <v:group style="position:absolute;left:680;top:2742;width:2;height:393" coordorigin="680,2742" coordsize="2,393">
              <v:shape style="position:absolute;left:680;top:2742;width:2;height:393" coordorigin="680,2742" coordsize="0,393" path="m680,2742l680,3135e" filled="false" stroked="true" strokeweight=".18pt" strokecolor="#bebebe">
                <v:path arrowok="t"/>
              </v:shape>
            </v:group>
            <v:group style="position:absolute;left:1798;top:2742;width:2;height:393" coordorigin="1798,2742" coordsize="2,393">
              <v:shape style="position:absolute;left:1798;top:2742;width:2;height:393" coordorigin="1798,2742" coordsize="0,393" path="m1798,2742l1798,3135e" filled="false" stroked="true" strokeweight=".12pt" strokecolor="#bebebe">
                <v:path arrowok="t"/>
              </v:shape>
            </v:group>
            <v:group style="position:absolute;left:678;top:3140;width:1122;height:2" coordorigin="678,3140" coordsize="1122,2">
              <v:shape style="position:absolute;left:678;top:3140;width:1122;height:2" coordorigin="678,3140" coordsize="1122,0" path="m678,3140l1799,3140e" filled="false" stroked="true" strokeweight=".48pt" strokecolor="#bebebe">
                <v:path arrowok="t"/>
              </v:shape>
            </v:group>
            <v:group style="position:absolute;left:682;top:2742;width:1116;height:393" coordorigin="682,2742" coordsize="1116,393">
              <v:shape style="position:absolute;left:682;top:2742;width:1116;height:393" coordorigin="682,2742" coordsize="1116,393" path="m682,3135l1797,3135,1797,2742,682,2742,682,3135xe" filled="true" fillcolor="#bebebe" stroked="false">
                <v:path arrowok="t"/>
                <v:fill type="solid"/>
              </v:shape>
            </v:group>
            <v:group style="position:absolute;left:1814;top:2737;width:8068;height:2" coordorigin="1814,2737" coordsize="8068,2">
              <v:shape style="position:absolute;left:1814;top:2737;width:8068;height:2" coordorigin="1814,2737" coordsize="8068,0" path="m1814,2737l9881,2737e" filled="false" stroked="true" strokeweight=".48pt" strokecolor="#bebebe">
                <v:path arrowok="t"/>
              </v:shape>
            </v:group>
            <v:group style="position:absolute;left:1815;top:2742;width:2;height:393" coordorigin="1815,2742" coordsize="2,393">
              <v:shape style="position:absolute;left:1815;top:2742;width:2;height:393" coordorigin="1815,2742" coordsize="0,393" path="m1815,2742l1815,3135e" filled="false" stroked="true" strokeweight=".12pt" strokecolor="#bebebe">
                <v:path arrowok="t"/>
              </v:shape>
            </v:group>
            <v:group style="position:absolute;left:9879;top:2742;width:2;height:393" coordorigin="9879,2742" coordsize="2,393">
              <v:shape style="position:absolute;left:9879;top:2742;width:2;height:393" coordorigin="9879,2742" coordsize="0,393" path="m9879,2742l9879,3135e" filled="false" stroked="true" strokeweight=".18pt" strokecolor="#bebebe">
                <v:path arrowok="t"/>
              </v:shape>
            </v:group>
            <v:group style="position:absolute;left:1814;top:3140;width:8068;height:2" coordorigin="1814,3140" coordsize="8068,2">
              <v:shape style="position:absolute;left:1814;top:3140;width:8068;height:2" coordorigin="1814,3140" coordsize="8068,0" path="m1814,3140l9881,3140e" filled="false" stroked="true" strokeweight=".48pt" strokecolor="#bebebe">
                <v:path arrowok="t"/>
              </v:shape>
            </v:group>
            <v:group style="position:absolute;left:1816;top:2742;width:8062;height:393" coordorigin="1816,2742" coordsize="8062,393">
              <v:shape style="position:absolute;left:1816;top:2742;width:8062;height:393" coordorigin="1816,2742" coordsize="8062,393" path="m1816,3135l9877,3135,9877,2742,1816,2742,1816,3135xe" filled="true" fillcolor="#bebebe" stroked="false">
                <v:path arrowok="t"/>
                <v:fill type="solid"/>
              </v:shape>
            </v:group>
            <v:group style="position:absolute;left:9894;top:2737;width:980;height:2" coordorigin="9894,2737" coordsize="980,2">
              <v:shape style="position:absolute;left:9894;top:2737;width:980;height:2" coordorigin="9894,2737" coordsize="980,0" path="m9894,2737l10873,2737e" filled="false" stroked="true" strokeweight=".48pt" strokecolor="#bebebe">
                <v:path arrowok="t"/>
              </v:shape>
            </v:group>
            <v:group style="position:absolute;left:9896;top:2742;width:2;height:393" coordorigin="9896,2742" coordsize="2,393">
              <v:shape style="position:absolute;left:9896;top:2742;width:2;height:393" coordorigin="9896,2742" coordsize="0,393" path="m9896,2742l9896,3135e" filled="false" stroked="true" strokeweight=".18pt" strokecolor="#bebebe">
                <v:path arrowok="t"/>
              </v:shape>
            </v:group>
            <v:group style="position:absolute;left:10871;top:2742;width:2;height:393" coordorigin="10871,2742" coordsize="2,393">
              <v:shape style="position:absolute;left:10871;top:2742;width:2;height:393" coordorigin="10871,2742" coordsize="0,393" path="m10871,2742l10871,3135e" filled="false" stroked="true" strokeweight=".18pt" strokecolor="#bebebe">
                <v:path arrowok="t"/>
              </v:shape>
            </v:group>
            <v:group style="position:absolute;left:9894;top:3140;width:980;height:2" coordorigin="9894,3140" coordsize="980,2">
              <v:shape style="position:absolute;left:9894;top:3140;width:980;height:2" coordorigin="9894,3140" coordsize="980,0" path="m9894,3140l10873,3140e" filled="false" stroked="true" strokeweight=".48pt" strokecolor="#bebebe">
                <v:path arrowok="t"/>
              </v:shape>
            </v:group>
            <v:group style="position:absolute;left:9898;top:2742;width:972;height:393" coordorigin="9898,2742" coordsize="972,393">
              <v:shape style="position:absolute;left:9898;top:2742;width:972;height:393" coordorigin="9898,2742" coordsize="972,393" path="m9898,3135l10870,3135,10870,2742,9898,2742,9898,3135xe" filled="true" fillcolor="#bebebe" stroked="false">
                <v:path arrowok="t"/>
                <v:fill type="solid"/>
              </v:shape>
            </v:group>
            <v:group style="position:absolute;left:10888;top:2737;width:909;height:2" coordorigin="10888,2737" coordsize="909,2">
              <v:shape style="position:absolute;left:10888;top:2737;width:909;height:2" coordorigin="10888,2737" coordsize="909,0" path="m10888,2737l11796,2737e" filled="false" stroked="true" strokeweight=".48pt" strokecolor="#bebebe">
                <v:path arrowok="t"/>
              </v:shape>
            </v:group>
            <v:group style="position:absolute;left:10889;top:2742;width:2;height:393" coordorigin="10889,2742" coordsize="2,393">
              <v:shape style="position:absolute;left:10889;top:2742;width:2;height:393" coordorigin="10889,2742" coordsize="0,393" path="m10889,2742l10889,3135e" filled="false" stroked="true" strokeweight=".12pt" strokecolor="#bebebe">
                <v:path arrowok="t"/>
              </v:shape>
            </v:group>
            <v:group style="position:absolute;left:11795;top:2742;width:2;height:393" coordorigin="11795,2742" coordsize="2,393">
              <v:shape style="position:absolute;left:11795;top:2742;width:2;height:393" coordorigin="11795,2742" coordsize="0,393" path="m11795,2742l11795,3135e" filled="false" stroked="true" strokeweight=".12pt" strokecolor="#bebebe">
                <v:path arrowok="t"/>
              </v:shape>
            </v:group>
            <v:group style="position:absolute;left:10888;top:3140;width:909;height:2" coordorigin="10888,3140" coordsize="909,2">
              <v:shape style="position:absolute;left:10888;top:3140;width:909;height:2" coordorigin="10888,3140" coordsize="909,0" path="m10888,3140l11796,3140e" filled="false" stroked="true" strokeweight=".48pt" strokecolor="#bebebe">
                <v:path arrowok="t"/>
              </v:shape>
            </v:group>
            <v:group style="position:absolute;left:10890;top:2742;width:904;height:393" coordorigin="10890,2742" coordsize="904,393">
              <v:shape style="position:absolute;left:10890;top:2742;width:904;height:393" coordorigin="10890,2742" coordsize="904,393" path="m10890,3135l11794,3135,11794,2742,10890,2742,10890,3135xe" filled="true" fillcolor="#bebebe" stroked="false">
                <v:path arrowok="t"/>
                <v:fill type="solid"/>
              </v:shape>
            </v:group>
            <v:group style="position:absolute;left:112;top:2724;width:552;height:2" coordorigin="112,2724" coordsize="552,2">
              <v:shape style="position:absolute;left:112;top:2724;width:552;height:2" coordorigin="112,2724" coordsize="552,0" path="m112,2724l664,2724e" filled="false" stroked="true" strokeweight=".72pt" strokecolor="#000000">
                <v:path arrowok="t"/>
              </v:shape>
            </v:group>
            <v:group style="position:absolute;left:112;top:2737;width:552;height:2" coordorigin="112,2737" coordsize="552,2">
              <v:shape style="position:absolute;left:112;top:2737;width:552;height:2" coordorigin="112,2737" coordsize="552,0" path="m112,2737l664,2737e" filled="false" stroked="true" strokeweight=".54pt" strokecolor="#bebebe">
                <v:path arrowok="t"/>
              </v:shape>
            </v:group>
            <v:group style="position:absolute;left:678;top:2724;width:1122;height:2" coordorigin="678,2724" coordsize="1122,2">
              <v:shape style="position:absolute;left:678;top:2724;width:1122;height:2" coordorigin="678,2724" coordsize="1122,0" path="m678,2724l1799,2724e" filled="false" stroked="true" strokeweight=".72pt" strokecolor="#000000">
                <v:path arrowok="t"/>
              </v:shape>
            </v:group>
            <v:group style="position:absolute;left:678;top:2737;width:1122;height:2" coordorigin="678,2737" coordsize="1122,2">
              <v:shape style="position:absolute;left:678;top:2737;width:1122;height:2" coordorigin="678,2737" coordsize="1122,0" path="m678,2737l1799,2737e" filled="false" stroked="true" strokeweight=".54pt" strokecolor="#bebebe">
                <v:path arrowok="t"/>
              </v:shape>
            </v:group>
            <v:group style="position:absolute;left:1814;top:2724;width:8066;height:2" coordorigin="1814,2724" coordsize="8066,2">
              <v:shape style="position:absolute;left:1814;top:2724;width:8066;height:2" coordorigin="1814,2724" coordsize="8066,0" path="m1814,2724l9880,2724e" filled="false" stroked="true" strokeweight=".72pt" strokecolor="#000000">
                <v:path arrowok="t"/>
              </v:shape>
            </v:group>
            <v:group style="position:absolute;left:1814;top:2737;width:8066;height:2" coordorigin="1814,2737" coordsize="8066,2">
              <v:shape style="position:absolute;left:1814;top:2737;width:8066;height:2" coordorigin="1814,2737" coordsize="8066,0" path="m1814,2737l9880,2737e" filled="false" stroked="true" strokeweight=".54pt" strokecolor="#bebebe">
                <v:path arrowok="t"/>
              </v:shape>
            </v:group>
            <v:group style="position:absolute;left:9894;top:2724;width:980;height:2" coordorigin="9894,2724" coordsize="980,2">
              <v:shape style="position:absolute;left:9894;top:2724;width:980;height:2" coordorigin="9894,2724" coordsize="980,0" path="m9894,2724l10873,2724e" filled="false" stroked="true" strokeweight=".72pt" strokecolor="#000000">
                <v:path arrowok="t"/>
              </v:shape>
            </v:group>
            <v:group style="position:absolute;left:9894;top:2737;width:980;height:2" coordorigin="9894,2737" coordsize="980,2">
              <v:shape style="position:absolute;left:9894;top:2737;width:980;height:2" coordorigin="9894,2737" coordsize="980,0" path="m9894,2737l10873,2737e" filled="false" stroked="true" strokeweight=".54pt" strokecolor="#bebebe">
                <v:path arrowok="t"/>
              </v:shape>
            </v:group>
            <v:group style="position:absolute;left:10888;top:2724;width:909;height:2" coordorigin="10888,2724" coordsize="909,2">
              <v:shape style="position:absolute;left:10888;top:2724;width:909;height:2" coordorigin="10888,2724" coordsize="909,0" path="m10888,2724l11796,2724e" filled="false" stroked="true" strokeweight=".72pt" strokecolor="#000000">
                <v:path arrowok="t"/>
              </v:shape>
            </v:group>
            <v:group style="position:absolute;left:10888;top:2737;width:909;height:2" coordorigin="10888,2737" coordsize="909,2">
              <v:shape style="position:absolute;left:10888;top:2737;width:909;height:2" coordorigin="10888,2737" coordsize="909,0" path="m10888,2737l11796,2737e" filled="false" stroked="true" strokeweight=".54pt" strokecolor="#bebebe">
                <v:path arrowok="t"/>
              </v:shape>
            </v:group>
            <v:group style="position:absolute;left:104;top:3138;width:567;height:2" coordorigin="104,3138" coordsize="567,2">
              <v:shape style="position:absolute;left:104;top:3138;width:567;height:2" coordorigin="104,3138" coordsize="567,0" path="m104,3138l671,3138e" filled="false" stroked="true" strokeweight=".48pt" strokecolor="#bebebe">
                <v:path arrowok="t"/>
              </v:shape>
            </v:group>
            <v:group style="position:absolute;left:671;top:3138;width:1136;height:2" coordorigin="671,3138" coordsize="1136,2">
              <v:shape style="position:absolute;left:671;top:3138;width:1136;height:2" coordorigin="671,3138" coordsize="1136,0" path="m671,3138l1806,3138e" filled="false" stroked="true" strokeweight=".48pt" strokecolor="#bebebe">
                <v:path arrowok="t"/>
              </v:shape>
            </v:group>
            <v:group style="position:absolute;left:1806;top:3138;width:8081;height:2" coordorigin="1806,3138" coordsize="8081,2">
              <v:shape style="position:absolute;left:1806;top:3138;width:8081;height:2" coordorigin="1806,3138" coordsize="8081,0" path="m1806,3138l9887,3138e" filled="false" stroked="true" strokeweight=".48pt" strokecolor="#bebebe">
                <v:path arrowok="t"/>
              </v:shape>
            </v:group>
            <v:group style="position:absolute;left:9888;top:3138;width:993;height:2" coordorigin="9888,3138" coordsize="993,2">
              <v:shape style="position:absolute;left:9888;top:3138;width:993;height:2" coordorigin="9888,3138" coordsize="993,0" path="m9888,3138l10880,3138e" filled="false" stroked="true" strokeweight=".48pt" strokecolor="#bebebe">
                <v:path arrowok="t"/>
              </v:shape>
            </v:group>
            <v:group style="position:absolute;left:10880;top:3138;width:924;height:2" coordorigin="10880,3138" coordsize="924,2">
              <v:shape style="position:absolute;left:10880;top:3138;width:924;height:2" coordorigin="10880,3138" coordsize="924,0" path="m10880,3138l11804,3138e" filled="false" stroked="true" strokeweight=".48pt" strokecolor="#bebebe">
                <v:path arrowok="t"/>
              </v:shape>
            </v:group>
            <v:group style="position:absolute;left:112;top:3152;width:552;height:2" coordorigin="112,3152" coordsize="552,2">
              <v:shape style="position:absolute;left:112;top:3152;width:552;height:2" coordorigin="112,3152" coordsize="552,0" path="m112,3152l664,3152e" filled="false" stroked="true" strokeweight=".72pt" strokecolor="#000000">
                <v:path arrowok="t"/>
              </v:shape>
            </v:group>
            <v:group style="position:absolute;left:678;top:3152;width:1122;height:2" coordorigin="678,3152" coordsize="1122,2">
              <v:shape style="position:absolute;left:678;top:3152;width:1122;height:2" coordorigin="678,3152" coordsize="1122,0" path="m678,3152l1799,3152e" filled="false" stroked="true" strokeweight=".72pt" strokecolor="#000000">
                <v:path arrowok="t"/>
              </v:shape>
            </v:group>
            <v:group style="position:absolute;left:1814;top:3152;width:8066;height:2" coordorigin="1814,3152" coordsize="8066,2">
              <v:shape style="position:absolute;left:1814;top:3152;width:8066;height:2" coordorigin="1814,3152" coordsize="8066,0" path="m1814,3152l9880,3152e" filled="false" stroked="true" strokeweight=".72pt" strokecolor="#000000">
                <v:path arrowok="t"/>
              </v:shape>
            </v:group>
            <v:group style="position:absolute;left:9894;top:3152;width:980;height:2" coordorigin="9894,3152" coordsize="980,2">
              <v:shape style="position:absolute;left:9894;top:3152;width:980;height:2" coordorigin="9894,3152" coordsize="980,0" path="m9894,3152l10873,3152e" filled="false" stroked="true" strokeweight=".72pt" strokecolor="#000000">
                <v:path arrowok="t"/>
              </v:shape>
            </v:group>
            <v:group style="position:absolute;left:10888;top:3152;width:909;height:2" coordorigin="10888,3152" coordsize="909,2">
              <v:shape style="position:absolute;left:10888;top:3152;width:909;height:2" coordorigin="10888,3152" coordsize="909,0" path="m10888,3152l11796,3152e" filled="false" stroked="true" strokeweight=".72pt" strokecolor="#000000">
                <v:path arrowok="t"/>
              </v:shape>
            </v:group>
            <v:group style="position:absolute;left:112;top:4203;width:552;height:2" coordorigin="112,4203" coordsize="552,2">
              <v:shape style="position:absolute;left:112;top:4203;width:552;height:2" coordorigin="112,4203" coordsize="552,0" path="m112,4203l664,4203e" filled="false" stroked="true" strokeweight=".72pt" strokecolor="#000000">
                <v:path arrowok="t"/>
              </v:shape>
            </v:group>
            <v:group style="position:absolute;left:678;top:4203;width:1122;height:2" coordorigin="678,4203" coordsize="1122,2">
              <v:shape style="position:absolute;left:678;top:4203;width:1122;height:2" coordorigin="678,4203" coordsize="1122,0" path="m678,4203l1799,4203e" filled="false" stroked="true" strokeweight=".72pt" strokecolor="#000000">
                <v:path arrowok="t"/>
              </v:shape>
            </v:group>
            <v:group style="position:absolute;left:1814;top:4203;width:8066;height:2" coordorigin="1814,4203" coordsize="8066,2">
              <v:shape style="position:absolute;left:1814;top:4203;width:8066;height:2" coordorigin="1814,4203" coordsize="8066,0" path="m1814,4203l9880,4203e" filled="false" stroked="true" strokeweight=".72pt" strokecolor="#000000">
                <v:path arrowok="t"/>
              </v:shape>
            </v:group>
            <v:group style="position:absolute;left:9894;top:4203;width:980;height:2" coordorigin="9894,4203" coordsize="980,2">
              <v:shape style="position:absolute;left:9894;top:4203;width:980;height:2" coordorigin="9894,4203" coordsize="980,0" path="m9894,4203l10873,4203e" filled="false" stroked="true" strokeweight=".72pt" strokecolor="#000000">
                <v:path arrowok="t"/>
              </v:shape>
            </v:group>
            <v:group style="position:absolute;left:10888;top:4203;width:909;height:2" coordorigin="10888,4203" coordsize="909,2">
              <v:shape style="position:absolute;left:10888;top:4203;width:909;height:2" coordorigin="10888,4203" coordsize="909,0" path="m10888,4203l11796,4203e" filled="false" stroked="true" strokeweight=".72pt" strokecolor="#000000">
                <v:path arrowok="t"/>
              </v:shape>
            </v:group>
            <v:group style="position:absolute;left:112;top:5566;width:552;height:2" coordorigin="112,5566" coordsize="552,2">
              <v:shape style="position:absolute;left:112;top:5566;width:552;height:2" coordorigin="112,5566" coordsize="552,0" path="m112,5566l664,5566e" filled="false" stroked="true" strokeweight=".72pt" strokecolor="#000000">
                <v:path arrowok="t"/>
              </v:shape>
            </v:group>
            <v:group style="position:absolute;left:678;top:5566;width:1122;height:2" coordorigin="678,5566" coordsize="1122,2">
              <v:shape style="position:absolute;left:678;top:5566;width:1122;height:2" coordorigin="678,5566" coordsize="1122,0" path="m678,5566l1799,5566e" filled="false" stroked="true" strokeweight=".72pt" strokecolor="#000000">
                <v:path arrowok="t"/>
              </v:shape>
            </v:group>
            <v:group style="position:absolute;left:1814;top:5566;width:8066;height:2" coordorigin="1814,5566" coordsize="8066,2">
              <v:shape style="position:absolute;left:1814;top:5566;width:8066;height:2" coordorigin="1814,5566" coordsize="8066,0" path="m1814,5566l9880,5566e" filled="false" stroked="true" strokeweight=".72pt" strokecolor="#000000">
                <v:path arrowok="t"/>
              </v:shape>
            </v:group>
            <v:group style="position:absolute;left:9894;top:5566;width:980;height:2" coordorigin="9894,5566" coordsize="980,2">
              <v:shape style="position:absolute;left:9894;top:5566;width:980;height:2" coordorigin="9894,5566" coordsize="980,0" path="m9894,5566l10873,5566e" filled="false" stroked="true" strokeweight=".72pt" strokecolor="#000000">
                <v:path arrowok="t"/>
              </v:shape>
            </v:group>
            <v:group style="position:absolute;left:10888;top:5566;width:909;height:2" coordorigin="10888,5566" coordsize="909,2">
              <v:shape style="position:absolute;left:10888;top:5566;width:909;height:2" coordorigin="10888,5566" coordsize="909,0" path="m10888,5566l11796,5566e" filled="false" stroked="true" strokeweight=".72pt" strokecolor="#000000">
                <v:path arrowok="t"/>
              </v:shape>
            </v:group>
            <v:group style="position:absolute;left:112;top:7865;width:552;height:2" coordorigin="112,7865" coordsize="552,2">
              <v:shape style="position:absolute;left:112;top:7865;width:552;height:2" coordorigin="112,7865" coordsize="552,0" path="m112,7865l664,7865e" filled="false" stroked="true" strokeweight=".72pt" strokecolor="#000000">
                <v:path arrowok="t"/>
              </v:shape>
            </v:group>
            <v:group style="position:absolute;left:678;top:7865;width:1122;height:2" coordorigin="678,7865" coordsize="1122,2">
              <v:shape style="position:absolute;left:678;top:7865;width:1122;height:2" coordorigin="678,7865" coordsize="1122,0" path="m678,7865l1799,7865e" filled="false" stroked="true" strokeweight=".72pt" strokecolor="#000000">
                <v:path arrowok="t"/>
              </v:shape>
            </v:group>
            <v:group style="position:absolute;left:1814;top:7865;width:8066;height:2" coordorigin="1814,7865" coordsize="8066,2">
              <v:shape style="position:absolute;left:1814;top:7865;width:8066;height:2" coordorigin="1814,7865" coordsize="8066,0" path="m1814,7865l9880,7865e" filled="false" stroked="true" strokeweight=".72pt" strokecolor="#000000">
                <v:path arrowok="t"/>
              </v:shape>
            </v:group>
            <v:group style="position:absolute;left:9894;top:7865;width:980;height:2" coordorigin="9894,7865" coordsize="980,2">
              <v:shape style="position:absolute;left:9894;top:7865;width:980;height:2" coordorigin="9894,7865" coordsize="980,0" path="m9894,7865l10873,7865e" filled="false" stroked="true" strokeweight=".72pt" strokecolor="#000000">
                <v:path arrowok="t"/>
              </v:shape>
            </v:group>
            <v:group style="position:absolute;left:10888;top:7865;width:909;height:2" coordorigin="10888,7865" coordsize="909,2">
              <v:shape style="position:absolute;left:10888;top:7865;width:909;height:2" coordorigin="10888,7865" coordsize="909,0" path="m10888,7865l11796,7865e" filled="false" stroked="true" strokeweight=".72pt" strokecolor="#000000">
                <v:path arrowok="t"/>
              </v:shape>
            </v:group>
            <v:group style="position:absolute;left:112;top:10165;width:552;height:2" coordorigin="112,10165" coordsize="552,2">
              <v:shape style="position:absolute;left:112;top:10165;width:552;height:2" coordorigin="112,10165" coordsize="552,0" path="m112,10165l664,10165e" filled="false" stroked="true" strokeweight=".72pt" strokecolor="#000000">
                <v:path arrowok="t"/>
              </v:shape>
            </v:group>
            <v:group style="position:absolute;left:678;top:10165;width:1122;height:2" coordorigin="678,10165" coordsize="1122,2">
              <v:shape style="position:absolute;left:678;top:10165;width:1122;height:2" coordorigin="678,10165" coordsize="1122,0" path="m678,10165l1799,10165e" filled="false" stroked="true" strokeweight=".72pt" strokecolor="#000000">
                <v:path arrowok="t"/>
              </v:shape>
            </v:group>
            <v:group style="position:absolute;left:1814;top:10165;width:8066;height:2" coordorigin="1814,10165" coordsize="8066,2">
              <v:shape style="position:absolute;left:1814;top:10165;width:8066;height:2" coordorigin="1814,10165" coordsize="8066,0" path="m1814,10165l9880,10165e" filled="false" stroked="true" strokeweight=".72pt" strokecolor="#000000">
                <v:path arrowok="t"/>
              </v:shape>
            </v:group>
            <v:group style="position:absolute;left:9894;top:10165;width:980;height:2" coordorigin="9894,10165" coordsize="980,2">
              <v:shape style="position:absolute;left:9894;top:10165;width:980;height:2" coordorigin="9894,10165" coordsize="980,0" path="m9894,10165l10873,10165e" filled="false" stroked="true" strokeweight=".72pt" strokecolor="#000000">
                <v:path arrowok="t"/>
              </v:shape>
            </v:group>
            <v:group style="position:absolute;left:10888;top:10165;width:909;height:2" coordorigin="10888,10165" coordsize="909,2">
              <v:shape style="position:absolute;left:10888;top:10165;width:909;height:2" coordorigin="10888,10165" coordsize="909,0" path="m10888,10165l11796,10165e" filled="false" stroked="true" strokeweight=".72pt" strokecolor="#000000">
                <v:path arrowok="t"/>
              </v:shape>
            </v:group>
            <v:group style="position:absolute;left:112;top:11527;width:552;height:2" coordorigin="112,11527" coordsize="552,2">
              <v:shape style="position:absolute;left:112;top:11527;width:552;height:2" coordorigin="112,11527" coordsize="552,0" path="m112,11527l664,11527e" filled="false" stroked="true" strokeweight=".72pt" strokecolor="#000000">
                <v:path arrowok="t"/>
              </v:shape>
            </v:group>
            <v:group style="position:absolute;left:678;top:11527;width:1122;height:2" coordorigin="678,11527" coordsize="1122,2">
              <v:shape style="position:absolute;left:678;top:11527;width:1122;height:2" coordorigin="678,11527" coordsize="1122,0" path="m678,11527l1799,11527e" filled="false" stroked="true" strokeweight=".72pt" strokecolor="#000000">
                <v:path arrowok="t"/>
              </v:shape>
            </v:group>
            <v:group style="position:absolute;left:1814;top:11527;width:8066;height:2" coordorigin="1814,11527" coordsize="8066,2">
              <v:shape style="position:absolute;left:1814;top:11527;width:8066;height:2" coordorigin="1814,11527" coordsize="8066,0" path="m1814,11527l9880,11527e" filled="false" stroked="true" strokeweight=".72pt" strokecolor="#000000">
                <v:path arrowok="t"/>
              </v:shape>
            </v:group>
            <v:group style="position:absolute;left:9894;top:11527;width:980;height:2" coordorigin="9894,11527" coordsize="980,2">
              <v:shape style="position:absolute;left:9894;top:11527;width:980;height:2" coordorigin="9894,11527" coordsize="980,0" path="m9894,11527l10873,11527e" filled="false" stroked="true" strokeweight=".72pt" strokecolor="#000000">
                <v:path arrowok="t"/>
              </v:shape>
            </v:group>
            <v:group style="position:absolute;left:10888;top:11527;width:909;height:2" coordorigin="10888,11527" coordsize="909,2">
              <v:shape style="position:absolute;left:10888;top:11527;width:909;height:2" coordorigin="10888,11527" coordsize="909,0" path="m10888,11527l11796,11527e" filled="false" stroked="true" strokeweight=".72pt" strokecolor="#000000">
                <v:path arrowok="t"/>
              </v:shape>
            </v:group>
            <v:group style="position:absolute;left:112;top:12578;width:552;height:2" coordorigin="112,12578" coordsize="552,2">
              <v:shape style="position:absolute;left:112;top:12578;width:552;height:2" coordorigin="112,12578" coordsize="552,0" path="m112,12578l664,12578e" filled="false" stroked="true" strokeweight=".72pt" strokecolor="#000000">
                <v:path arrowok="t"/>
              </v:shape>
            </v:group>
            <v:group style="position:absolute;left:678;top:12578;width:1122;height:2" coordorigin="678,12578" coordsize="1122,2">
              <v:shape style="position:absolute;left:678;top:12578;width:1122;height:2" coordorigin="678,12578" coordsize="1122,0" path="m678,12578l1799,12578e" filled="false" stroked="true" strokeweight=".72pt" strokecolor="#000000">
                <v:path arrowok="t"/>
              </v:shape>
            </v:group>
            <v:group style="position:absolute;left:1814;top:12578;width:8066;height:2" coordorigin="1814,12578" coordsize="8066,2">
              <v:shape style="position:absolute;left:1814;top:12578;width:8066;height:2" coordorigin="1814,12578" coordsize="8066,0" path="m1814,12578l9880,12578e" filled="false" stroked="true" strokeweight=".72pt" strokecolor="#000000">
                <v:path arrowok="t"/>
              </v:shape>
            </v:group>
            <v:group style="position:absolute;left:9894;top:12578;width:980;height:2" coordorigin="9894,12578" coordsize="980,2">
              <v:shape style="position:absolute;left:9894;top:12578;width:980;height:2" coordorigin="9894,12578" coordsize="980,0" path="m9894,12578l10873,12578e" filled="false" stroked="true" strokeweight=".72pt" strokecolor="#000000">
                <v:path arrowok="t"/>
              </v:shape>
            </v:group>
            <v:group style="position:absolute;left:10888;top:12578;width:909;height:2" coordorigin="10888,12578" coordsize="909,2">
              <v:shape style="position:absolute;left:10888;top:12578;width:909;height:2" coordorigin="10888,12578" coordsize="909,0" path="m10888,12578l11796,12578e" filled="false" stroked="true" strokeweight=".72pt" strokecolor="#000000">
                <v:path arrowok="t"/>
              </v:shape>
            </v:group>
            <v:group style="position:absolute;left:112;top:13317;width:552;height:2" coordorigin="112,13317" coordsize="552,2">
              <v:shape style="position:absolute;left:112;top:13317;width:552;height:2" coordorigin="112,13317" coordsize="552,0" path="m112,13317l664,13317e" filled="false" stroked="true" strokeweight=".72pt" strokecolor="#000000">
                <v:path arrowok="t"/>
              </v:shape>
            </v:group>
            <v:group style="position:absolute;left:678;top:13317;width:1122;height:2" coordorigin="678,13317" coordsize="1122,2">
              <v:shape style="position:absolute;left:678;top:13317;width:1122;height:2" coordorigin="678,13317" coordsize="1122,0" path="m678,13317l1799,13317e" filled="false" stroked="true" strokeweight=".72pt" strokecolor="#000000">
                <v:path arrowok="t"/>
              </v:shape>
            </v:group>
            <v:group style="position:absolute;left:1814;top:13317;width:8066;height:2" coordorigin="1814,13317" coordsize="8066,2">
              <v:shape style="position:absolute;left:1814;top:13317;width:8066;height:2" coordorigin="1814,13317" coordsize="8066,0" path="m1814,13317l9880,13317e" filled="false" stroked="true" strokeweight=".72pt" strokecolor="#000000">
                <v:path arrowok="t"/>
              </v:shape>
            </v:group>
            <v:group style="position:absolute;left:9894;top:13317;width:980;height:2" coordorigin="9894,13317" coordsize="980,2">
              <v:shape style="position:absolute;left:9894;top:13317;width:980;height:2" coordorigin="9894,13317" coordsize="980,0" path="m9894,13317l10873,13317e" filled="false" stroked="true" strokeweight=".72pt" strokecolor="#000000">
                <v:path arrowok="t"/>
              </v:shape>
            </v:group>
            <v:group style="position:absolute;left:10888;top:13317;width:909;height:2" coordorigin="10888,13317" coordsize="909,2">
              <v:shape style="position:absolute;left:10888;top:13317;width:909;height:2" coordorigin="10888,13317" coordsize="909,0" path="m10888,13317l11796,13317e" filled="false" stroked="true" strokeweight=".72pt" strokecolor="#000000">
                <v:path arrowok="t"/>
              </v:shape>
            </v:group>
            <v:group style="position:absolute;left:104;top:2717;width:2;height:12596" coordorigin="104,2717" coordsize="2,12596">
              <v:shape style="position:absolute;left:104;top:2717;width:2;height:12596" coordorigin="104,2717" coordsize="0,12596" path="m104,2717l104,15312e" filled="false" stroked="true" strokeweight=".72pt" strokecolor="#000000">
                <v:path arrowok="t"/>
              </v:shape>
            </v:group>
            <v:group style="position:absolute;left:112;top:15305;width:552;height:2" coordorigin="112,15305" coordsize="552,2">
              <v:shape style="position:absolute;left:112;top:15305;width:552;height:2" coordorigin="112,15305" coordsize="552,0" path="m112,15305l664,15305e" filled="false" stroked="true" strokeweight=".72pt" strokecolor="#000000">
                <v:path arrowok="t"/>
              </v:shape>
            </v:group>
            <v:group style="position:absolute;left:671;top:2717;width:2;height:12596" coordorigin="671,2717" coordsize="2,12596">
              <v:shape style="position:absolute;left:671;top:2717;width:2;height:12596" coordorigin="671,2717" coordsize="0,12596" path="m671,2717l671,15312e" filled="false" stroked="true" strokeweight=".72pt" strokecolor="#000000">
                <v:path arrowok="t"/>
              </v:shape>
            </v:group>
            <v:group style="position:absolute;left:678;top:15305;width:1122;height:2" coordorigin="678,15305" coordsize="1122,2">
              <v:shape style="position:absolute;left:678;top:15305;width:1122;height:2" coordorigin="678,15305" coordsize="1122,0" path="m678,15305l1799,15305e" filled="false" stroked="true" strokeweight=".72pt" strokecolor="#000000">
                <v:path arrowok="t"/>
              </v:shape>
            </v:group>
            <v:group style="position:absolute;left:1806;top:2717;width:2;height:12596" coordorigin="1806,2717" coordsize="2,12596">
              <v:shape style="position:absolute;left:1806;top:2717;width:2;height:12596" coordorigin="1806,2717" coordsize="0,12596" path="m1806,2717l1806,15312e" filled="false" stroked="true" strokeweight=".72pt" strokecolor="#000000">
                <v:path arrowok="t"/>
              </v:shape>
            </v:group>
            <v:group style="position:absolute;left:1814;top:15305;width:8066;height:2" coordorigin="1814,15305" coordsize="8066,2">
              <v:shape style="position:absolute;left:1814;top:15305;width:8066;height:2" coordorigin="1814,15305" coordsize="8066,0" path="m1814,15305l9880,15305e" filled="false" stroked="true" strokeweight=".72pt" strokecolor="#000000">
                <v:path arrowok="t"/>
              </v:shape>
            </v:group>
            <v:group style="position:absolute;left:9887;top:2717;width:2;height:12596" coordorigin="9887,2717" coordsize="2,12596">
              <v:shape style="position:absolute;left:9887;top:2717;width:2;height:12596" coordorigin="9887,2717" coordsize="0,12596" path="m9887,2717l9887,15312e" filled="false" stroked="true" strokeweight=".72pt" strokecolor="#000000">
                <v:path arrowok="t"/>
              </v:shape>
            </v:group>
            <v:group style="position:absolute;left:9894;top:15305;width:980;height:2" coordorigin="9894,15305" coordsize="980,2">
              <v:shape style="position:absolute;left:9894;top:15305;width:980;height:2" coordorigin="9894,15305" coordsize="980,0" path="m9894,15305l10873,15305e" filled="false" stroked="true" strokeweight=".72pt" strokecolor="#000000">
                <v:path arrowok="t"/>
              </v:shape>
            </v:group>
            <v:group style="position:absolute;left:10880;top:2717;width:2;height:12596" coordorigin="10880,2717" coordsize="2,12596">
              <v:shape style="position:absolute;left:10880;top:2717;width:2;height:12596" coordorigin="10880,2717" coordsize="0,12596" path="m10880,2717l10880,15312e" filled="false" stroked="true" strokeweight=".72pt" strokecolor="#000000">
                <v:path arrowok="t"/>
              </v:shape>
            </v:group>
            <v:group style="position:absolute;left:10888;top:15305;width:909;height:2" coordorigin="10888,15305" coordsize="909,2">
              <v:shape style="position:absolute;left:10888;top:15305;width:909;height:2" coordorigin="10888,15305" coordsize="909,0" path="m10888,15305l11796,15305e" filled="false" stroked="true" strokeweight=".72pt" strokecolor="#000000">
                <v:path arrowok="t"/>
              </v:shape>
            </v:group>
            <v:group style="position:absolute;left:11804;top:2717;width:2;height:12596" coordorigin="11804,2717" coordsize="2,12596">
              <v:shape style="position:absolute;left:11804;top:2717;width:2;height:12596" coordorigin="11804,2717" coordsize="0,12596" path="m11804,2717l11804,15312e" filled="false" stroked="true" strokeweight=".72pt" strokecolor="#000000">
                <v:path arrowok="t"/>
              </v:shape>
            </v:group>
            <w10:wrap type="none"/>
          </v:group>
        </w:pict>
      </w:r>
      <w:r>
        <w:rPr/>
        <w:t>平台</w:t>
        <w:tab/>
      </w:r>
      <w:r>
        <w:rPr>
          <w:spacing w:val="-3"/>
        </w:rPr>
        <w:t>形态的社区。通过构建社区实体服务门店，整合服务代理、生活超市、社区医疗保健、社区教育等资源，</w:t>
      </w:r>
    </w:p>
    <w:p>
      <w:pPr>
        <w:pStyle w:val="BodyText"/>
        <w:spacing w:line="319" w:lineRule="auto" w:before="75"/>
        <w:ind w:left="1816" w:right="2015"/>
        <w:jc w:val="left"/>
      </w:pPr>
      <w:r>
        <w:rPr>
          <w:spacing w:val="-1"/>
        </w:rPr>
        <w:t>与银行保险、电信金融、生鲜物流、医院药厂、学校、社区多方合作，满足社区居民日常生活需求。目</w:t>
      </w:r>
      <w:r>
        <w:rPr>
          <w:spacing w:val="-86"/>
        </w:rPr>
        <w:t> </w:t>
      </w:r>
      <w:r>
        <w:rPr>
          <w:spacing w:val="-86"/>
        </w:rPr>
      </w:r>
      <w:r>
        <w:rPr/>
        <w:t>前该平台已服务于沈阳市沈北区，大规模的市场推广工作已经展开。</w:t>
      </w:r>
    </w:p>
    <w:p>
      <w:pPr>
        <w:spacing w:after="0" w:line="319" w:lineRule="auto"/>
        <w:jc w:val="left"/>
        <w:sectPr>
          <w:type w:val="continuous"/>
          <w:pgSz w:w="11910" w:h="16840"/>
          <w:pgMar w:top="1060" w:bottom="1160" w:left="0" w:right="0"/>
        </w:sectPr>
      </w:pPr>
    </w:p>
    <w:p>
      <w:pPr>
        <w:spacing w:line="240" w:lineRule="auto" w:before="6"/>
        <w:rPr>
          <w:rFonts w:ascii="宋体" w:hAnsi="宋体" w:cs="宋体" w:eastAsia="宋体" w:hint="default"/>
          <w:sz w:val="5"/>
          <w:szCs w:val="5"/>
        </w:rPr>
      </w:pPr>
    </w:p>
    <w:tbl>
      <w:tblPr>
        <w:tblW w:w="0" w:type="auto"/>
        <w:jc w:val="left"/>
        <w:tblInd w:w="97" w:type="dxa"/>
        <w:tblLayout w:type="fixed"/>
        <w:tblCellMar>
          <w:top w:w="0" w:type="dxa"/>
          <w:left w:w="0" w:type="dxa"/>
          <w:bottom w:w="0" w:type="dxa"/>
          <w:right w:w="0" w:type="dxa"/>
        </w:tblCellMar>
        <w:tblLook w:val="01E0"/>
      </w:tblPr>
      <w:tblGrid>
        <w:gridCol w:w="566"/>
        <w:gridCol w:w="1136"/>
        <w:gridCol w:w="8080"/>
        <w:gridCol w:w="994"/>
        <w:gridCol w:w="923"/>
      </w:tblGrid>
      <w:tr>
        <w:trPr>
          <w:trHeight w:val="1363" w:hRule="exact"/>
        </w:trPr>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9</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8"/>
              <w:ind w:left="3" w:right="-6"/>
              <w:jc w:val="left"/>
              <w:rPr>
                <w:rFonts w:ascii="宋体" w:hAnsi="宋体" w:cs="宋体" w:eastAsia="宋体" w:hint="default"/>
                <w:sz w:val="18"/>
                <w:szCs w:val="18"/>
              </w:rPr>
            </w:pPr>
            <w:r>
              <w:rPr>
                <w:rFonts w:ascii="宋体" w:hAnsi="宋体" w:cs="宋体" w:eastAsia="宋体" w:hint="default"/>
                <w:spacing w:val="7"/>
                <w:sz w:val="18"/>
                <w:szCs w:val="18"/>
              </w:rPr>
              <w:t>民政社会救助 </w:t>
            </w:r>
            <w:r>
              <w:rPr>
                <w:rFonts w:ascii="宋体" w:hAnsi="宋体" w:cs="宋体" w:eastAsia="宋体" w:hint="default"/>
                <w:sz w:val="18"/>
                <w:szCs w:val="18"/>
              </w:rPr>
              <w:t>公众服务平台</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62"/>
              <w:ind w:left="2" w:right="2"/>
              <w:jc w:val="both"/>
              <w:rPr>
                <w:rFonts w:ascii="宋体" w:hAnsi="宋体" w:cs="宋体" w:eastAsia="宋体" w:hint="default"/>
                <w:sz w:val="18"/>
                <w:szCs w:val="18"/>
              </w:rPr>
            </w:pPr>
            <w:r>
              <w:rPr>
                <w:rFonts w:ascii="宋体" w:hAnsi="宋体" w:cs="宋体" w:eastAsia="宋体" w:hint="default"/>
                <w:spacing w:val="-2"/>
                <w:sz w:val="18"/>
                <w:szCs w:val="18"/>
              </w:rPr>
              <w:t>延续</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年的研发项目，荣科民政社会救助服务平台主要是为全省各地市民政局搭建统一业务平台，实</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1"/>
                <w:sz w:val="18"/>
                <w:szCs w:val="18"/>
              </w:rPr>
              <w:t>现底层数据共享，便于各级民政工作人员日常操作及市级领导全面了解救助信息统筹本市民政工作，同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sz w:val="18"/>
                <w:szCs w:val="18"/>
              </w:rPr>
              <w:t>时满足与省民政厅和财政部门进行信息报送，全面提升市本级民政业务信息化建设。目前该平台已服务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于沈阳市皇姑区民政，下一步计划全面推广。</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产品推广</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83" w:right="0"/>
              <w:jc w:val="left"/>
              <w:rPr>
                <w:rFonts w:ascii="宋体" w:hAnsi="宋体" w:cs="宋体" w:eastAsia="宋体" w:hint="default"/>
                <w:sz w:val="18"/>
                <w:szCs w:val="18"/>
              </w:rPr>
            </w:pPr>
            <w:r>
              <w:rPr>
                <w:rFonts w:ascii="宋体" w:hAnsi="宋体" w:cs="宋体" w:eastAsia="宋体" w:hint="default"/>
                <w:sz w:val="18"/>
                <w:szCs w:val="18"/>
              </w:rPr>
              <w:t>产品化</w:t>
            </w:r>
          </w:p>
        </w:tc>
      </w:tr>
      <w:tr>
        <w:trPr>
          <w:trHeight w:val="1051" w:hRule="exact"/>
        </w:trPr>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316" w:lineRule="auto"/>
              <w:ind w:left="3" w:right="-6"/>
              <w:jc w:val="left"/>
              <w:rPr>
                <w:rFonts w:ascii="宋体" w:hAnsi="宋体" w:cs="宋体" w:eastAsia="宋体" w:hint="default"/>
                <w:sz w:val="18"/>
                <w:szCs w:val="18"/>
              </w:rPr>
            </w:pPr>
            <w:r>
              <w:rPr>
                <w:rFonts w:ascii="宋体" w:hAnsi="宋体" w:cs="宋体" w:eastAsia="宋体" w:hint="default"/>
                <w:spacing w:val="7"/>
                <w:sz w:val="18"/>
                <w:szCs w:val="18"/>
              </w:rPr>
              <w:t>高并发大数据 </w:t>
            </w:r>
            <w:r>
              <w:rPr>
                <w:rFonts w:ascii="宋体" w:hAnsi="宋体" w:cs="宋体" w:eastAsia="宋体" w:hint="default"/>
                <w:sz w:val="18"/>
                <w:szCs w:val="18"/>
              </w:rPr>
              <w:t>平台研发</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62"/>
              <w:ind w:left="2" w:right="-37"/>
              <w:jc w:val="both"/>
              <w:rPr>
                <w:rFonts w:ascii="宋体" w:hAnsi="宋体" w:cs="宋体" w:eastAsia="宋体" w:hint="default"/>
                <w:sz w:val="18"/>
                <w:szCs w:val="18"/>
              </w:rPr>
            </w:pPr>
            <w:r>
              <w:rPr>
                <w:rFonts w:ascii="宋体" w:hAnsi="宋体" w:cs="宋体" w:eastAsia="宋体" w:hint="default"/>
                <w:sz w:val="18"/>
                <w:szCs w:val="18"/>
              </w:rPr>
              <w:t>延续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年的研发项目，与国家科技支撑计划项目和募投项目相应。构建一个支持高并发访问的大数 据后台，该项目也是“智慧社区运营平台”和“医疗大数据平台”的基础，能够为公司包括智慧城市、 智慧医疗等相关行业解决方案提供数据分析和辅助决策服务。</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129" w:right="0"/>
              <w:jc w:val="left"/>
              <w:rPr>
                <w:rFonts w:ascii="宋体" w:hAnsi="宋体" w:cs="宋体" w:eastAsia="宋体" w:hint="default"/>
                <w:sz w:val="18"/>
                <w:szCs w:val="18"/>
              </w:rPr>
            </w:pPr>
            <w:r>
              <w:rPr>
                <w:rFonts w:ascii="宋体" w:hAnsi="宋体" w:cs="宋体" w:eastAsia="宋体" w:hint="default"/>
                <w:sz w:val="18"/>
                <w:szCs w:val="18"/>
              </w:rPr>
              <w:t>产品研发</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183" w:right="0"/>
              <w:jc w:val="left"/>
              <w:rPr>
                <w:rFonts w:ascii="宋体" w:hAnsi="宋体" w:cs="宋体" w:eastAsia="宋体" w:hint="default"/>
                <w:sz w:val="18"/>
                <w:szCs w:val="18"/>
              </w:rPr>
            </w:pPr>
            <w:r>
              <w:rPr>
                <w:rFonts w:ascii="宋体" w:hAnsi="宋体" w:cs="宋体" w:eastAsia="宋体" w:hint="default"/>
                <w:sz w:val="18"/>
                <w:szCs w:val="18"/>
              </w:rPr>
              <w:t>产品化</w:t>
            </w:r>
          </w:p>
        </w:tc>
      </w:tr>
      <w:tr>
        <w:trPr>
          <w:trHeight w:val="1050" w:hRule="exact"/>
        </w:trPr>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11</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319" w:lineRule="auto"/>
              <w:ind w:left="3" w:right="-6"/>
              <w:jc w:val="left"/>
              <w:rPr>
                <w:rFonts w:ascii="宋体" w:hAnsi="宋体" w:cs="宋体" w:eastAsia="宋体" w:hint="default"/>
                <w:sz w:val="18"/>
                <w:szCs w:val="18"/>
              </w:rPr>
            </w:pPr>
            <w:r>
              <w:rPr>
                <w:rFonts w:ascii="宋体" w:hAnsi="宋体" w:cs="宋体" w:eastAsia="宋体" w:hint="default"/>
                <w:spacing w:val="7"/>
                <w:sz w:val="18"/>
                <w:szCs w:val="18"/>
              </w:rPr>
              <w:t>医院护理资源 </w:t>
            </w:r>
            <w:r>
              <w:rPr>
                <w:rFonts w:ascii="宋体" w:hAnsi="宋体" w:cs="宋体" w:eastAsia="宋体" w:hint="default"/>
                <w:sz w:val="18"/>
                <w:szCs w:val="18"/>
              </w:rPr>
              <w:t>规划平台</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61"/>
              <w:ind w:left="2" w:right="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pacing w:val="-2"/>
                <w:sz w:val="18"/>
                <w:szCs w:val="18"/>
              </w:rPr>
              <w:t>年新立项，与国家科技支撑计划项目和募投项目相应。针对于一些大的三甲医院，护理部没有实现</w:t>
            </w:r>
            <w:r>
              <w:rPr>
                <w:rFonts w:ascii="宋体" w:hAnsi="宋体" w:cs="宋体" w:eastAsia="宋体" w:hint="default"/>
                <w:sz w:val="18"/>
                <w:szCs w:val="18"/>
              </w:rPr>
              <w:t> </w:t>
            </w:r>
            <w:r>
              <w:rPr>
                <w:rFonts w:ascii="宋体" w:hAnsi="宋体" w:cs="宋体" w:eastAsia="宋体" w:hint="default"/>
                <w:spacing w:val="-3"/>
                <w:sz w:val="18"/>
                <w:szCs w:val="18"/>
              </w:rPr>
              <w:t>电子化管理。该系统主要解决庞大的护士团队的管理工作，如排班、培训教育、绩效统计等任务的简化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提高护理部管理的工作效率。从市场看，护理的市场份额很大，目前该系统已经研发完成，并成功推广</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33"/>
                <w:sz w:val="18"/>
                <w:szCs w:val="18"/>
              </w:rPr>
              <w:t> </w:t>
            </w:r>
            <w:r>
              <w:rPr>
                <w:rFonts w:ascii="宋体" w:hAnsi="宋体" w:cs="宋体" w:eastAsia="宋体" w:hint="default"/>
                <w:sz w:val="18"/>
                <w:szCs w:val="18"/>
              </w:rPr>
              <w:t>产品推广</w:t>
            </w:r>
          </w:p>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183" w:right="0"/>
              <w:jc w:val="left"/>
              <w:rPr>
                <w:rFonts w:ascii="宋体" w:hAnsi="宋体" w:cs="宋体" w:eastAsia="宋体" w:hint="default"/>
                <w:sz w:val="18"/>
                <w:szCs w:val="18"/>
              </w:rPr>
            </w:pPr>
            <w:r>
              <w:rPr>
                <w:rFonts w:ascii="宋体" w:hAnsi="宋体" w:cs="宋体" w:eastAsia="宋体" w:hint="default"/>
                <w:sz w:val="18"/>
                <w:szCs w:val="18"/>
              </w:rPr>
              <w:t>产品化</w:t>
            </w:r>
          </w:p>
        </w:tc>
      </w:tr>
      <w:tr>
        <w:trPr>
          <w:trHeight w:val="739" w:hRule="exact"/>
        </w:trPr>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12</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3" w:right="-6"/>
              <w:jc w:val="left"/>
              <w:rPr>
                <w:rFonts w:ascii="宋体" w:hAnsi="宋体" w:cs="宋体" w:eastAsia="宋体" w:hint="default"/>
                <w:sz w:val="18"/>
                <w:szCs w:val="18"/>
              </w:rPr>
            </w:pPr>
            <w:r>
              <w:rPr>
                <w:rFonts w:ascii="宋体" w:hAnsi="宋体" w:cs="宋体" w:eastAsia="宋体" w:hint="default"/>
                <w:spacing w:val="7"/>
                <w:sz w:val="18"/>
                <w:szCs w:val="18"/>
              </w:rPr>
              <w:t>放疗网络信息 </w:t>
            </w:r>
            <w:r>
              <w:rPr>
                <w:rFonts w:ascii="宋体" w:hAnsi="宋体" w:cs="宋体" w:eastAsia="宋体" w:hint="default"/>
                <w:sz w:val="18"/>
                <w:szCs w:val="18"/>
              </w:rPr>
              <w:t>管理系统平台</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302" w:lineRule="auto" w:before="62"/>
              <w:ind w:left="2"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pacing w:val="-2"/>
                <w:sz w:val="18"/>
                <w:szCs w:val="18"/>
              </w:rPr>
              <w:t>年新立项，该系统主要是改变放疗专业传统的设备与设备之间、设备与现有软件系统之间不互通模</w:t>
            </w:r>
            <w:r>
              <w:rPr>
                <w:rFonts w:ascii="宋体" w:hAnsi="宋体" w:cs="宋体" w:eastAsia="宋体" w:hint="default"/>
                <w:sz w:val="18"/>
                <w:szCs w:val="18"/>
              </w:rPr>
              <w:t> 式，实现医院信息化系统互联互通。有效提高放疗工作效率，减少医疗差错。</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产品研发</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83" w:right="0"/>
              <w:jc w:val="left"/>
              <w:rPr>
                <w:rFonts w:ascii="宋体" w:hAnsi="宋体" w:cs="宋体" w:eastAsia="宋体" w:hint="default"/>
                <w:sz w:val="18"/>
                <w:szCs w:val="18"/>
              </w:rPr>
            </w:pPr>
            <w:r>
              <w:rPr>
                <w:rFonts w:ascii="宋体" w:hAnsi="宋体" w:cs="宋体" w:eastAsia="宋体" w:hint="default"/>
                <w:sz w:val="18"/>
                <w:szCs w:val="18"/>
              </w:rPr>
              <w:t>产品化</w:t>
            </w:r>
          </w:p>
        </w:tc>
      </w:tr>
      <w:tr>
        <w:trPr>
          <w:trHeight w:val="1051" w:hRule="exact"/>
        </w:trPr>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13</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316" w:lineRule="auto"/>
              <w:ind w:left="3" w:right="-6"/>
              <w:jc w:val="left"/>
              <w:rPr>
                <w:rFonts w:ascii="宋体" w:hAnsi="宋体" w:cs="宋体" w:eastAsia="宋体" w:hint="default"/>
                <w:sz w:val="18"/>
                <w:szCs w:val="18"/>
              </w:rPr>
            </w:pPr>
            <w:r>
              <w:rPr>
                <w:rFonts w:ascii="宋体" w:hAnsi="宋体" w:cs="宋体" w:eastAsia="宋体" w:hint="default"/>
                <w:spacing w:val="7"/>
                <w:sz w:val="18"/>
                <w:szCs w:val="18"/>
              </w:rPr>
              <w:t>可信临床护理 </w:t>
            </w:r>
            <w:r>
              <w:rPr>
                <w:rFonts w:ascii="宋体" w:hAnsi="宋体" w:cs="宋体" w:eastAsia="宋体" w:hint="default"/>
                <w:sz w:val="18"/>
                <w:szCs w:val="18"/>
              </w:rPr>
              <w:t>智能辅助系统</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62"/>
              <w:ind w:left="2" w:right="1"/>
              <w:jc w:val="both"/>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pacing w:val="-2"/>
                <w:sz w:val="18"/>
                <w:szCs w:val="18"/>
              </w:rPr>
              <w:t>年新立项，与国家科技支撑计划项目和募投项目相应。可信临床护理智能辅助系统旨在利用大数据</w:t>
            </w:r>
            <w:r>
              <w:rPr>
                <w:rFonts w:ascii="宋体" w:hAnsi="宋体" w:cs="宋体" w:eastAsia="宋体" w:hint="default"/>
                <w:sz w:val="18"/>
                <w:szCs w:val="18"/>
              </w:rPr>
              <w:t> </w:t>
            </w:r>
            <w:r>
              <w:rPr>
                <w:rFonts w:ascii="宋体" w:hAnsi="宋体" w:cs="宋体" w:eastAsia="宋体" w:hint="default"/>
                <w:spacing w:val="-1"/>
                <w:sz w:val="18"/>
                <w:szCs w:val="18"/>
              </w:rPr>
              <w:t>和机器学习技术，修正临床医疗过程中仪器产生的错误数据，减少人为的错误操作，辅助医生和护士对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复杂突发事件的处理，提升整体医疗质量。</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129" w:right="0"/>
              <w:jc w:val="left"/>
              <w:rPr>
                <w:rFonts w:ascii="宋体" w:hAnsi="宋体" w:cs="宋体" w:eastAsia="宋体" w:hint="default"/>
                <w:sz w:val="18"/>
                <w:szCs w:val="18"/>
              </w:rPr>
            </w:pPr>
            <w:r>
              <w:rPr>
                <w:rFonts w:ascii="宋体" w:hAnsi="宋体" w:cs="宋体" w:eastAsia="宋体" w:hint="default"/>
                <w:sz w:val="18"/>
                <w:szCs w:val="18"/>
              </w:rPr>
              <w:t>产品研发</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183" w:right="0"/>
              <w:jc w:val="left"/>
              <w:rPr>
                <w:rFonts w:ascii="宋体" w:hAnsi="宋体" w:cs="宋体" w:eastAsia="宋体" w:hint="default"/>
                <w:sz w:val="18"/>
                <w:szCs w:val="18"/>
              </w:rPr>
            </w:pPr>
            <w:r>
              <w:rPr>
                <w:rFonts w:ascii="宋体" w:hAnsi="宋体" w:cs="宋体" w:eastAsia="宋体" w:hint="default"/>
                <w:sz w:val="18"/>
                <w:szCs w:val="18"/>
              </w:rPr>
              <w:t>产品化</w:t>
            </w:r>
          </w:p>
        </w:tc>
      </w:tr>
      <w:tr>
        <w:trPr>
          <w:trHeight w:val="1051" w:hRule="exact"/>
        </w:trPr>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14</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pacing w:val="2"/>
                <w:sz w:val="18"/>
                <w:szCs w:val="18"/>
              </w:rPr>
              <w:t>基于</w:t>
            </w:r>
            <w:r>
              <w:rPr>
                <w:rFonts w:ascii="Times New Roman" w:hAnsi="Times New Roman" w:cs="Times New Roman" w:eastAsia="Times New Roman" w:hint="default"/>
                <w:spacing w:val="2"/>
                <w:sz w:val="18"/>
                <w:szCs w:val="18"/>
              </w:rPr>
              <w:t>WebEP</w:t>
            </w:r>
            <w:r>
              <w:rPr>
                <w:rFonts w:ascii="宋体" w:hAnsi="宋体" w:cs="宋体" w:eastAsia="宋体" w:hint="default"/>
                <w:spacing w:val="2"/>
                <w:sz w:val="18"/>
                <w:szCs w:val="18"/>
              </w:rPr>
              <w:t>的</w:t>
            </w:r>
          </w:p>
          <w:p>
            <w:pPr>
              <w:pStyle w:val="TableParagraph"/>
              <w:spacing w:line="240" w:lineRule="auto" w:before="63"/>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ERP</w:t>
            </w:r>
            <w:r>
              <w:rPr>
                <w:rFonts w:ascii="宋体" w:hAnsi="宋体" w:cs="宋体" w:eastAsia="宋体" w:hint="default"/>
                <w:sz w:val="18"/>
                <w:szCs w:val="18"/>
              </w:rPr>
              <w:t>系统改造</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2" w:right="-7"/>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年新立项，基于</w:t>
            </w:r>
            <w:r>
              <w:rPr>
                <w:rFonts w:ascii="Times New Roman" w:hAnsi="Times New Roman" w:cs="Times New Roman" w:eastAsia="Times New Roman" w:hint="default"/>
                <w:sz w:val="18"/>
                <w:szCs w:val="18"/>
              </w:rPr>
              <w:t>WebEP</w:t>
            </w:r>
            <w:r>
              <w:rPr>
                <w:rFonts w:ascii="宋体" w:hAnsi="宋体" w:cs="宋体" w:eastAsia="宋体" w:hint="default"/>
                <w:sz w:val="18"/>
                <w:szCs w:val="18"/>
              </w:rPr>
              <w:t>的</w:t>
            </w:r>
            <w:r>
              <w:rPr>
                <w:rFonts w:ascii="Times New Roman" w:hAnsi="Times New Roman" w:cs="Times New Roman" w:eastAsia="Times New Roman" w:hint="default"/>
                <w:sz w:val="18"/>
                <w:szCs w:val="18"/>
              </w:rPr>
              <w:t>ERP</w:t>
            </w:r>
            <w:r>
              <w:rPr>
                <w:rFonts w:ascii="宋体" w:hAnsi="宋体" w:cs="宋体" w:eastAsia="宋体" w:hint="default"/>
                <w:sz w:val="18"/>
                <w:szCs w:val="18"/>
              </w:rPr>
              <w:t>系统改造是针对公司自主研发的自用</w:t>
            </w:r>
            <w:r>
              <w:rPr>
                <w:rFonts w:ascii="Times New Roman" w:hAnsi="Times New Roman" w:cs="Times New Roman" w:eastAsia="Times New Roman" w:hint="default"/>
                <w:sz w:val="18"/>
                <w:szCs w:val="18"/>
              </w:rPr>
              <w:t>ERP</w:t>
            </w:r>
            <w:r>
              <w:rPr>
                <w:rFonts w:ascii="宋体" w:hAnsi="宋体" w:cs="宋体" w:eastAsia="宋体" w:hint="default"/>
                <w:sz w:val="18"/>
                <w:szCs w:val="18"/>
              </w:rPr>
              <w:t>系统进行改造，从基础框架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及整体功能上进行全面升级，以达到公司快速发展过程中对</w:t>
            </w:r>
            <w:r>
              <w:rPr>
                <w:rFonts w:ascii="Times New Roman" w:hAnsi="Times New Roman" w:cs="Times New Roman" w:eastAsia="Times New Roman" w:hint="default"/>
                <w:sz w:val="18"/>
                <w:szCs w:val="18"/>
              </w:rPr>
              <w:t>ERP</w:t>
            </w:r>
            <w:r>
              <w:rPr>
                <w:rFonts w:ascii="宋体" w:hAnsi="宋体" w:cs="宋体" w:eastAsia="宋体" w:hint="default"/>
                <w:sz w:val="18"/>
                <w:szCs w:val="18"/>
              </w:rPr>
              <w:t>系统的应用期望。系统研发成功之后， 前期主要在公司内部使用，成熟之后可以作为公司的产品对外推广。</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129" w:right="0"/>
              <w:jc w:val="left"/>
              <w:rPr>
                <w:rFonts w:ascii="宋体" w:hAnsi="宋体" w:cs="宋体" w:eastAsia="宋体" w:hint="default"/>
                <w:sz w:val="18"/>
                <w:szCs w:val="18"/>
              </w:rPr>
            </w:pPr>
            <w:r>
              <w:rPr>
                <w:rFonts w:ascii="宋体" w:hAnsi="宋体" w:cs="宋体" w:eastAsia="宋体" w:hint="default"/>
                <w:sz w:val="18"/>
                <w:szCs w:val="18"/>
              </w:rPr>
              <w:t>产品研发</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183" w:right="0"/>
              <w:jc w:val="left"/>
              <w:rPr>
                <w:rFonts w:ascii="宋体" w:hAnsi="宋体" w:cs="宋体" w:eastAsia="宋体" w:hint="default"/>
                <w:sz w:val="18"/>
                <w:szCs w:val="18"/>
              </w:rPr>
            </w:pPr>
            <w:r>
              <w:rPr>
                <w:rFonts w:ascii="宋体" w:hAnsi="宋体" w:cs="宋体" w:eastAsia="宋体" w:hint="default"/>
                <w:sz w:val="18"/>
                <w:szCs w:val="18"/>
              </w:rPr>
              <w:t>产品化</w:t>
            </w:r>
          </w:p>
        </w:tc>
      </w:tr>
      <w:tr>
        <w:trPr>
          <w:trHeight w:val="1052" w:hRule="exact"/>
        </w:trPr>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15</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319" w:lineRule="auto"/>
              <w:ind w:left="3" w:right="-6"/>
              <w:jc w:val="left"/>
              <w:rPr>
                <w:rFonts w:ascii="宋体" w:hAnsi="宋体" w:cs="宋体" w:eastAsia="宋体" w:hint="default"/>
                <w:sz w:val="18"/>
                <w:szCs w:val="18"/>
              </w:rPr>
            </w:pPr>
            <w:r>
              <w:rPr>
                <w:rFonts w:ascii="宋体" w:hAnsi="宋体" w:cs="宋体" w:eastAsia="宋体" w:hint="default"/>
                <w:spacing w:val="7"/>
                <w:sz w:val="18"/>
                <w:szCs w:val="18"/>
              </w:rPr>
              <w:t>跨平台移动开 </w:t>
            </w:r>
            <w:r>
              <w:rPr>
                <w:rFonts w:ascii="宋体" w:hAnsi="宋体" w:cs="宋体" w:eastAsia="宋体" w:hint="default"/>
                <w:sz w:val="18"/>
                <w:szCs w:val="18"/>
              </w:rPr>
              <w:t>发框架</w:t>
            </w:r>
          </w:p>
        </w:tc>
        <w:tc>
          <w:tcPr>
            <w:tcW w:w="808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年新立项，跨平台移动开发框架是一套基于</w:t>
            </w:r>
            <w:r>
              <w:rPr>
                <w:rFonts w:ascii="Times New Roman" w:hAnsi="Times New Roman" w:cs="Times New Roman" w:eastAsia="Times New Roman" w:hint="default"/>
                <w:sz w:val="18"/>
                <w:szCs w:val="18"/>
              </w:rPr>
              <w:t>html5</w:t>
            </w:r>
            <w:r>
              <w:rPr>
                <w:rFonts w:ascii="宋体" w:hAnsi="宋体" w:cs="宋体" w:eastAsia="宋体" w:hint="default"/>
                <w:sz w:val="18"/>
                <w:szCs w:val="18"/>
              </w:rPr>
              <w:t>的手机应用开发框架，能够快速的进行移动端开</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pacing w:val="-1"/>
                <w:sz w:val="18"/>
                <w:szCs w:val="18"/>
              </w:rPr>
              <w:t>发工作，并且一次开发，处处运行，能够同时适应</w:t>
            </w:r>
            <w:r>
              <w:rPr>
                <w:rFonts w:ascii="Times New Roman" w:hAnsi="Times New Roman" w:cs="Times New Roman" w:eastAsia="Times New Roman" w:hint="default"/>
                <w:spacing w:val="-1"/>
                <w:sz w:val="18"/>
                <w:szCs w:val="18"/>
              </w:rPr>
              <w:t>iOS</w:t>
            </w:r>
            <w:r>
              <w:rPr>
                <w:rFonts w:ascii="宋体" w:hAnsi="宋体" w:cs="宋体" w:eastAsia="宋体" w:hint="default"/>
                <w:spacing w:val="-1"/>
                <w:sz w:val="18"/>
                <w:szCs w:val="18"/>
              </w:rPr>
              <w:t>和</w:t>
            </w:r>
            <w:r>
              <w:rPr>
                <w:rFonts w:ascii="Times New Roman" w:hAnsi="Times New Roman" w:cs="Times New Roman" w:eastAsia="Times New Roman" w:hint="default"/>
                <w:spacing w:val="-1"/>
                <w:sz w:val="18"/>
                <w:szCs w:val="18"/>
              </w:rPr>
              <w:t>Android</w:t>
            </w:r>
            <w:r>
              <w:rPr>
                <w:rFonts w:ascii="宋体" w:hAnsi="宋体" w:cs="宋体" w:eastAsia="宋体" w:hint="default"/>
                <w:spacing w:val="-1"/>
                <w:sz w:val="18"/>
                <w:szCs w:val="18"/>
              </w:rPr>
              <w:t>两大移动阵营。以此来降低移动端的开</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发成本和开发周期，减少公司在移动端的开发投入。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129" w:right="0"/>
              <w:jc w:val="left"/>
              <w:rPr>
                <w:rFonts w:ascii="宋体" w:hAnsi="宋体" w:cs="宋体" w:eastAsia="宋体" w:hint="default"/>
                <w:sz w:val="18"/>
                <w:szCs w:val="18"/>
              </w:rPr>
            </w:pPr>
            <w:r>
              <w:rPr>
                <w:rFonts w:ascii="宋体" w:hAnsi="宋体" w:cs="宋体" w:eastAsia="宋体" w:hint="default"/>
                <w:sz w:val="18"/>
                <w:szCs w:val="18"/>
              </w:rPr>
              <w:t>产品研发</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183" w:right="0"/>
              <w:jc w:val="left"/>
              <w:rPr>
                <w:rFonts w:ascii="宋体" w:hAnsi="宋体" w:cs="宋体" w:eastAsia="宋体" w:hint="default"/>
                <w:sz w:val="18"/>
                <w:szCs w:val="18"/>
              </w:rPr>
            </w:pPr>
            <w:r>
              <w:rPr>
                <w:rFonts w:ascii="宋体" w:hAnsi="宋体" w:cs="宋体" w:eastAsia="宋体" w:hint="default"/>
                <w:sz w:val="18"/>
                <w:szCs w:val="18"/>
              </w:rPr>
              <w:t>产品化</w:t>
            </w:r>
          </w:p>
        </w:tc>
      </w:tr>
    </w:tbl>
    <w:p>
      <w:pPr>
        <w:pStyle w:val="BodyText"/>
        <w:spacing w:line="240" w:lineRule="auto" w:before="10"/>
        <w:ind w:right="0"/>
        <w:jc w:val="left"/>
      </w:pPr>
      <w:r>
        <w:rPr/>
        <w:t>报告期内，上海米健正在研发的项目如下：</w:t>
      </w:r>
    </w:p>
    <w:p>
      <w:pPr>
        <w:spacing w:line="240" w:lineRule="auto" w:before="0"/>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568"/>
        <w:gridCol w:w="1136"/>
        <w:gridCol w:w="7190"/>
        <w:gridCol w:w="1134"/>
        <w:gridCol w:w="1599"/>
      </w:tblGrid>
      <w:tr>
        <w:trPr>
          <w:trHeight w:val="427" w:hRule="exact"/>
        </w:trPr>
        <w:tc>
          <w:tcPr>
            <w:tcW w:w="56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13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62"/>
              <w:ind w:left="199"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719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项目简介</w:t>
            </w:r>
          </w:p>
        </w:tc>
        <w:tc>
          <w:tcPr>
            <w:tcW w:w="113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62"/>
              <w:ind w:right="198"/>
              <w:jc w:val="right"/>
              <w:rPr>
                <w:rFonts w:ascii="宋体" w:hAnsi="宋体" w:cs="宋体" w:eastAsia="宋体" w:hint="default"/>
                <w:sz w:val="18"/>
                <w:szCs w:val="18"/>
              </w:rPr>
            </w:pPr>
            <w:r>
              <w:rPr>
                <w:rFonts w:ascii="宋体" w:hAnsi="宋体" w:cs="宋体" w:eastAsia="宋体" w:hint="default"/>
                <w:sz w:val="18"/>
                <w:szCs w:val="18"/>
              </w:rPr>
              <w:t>目前阶段</w:t>
            </w:r>
          </w:p>
        </w:tc>
        <w:tc>
          <w:tcPr>
            <w:tcW w:w="159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拟达目标</w:t>
            </w:r>
          </w:p>
        </w:tc>
      </w:tr>
      <w:tr>
        <w:trPr>
          <w:trHeight w:val="1051"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338" w:lineRule="auto" w:before="62"/>
              <w:ind w:left="2" w:right="-5"/>
              <w:jc w:val="both"/>
              <w:rPr>
                <w:rFonts w:ascii="Times New Roman" w:hAnsi="Times New Roman" w:cs="Times New Roman" w:eastAsia="Times New Roman" w:hint="default"/>
                <w:sz w:val="18"/>
                <w:szCs w:val="18"/>
              </w:rPr>
            </w:pPr>
            <w:r>
              <w:rPr>
                <w:rFonts w:ascii="宋体" w:hAnsi="宋体" w:cs="宋体" w:eastAsia="宋体" w:hint="default"/>
                <w:spacing w:val="7"/>
                <w:sz w:val="18"/>
                <w:szCs w:val="18"/>
              </w:rPr>
              <w:t>手术室麻醉临 </w:t>
            </w:r>
            <w:r>
              <w:rPr>
                <w:rFonts w:ascii="宋体" w:hAnsi="宋体" w:cs="宋体" w:eastAsia="宋体" w:hint="default"/>
                <w:spacing w:val="40"/>
                <w:sz w:val="18"/>
                <w:szCs w:val="18"/>
              </w:rPr>
              <w:t>床信息系</w:t>
            </w:r>
            <w:r>
              <w:rPr>
                <w:rFonts w:ascii="宋体" w:hAnsi="宋体" w:cs="宋体" w:eastAsia="宋体" w:hint="default"/>
                <w:spacing w:val="-35"/>
                <w:sz w:val="18"/>
                <w:szCs w:val="18"/>
              </w:rPr>
              <w:t> </w:t>
            </w:r>
            <w:r>
              <w:rPr>
                <w:rFonts w:ascii="宋体" w:hAnsi="宋体" w:cs="宋体" w:eastAsia="宋体" w:hint="default"/>
                <w:sz w:val="18"/>
                <w:szCs w:val="18"/>
              </w:rPr>
              <w:t>统</w:t>
            </w:r>
            <w:r>
              <w:rPr>
                <w:rFonts w:ascii="宋体" w:hAnsi="宋体" w:cs="宋体" w:eastAsia="宋体" w:hint="default"/>
                <w:sz w:val="18"/>
                <w:szCs w:val="18"/>
              </w:rPr>
              <w:t> </w:t>
            </w:r>
            <w:r>
              <w:rPr>
                <w:rFonts w:ascii="Times New Roman" w:hAnsi="Times New Roman" w:cs="Times New Roman" w:eastAsia="Times New Roman" w:hint="default"/>
                <w:sz w:val="18"/>
                <w:szCs w:val="18"/>
              </w:rPr>
              <w:t>ACIS</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6.0</w:t>
            </w:r>
          </w:p>
        </w:tc>
        <w:tc>
          <w:tcPr>
            <w:tcW w:w="7190"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62"/>
              <w:ind w:left="2" w:right="3"/>
              <w:jc w:val="both"/>
              <w:rPr>
                <w:rFonts w:ascii="宋体" w:hAnsi="宋体" w:cs="宋体" w:eastAsia="宋体" w:hint="default"/>
                <w:sz w:val="18"/>
                <w:szCs w:val="18"/>
              </w:rPr>
            </w:pPr>
            <w:r>
              <w:rPr>
                <w:rFonts w:ascii="宋体" w:hAnsi="宋体" w:cs="宋体" w:eastAsia="宋体" w:hint="default"/>
                <w:sz w:val="18"/>
                <w:szCs w:val="18"/>
              </w:rPr>
              <w:t>基于手麻系统</w:t>
            </w:r>
            <w:r>
              <w:rPr>
                <w:rFonts w:ascii="宋体" w:hAnsi="宋体" w:cs="宋体" w:eastAsia="宋体" w:hint="default"/>
                <w:spacing w:val="-25"/>
                <w:sz w:val="18"/>
                <w:szCs w:val="18"/>
              </w:rPr>
              <w:t> </w:t>
            </w:r>
            <w:r>
              <w:rPr>
                <w:rFonts w:ascii="Times New Roman" w:hAnsi="Times New Roman" w:cs="Times New Roman" w:eastAsia="Times New Roman" w:hint="default"/>
                <w:spacing w:val="-3"/>
                <w:sz w:val="18"/>
                <w:szCs w:val="18"/>
              </w:rPr>
              <w:t>5.0</w:t>
            </w:r>
            <w:r>
              <w:rPr>
                <w:rFonts w:ascii="宋体" w:hAnsi="宋体" w:cs="宋体" w:eastAsia="宋体" w:hint="default"/>
                <w:spacing w:val="-3"/>
                <w:sz w:val="18"/>
                <w:szCs w:val="18"/>
              </w:rPr>
              <w:t>，根据市场需求</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增加移动文书</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麻醉质控</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麻醉收费以及麻醉记录单支持时间</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1"/>
                <w:sz w:val="18"/>
                <w:szCs w:val="18"/>
              </w:rPr>
              <w:t>刻度可变、病人跟踪、手术室合规条件判断等重要新功能，以此提高手麻产品的功能完善程</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度，提高市场竞争力。</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198"/>
              <w:jc w:val="right"/>
              <w:rPr>
                <w:rFonts w:ascii="宋体" w:hAnsi="宋体" w:cs="宋体" w:eastAsia="宋体" w:hint="default"/>
                <w:sz w:val="18"/>
                <w:szCs w:val="18"/>
              </w:rPr>
            </w:pPr>
            <w:r>
              <w:rPr>
                <w:rFonts w:ascii="宋体" w:hAnsi="宋体" w:cs="宋体" w:eastAsia="宋体" w:hint="default"/>
                <w:sz w:val="18"/>
                <w:szCs w:val="18"/>
              </w:rPr>
              <w:t>产品研发</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产品化</w:t>
            </w:r>
          </w:p>
        </w:tc>
      </w:tr>
      <w:tr>
        <w:trPr>
          <w:trHeight w:val="1051"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328" w:lineRule="auto" w:before="62"/>
              <w:ind w:left="2" w:right="-5"/>
              <w:jc w:val="both"/>
              <w:rPr>
                <w:rFonts w:ascii="Times New Roman" w:hAnsi="Times New Roman" w:cs="Times New Roman" w:eastAsia="Times New Roman" w:hint="default"/>
                <w:sz w:val="18"/>
                <w:szCs w:val="18"/>
              </w:rPr>
            </w:pPr>
            <w:r>
              <w:rPr>
                <w:rFonts w:ascii="宋体" w:hAnsi="宋体" w:cs="宋体" w:eastAsia="宋体" w:hint="default"/>
                <w:spacing w:val="7"/>
                <w:sz w:val="18"/>
                <w:szCs w:val="18"/>
              </w:rPr>
              <w:t>重症医学临床 </w:t>
            </w:r>
            <w:r>
              <w:rPr>
                <w:rFonts w:ascii="宋体" w:hAnsi="宋体" w:cs="宋体" w:eastAsia="宋体" w:hint="default"/>
                <w:sz w:val="18"/>
                <w:szCs w:val="18"/>
              </w:rPr>
              <w:t>信息系统</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ICIS 3.1</w:t>
            </w:r>
          </w:p>
        </w:tc>
        <w:tc>
          <w:tcPr>
            <w:tcW w:w="719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3"/>
              <w:jc w:val="left"/>
              <w:rPr>
                <w:rFonts w:ascii="宋体" w:hAnsi="宋体" w:cs="宋体" w:eastAsia="宋体" w:hint="default"/>
                <w:sz w:val="18"/>
                <w:szCs w:val="18"/>
              </w:rPr>
            </w:pPr>
            <w:r>
              <w:rPr>
                <w:rFonts w:ascii="宋体" w:hAnsi="宋体" w:cs="宋体" w:eastAsia="宋体" w:hint="default"/>
                <w:spacing w:val="-1"/>
                <w:sz w:val="18"/>
                <w:szCs w:val="18"/>
              </w:rPr>
              <w:t>基于原重症监护信息化的基础上，逐步实现重症医学信息化的第一步，基于此系统，重症医</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学数据可视，医护信息科共享，自动评分、交接班等数据可利用，诊疗过程可质控。</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198"/>
              <w:jc w:val="right"/>
              <w:rPr>
                <w:rFonts w:ascii="宋体" w:hAnsi="宋体" w:cs="宋体" w:eastAsia="宋体" w:hint="default"/>
                <w:sz w:val="18"/>
                <w:szCs w:val="18"/>
              </w:rPr>
            </w:pPr>
            <w:r>
              <w:rPr>
                <w:rFonts w:ascii="宋体" w:hAnsi="宋体" w:cs="宋体" w:eastAsia="宋体" w:hint="default"/>
                <w:sz w:val="18"/>
                <w:szCs w:val="18"/>
              </w:rPr>
              <w:t>产品推广</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产品化</w:t>
            </w:r>
          </w:p>
        </w:tc>
      </w:tr>
      <w:tr>
        <w:trPr>
          <w:trHeight w:val="1675"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28" w:lineRule="auto" w:before="138"/>
              <w:ind w:left="2" w:right="-5"/>
              <w:jc w:val="both"/>
              <w:rPr>
                <w:rFonts w:ascii="Times New Roman" w:hAnsi="Times New Roman" w:cs="Times New Roman" w:eastAsia="Times New Roman" w:hint="default"/>
                <w:sz w:val="18"/>
                <w:szCs w:val="18"/>
              </w:rPr>
            </w:pPr>
            <w:r>
              <w:rPr>
                <w:rFonts w:ascii="宋体" w:hAnsi="宋体" w:cs="宋体" w:eastAsia="宋体" w:hint="default"/>
                <w:spacing w:val="7"/>
                <w:sz w:val="18"/>
                <w:szCs w:val="18"/>
              </w:rPr>
              <w:t>重症医学临床 </w:t>
            </w:r>
            <w:r>
              <w:rPr>
                <w:rFonts w:ascii="宋体" w:hAnsi="宋体" w:cs="宋体" w:eastAsia="宋体" w:hint="default"/>
                <w:sz w:val="18"/>
                <w:szCs w:val="18"/>
              </w:rPr>
              <w:t>信息系统</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ICIS 3.2</w:t>
            </w:r>
          </w:p>
        </w:tc>
        <w:tc>
          <w:tcPr>
            <w:tcW w:w="7190"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62"/>
              <w:ind w:left="2" w:right="3"/>
              <w:jc w:val="both"/>
              <w:rPr>
                <w:rFonts w:ascii="宋体" w:hAnsi="宋体" w:cs="宋体" w:eastAsia="宋体" w:hint="default"/>
                <w:sz w:val="18"/>
                <w:szCs w:val="18"/>
              </w:rPr>
            </w:pPr>
            <w:r>
              <w:rPr>
                <w:rFonts w:ascii="宋体" w:hAnsi="宋体" w:cs="宋体" w:eastAsia="宋体" w:hint="default"/>
                <w:sz w:val="18"/>
                <w:szCs w:val="18"/>
              </w:rPr>
              <w:t>此版本是在公司现有</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ICU</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的版本的基础上提出的升级版，引入荣科科技在阜外研发的产品的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功能，对 </w:t>
            </w:r>
            <w:r>
              <w:rPr>
                <w:rFonts w:ascii="Times New Roman" w:hAnsi="Times New Roman" w:cs="Times New Roman" w:eastAsia="Times New Roman" w:hint="default"/>
                <w:sz w:val="18"/>
                <w:szCs w:val="18"/>
              </w:rPr>
              <w:t>ICU </w:t>
            </w:r>
            <w:r>
              <w:rPr>
                <w:rFonts w:ascii="宋体" w:hAnsi="宋体" w:cs="宋体" w:eastAsia="宋体" w:hint="default"/>
                <w:sz w:val="18"/>
                <w:szCs w:val="18"/>
              </w:rPr>
              <w:t>系统的整体功能和性能做了很大的变更。对 </w:t>
            </w:r>
            <w:r>
              <w:rPr>
                <w:rFonts w:ascii="Times New Roman" w:hAnsi="Times New Roman" w:cs="Times New Roman" w:eastAsia="Times New Roman" w:hint="default"/>
                <w:sz w:val="18"/>
                <w:szCs w:val="18"/>
              </w:rPr>
              <w:t>ICU</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的主要功能进行了补充规划 </w:t>
            </w:r>
            <w:r>
              <w:rPr>
                <w:rFonts w:ascii="宋体" w:hAnsi="宋体" w:cs="宋体" w:eastAsia="宋体" w:hint="default"/>
                <w:spacing w:val="-1"/>
                <w:sz w:val="18"/>
                <w:szCs w:val="18"/>
              </w:rPr>
              <w:t>和更新，大大扩展了原有的产品功能，特别是增加了医疗部分的功能需求，更贴近临床的实</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际要求，另外对于整体的界面也提出了新的需求和规划，最终目标是打造一套专业化的强大</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ICU</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临床信息管理系统。</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98"/>
              <w:jc w:val="right"/>
              <w:rPr>
                <w:rFonts w:ascii="宋体" w:hAnsi="宋体" w:cs="宋体" w:eastAsia="宋体" w:hint="default"/>
                <w:sz w:val="18"/>
                <w:szCs w:val="18"/>
              </w:rPr>
            </w:pPr>
            <w:r>
              <w:rPr>
                <w:rFonts w:ascii="宋体" w:hAnsi="宋体" w:cs="宋体" w:eastAsia="宋体" w:hint="default"/>
                <w:sz w:val="18"/>
                <w:szCs w:val="18"/>
              </w:rPr>
              <w:t>产品试用</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产品化</w:t>
            </w:r>
          </w:p>
        </w:tc>
      </w:tr>
      <w:tr>
        <w:trPr>
          <w:trHeight w:val="1676"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28" w:lineRule="auto" w:before="137"/>
              <w:ind w:left="2" w:right="-5"/>
              <w:jc w:val="both"/>
              <w:rPr>
                <w:rFonts w:ascii="Times New Roman" w:hAnsi="Times New Roman" w:cs="Times New Roman" w:eastAsia="Times New Roman" w:hint="default"/>
                <w:sz w:val="18"/>
                <w:szCs w:val="18"/>
              </w:rPr>
            </w:pPr>
            <w:r>
              <w:rPr>
                <w:rFonts w:ascii="宋体" w:hAnsi="宋体" w:cs="宋体" w:eastAsia="宋体" w:hint="default"/>
                <w:spacing w:val="7"/>
                <w:sz w:val="18"/>
                <w:szCs w:val="18"/>
              </w:rPr>
              <w:t>重症医学临床 </w:t>
            </w:r>
            <w:r>
              <w:rPr>
                <w:rFonts w:ascii="宋体" w:hAnsi="宋体" w:cs="宋体" w:eastAsia="宋体" w:hint="default"/>
                <w:sz w:val="18"/>
                <w:szCs w:val="18"/>
              </w:rPr>
              <w:t>信息系统</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ICIS 3.3</w:t>
            </w:r>
          </w:p>
        </w:tc>
        <w:tc>
          <w:tcPr>
            <w:tcW w:w="7190"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61"/>
              <w:ind w:left="2" w:right="3"/>
              <w:jc w:val="left"/>
              <w:rPr>
                <w:rFonts w:ascii="宋体" w:hAnsi="宋体" w:cs="宋体" w:eastAsia="宋体" w:hint="default"/>
                <w:sz w:val="18"/>
                <w:szCs w:val="18"/>
              </w:rPr>
            </w:pPr>
            <w:r>
              <w:rPr>
                <w:rFonts w:ascii="宋体" w:hAnsi="宋体" w:cs="宋体" w:eastAsia="宋体" w:hint="default"/>
                <w:spacing w:val="-3"/>
                <w:sz w:val="18"/>
                <w:szCs w:val="18"/>
              </w:rPr>
              <w:t>与国家科技支撑计划项目和募投项目相应。该版本主要为了完善护理功能（精细化医嘱管理</w:t>
            </w:r>
            <w:r>
              <w:rPr>
                <w:rFonts w:ascii="宋体" w:hAnsi="宋体" w:cs="宋体" w:eastAsia="宋体" w:hint="default"/>
                <w:sz w:val="18"/>
                <w:szCs w:val="18"/>
              </w:rPr>
              <w:t> </w:t>
            </w:r>
            <w:r>
              <w:rPr>
                <w:rFonts w:ascii="宋体" w:hAnsi="宋体" w:cs="宋体" w:eastAsia="宋体" w:hint="default"/>
                <w:spacing w:val="-4"/>
                <w:sz w:val="18"/>
                <w:szCs w:val="18"/>
              </w:rPr>
              <w:t>输液泵管理、导管维护等）、完成一体化原型设计、研发急危重症</w:t>
            </w:r>
            <w:r>
              <w:rPr>
                <w:rFonts w:ascii="宋体" w:hAnsi="宋体" w:cs="宋体" w:eastAsia="宋体" w:hint="default"/>
                <w:spacing w:val="-14"/>
                <w:sz w:val="18"/>
                <w:szCs w:val="18"/>
              </w:rPr>
              <w:t> </w:t>
            </w:r>
            <w:r>
              <w:rPr>
                <w:rFonts w:ascii="Times New Roman" w:hAnsi="Times New Roman" w:cs="Times New Roman" w:eastAsia="Times New Roman" w:hint="default"/>
                <w:spacing w:val="-1"/>
                <w:sz w:val="18"/>
                <w:szCs w:val="18"/>
              </w:rPr>
              <w:t>CDR</w:t>
            </w:r>
            <w:r>
              <w:rPr>
                <w:rFonts w:ascii="宋体" w:hAnsi="宋体" w:cs="宋体" w:eastAsia="宋体" w:hint="default"/>
                <w:spacing w:val="-1"/>
                <w:sz w:val="18"/>
                <w:szCs w:val="18"/>
              </w:rPr>
              <w:t>，配合客户实现和落</w:t>
            </w:r>
            <w:r>
              <w:rPr>
                <w:rFonts w:ascii="宋体" w:hAnsi="宋体" w:cs="宋体" w:eastAsia="宋体" w:hint="default"/>
                <w:spacing w:val="-81"/>
                <w:sz w:val="18"/>
                <w:szCs w:val="18"/>
              </w:rPr>
              <w:t> </w:t>
            </w:r>
            <w:r>
              <w:rPr>
                <w:rFonts w:ascii="宋体" w:hAnsi="宋体" w:cs="宋体" w:eastAsia="宋体" w:hint="default"/>
                <w:sz w:val="18"/>
                <w:szCs w:val="18"/>
              </w:rPr>
              <w:t>地。项目目标是初步实现急危重症 </w:t>
            </w:r>
            <w:r>
              <w:rPr>
                <w:rFonts w:ascii="Times New Roman" w:hAnsi="Times New Roman" w:cs="Times New Roman" w:eastAsia="Times New Roman" w:hint="default"/>
                <w:sz w:val="18"/>
                <w:szCs w:val="18"/>
              </w:rPr>
              <w:t>CDR</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的功能框架，稳定现有医生站功能模块；实现临床 可用的诊疗过程管理系统；搭建可运行的流式计算框架并实现 </w:t>
            </w:r>
            <w:r>
              <w:rPr>
                <w:rFonts w:ascii="Times New Roman" w:hAnsi="Times New Roman" w:cs="Times New Roman" w:eastAsia="Times New Roman" w:hint="default"/>
                <w:sz w:val="18"/>
                <w:szCs w:val="18"/>
              </w:rPr>
              <w:t>MEWS</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评分的计算，同时在 往云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ICU</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方向演进。</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0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199" w:right="0"/>
              <w:jc w:val="left"/>
              <w:rPr>
                <w:rFonts w:ascii="宋体" w:hAnsi="宋体" w:cs="宋体" w:eastAsia="宋体" w:hint="default"/>
                <w:sz w:val="18"/>
                <w:szCs w:val="18"/>
              </w:rPr>
            </w:pPr>
            <w:r>
              <w:rPr>
                <w:rFonts w:ascii="宋体" w:hAnsi="宋体" w:cs="宋体" w:eastAsia="宋体" w:hint="default"/>
                <w:sz w:val="18"/>
                <w:szCs w:val="18"/>
              </w:rPr>
              <w:t>产品研发</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产品化</w:t>
            </w:r>
          </w:p>
        </w:tc>
      </w:tr>
    </w:tbl>
    <w:p>
      <w:pPr>
        <w:spacing w:after="0" w:line="240" w:lineRule="auto"/>
        <w:jc w:val="center"/>
        <w:rPr>
          <w:rFonts w:ascii="宋体" w:hAnsi="宋体" w:cs="宋体" w:eastAsia="宋体" w:hint="default"/>
          <w:sz w:val="18"/>
          <w:szCs w:val="18"/>
        </w:rPr>
        <w:sectPr>
          <w:pgSz w:w="11910" w:h="16840"/>
          <w:pgMar w:header="566" w:footer="979" w:top="1360" w:bottom="1160" w:left="0" w:right="0"/>
        </w:sectPr>
      </w:pPr>
    </w:p>
    <w:p>
      <w:pPr>
        <w:spacing w:line="240" w:lineRule="auto" w:before="6"/>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568"/>
        <w:gridCol w:w="1136"/>
        <w:gridCol w:w="7190"/>
        <w:gridCol w:w="1134"/>
        <w:gridCol w:w="1599"/>
      </w:tblGrid>
      <w:tr>
        <w:trPr>
          <w:trHeight w:val="1988"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急诊质控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tc>
        <w:tc>
          <w:tcPr>
            <w:tcW w:w="719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28"/>
              <w:jc w:val="left"/>
              <w:rPr>
                <w:rFonts w:ascii="宋体" w:hAnsi="宋体" w:cs="宋体" w:eastAsia="宋体" w:hint="default"/>
                <w:sz w:val="18"/>
                <w:szCs w:val="18"/>
              </w:rPr>
            </w:pPr>
            <w:r>
              <w:rPr>
                <w:rFonts w:ascii="宋体" w:hAnsi="宋体" w:cs="宋体" w:eastAsia="宋体" w:hint="default"/>
                <w:sz w:val="18"/>
                <w:szCs w:val="18"/>
              </w:rPr>
              <w:t>该项目依据国内对诊疗过程更精细化质量控制的要求，顺应国内急诊科管理水平发展方向、 急诊信息化发展的趋势和公司产品战略，依托北京朝阳医院的急诊信息系统，进行急诊质控 子系统的研发、实施（临床试用）和市场推广。系统实现是在完整的急诊电子病历基础上， 在不影响医护人员正常操作的前提下，根据急诊循证指南和质控要求，实时记录和监控医疗 </w:t>
            </w:r>
            <w:r>
              <w:rPr>
                <w:rFonts w:ascii="宋体" w:hAnsi="宋体" w:cs="宋体" w:eastAsia="宋体" w:hint="default"/>
                <w:spacing w:val="-3"/>
                <w:sz w:val="18"/>
                <w:szCs w:val="18"/>
              </w:rPr>
              <w:t>行为；从而能够在繁忙和快速变化的急诊工作中，通过与临床流程无缝整合的决策支持工具</w:t>
            </w:r>
            <w:r>
              <w:rPr>
                <w:rFonts w:ascii="宋体" w:hAnsi="宋体" w:cs="宋体" w:eastAsia="宋体" w:hint="default"/>
                <w:sz w:val="18"/>
                <w:szCs w:val="18"/>
              </w:rPr>
              <w:t> 帮助医护人员预防差错，提高指南依从性，持续改进医疗质量。</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199" w:right="0"/>
              <w:jc w:val="left"/>
              <w:rPr>
                <w:rFonts w:ascii="宋体" w:hAnsi="宋体" w:cs="宋体" w:eastAsia="宋体" w:hint="default"/>
                <w:sz w:val="18"/>
                <w:szCs w:val="18"/>
              </w:rPr>
            </w:pPr>
            <w:r>
              <w:rPr>
                <w:rFonts w:ascii="宋体" w:hAnsi="宋体" w:cs="宋体" w:eastAsia="宋体" w:hint="default"/>
                <w:sz w:val="18"/>
                <w:szCs w:val="18"/>
              </w:rPr>
              <w:t>产品研发</w:t>
            </w: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产品化</w:t>
            </w:r>
          </w:p>
        </w:tc>
      </w:tr>
      <w:tr>
        <w:trPr>
          <w:trHeight w:val="1363"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8"/>
              <w:ind w:left="2" w:right="-5"/>
              <w:jc w:val="left"/>
              <w:rPr>
                <w:rFonts w:ascii="宋体" w:hAnsi="宋体" w:cs="宋体" w:eastAsia="宋体" w:hint="default"/>
                <w:sz w:val="18"/>
                <w:szCs w:val="18"/>
              </w:rPr>
            </w:pPr>
            <w:r>
              <w:rPr>
                <w:rFonts w:ascii="宋体" w:hAnsi="宋体" w:cs="宋体" w:eastAsia="宋体" w:hint="default"/>
                <w:spacing w:val="7"/>
                <w:sz w:val="18"/>
                <w:szCs w:val="18"/>
              </w:rPr>
              <w:t>执业医生信息 </w:t>
            </w:r>
            <w:r>
              <w:rPr>
                <w:rFonts w:ascii="宋体" w:hAnsi="宋体" w:cs="宋体" w:eastAsia="宋体" w:hint="default"/>
                <w:sz w:val="18"/>
                <w:szCs w:val="18"/>
              </w:rPr>
              <w:t>平台（一期）</w:t>
            </w:r>
          </w:p>
        </w:tc>
        <w:tc>
          <w:tcPr>
            <w:tcW w:w="7190"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62"/>
              <w:ind w:left="2" w:right="3"/>
              <w:jc w:val="left"/>
              <w:rPr>
                <w:rFonts w:ascii="宋体" w:hAnsi="宋体" w:cs="宋体" w:eastAsia="宋体" w:hint="default"/>
                <w:sz w:val="18"/>
                <w:szCs w:val="18"/>
              </w:rPr>
            </w:pPr>
            <w:r>
              <w:rPr>
                <w:rFonts w:ascii="宋体" w:hAnsi="宋体" w:cs="宋体" w:eastAsia="宋体" w:hint="default"/>
                <w:spacing w:val="-1"/>
                <w:sz w:val="18"/>
                <w:szCs w:val="18"/>
              </w:rPr>
              <w:t>本项目旨在为自由执业的医生、医生团体、诊所或其他小型医疗机构提供统一的医疗信息化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服务平台，满足医生或医疗机构执业过程中的日常需求，如：预约、工作排程、会诊、咨询</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视频会议和随访等。项目计划在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年底完成一、二、三期建设。目前一期已进入试用阶 段。</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196" w:lineRule="exact" w:before="137"/>
              <w:ind w:left="-109"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99" w:right="0"/>
              <w:jc w:val="left"/>
              <w:rPr>
                <w:rFonts w:ascii="宋体" w:hAnsi="宋体" w:cs="宋体" w:eastAsia="宋体" w:hint="default"/>
                <w:sz w:val="18"/>
                <w:szCs w:val="18"/>
              </w:rPr>
            </w:pPr>
            <w:r>
              <w:rPr>
                <w:rFonts w:ascii="宋体" w:hAnsi="宋体" w:cs="宋体" w:eastAsia="宋体" w:hint="default"/>
                <w:sz w:val="18"/>
                <w:szCs w:val="18"/>
              </w:rPr>
              <w:t>产品试用</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产品化</w:t>
            </w:r>
          </w:p>
        </w:tc>
      </w:tr>
      <w:tr>
        <w:trPr>
          <w:trHeight w:val="1051"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319" w:lineRule="auto"/>
              <w:ind w:left="2" w:right="-5"/>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急诊医疗信息 </w:t>
            </w:r>
            <w:r>
              <w:rPr>
                <w:rFonts w:ascii="宋体" w:hAnsi="宋体" w:cs="宋体" w:eastAsia="宋体" w:hint="default"/>
                <w:sz w:val="18"/>
                <w:szCs w:val="18"/>
              </w:rPr>
              <w:t>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tc>
        <w:tc>
          <w:tcPr>
            <w:tcW w:w="719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27"/>
              <w:jc w:val="both"/>
              <w:rPr>
                <w:rFonts w:ascii="宋体" w:hAnsi="宋体" w:cs="宋体" w:eastAsia="宋体" w:hint="default"/>
                <w:sz w:val="18"/>
                <w:szCs w:val="18"/>
              </w:rPr>
            </w:pPr>
            <w:r>
              <w:rPr>
                <w:rFonts w:ascii="宋体" w:hAnsi="宋体" w:cs="宋体" w:eastAsia="宋体" w:hint="default"/>
                <w:sz w:val="18"/>
                <w:szCs w:val="18"/>
              </w:rPr>
              <w:t>系统主要针对急诊流程进行精细化管理，包含预检分诊、医嘱、病历、护理及统计功能，医 生和护士使用同一个工作站，实现医嘱闭环管理，支持质控分析统计，挂号、收费、检验、 检查、药房等信息系统可对接。</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199" w:right="0"/>
              <w:jc w:val="left"/>
              <w:rPr>
                <w:rFonts w:ascii="宋体" w:hAnsi="宋体" w:cs="宋体" w:eastAsia="宋体" w:hint="default"/>
                <w:sz w:val="18"/>
                <w:szCs w:val="18"/>
              </w:rPr>
            </w:pPr>
            <w:r>
              <w:rPr>
                <w:rFonts w:ascii="宋体" w:hAnsi="宋体" w:cs="宋体" w:eastAsia="宋体" w:hint="default"/>
                <w:sz w:val="18"/>
                <w:szCs w:val="18"/>
              </w:rPr>
              <w:t>产品研发</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产品化</w:t>
            </w:r>
          </w:p>
        </w:tc>
      </w:tr>
    </w:tbl>
    <w:p>
      <w:pPr>
        <w:pStyle w:val="BodyText"/>
        <w:spacing w:line="240" w:lineRule="auto" w:before="51"/>
        <w:ind w:right="0"/>
        <w:jc w:val="left"/>
      </w:pPr>
      <w:r>
        <w:rPr/>
        <w:t>近三年公司研发投入金额及占营业收入的比例</w:t>
      </w:r>
    </w:p>
    <w:p>
      <w:pPr>
        <w:spacing w:line="240" w:lineRule="auto" w:before="1"/>
        <w:rPr>
          <w:rFonts w:ascii="宋体" w:hAnsi="宋体" w:cs="宋体" w:eastAsia="宋体" w:hint="default"/>
          <w:sz w:val="8"/>
          <w:szCs w:val="8"/>
        </w:rPr>
      </w:pPr>
    </w:p>
    <w:tbl>
      <w:tblPr>
        <w:tblW w:w="0" w:type="auto"/>
        <w:jc w:val="left"/>
        <w:tblInd w:w="891" w:type="dxa"/>
        <w:tblLayout w:type="fixed"/>
        <w:tblCellMar>
          <w:top w:w="0" w:type="dxa"/>
          <w:left w:w="0" w:type="dxa"/>
          <w:bottom w:w="0" w:type="dxa"/>
          <w:right w:w="0" w:type="dxa"/>
        </w:tblCellMar>
        <w:tblLook w:val="01E0"/>
      </w:tblPr>
      <w:tblGrid>
        <w:gridCol w:w="2936"/>
        <w:gridCol w:w="2405"/>
        <w:gridCol w:w="2392"/>
        <w:gridCol w:w="2392"/>
      </w:tblGrid>
      <w:tr>
        <w:trPr>
          <w:trHeight w:val="402" w:hRule="exact"/>
        </w:trPr>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w:t>
            </w:r>
          </w:p>
        </w:tc>
      </w:tr>
      <w:tr>
        <w:trPr>
          <w:trHeight w:val="402" w:hRule="exact"/>
        </w:trPr>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38.36%</w:t>
            </w:r>
          </w:p>
        </w:tc>
      </w:tr>
      <w:tr>
        <w:trPr>
          <w:trHeight w:val="402" w:hRule="exact"/>
        </w:trPr>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31,861,578.82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26,583,321.97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25,912,875.73</w:t>
            </w:r>
          </w:p>
        </w:tc>
      </w:tr>
      <w:tr>
        <w:trPr>
          <w:trHeight w:val="402" w:hRule="exact"/>
        </w:trPr>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6.90%</w:t>
            </w:r>
          </w:p>
        </w:tc>
      </w:tr>
      <w:tr>
        <w:trPr>
          <w:trHeight w:val="402" w:hRule="exact"/>
        </w:trPr>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787,657.92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资本化研发支出占研发投入的比例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资本化研发支出占当期净利润的比重</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研发投入总额占营业收入的比重较上年发生显著变化的原因</w:t>
      </w:r>
    </w:p>
    <w:p>
      <w:pPr>
        <w:pStyle w:val="BodyText"/>
        <w:spacing w:line="338" w:lineRule="auto" w:before="117"/>
        <w:ind w:left="1133"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340" w:lineRule="auto" w:before="42"/>
        <w:ind w:left="1133"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主要系公司本报告期内收购子公司合并增加所致。</w:t>
      </w:r>
    </w:p>
    <w:p>
      <w:pPr>
        <w:spacing w:line="240" w:lineRule="auto" w:before="12"/>
        <w:rPr>
          <w:rFonts w:ascii="宋体" w:hAnsi="宋体" w:cs="宋体" w:eastAsia="宋体" w:hint="default"/>
          <w:sz w:val="20"/>
          <w:szCs w:val="20"/>
        </w:rPr>
      </w:pPr>
    </w:p>
    <w:p>
      <w:pPr>
        <w:pStyle w:val="Heading3"/>
        <w:spacing w:line="240" w:lineRule="auto"/>
        <w:ind w:left="1133" w:right="0"/>
        <w:jc w:val="left"/>
        <w:rPr>
          <w:b w:val="0"/>
          <w:bCs w:val="0"/>
        </w:rPr>
      </w:pPr>
      <w:bookmarkStart w:name="5、现金流" w:id="40"/>
      <w:bookmarkEnd w:id="40"/>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891" w:type="dxa"/>
        <w:tblLayout w:type="fixed"/>
        <w:tblCellMar>
          <w:top w:w="0" w:type="dxa"/>
          <w:left w:w="0" w:type="dxa"/>
          <w:bottom w:w="0" w:type="dxa"/>
          <w:right w:w="0" w:type="dxa"/>
        </w:tblCellMar>
        <w:tblLook w:val="01E0"/>
      </w:tblPr>
      <w:tblGrid>
        <w:gridCol w:w="2936"/>
        <w:gridCol w:w="2405"/>
        <w:gridCol w:w="2392"/>
        <w:gridCol w:w="2392"/>
      </w:tblGrid>
      <w:tr>
        <w:trPr>
          <w:trHeight w:val="402" w:hRule="exact"/>
        </w:trPr>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528,640,720.31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393,243,372.51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34.43%</w:t>
            </w:r>
          </w:p>
        </w:tc>
      </w:tr>
      <w:tr>
        <w:trPr>
          <w:trHeight w:val="402" w:hRule="exact"/>
        </w:trPr>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475,667,058.36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420,252,822.27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13.19%</w:t>
            </w:r>
          </w:p>
        </w:tc>
      </w:tr>
      <w:tr>
        <w:trPr>
          <w:trHeight w:val="402" w:hRule="exact"/>
        </w:trPr>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52,973,661.95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-27,009,449.76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296.13%</w:t>
            </w:r>
          </w:p>
        </w:tc>
      </w:tr>
      <w:tr>
        <w:trPr>
          <w:trHeight w:val="402" w:hRule="exact"/>
        </w:trPr>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412,861.00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28,934.79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1,326.87%</w:t>
            </w:r>
          </w:p>
        </w:tc>
      </w:tr>
      <w:tr>
        <w:trPr>
          <w:trHeight w:val="402" w:hRule="exact"/>
        </w:trPr>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141,006,185.31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36,255,244.30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288.93%</w:t>
            </w:r>
          </w:p>
        </w:tc>
      </w:tr>
      <w:tr>
        <w:trPr>
          <w:trHeight w:val="402" w:hRule="exact"/>
        </w:trPr>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-140,593,324.31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-36,226,309.51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-288.10%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566" w:footer="979" w:top="1360" w:bottom="1160" w:left="0" w:right="0"/>
        </w:sectPr>
      </w:pPr>
    </w:p>
    <w:p>
      <w:pPr>
        <w:spacing w:line="240" w:lineRule="auto" w:before="6"/>
        <w:rPr>
          <w:rFonts w:ascii="宋体" w:hAnsi="宋体" w:cs="宋体" w:eastAsia="宋体" w:hint="default"/>
          <w:sz w:val="5"/>
          <w:szCs w:val="5"/>
        </w:rPr>
      </w:pPr>
    </w:p>
    <w:tbl>
      <w:tblPr>
        <w:tblW w:w="0" w:type="auto"/>
        <w:jc w:val="left"/>
        <w:tblInd w:w="880" w:type="dxa"/>
        <w:tblLayout w:type="fixed"/>
        <w:tblCellMar>
          <w:top w:w="0" w:type="dxa"/>
          <w:left w:w="0" w:type="dxa"/>
          <w:bottom w:w="0" w:type="dxa"/>
          <w:right w:w="0" w:type="dxa"/>
        </w:tblCellMar>
        <w:tblLook w:val="01E0"/>
      </w:tblPr>
      <w:tblGrid>
        <w:gridCol w:w="2959"/>
        <w:gridCol w:w="2393"/>
        <w:gridCol w:w="2392"/>
        <w:gridCol w:w="2392"/>
      </w:tblGrid>
      <w:tr>
        <w:trPr>
          <w:trHeight w:val="402" w:hRule="exact"/>
        </w:trPr>
        <w:tc>
          <w:tcPr>
            <w:tcW w:w="2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487,683,821.16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115,133,893.68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323.58%</w:t>
            </w:r>
          </w:p>
        </w:tc>
      </w:tr>
      <w:tr>
        <w:trPr>
          <w:trHeight w:val="402" w:hRule="exact"/>
        </w:trPr>
        <w:tc>
          <w:tcPr>
            <w:tcW w:w="2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222,000,810.33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85,372,717.66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160.04%</w:t>
            </w:r>
          </w:p>
        </w:tc>
      </w:tr>
      <w:tr>
        <w:trPr>
          <w:trHeight w:val="402" w:hRule="exact"/>
        </w:trPr>
        <w:tc>
          <w:tcPr>
            <w:tcW w:w="2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265,683,010.83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29,761,176.02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792.72%</w:t>
            </w:r>
          </w:p>
        </w:tc>
      </w:tr>
      <w:tr>
        <w:trPr>
          <w:trHeight w:val="402" w:hRule="exact"/>
        </w:trPr>
        <w:tc>
          <w:tcPr>
            <w:tcW w:w="2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178,370,369.02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-33,432,669.05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633.52%</w:t>
            </w:r>
          </w:p>
        </w:tc>
      </w:tr>
    </w:tbl>
    <w:p>
      <w:pPr>
        <w:pStyle w:val="BodyText"/>
        <w:spacing w:line="240" w:lineRule="auto" w:before="51"/>
        <w:ind w:right="0"/>
        <w:jc w:val="left"/>
      </w:pPr>
      <w:r>
        <w:rPr/>
        <w:t>相关数据同比发生重大变动的主要影响因素说明</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1133" w:right="0"/>
        <w:jc w:val="left"/>
      </w:pPr>
      <w:r>
        <w:rPr>
          <w:rFonts w:ascii="Times New Roman" w:hAnsi="Times New Roman" w:cs="Times New Roman" w:eastAsia="Times New Roman" w:hint="default"/>
        </w:rPr>
        <w:t>1</w:t>
      </w:r>
      <w:r>
        <w:rPr/>
        <w:t>、经营活动现金流入较上年同期增长</w:t>
      </w:r>
      <w:r>
        <w:rPr>
          <w:spacing w:val="-46"/>
        </w:rPr>
        <w:t> </w:t>
      </w:r>
      <w:r>
        <w:rPr>
          <w:rFonts w:ascii="Times New Roman" w:hAnsi="Times New Roman" w:cs="Times New Roman" w:eastAsia="Times New Roman" w:hint="default"/>
        </w:rPr>
        <w:t>34.43%</w:t>
      </w:r>
      <w:r>
        <w:rPr/>
        <w:t>，主要原因系本报告期内，销售商品、提供劳务取得的现金增加所致。</w:t>
      </w:r>
    </w:p>
    <w:p>
      <w:pPr>
        <w:pStyle w:val="BodyText"/>
        <w:spacing w:line="302" w:lineRule="auto" w:before="102"/>
        <w:ind w:right="1199"/>
        <w:jc w:val="left"/>
      </w:pPr>
      <w:r>
        <w:rPr>
          <w:rFonts w:ascii="Times New Roman" w:hAnsi="Times New Roman" w:cs="Times New Roman" w:eastAsia="Times New Roman" w:hint="default"/>
        </w:rPr>
        <w:t>2</w:t>
      </w:r>
      <w:r>
        <w:rPr/>
        <w:t>、投资活动现金流入较上年同期增长</w:t>
      </w:r>
      <w:r>
        <w:rPr>
          <w:spacing w:val="-47"/>
        </w:rPr>
        <w:t> </w:t>
      </w:r>
      <w:r>
        <w:rPr>
          <w:rFonts w:ascii="Times New Roman" w:hAnsi="Times New Roman" w:cs="Times New Roman" w:eastAsia="Times New Roman" w:hint="default"/>
        </w:rPr>
        <w:t>1,326.87%</w:t>
      </w:r>
      <w:r>
        <w:rPr/>
        <w:t>，主要原因系本报告期内，处置固定资产、无形资产和其他长期资产而收 回的现金净额增加所致。</w:t>
      </w:r>
    </w:p>
    <w:p>
      <w:pPr>
        <w:pStyle w:val="BodyText"/>
        <w:spacing w:line="302" w:lineRule="auto" w:before="68"/>
        <w:ind w:left="1133" w:right="1154"/>
        <w:jc w:val="left"/>
      </w:pPr>
      <w:r>
        <w:rPr>
          <w:rFonts w:ascii="Times New Roman" w:hAnsi="Times New Roman" w:cs="Times New Roman" w:eastAsia="Times New Roman" w:hint="default"/>
        </w:rPr>
        <w:t>3</w:t>
      </w:r>
      <w:r>
        <w:rPr/>
        <w:t>、投资活动现金流出较上年同期增长</w:t>
      </w:r>
      <w:r>
        <w:rPr>
          <w:spacing w:val="-46"/>
        </w:rPr>
        <w:t> </w:t>
      </w:r>
      <w:r>
        <w:rPr>
          <w:rFonts w:ascii="Times New Roman" w:hAnsi="Times New Roman" w:cs="Times New Roman" w:eastAsia="Times New Roman" w:hint="default"/>
        </w:rPr>
        <w:t>288.93%</w:t>
      </w:r>
      <w:r>
        <w:rPr/>
        <w:t>，主要原因系本报告期内，取得子公司及其他营业单位支付的现金净额增加 所致。</w:t>
      </w:r>
    </w:p>
    <w:p>
      <w:pPr>
        <w:pStyle w:val="BodyText"/>
        <w:spacing w:line="240" w:lineRule="auto" w:before="69"/>
        <w:ind w:left="1133" w:right="0"/>
        <w:jc w:val="left"/>
      </w:pPr>
      <w:r>
        <w:rPr>
          <w:rFonts w:ascii="Times New Roman" w:hAnsi="Times New Roman" w:cs="Times New Roman" w:eastAsia="Times New Roman" w:hint="default"/>
        </w:rPr>
        <w:t>4</w:t>
      </w:r>
      <w:r>
        <w:rPr/>
        <w:t>、筹资活动现金流入较上年同期增长</w:t>
      </w:r>
      <w:r>
        <w:rPr>
          <w:spacing w:val="-46"/>
        </w:rPr>
        <w:t> </w:t>
      </w:r>
      <w:r>
        <w:rPr>
          <w:rFonts w:ascii="Times New Roman" w:hAnsi="Times New Roman" w:cs="Times New Roman" w:eastAsia="Times New Roman" w:hint="default"/>
        </w:rPr>
        <w:t>323.58%</w:t>
      </w:r>
      <w:r>
        <w:rPr/>
        <w:t>，主要原因系本报告期内，非公开发行股票募集资金所致。</w:t>
      </w:r>
    </w:p>
    <w:p>
      <w:pPr>
        <w:pStyle w:val="BodyText"/>
        <w:spacing w:line="338" w:lineRule="auto" w:before="103"/>
        <w:ind w:left="1133" w:right="3674"/>
        <w:jc w:val="left"/>
      </w:pPr>
      <w:r>
        <w:rPr>
          <w:rFonts w:ascii="Times New Roman" w:hAnsi="Times New Roman" w:cs="Times New Roman" w:eastAsia="Times New Roman" w:hint="default"/>
        </w:rPr>
        <w:t>5</w:t>
      </w:r>
      <w:r>
        <w:rPr/>
        <w:t>、筹资活动现金流出较上年同期增长</w:t>
      </w:r>
      <w:r>
        <w:rPr>
          <w:spacing w:val="-46"/>
        </w:rPr>
        <w:t> </w:t>
      </w:r>
      <w:r>
        <w:rPr>
          <w:rFonts w:ascii="Times New Roman" w:hAnsi="Times New Roman" w:cs="Times New Roman" w:eastAsia="Times New Roman" w:hint="default"/>
        </w:rPr>
        <w:t>160.04%</w:t>
      </w:r>
      <w:r>
        <w:rPr/>
        <w:t>，主要原因系本报告期内，归还借款所致。 报告期内公司经营活动产生的现金净流量与本年度净利润存在重大差异的原因说明</w:t>
      </w:r>
    </w:p>
    <w:p>
      <w:pPr>
        <w:pStyle w:val="BodyText"/>
        <w:spacing w:line="240" w:lineRule="auto" w:before="42"/>
        <w:ind w:left="11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非主营业务情况" w:id="41"/>
      <w:bookmarkEnd w:id="41"/>
      <w:r>
        <w:rPr>
          <w:b w:val="0"/>
          <w:bCs w:val="0"/>
        </w:rPr>
      </w:r>
      <w:r>
        <w:rPr/>
        <w:t>三、非主营业务情况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四、资产及负债状况" w:id="42"/>
      <w:bookmarkEnd w:id="42"/>
      <w:r>
        <w:rPr>
          <w:b w:val="0"/>
          <w:bCs w:val="0"/>
        </w:rPr>
      </w:r>
      <w:r>
        <w:rPr/>
        <w:t>四、资产及负债状况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资产构成重大变动情况" w:id="43"/>
      <w:bookmarkEnd w:id="43"/>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703" w:type="dxa"/>
        <w:tblLayout w:type="fixed"/>
        <w:tblCellMar>
          <w:top w:w="0" w:type="dxa"/>
          <w:left w:w="0" w:type="dxa"/>
          <w:bottom w:w="0" w:type="dxa"/>
          <w:right w:w="0" w:type="dxa"/>
        </w:tblCellMar>
        <w:tblLook w:val="01E0"/>
      </w:tblPr>
      <w:tblGrid>
        <w:gridCol w:w="1136"/>
        <w:gridCol w:w="1276"/>
        <w:gridCol w:w="851"/>
        <w:gridCol w:w="1276"/>
        <w:gridCol w:w="850"/>
        <w:gridCol w:w="851"/>
        <w:gridCol w:w="4253"/>
      </w:tblGrid>
      <w:tr>
        <w:trPr>
          <w:trHeight w:val="385" w:hRule="exact"/>
        </w:trPr>
        <w:tc>
          <w:tcPr>
            <w:tcW w:w="1136" w:type="dxa"/>
            <w:tcBorders>
              <w:top w:val="single" w:sz="4" w:space="0" w:color="000000"/>
              <w:left w:val="single" w:sz="4" w:space="0" w:color="000000"/>
              <w:bottom w:val="nil" w:sz="6" w:space="0" w:color="auto"/>
              <w:right w:val="single" w:sz="4" w:space="0" w:color="000000"/>
            </w:tcBorders>
            <w:shd w:val="clear" w:color="auto" w:fill="D2D2D2"/>
          </w:tcPr>
          <w:p>
            <w:pP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851" w:type="dxa"/>
            <w:tcBorders>
              <w:top w:val="single" w:sz="4" w:space="0" w:color="000000"/>
              <w:left w:val="single" w:sz="4" w:space="0" w:color="000000"/>
              <w:bottom w:val="nil" w:sz="6" w:space="0" w:color="auto"/>
              <w:right w:val="single" w:sz="4" w:space="0" w:color="000000"/>
            </w:tcBorders>
            <w:shd w:val="clear" w:color="auto" w:fill="D2D2D2"/>
          </w:tcPr>
          <w:p>
            <w:pPr/>
          </w:p>
        </w:tc>
        <w:tc>
          <w:tcPr>
            <w:tcW w:w="425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8" w:hRule="exact"/>
        </w:trPr>
        <w:tc>
          <w:tcPr>
            <w:tcW w:w="1136" w:type="dxa"/>
            <w:vMerge w:val="restart"/>
            <w:tcBorders>
              <w:top w:val="nil" w:sz="6" w:space="0" w:color="auto"/>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68"/>
              <w:ind w:left="240" w:right="59"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68"/>
              <w:ind w:left="240" w:right="59"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8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59"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42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136" w:type="dxa"/>
            <w:vMerge/>
            <w:tcBorders>
              <w:left w:val="single" w:sz="4" w:space="0" w:color="000000"/>
              <w:bottom w:val="nil" w:sz="6" w:space="0" w:color="auto"/>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51" w:type="dxa"/>
            <w:vMerge/>
            <w:tcBorders>
              <w:left w:val="single" w:sz="4" w:space="0" w:color="000000"/>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vMerge/>
            <w:tcBorders>
              <w:left w:val="single" w:sz="4" w:space="0" w:color="000000"/>
              <w:right w:val="single" w:sz="4" w:space="0" w:color="000000"/>
            </w:tcBorders>
            <w:shd w:val="clear" w:color="auto" w:fill="D2D2D2"/>
          </w:tcPr>
          <w:p>
            <w:pPr/>
          </w:p>
        </w:tc>
        <w:tc>
          <w:tcPr>
            <w:tcW w:w="851" w:type="dxa"/>
            <w:vMerge/>
            <w:tcBorders>
              <w:left w:val="single" w:sz="4" w:space="0" w:color="000000"/>
              <w:bottom w:val="nil" w:sz="6" w:space="0" w:color="auto"/>
              <w:right w:val="single" w:sz="4" w:space="0" w:color="000000"/>
            </w:tcBorders>
            <w:shd w:val="clear" w:color="auto" w:fill="D2D2D2"/>
          </w:tcPr>
          <w:p>
            <w:pPr/>
          </w:p>
        </w:tc>
        <w:tc>
          <w:tcPr>
            <w:tcW w:w="4253"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136" w:type="dxa"/>
            <w:vMerge w:val="restart"/>
            <w:tcBorders>
              <w:top w:val="nil" w:sz="6" w:space="0" w:color="auto"/>
              <w:left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851"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851" w:type="dxa"/>
            <w:vMerge w:val="restart"/>
            <w:tcBorders>
              <w:top w:val="nil" w:sz="6" w:space="0" w:color="auto"/>
              <w:left w:val="single" w:sz="4" w:space="0" w:color="000000"/>
              <w:right w:val="single" w:sz="4" w:space="0" w:color="000000"/>
            </w:tcBorders>
            <w:shd w:val="clear" w:color="auto" w:fill="D2D2D2"/>
          </w:tcPr>
          <w:p>
            <w:pPr/>
          </w:p>
        </w:tc>
        <w:tc>
          <w:tcPr>
            <w:tcW w:w="425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136"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425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1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1" w:right="0"/>
              <w:jc w:val="left"/>
              <w:rPr>
                <w:rFonts w:ascii="Times New Roman" w:hAnsi="Times New Roman" w:cs="Times New Roman" w:eastAsia="Times New Roman" w:hint="default"/>
                <w:sz w:val="18"/>
                <w:szCs w:val="18"/>
              </w:rPr>
            </w:pPr>
            <w:r>
              <w:rPr>
                <w:rFonts w:ascii="Times New Roman"/>
                <w:sz w:val="18"/>
              </w:rPr>
              <w:t>316,392,913.37</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29.57%</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8" w:right="0"/>
              <w:jc w:val="left"/>
              <w:rPr>
                <w:rFonts w:ascii="Times New Roman" w:hAnsi="Times New Roman" w:cs="Times New Roman" w:eastAsia="Times New Roman" w:hint="default"/>
                <w:sz w:val="18"/>
                <w:szCs w:val="18"/>
              </w:rPr>
            </w:pPr>
            <w:r>
              <w:rPr>
                <w:rFonts w:ascii="Times New Roman"/>
                <w:sz w:val="18"/>
              </w:rPr>
              <w:t>138,315,564.52</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21.14%</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3" w:right="0"/>
              <w:jc w:val="left"/>
              <w:rPr>
                <w:rFonts w:ascii="Times New Roman" w:hAnsi="Times New Roman" w:cs="Times New Roman" w:eastAsia="Times New Roman" w:hint="default"/>
                <w:sz w:val="18"/>
                <w:szCs w:val="18"/>
              </w:rPr>
            </w:pPr>
            <w:r>
              <w:rPr>
                <w:rFonts w:ascii="Times New Roman"/>
                <w:sz w:val="18"/>
              </w:rPr>
              <w:t>8.43%</w:t>
            </w:r>
          </w:p>
        </w:tc>
        <w:tc>
          <w:tcPr>
            <w:tcW w:w="4253"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257"/>
              <w:jc w:val="left"/>
              <w:rPr>
                <w:rFonts w:ascii="宋体" w:hAnsi="宋体" w:cs="宋体" w:eastAsia="宋体" w:hint="default"/>
                <w:sz w:val="18"/>
                <w:szCs w:val="18"/>
              </w:rPr>
            </w:pPr>
            <w:r>
              <w:rPr>
                <w:rFonts w:ascii="宋体" w:hAnsi="宋体" w:cs="宋体" w:eastAsia="宋体" w:hint="default"/>
                <w:sz w:val="18"/>
                <w:szCs w:val="18"/>
              </w:rPr>
              <w:t>主要系本公司于报告期非公开发行股票募集资金所 致。</w:t>
            </w:r>
          </w:p>
        </w:tc>
      </w:tr>
      <w:tr>
        <w:trPr>
          <w:trHeight w:val="392" w:hRule="exact"/>
        </w:trPr>
        <w:tc>
          <w:tcPr>
            <w:tcW w:w="11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76" w:type="dxa"/>
            <w:vMerge/>
            <w:tcBorders>
              <w:left w:val="single" w:sz="10" w:space="0" w:color="D2D2D2"/>
              <w:right w:val="single" w:sz="4" w:space="0" w:color="000000"/>
            </w:tcBorders>
          </w:tcPr>
          <w:p>
            <w:pPr/>
          </w:p>
        </w:tc>
        <w:tc>
          <w:tcPr>
            <w:tcW w:w="851"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253" w:type="dxa"/>
            <w:vMerge/>
            <w:tcBorders>
              <w:left w:val="single" w:sz="4" w:space="0" w:color="000000"/>
              <w:right w:val="single" w:sz="4" w:space="0" w:color="000000"/>
            </w:tcBorders>
          </w:tcPr>
          <w:p>
            <w:pPr/>
          </w:p>
        </w:tc>
      </w:tr>
      <w:tr>
        <w:trPr>
          <w:trHeight w:val="161" w:hRule="exact"/>
        </w:trPr>
        <w:tc>
          <w:tcPr>
            <w:tcW w:w="11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vMerge/>
            <w:tcBorders>
              <w:left w:val="single" w:sz="10" w:space="0" w:color="D2D2D2"/>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4253" w:type="dxa"/>
            <w:vMerge/>
            <w:tcBorders>
              <w:left w:val="single" w:sz="4" w:space="0" w:color="000000"/>
              <w:bottom w:val="single" w:sz="4" w:space="0" w:color="000000"/>
              <w:right w:val="single" w:sz="4" w:space="0" w:color="000000"/>
            </w:tcBorders>
          </w:tcPr>
          <w:p>
            <w:pPr/>
          </w:p>
        </w:tc>
      </w:tr>
      <w:tr>
        <w:trPr>
          <w:trHeight w:val="402"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417,936,814.75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39.05%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center"/>
              <w:rPr>
                <w:rFonts w:ascii="Times New Roman" w:hAnsi="Times New Roman" w:cs="Times New Roman" w:eastAsia="Times New Roman" w:hint="default"/>
                <w:sz w:val="18"/>
                <w:szCs w:val="18"/>
              </w:rPr>
            </w:pPr>
            <w:r>
              <w:rPr>
                <w:rFonts w:ascii="Times New Roman"/>
                <w:sz w:val="18"/>
              </w:rPr>
              <w:t>325,485,103.90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49.74%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-10.69%</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主要系公司本报告期业务规模扩大所致。</w:t>
            </w:r>
          </w:p>
        </w:tc>
      </w:tr>
      <w:tr>
        <w:trPr>
          <w:trHeight w:val="402"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47,609,043.58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6" w:right="0"/>
              <w:jc w:val="center"/>
              <w:rPr>
                <w:rFonts w:ascii="Times New Roman" w:hAnsi="Times New Roman" w:cs="Times New Roman" w:eastAsia="Times New Roman" w:hint="default"/>
                <w:sz w:val="18"/>
                <w:szCs w:val="18"/>
              </w:rPr>
            </w:pPr>
            <w:r>
              <w:rPr>
                <w:rFonts w:ascii="Times New Roman"/>
                <w:sz w:val="18"/>
              </w:rPr>
              <w:t>41,295,267.47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-1.86%</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161" w:hRule="exact"/>
        </w:trPr>
        <w:tc>
          <w:tcPr>
            <w:tcW w:w="11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66,972,956.58</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6.26%</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87,539,220.42</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13.38%</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3" w:right="0"/>
              <w:jc w:val="left"/>
              <w:rPr>
                <w:rFonts w:ascii="Times New Roman" w:hAnsi="Times New Roman" w:cs="Times New Roman" w:eastAsia="Times New Roman" w:hint="default"/>
                <w:sz w:val="18"/>
                <w:szCs w:val="18"/>
              </w:rPr>
            </w:pPr>
            <w:r>
              <w:rPr>
                <w:rFonts w:ascii="Times New Roman"/>
                <w:sz w:val="18"/>
              </w:rPr>
              <w:t>-7.12%</w:t>
            </w:r>
          </w:p>
        </w:tc>
        <w:tc>
          <w:tcPr>
            <w:tcW w:w="4253"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77"/>
              <w:jc w:val="left"/>
              <w:rPr>
                <w:rFonts w:ascii="宋体" w:hAnsi="宋体" w:cs="宋体" w:eastAsia="宋体" w:hint="default"/>
                <w:sz w:val="18"/>
                <w:szCs w:val="18"/>
              </w:rPr>
            </w:pPr>
            <w:r>
              <w:rPr>
                <w:rFonts w:ascii="宋体" w:hAnsi="宋体" w:cs="宋体" w:eastAsia="宋体" w:hint="default"/>
                <w:sz w:val="18"/>
                <w:szCs w:val="18"/>
              </w:rPr>
              <w:t>主要系公司本报告期内研发中心及综合办公楼改造转 入在建工程所致。</w:t>
            </w:r>
          </w:p>
        </w:tc>
      </w:tr>
      <w:tr>
        <w:trPr>
          <w:trHeight w:val="392" w:hRule="exact"/>
        </w:trPr>
        <w:tc>
          <w:tcPr>
            <w:tcW w:w="11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276" w:type="dxa"/>
            <w:vMerge/>
            <w:tcBorders>
              <w:left w:val="single" w:sz="10" w:space="0" w:color="D2D2D2"/>
              <w:right w:val="single" w:sz="4" w:space="0" w:color="000000"/>
            </w:tcBorders>
          </w:tcPr>
          <w:p>
            <w:pPr/>
          </w:p>
        </w:tc>
        <w:tc>
          <w:tcPr>
            <w:tcW w:w="851"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253" w:type="dxa"/>
            <w:vMerge/>
            <w:tcBorders>
              <w:left w:val="single" w:sz="4" w:space="0" w:color="000000"/>
              <w:right w:val="single" w:sz="4" w:space="0" w:color="000000"/>
            </w:tcBorders>
          </w:tcPr>
          <w:p>
            <w:pPr/>
          </w:p>
        </w:tc>
      </w:tr>
      <w:tr>
        <w:trPr>
          <w:trHeight w:val="161" w:hRule="exact"/>
        </w:trPr>
        <w:tc>
          <w:tcPr>
            <w:tcW w:w="11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vMerge/>
            <w:tcBorders>
              <w:left w:val="single" w:sz="10" w:space="0" w:color="D2D2D2"/>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4253" w:type="dxa"/>
            <w:vMerge/>
            <w:tcBorders>
              <w:left w:val="single" w:sz="4" w:space="0" w:color="000000"/>
              <w:bottom w:val="single" w:sz="4" w:space="0" w:color="000000"/>
              <w:right w:val="single" w:sz="4" w:space="0" w:color="000000"/>
            </w:tcBorders>
          </w:tcPr>
          <w:p>
            <w:pPr/>
          </w:p>
        </w:tc>
      </w:tr>
      <w:tr>
        <w:trPr>
          <w:trHeight w:val="161" w:hRule="exact"/>
        </w:trPr>
        <w:tc>
          <w:tcPr>
            <w:tcW w:w="11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30,075,558.32</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2.81%</w:t>
            </w:r>
          </w:p>
        </w:tc>
        <w:tc>
          <w:tcPr>
            <w:tcW w:w="1276"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3" w:right="0"/>
              <w:jc w:val="left"/>
              <w:rPr>
                <w:rFonts w:ascii="Times New Roman" w:hAnsi="Times New Roman" w:cs="Times New Roman" w:eastAsia="Times New Roman" w:hint="default"/>
                <w:sz w:val="18"/>
                <w:szCs w:val="18"/>
              </w:rPr>
            </w:pPr>
            <w:r>
              <w:rPr>
                <w:rFonts w:ascii="Times New Roman"/>
                <w:sz w:val="18"/>
              </w:rPr>
              <w:t>2.81%</w:t>
            </w:r>
          </w:p>
        </w:tc>
        <w:tc>
          <w:tcPr>
            <w:tcW w:w="4253"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77"/>
              <w:jc w:val="left"/>
              <w:rPr>
                <w:rFonts w:ascii="宋体" w:hAnsi="宋体" w:cs="宋体" w:eastAsia="宋体" w:hint="default"/>
                <w:sz w:val="18"/>
                <w:szCs w:val="18"/>
              </w:rPr>
            </w:pPr>
            <w:r>
              <w:rPr>
                <w:rFonts w:ascii="宋体" w:hAnsi="宋体" w:cs="宋体" w:eastAsia="宋体" w:hint="default"/>
                <w:sz w:val="18"/>
                <w:szCs w:val="18"/>
              </w:rPr>
              <w:t>主要系公司本报告期内实施研发中心及综合办公楼建 设项目所致。</w:t>
            </w:r>
          </w:p>
        </w:tc>
      </w:tr>
      <w:tr>
        <w:trPr>
          <w:trHeight w:val="392" w:hRule="exact"/>
        </w:trPr>
        <w:tc>
          <w:tcPr>
            <w:tcW w:w="11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276" w:type="dxa"/>
            <w:vMerge/>
            <w:tcBorders>
              <w:left w:val="single" w:sz="10" w:space="0" w:color="D2D2D2"/>
              <w:right w:val="single" w:sz="4" w:space="0" w:color="000000"/>
            </w:tcBorders>
          </w:tcPr>
          <w:p>
            <w:pPr/>
          </w:p>
        </w:tc>
        <w:tc>
          <w:tcPr>
            <w:tcW w:w="851"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253" w:type="dxa"/>
            <w:vMerge/>
            <w:tcBorders>
              <w:left w:val="single" w:sz="4" w:space="0" w:color="000000"/>
              <w:right w:val="single" w:sz="4" w:space="0" w:color="000000"/>
            </w:tcBorders>
          </w:tcPr>
          <w:p>
            <w:pPr/>
          </w:p>
        </w:tc>
      </w:tr>
      <w:tr>
        <w:trPr>
          <w:trHeight w:val="161" w:hRule="exact"/>
        </w:trPr>
        <w:tc>
          <w:tcPr>
            <w:tcW w:w="11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vMerge/>
            <w:tcBorders>
              <w:left w:val="single" w:sz="10" w:space="0" w:color="D2D2D2"/>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4253" w:type="dxa"/>
            <w:vMerge/>
            <w:tcBorders>
              <w:left w:val="single" w:sz="4" w:space="0" w:color="000000"/>
              <w:bottom w:val="single" w:sz="4" w:space="0" w:color="000000"/>
              <w:right w:val="single" w:sz="4" w:space="0" w:color="000000"/>
            </w:tcBorders>
          </w:tcPr>
          <w:p>
            <w:pPr/>
          </w:p>
        </w:tc>
      </w:tr>
      <w:tr>
        <w:trPr>
          <w:trHeight w:val="473" w:hRule="exact"/>
        </w:trPr>
        <w:tc>
          <w:tcPr>
            <w:tcW w:w="11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11" w:right="0"/>
              <w:jc w:val="left"/>
              <w:rPr>
                <w:rFonts w:ascii="Times New Roman" w:hAnsi="Times New Roman" w:cs="Times New Roman" w:eastAsia="Times New Roman" w:hint="default"/>
                <w:sz w:val="18"/>
                <w:szCs w:val="18"/>
              </w:rPr>
            </w:pPr>
            <w:r>
              <w:rPr>
                <w:rFonts w:ascii="Times New Roman"/>
                <w:sz w:val="18"/>
              </w:rPr>
              <w:t>134,741,437.03</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61" w:right="0"/>
              <w:jc w:val="left"/>
              <w:rPr>
                <w:rFonts w:ascii="Times New Roman" w:hAnsi="Times New Roman" w:cs="Times New Roman" w:eastAsia="Times New Roman" w:hint="default"/>
                <w:sz w:val="18"/>
                <w:szCs w:val="18"/>
              </w:rPr>
            </w:pPr>
            <w:r>
              <w:rPr>
                <w:rFonts w:ascii="Times New Roman"/>
                <w:sz w:val="18"/>
              </w:rPr>
              <w:t>12.59%</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8,616,399.34</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1.32%</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69" w:right="0"/>
              <w:jc w:val="left"/>
              <w:rPr>
                <w:rFonts w:ascii="Times New Roman" w:hAnsi="Times New Roman" w:cs="Times New Roman" w:eastAsia="Times New Roman" w:hint="default"/>
                <w:sz w:val="18"/>
                <w:szCs w:val="18"/>
              </w:rPr>
            </w:pPr>
            <w:r>
              <w:rPr>
                <w:rFonts w:ascii="Times New Roman"/>
                <w:sz w:val="18"/>
              </w:rPr>
              <w:t>11.27%</w:t>
            </w:r>
          </w:p>
        </w:tc>
        <w:tc>
          <w:tcPr>
            <w:tcW w:w="4253" w:type="dxa"/>
            <w:vMerge w:val="restart"/>
            <w:tcBorders>
              <w:top w:val="single" w:sz="4" w:space="0" w:color="000000"/>
              <w:left w:val="single" w:sz="4" w:space="0" w:color="000000"/>
              <w:right w:val="single" w:sz="4" w:space="0" w:color="000000"/>
            </w:tcBorders>
          </w:tcPr>
          <w:p>
            <w:pPr>
              <w:pStyle w:val="TableParagraph"/>
              <w:spacing w:line="312" w:lineRule="auto" w:before="51"/>
              <w:ind w:left="23" w:right="21"/>
              <w:jc w:val="both"/>
              <w:rPr>
                <w:rFonts w:ascii="宋体" w:hAnsi="宋体" w:cs="宋体" w:eastAsia="宋体" w:hint="default"/>
                <w:sz w:val="18"/>
                <w:szCs w:val="18"/>
              </w:rPr>
            </w:pPr>
            <w:r>
              <w:rPr>
                <w:rFonts w:ascii="宋体" w:hAnsi="宋体" w:cs="宋体" w:eastAsia="宋体" w:hint="default"/>
                <w:sz w:val="18"/>
                <w:szCs w:val="18"/>
              </w:rPr>
              <w:t>主要系本公司收购上海米健信息技术有限公司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51.00% </w:t>
            </w:r>
            <w:r>
              <w:rPr>
                <w:rFonts w:ascii="宋体" w:hAnsi="宋体" w:cs="宋体" w:eastAsia="宋体" w:hint="default"/>
                <w:sz w:val="18"/>
                <w:szCs w:val="18"/>
              </w:rPr>
              <w:t>股权，公司按非同一控制下的企业合并将合并成本与 确认的被收购方可辨认净资产公允价值份额之间的差 额确认为商誉所致。</w:t>
            </w:r>
          </w:p>
        </w:tc>
      </w:tr>
      <w:tr>
        <w:trPr>
          <w:trHeight w:val="392" w:hRule="exact"/>
        </w:trPr>
        <w:tc>
          <w:tcPr>
            <w:tcW w:w="11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276" w:type="dxa"/>
            <w:vMerge/>
            <w:tcBorders>
              <w:left w:val="single" w:sz="10" w:space="0" w:color="D2D2D2"/>
              <w:right w:val="single" w:sz="4" w:space="0" w:color="000000"/>
            </w:tcBorders>
          </w:tcPr>
          <w:p>
            <w:pPr/>
          </w:p>
        </w:tc>
        <w:tc>
          <w:tcPr>
            <w:tcW w:w="851"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4253" w:type="dxa"/>
            <w:vMerge/>
            <w:tcBorders>
              <w:left w:val="single" w:sz="4" w:space="0" w:color="000000"/>
              <w:right w:val="single" w:sz="4" w:space="0" w:color="000000"/>
            </w:tcBorders>
          </w:tcPr>
          <w:p>
            <w:pPr/>
          </w:p>
        </w:tc>
      </w:tr>
      <w:tr>
        <w:trPr>
          <w:trHeight w:val="473" w:hRule="exact"/>
        </w:trPr>
        <w:tc>
          <w:tcPr>
            <w:tcW w:w="11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vMerge/>
            <w:tcBorders>
              <w:left w:val="single" w:sz="10" w:space="0" w:color="D2D2D2"/>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4253" w:type="dxa"/>
            <w:vMerge/>
            <w:tcBorders>
              <w:left w:val="single" w:sz="4" w:space="0" w:color="000000"/>
              <w:bottom w:val="single" w:sz="4" w:space="0" w:color="000000"/>
              <w:right w:val="single" w:sz="4" w:space="0" w:color="000000"/>
            </w:tcBorders>
          </w:tcPr>
          <w:p>
            <w:pPr/>
          </w:p>
        </w:tc>
      </w:tr>
    </w:tbl>
    <w:p>
      <w:pPr>
        <w:spacing w:after="0"/>
        <w:sectPr>
          <w:pgSz w:w="11910" w:h="16840"/>
          <w:pgMar w:header="566" w:footer="979" w:top="1360" w:bottom="1160" w:left="0" w:right="0"/>
        </w:sectPr>
      </w:pPr>
    </w:p>
    <w:p>
      <w:pPr>
        <w:spacing w:line="240" w:lineRule="auto" w:before="6"/>
        <w:rPr>
          <w:rFonts w:ascii="宋体" w:hAnsi="宋体" w:cs="宋体" w:eastAsia="宋体" w:hint="default"/>
          <w:sz w:val="5"/>
          <w:szCs w:val="5"/>
        </w:rPr>
      </w:pPr>
    </w:p>
    <w:tbl>
      <w:tblPr>
        <w:tblW w:w="0" w:type="auto"/>
        <w:jc w:val="left"/>
        <w:tblInd w:w="703" w:type="dxa"/>
        <w:tblLayout w:type="fixed"/>
        <w:tblCellMar>
          <w:top w:w="0" w:type="dxa"/>
          <w:left w:w="0" w:type="dxa"/>
          <w:bottom w:w="0" w:type="dxa"/>
          <w:right w:w="0" w:type="dxa"/>
        </w:tblCellMar>
        <w:tblLook w:val="01E0"/>
      </w:tblPr>
      <w:tblGrid>
        <w:gridCol w:w="1136"/>
        <w:gridCol w:w="1276"/>
        <w:gridCol w:w="851"/>
        <w:gridCol w:w="1276"/>
        <w:gridCol w:w="850"/>
        <w:gridCol w:w="851"/>
        <w:gridCol w:w="4253"/>
      </w:tblGrid>
      <w:tr>
        <w:trPr>
          <w:trHeight w:val="402"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12,841,079.40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113,833,893.68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-16.20%</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主要系公司本报告期归还借款所致。</w:t>
            </w:r>
          </w:p>
        </w:tc>
      </w:tr>
      <w:tr>
        <w:trPr>
          <w:trHeight w:val="402"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104,240,710.92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w w:val="80"/>
                <w:sz w:val="18"/>
              </w:rPr>
              <w:t>48,534,473.06</w:t>
            </w:r>
            <w:r>
              <w:rPr>
                <w:rFonts w:ascii="Arial"/>
                <w:spacing w:val="-1"/>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2.32%</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主要系公司本报告期业务规模扩大所致。</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以公允价值计量的资产和负债" w:id="44"/>
      <w:bookmarkEnd w:id="44"/>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五、投资状况分析" w:id="45"/>
      <w:bookmarkEnd w:id="45"/>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总体情况" w:id="46"/>
      <w:bookmarkEnd w:id="46"/>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127,500,000.00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报告期内获取的重大的股权投资情况" w:id="47"/>
      <w:bookmarkEnd w:id="47"/>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pict>
          <v:shape style="position:absolute;margin-left:280.897003pt;margin-top:60.381733pt;width:52.05pt;height:39pt;mso-position-horizontal-relative:page;mso-position-vertical-relative:paragraph;z-index:-614848"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6"/>
                    <w:ind w:left="0" w:right="0"/>
                    <w:jc w:val="left"/>
                  </w:pPr>
                  <w:r>
                    <w:rPr/>
                    <w:t>赵达、</w:t>
                  </w:r>
                </w:p>
              </w:txbxContent>
            </v:textbox>
            <w10:wrap type="none"/>
          </v:shape>
        </w:pict>
      </w:r>
      <w:r>
        <w:rPr/>
        <w:t>单位：元</w:t>
      </w:r>
    </w:p>
    <w:p>
      <w:pPr>
        <w:spacing w:line="240" w:lineRule="auto" w:before="4"/>
        <w:rPr>
          <w:rFonts w:ascii="宋体" w:hAnsi="宋体" w:cs="宋体" w:eastAsia="宋体" w:hint="default"/>
          <w:sz w:val="8"/>
          <w:szCs w:val="8"/>
        </w:rPr>
      </w:pPr>
    </w:p>
    <w:tbl>
      <w:tblPr>
        <w:tblW w:w="0" w:type="auto"/>
        <w:jc w:val="left"/>
        <w:tblInd w:w="154" w:type="dxa"/>
        <w:tblLayout w:type="fixed"/>
        <w:tblCellMar>
          <w:top w:w="0" w:type="dxa"/>
          <w:left w:w="0" w:type="dxa"/>
          <w:bottom w:w="0" w:type="dxa"/>
          <w:right w:w="0" w:type="dxa"/>
        </w:tblCellMar>
        <w:tblLook w:val="01E0"/>
      </w:tblPr>
      <w:tblGrid>
        <w:gridCol w:w="833"/>
        <w:gridCol w:w="1304"/>
        <w:gridCol w:w="425"/>
        <w:gridCol w:w="1276"/>
        <w:gridCol w:w="709"/>
        <w:gridCol w:w="425"/>
        <w:gridCol w:w="966"/>
        <w:gridCol w:w="568"/>
        <w:gridCol w:w="1134"/>
        <w:gridCol w:w="1019"/>
        <w:gridCol w:w="425"/>
        <w:gridCol w:w="850"/>
        <w:gridCol w:w="1655"/>
      </w:tblGrid>
      <w:tr>
        <w:trPr>
          <w:trHeight w:val="744" w:hRule="exact"/>
        </w:trPr>
        <w:tc>
          <w:tcPr>
            <w:tcW w:w="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141" w:right="49" w:hanging="90"/>
              <w:jc w:val="left"/>
              <w:rPr>
                <w:rFonts w:ascii="宋体" w:hAnsi="宋体" w:cs="宋体" w:eastAsia="宋体" w:hint="default"/>
                <w:sz w:val="18"/>
                <w:szCs w:val="18"/>
              </w:rPr>
            </w:pPr>
            <w:r>
              <w:rPr>
                <w:rFonts w:ascii="宋体" w:hAnsi="宋体" w:cs="宋体" w:eastAsia="宋体" w:hint="default"/>
                <w:sz w:val="18"/>
                <w:szCs w:val="18"/>
              </w:rPr>
              <w:t>被投资公 司名称</w:t>
            </w:r>
          </w:p>
        </w:tc>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26" w:right="26"/>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投资金额</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259" w:right="78"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26" w:right="27"/>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合作方</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98" w:right="97"/>
              <w:jc w:val="left"/>
              <w:rPr>
                <w:rFonts w:ascii="宋体" w:hAnsi="宋体" w:cs="宋体" w:eastAsia="宋体" w:hint="default"/>
                <w:sz w:val="18"/>
                <w:szCs w:val="18"/>
              </w:rPr>
            </w:pPr>
            <w:r>
              <w:rPr>
                <w:rFonts w:ascii="宋体" w:hAnsi="宋体" w:cs="宋体" w:eastAsia="宋体" w:hint="default"/>
                <w:sz w:val="18"/>
                <w:szCs w:val="18"/>
              </w:rPr>
              <w:t>产品 类型</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预计收益</w:t>
            </w:r>
          </w:p>
        </w:tc>
        <w:tc>
          <w:tcPr>
            <w:tcW w:w="10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46"/>
              <w:ind w:left="324" w:right="143" w:hanging="181"/>
              <w:jc w:val="left"/>
              <w:rPr>
                <w:rFonts w:ascii="宋体" w:hAnsi="宋体" w:cs="宋体" w:eastAsia="宋体" w:hint="default"/>
                <w:sz w:val="18"/>
                <w:szCs w:val="18"/>
              </w:rPr>
            </w:pPr>
            <w:r>
              <w:rPr>
                <w:rFonts w:ascii="宋体" w:hAnsi="宋体" w:cs="宋体" w:eastAsia="宋体" w:hint="default"/>
                <w:sz w:val="18"/>
                <w:szCs w:val="18"/>
              </w:rPr>
              <w:t>本期投资 盈亏</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26" w:right="26"/>
              <w:jc w:val="left"/>
              <w:rPr>
                <w:rFonts w:ascii="宋体" w:hAnsi="宋体" w:cs="宋体" w:eastAsia="宋体" w:hint="default"/>
                <w:sz w:val="18"/>
                <w:szCs w:val="18"/>
              </w:rPr>
            </w:pPr>
            <w:r>
              <w:rPr>
                <w:rFonts w:ascii="宋体" w:hAnsi="宋体" w:cs="宋体" w:eastAsia="宋体" w:hint="default"/>
                <w:sz w:val="18"/>
                <w:szCs w:val="18"/>
              </w:rPr>
              <w:t>是否 涉诉</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2279" w:hRule="exact"/>
        </w:trPr>
        <w:tc>
          <w:tcPr>
            <w:tcW w:w="833"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316" w:lineRule="auto"/>
              <w:ind w:left="23" w:right="77"/>
              <w:jc w:val="both"/>
              <w:rPr>
                <w:rFonts w:ascii="宋体" w:hAnsi="宋体" w:cs="宋体" w:eastAsia="宋体" w:hint="default"/>
                <w:sz w:val="18"/>
                <w:szCs w:val="18"/>
              </w:rPr>
            </w:pPr>
            <w:r>
              <w:rPr>
                <w:rFonts w:ascii="宋体" w:hAnsi="宋体" w:cs="宋体" w:eastAsia="宋体" w:hint="default"/>
                <w:sz w:val="18"/>
                <w:szCs w:val="18"/>
              </w:rPr>
              <w:t>上海米健 信息技术 有限公司</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7"/>
              <w:ind w:left="22" w:right="9"/>
              <w:jc w:val="left"/>
              <w:rPr>
                <w:rFonts w:ascii="宋体" w:hAnsi="宋体" w:cs="宋体" w:eastAsia="宋体" w:hint="default"/>
                <w:sz w:val="18"/>
                <w:szCs w:val="18"/>
              </w:rPr>
            </w:pPr>
            <w:r>
              <w:rPr>
                <w:rFonts w:ascii="宋体" w:hAnsi="宋体" w:cs="宋体" w:eastAsia="宋体" w:hint="default"/>
                <w:sz w:val="18"/>
                <w:szCs w:val="18"/>
              </w:rPr>
              <w:t>信息科技、计算 机软硬件科技、 网络科技技术 领域内的技术 开发、技术咨 询、技术转让、 技术服务等</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收购</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127,500,000.00</w:t>
            </w:r>
          </w:p>
        </w:tc>
        <w:tc>
          <w:tcPr>
            <w:tcW w:w="709"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Times New Roman"/>
                <w:sz w:val="18"/>
              </w:rPr>
              <w:t>51.00%</w:t>
            </w:r>
          </w:p>
        </w:tc>
        <w:tc>
          <w:tcPr>
            <w:tcW w:w="425"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2" w:right="3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7"/>
              <w:ind w:left="22" w:right="31"/>
              <w:jc w:val="left"/>
              <w:rPr>
                <w:rFonts w:ascii="宋体" w:hAnsi="宋体" w:cs="宋体" w:eastAsia="宋体" w:hint="default"/>
                <w:sz w:val="18"/>
                <w:szCs w:val="18"/>
              </w:rPr>
            </w:pPr>
            <w:r>
              <w:rPr>
                <w:rFonts w:ascii="宋体" w:hAnsi="宋体" w:cs="宋体" w:eastAsia="宋体" w:hint="default"/>
                <w:sz w:val="18"/>
                <w:szCs w:val="18"/>
              </w:rPr>
              <w:t>张继武、雷 新刚、 上海建信康 颖创业投资 合伙企业</w:t>
            </w:r>
          </w:p>
          <w:p>
            <w:pPr>
              <w:pStyle w:val="TableParagraph"/>
              <w:spacing w:line="319" w:lineRule="auto" w:before="19"/>
              <w:ind w:left="22" w:right="211"/>
              <w:jc w:val="left"/>
              <w:rPr>
                <w:rFonts w:ascii="宋体" w:hAnsi="宋体" w:cs="宋体" w:eastAsia="宋体" w:hint="default"/>
                <w:sz w:val="18"/>
                <w:szCs w:val="18"/>
              </w:rPr>
            </w:pPr>
            <w:r>
              <w:rPr>
                <w:rFonts w:ascii="宋体" w:hAnsi="宋体" w:cs="宋体" w:eastAsia="宋体" w:hint="default"/>
                <w:sz w:val="18"/>
                <w:szCs w:val="18"/>
              </w:rPr>
              <w:t>（有限合 伙）</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780" w:lineRule="exact"/>
              <w:ind w:right="-49"/>
              <w:jc w:val="left"/>
              <w:rPr>
                <w:rFonts w:ascii="宋体" w:hAnsi="宋体" w:cs="宋体" w:eastAsia="宋体" w:hint="default"/>
                <w:sz w:val="20"/>
                <w:szCs w:val="20"/>
              </w:rPr>
            </w:pPr>
            <w:r>
              <w:rPr>
                <w:rFonts w:ascii="宋体" w:hAnsi="宋体" w:cs="宋体" w:eastAsia="宋体" w:hint="default"/>
                <w:position w:val="-15"/>
                <w:sz w:val="20"/>
                <w:szCs w:val="20"/>
              </w:rPr>
              <w:pict>
                <v:group style="width:27.85pt;height:39pt;mso-position-horizontal-relative:char;mso-position-vertical-relative:line" coordorigin="0,0" coordsize="557,780">
                  <v:group style="position:absolute;left:0;top:0;width:557;height:780" coordorigin="0,0" coordsize="557,780">
                    <v:shape style="position:absolute;left:0;top:0;width:557;height:780" coordorigin="0,0" coordsize="557,780" path="m0,780l557,780,557,0,0,0,0,780xe" filled="true" fillcolor="#ffffff" stroked="false">
                      <v:path arrowok="t"/>
                      <v:fill type="solid"/>
                    </v:shape>
                  </v:group>
                </v:group>
              </w:pict>
            </w:r>
            <w:r>
              <w:rPr>
                <w:rFonts w:ascii="宋体" w:hAnsi="宋体" w:cs="宋体" w:eastAsia="宋体" w:hint="default"/>
                <w:position w:val="-15"/>
                <w:sz w:val="20"/>
                <w:szCs w:val="20"/>
              </w:rPr>
            </w:r>
          </w:p>
          <w:p>
            <w:pPr>
              <w:pStyle w:val="TableParagraph"/>
              <w:spacing w:line="316" w:lineRule="auto" w:before="57"/>
              <w:ind w:left="22" w:right="173"/>
              <w:jc w:val="left"/>
              <w:rPr>
                <w:rFonts w:ascii="宋体" w:hAnsi="宋体" w:cs="宋体" w:eastAsia="宋体" w:hint="default"/>
                <w:sz w:val="18"/>
                <w:szCs w:val="18"/>
              </w:rPr>
            </w:pPr>
            <w:r>
              <w:rPr>
                <w:rFonts w:ascii="宋体" w:hAnsi="宋体" w:cs="宋体" w:eastAsia="宋体" w:hint="default"/>
                <w:sz w:val="18"/>
                <w:szCs w:val="18"/>
              </w:rPr>
              <w:t>股权 投资</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9,500,000.00</w:t>
            </w:r>
          </w:p>
          <w:p>
            <w:pPr>
              <w:pStyle w:val="TableParagraph"/>
              <w:spacing w:line="240" w:lineRule="auto" w:before="65"/>
              <w:ind w:left="44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本年度</w:t>
            </w:r>
            <w:r>
              <w:rPr>
                <w:rFonts w:ascii="Times New Roman" w:hAnsi="Times New Roman" w:cs="Times New Roman" w:eastAsia="Times New Roman" w:hint="default"/>
                <w:sz w:val="18"/>
                <w:szCs w:val="18"/>
              </w:rPr>
              <w:t>)</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9,836,775.36</w:t>
            </w:r>
          </w:p>
        </w:tc>
        <w:tc>
          <w:tcPr>
            <w:tcW w:w="425"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7"/>
              <w:ind w:left="22" w:right="27"/>
              <w:jc w:val="both"/>
              <w:rPr>
                <w:rFonts w:ascii="Times New Roman" w:hAnsi="Times New Roman" w:cs="Times New Roman" w:eastAsia="Times New Roman" w:hint="default"/>
                <w:sz w:val="18"/>
                <w:szCs w:val="18"/>
              </w:rPr>
            </w:pPr>
            <w:hyperlink r:id="rId17">
              <w:r>
                <w:rPr>
                  <w:rFonts w:ascii="Times New Roman"/>
                  <w:sz w:val="18"/>
                </w:rPr>
                <w:t>http://www.cninfo.co</w:t>
              </w:r>
            </w:hyperlink>
            <w:r>
              <w:rPr>
                <w:rFonts w:ascii="Times New Roman"/>
                <w:sz w:val="18"/>
              </w:rPr>
              <w:t> m.cn/cninfo-new/disc</w:t>
            </w:r>
            <w:r>
              <w:rPr>
                <w:rFonts w:ascii="Times New Roman"/>
                <w:w w:val="99"/>
                <w:sz w:val="18"/>
              </w:rPr>
              <w:t> </w:t>
            </w:r>
            <w:r>
              <w:rPr>
                <w:rFonts w:ascii="Times New Roman"/>
                <w:sz w:val="18"/>
              </w:rPr>
              <w:t>losure/szse_gem/bull</w:t>
            </w:r>
            <w:r>
              <w:rPr>
                <w:rFonts w:ascii="Times New Roman"/>
                <w:w w:val="99"/>
                <w:sz w:val="18"/>
              </w:rPr>
              <w:t> </w:t>
            </w:r>
            <w:r>
              <w:rPr>
                <w:rFonts w:ascii="Times New Roman"/>
                <w:sz w:val="18"/>
              </w:rPr>
              <w:t>etin_detail/true/12016</w:t>
            </w:r>
            <w:r>
              <w:rPr>
                <w:rFonts w:ascii="Times New Roman"/>
                <w:w w:val="99"/>
                <w:sz w:val="18"/>
              </w:rPr>
              <w:t> </w:t>
            </w:r>
            <w:r>
              <w:rPr>
                <w:rFonts w:ascii="Times New Roman"/>
                <w:sz w:val="18"/>
              </w:rPr>
              <w:t>36355?announceTime</w:t>
            </w:r>
          </w:p>
          <w:p>
            <w:pPr>
              <w:pStyle w:val="TableParagraph"/>
              <w:spacing w:line="240" w:lineRule="auto" w:before="3"/>
              <w:ind w:left="22" w:right="0"/>
              <w:jc w:val="both"/>
              <w:rPr>
                <w:rFonts w:ascii="Times New Roman" w:hAnsi="Times New Roman" w:cs="Times New Roman" w:eastAsia="Times New Roman" w:hint="default"/>
                <w:sz w:val="18"/>
                <w:szCs w:val="18"/>
              </w:rPr>
            </w:pPr>
            <w:r>
              <w:rPr>
                <w:rFonts w:ascii="Times New Roman"/>
                <w:sz w:val="18"/>
              </w:rPr>
              <w:t>=2015-09-24%2019:3</w:t>
            </w:r>
          </w:p>
          <w:p>
            <w:pPr>
              <w:pStyle w:val="TableParagraph"/>
              <w:spacing w:line="240" w:lineRule="auto" w:before="106"/>
              <w:ind w:left="22" w:right="0"/>
              <w:jc w:val="both"/>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127,500,000.00</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5" w:right="0"/>
              <w:jc w:val="left"/>
              <w:rPr>
                <w:rFonts w:ascii="Times New Roman" w:hAnsi="Times New Roman" w:cs="Times New Roman" w:eastAsia="Times New Roman" w:hint="default"/>
                <w:sz w:val="18"/>
                <w:szCs w:val="18"/>
              </w:rPr>
            </w:pPr>
            <w:r>
              <w:rPr>
                <w:rFonts w:ascii="Times New Roman"/>
                <w:sz w:val="18"/>
              </w:rPr>
              <w:t>9,500,000.00</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9,836,775.36</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报告期内正在进行的重大的非股权投资情况" w:id="48"/>
      <w:bookmarkEnd w:id="48"/>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4、以公允价值计量的金融资产" w:id="49"/>
      <w:bookmarkEnd w:id="49"/>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5、募集资金使用情况" w:id="50"/>
      <w:bookmarkEnd w:id="50"/>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566" w:footer="979" w:top="1360" w:bottom="1160" w:left="0" w:right="0"/>
        </w:sectPr>
      </w:pPr>
    </w:p>
    <w:p>
      <w:pPr>
        <w:pStyle w:val="Heading3"/>
        <w:spacing w:line="240" w:lineRule="auto" w:before="56"/>
        <w:ind w:right="0"/>
        <w:jc w:val="left"/>
        <w:rPr>
          <w:b w:val="0"/>
          <w:bCs w:val="0"/>
        </w:rPr>
      </w:pPr>
      <w:bookmarkStart w:name="（1）募集资金总体使用情况" w:id="51"/>
      <w:bookmarkEnd w:id="51"/>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BodyText"/>
        <w:spacing w:line="240" w:lineRule="auto" w:before="44"/>
        <w:ind w:left="0" w:right="626"/>
        <w:jc w:val="right"/>
      </w:pPr>
      <w:r>
        <w:rPr/>
        <w:pict>
          <v:shape style="position:absolute;margin-left:33.480pt;margin-top:-174.868256pt;width:528.6pt;height:194.6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51"/>
                    <w:gridCol w:w="993"/>
                    <w:gridCol w:w="851"/>
                    <w:gridCol w:w="851"/>
                    <w:gridCol w:w="850"/>
                    <w:gridCol w:w="994"/>
                    <w:gridCol w:w="991"/>
                    <w:gridCol w:w="992"/>
                    <w:gridCol w:w="993"/>
                    <w:gridCol w:w="1324"/>
                    <w:gridCol w:w="869"/>
                  </w:tblGrid>
                  <w:tr>
                    <w:trPr>
                      <w:trHeight w:val="1026"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0"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1" w:right="59"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0" w:right="59"/>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 w:right="58"/>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0" w:right="41"/>
                          <w:jc w:val="both"/>
                          <w:rPr>
                            <w:rFonts w:ascii="宋体" w:hAnsi="宋体" w:cs="宋体" w:eastAsia="宋体" w:hint="default"/>
                            <w:sz w:val="18"/>
                            <w:szCs w:val="18"/>
                          </w:rPr>
                        </w:pPr>
                        <w:r>
                          <w:rPr>
                            <w:rFonts w:ascii="宋体" w:hAnsi="宋体" w:cs="宋体" w:eastAsia="宋体" w:hint="default"/>
                            <w:sz w:val="18"/>
                            <w:szCs w:val="18"/>
                          </w:rPr>
                          <w:t>报告期内变 更用途的募 集资金总额</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0" w:right="38"/>
                          <w:jc w:val="center"/>
                          <w:rPr>
                            <w:rFonts w:ascii="宋体" w:hAnsi="宋体" w:cs="宋体" w:eastAsia="宋体" w:hint="default"/>
                            <w:sz w:val="18"/>
                            <w:szCs w:val="18"/>
                          </w:rPr>
                        </w:pPr>
                        <w:r>
                          <w:rPr>
                            <w:rFonts w:ascii="宋体" w:hAnsi="宋体" w:cs="宋体" w:eastAsia="宋体" w:hint="default"/>
                            <w:sz w:val="18"/>
                            <w:szCs w:val="18"/>
                          </w:rPr>
                          <w:t>累计变更用 途的募集资 金总额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 w:right="38"/>
                          <w:jc w:val="both"/>
                          <w:rPr>
                            <w:rFonts w:ascii="宋体" w:hAnsi="宋体" w:cs="宋体" w:eastAsia="宋体" w:hint="default"/>
                            <w:sz w:val="18"/>
                            <w:szCs w:val="18"/>
                          </w:rPr>
                        </w:pPr>
                        <w:r>
                          <w:rPr>
                            <w:rFonts w:ascii="宋体" w:hAnsi="宋体" w:cs="宋体" w:eastAsia="宋体" w:hint="default"/>
                            <w:sz w:val="18"/>
                            <w:szCs w:val="18"/>
                          </w:rPr>
                          <w:t>累计变更用 途的募集资 金总额比例</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0" w:right="40"/>
                          <w:jc w:val="left"/>
                          <w:rPr>
                            <w:rFonts w:ascii="宋体" w:hAnsi="宋体" w:cs="宋体" w:eastAsia="宋体" w:hint="default"/>
                            <w:sz w:val="18"/>
                            <w:szCs w:val="18"/>
                          </w:rPr>
                        </w:pPr>
                        <w:r>
                          <w:rPr>
                            <w:rFonts w:ascii="宋体" w:hAnsi="宋体" w:cs="宋体" w:eastAsia="宋体" w:hint="default"/>
                            <w:sz w:val="18"/>
                            <w:szCs w:val="18"/>
                          </w:rPr>
                          <w:t>尚未使用募 集资金总额</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16" w:right="25" w:hanging="90"/>
                          <w:jc w:val="left"/>
                          <w:rPr>
                            <w:rFonts w:ascii="宋体" w:hAnsi="宋体" w:cs="宋体" w:eastAsia="宋体" w:hint="default"/>
                            <w:sz w:val="18"/>
                            <w:szCs w:val="18"/>
                          </w:rPr>
                        </w:pPr>
                        <w:r>
                          <w:rPr>
                            <w:rFonts w:ascii="宋体" w:hAnsi="宋体" w:cs="宋体" w:eastAsia="宋体" w:hint="default"/>
                            <w:sz w:val="18"/>
                            <w:szCs w:val="18"/>
                          </w:rPr>
                          <w:t>尚未使用募集资 金用途及去向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026"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5"/>
                          <w:jc w:val="center"/>
                          <w:rPr>
                            <w:rFonts w:ascii="宋体" w:hAnsi="宋体" w:cs="宋体" w:eastAsia="宋体" w:hint="default"/>
                            <w:sz w:val="18"/>
                            <w:szCs w:val="18"/>
                          </w:rPr>
                        </w:pPr>
                        <w:r>
                          <w:rPr>
                            <w:rFonts w:ascii="宋体" w:hAnsi="宋体" w:cs="宋体" w:eastAsia="宋体" w:hint="default"/>
                            <w:sz w:val="18"/>
                            <w:szCs w:val="18"/>
                          </w:rPr>
                          <w:t>非公开发行</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39,000.00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26,352.23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27,571.13</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10,873.03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both"/>
                          <w:rPr>
                            <w:rFonts w:ascii="宋体" w:hAnsi="宋体" w:cs="宋体" w:eastAsia="宋体" w:hint="default"/>
                            <w:sz w:val="18"/>
                            <w:szCs w:val="18"/>
                          </w:rPr>
                        </w:pPr>
                        <w:r>
                          <w:rPr>
                            <w:rFonts w:ascii="宋体" w:hAnsi="宋体" w:cs="宋体" w:eastAsia="宋体" w:hint="default"/>
                            <w:sz w:val="18"/>
                            <w:szCs w:val="18"/>
                          </w:rPr>
                          <w:t>以活期和定期存 款形式存放募集 专用专户</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39,000.00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26,352.23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27,571.13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131" w:right="0"/>
                          <w:jc w:val="left"/>
                          <w:rPr>
                            <w:rFonts w:ascii="Times New Roman" w:hAnsi="Times New Roman" w:cs="Times New Roman" w:eastAsia="Times New Roman" w:hint="default"/>
                            <w:sz w:val="18"/>
                            <w:szCs w:val="18"/>
                          </w:rPr>
                        </w:pPr>
                        <w:r>
                          <w:rPr>
                            <w:rFonts w:ascii="Times New Roman"/>
                            <w:sz w:val="18"/>
                          </w:rPr>
                          <w:t>10,873.03</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055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026" w:hRule="exact"/>
                    </w:trPr>
                    <w:tc>
                      <w:tcPr>
                        <w:tcW w:w="1055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经中国证券监督管理委员会证监许可</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996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号文件核准，截至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日止，公司向特定对象非公开发行人民币普通股（</w:t>
                        </w:r>
                        <w:r>
                          <w:rPr>
                            <w:rFonts w:ascii="Times New Roman" w:hAnsi="Times New Roman" w:cs="Times New Roman" w:eastAsia="Times New Roman" w:hint="default"/>
                            <w:sz w:val="18"/>
                            <w:szCs w:val="18"/>
                          </w:rPr>
                          <w:t>A</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股）</w:t>
                        </w:r>
                        <w:r>
                          <w:rPr>
                            <w:rFonts w:ascii="Times New Roman" w:hAnsi="Times New Roman" w:cs="Times New Roman" w:eastAsia="Times New Roman" w:hint="default"/>
                            <w:sz w:val="18"/>
                            <w:szCs w:val="18"/>
                          </w:rPr>
                          <w:t>24,714,826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股，每股发行价为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15.78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元，应募集资金总额为人民币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389,999,954.28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元，根据有关规定扣除发行费用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6,142,327.47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后，实际募集资金金额为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383,857,626.81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元。报告期投入使用的募集资金为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26,352.23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万元，已累计投入募集资金总额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27,571.13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bl>
                <w:p>
                  <w:pPr/>
                </w:p>
              </w:txbxContent>
            </v:textbox>
            <w10:wrap type="none"/>
          </v:shape>
        </w:pict>
      </w:r>
      <w:r>
        <w:rPr/>
        <w:t>。</w:t>
      </w:r>
    </w:p>
    <w:p>
      <w:pPr>
        <w:spacing w:line="240" w:lineRule="auto" w:before="13"/>
        <w:rPr>
          <w:rFonts w:ascii="宋体" w:hAnsi="宋体" w:cs="宋体" w:eastAsia="宋体" w:hint="default"/>
          <w:sz w:val="27"/>
          <w:szCs w:val="27"/>
        </w:rPr>
      </w:pPr>
    </w:p>
    <w:p>
      <w:pPr>
        <w:pStyle w:val="Heading3"/>
        <w:spacing w:line="240" w:lineRule="auto" w:before="35"/>
        <w:ind w:right="0"/>
        <w:jc w:val="left"/>
        <w:rPr>
          <w:b w:val="0"/>
          <w:bCs w:val="0"/>
        </w:rPr>
      </w:pPr>
      <w:bookmarkStart w:name="（2）募集资金承诺项目情况" w:id="52"/>
      <w:bookmarkEnd w:id="52"/>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40" w:lineRule="auto" w:before="44"/>
        <w:ind w:left="0" w:right="610"/>
        <w:jc w:val="right"/>
      </w:pPr>
      <w:r>
        <w:rPr/>
        <w:pict>
          <v:shape style="position:absolute;margin-left:33.480pt;margin-top:-317.868286pt;width:528.550pt;height:344.45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32"/>
                    <w:gridCol w:w="964"/>
                    <w:gridCol w:w="851"/>
                    <w:gridCol w:w="850"/>
                    <w:gridCol w:w="851"/>
                    <w:gridCol w:w="851"/>
                    <w:gridCol w:w="851"/>
                    <w:gridCol w:w="850"/>
                    <w:gridCol w:w="709"/>
                    <w:gridCol w:w="620"/>
                    <w:gridCol w:w="718"/>
                    <w:gridCol w:w="711"/>
                  </w:tblGrid>
                  <w:tr>
                    <w:trPr>
                      <w:trHeight w:val="1650" w:hRule="exact"/>
                    </w:trPr>
                    <w:tc>
                      <w:tcPr>
                        <w:tcW w:w="1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502" w:right="47" w:hanging="450"/>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28"/>
                          <w:ind w:left="88" w:right="23" w:hanging="6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是否已变更 项目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0" w:right="59"/>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44" w:right="43" w:firstLine="15"/>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w:t>
                        </w:r>
                        <w:r>
                          <w:rPr>
                            <w:rFonts w:ascii="Times New Roman" w:hAnsi="Times New Roman" w:cs="Times New Roman" w:eastAsia="Times New Roman" w:hint="default"/>
                            <w:sz w:val="18"/>
                            <w:szCs w:val="18"/>
                          </w:rPr>
                          <w:t>(1)</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59" w:right="59"/>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0" w:right="59"/>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4" w:lineRule="auto"/>
                          <w:ind w:left="60" w:right="59"/>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9" w:right="58"/>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9" w:right="78"/>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4"/>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1" w:right="84"/>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0" w:right="79"/>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10556"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6"/>
                          <w:jc w:val="both"/>
                          <w:rPr>
                            <w:rFonts w:ascii="宋体" w:hAnsi="宋体" w:cs="宋体" w:eastAsia="宋体" w:hint="default"/>
                            <w:sz w:val="18"/>
                            <w:szCs w:val="18"/>
                          </w:rPr>
                        </w:pPr>
                        <w:r>
                          <w:rPr>
                            <w:rFonts w:ascii="宋体" w:hAnsi="宋体" w:cs="宋体" w:eastAsia="宋体" w:hint="default"/>
                            <w:sz w:val="18"/>
                            <w:szCs w:val="18"/>
                          </w:rPr>
                          <w:t>基于大数据应用的医 疗卫生服务云平台建 设项目</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6" w:right="0"/>
                          <w:jc w:val="center"/>
                          <w:rPr>
                            <w:rFonts w:ascii="Times New Roman" w:hAnsi="Times New Roman" w:cs="Times New Roman" w:eastAsia="Times New Roman" w:hint="default"/>
                            <w:sz w:val="18"/>
                            <w:szCs w:val="18"/>
                          </w:rPr>
                        </w:pPr>
                        <w:r>
                          <w:rPr>
                            <w:rFonts w:ascii="Times New Roman"/>
                            <w:sz w:val="18"/>
                          </w:rPr>
                          <w:t>7,000.00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156.00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156.00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5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6"/>
                          <w:jc w:val="left"/>
                          <w:rPr>
                            <w:rFonts w:ascii="宋体" w:hAnsi="宋体" w:cs="宋体" w:eastAsia="宋体" w:hint="default"/>
                            <w:sz w:val="18"/>
                            <w:szCs w:val="18"/>
                          </w:rPr>
                        </w:pPr>
                        <w:r>
                          <w:rPr>
                            <w:rFonts w:ascii="宋体" w:hAnsi="宋体" w:cs="宋体" w:eastAsia="宋体" w:hint="default"/>
                            <w:sz w:val="18"/>
                            <w:szCs w:val="18"/>
                          </w:rPr>
                          <w:t>研发中心及综合办公 楼建设项目</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6" w:right="0"/>
                          <w:jc w:val="center"/>
                          <w:rPr>
                            <w:rFonts w:ascii="Times New Roman" w:hAnsi="Times New Roman" w:cs="Times New Roman" w:eastAsia="Times New Roman" w:hint="default"/>
                            <w:sz w:val="18"/>
                            <w:szCs w:val="18"/>
                          </w:rPr>
                        </w:pPr>
                        <w:r>
                          <w:rPr>
                            <w:rFonts w:ascii="Times New Roman"/>
                            <w:sz w:val="18"/>
                          </w:rPr>
                          <w:t>7,000.00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1,810.47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3,029.37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43.28%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5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偿还银行贷款</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6" w:right="0"/>
                          <w:jc w:val="center"/>
                          <w:rPr>
                            <w:rFonts w:ascii="Times New Roman" w:hAnsi="Times New Roman" w:cs="Times New Roman" w:eastAsia="Times New Roman" w:hint="default"/>
                            <w:sz w:val="18"/>
                            <w:szCs w:val="18"/>
                          </w:rPr>
                        </w:pPr>
                        <w:r>
                          <w:rPr>
                            <w:rFonts w:ascii="Times New Roman"/>
                            <w:sz w:val="18"/>
                          </w:rPr>
                          <w:t>5,000.00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补充流动资金</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20,000.00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19,385.76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19,385.76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19,385.76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4" w:right="0"/>
                          <w:jc w:val="center"/>
                          <w:rPr>
                            <w:rFonts w:ascii="Times New Roman" w:hAnsi="Times New Roman" w:cs="Times New Roman" w:eastAsia="Times New Roman" w:hint="default"/>
                            <w:sz w:val="18"/>
                            <w:szCs w:val="18"/>
                          </w:rPr>
                        </w:pPr>
                        <w:r>
                          <w:rPr>
                            <w:rFonts w:ascii="Times New Roman"/>
                            <w:sz w:val="18"/>
                          </w:rPr>
                          <w:t>39,000.00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38,385.76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26,352.23</w:t>
                        </w:r>
                      </w:p>
                    </w:tc>
                    <w:tc>
                      <w:tcPr>
                        <w:tcW w:w="85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27,571.13</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13" w:space="0" w:color="D2D2D2"/>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13" w:space="0" w:color="D2D2D2"/>
                        </w:tcBorders>
                      </w:tcPr>
                      <w:p>
                        <w:pP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87"/>
                          <w:jc w:val="right"/>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10556"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6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4" w:right="0"/>
                          <w:jc w:val="center"/>
                          <w:rPr>
                            <w:rFonts w:ascii="Times New Roman" w:hAnsi="Times New Roman" w:cs="Times New Roman" w:eastAsia="Times New Roman" w:hint="default"/>
                            <w:sz w:val="18"/>
                            <w:szCs w:val="18"/>
                          </w:rPr>
                        </w:pPr>
                        <w:r>
                          <w:rPr>
                            <w:rFonts w:ascii="Times New Roman"/>
                            <w:sz w:val="18"/>
                          </w:rPr>
                          <w:t>39,000.00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38,385.76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26,352.23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27,571.13</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89"/>
                          <w:jc w:val="right"/>
                          <w:rPr>
                            <w:rFonts w:ascii="Times New Roman" w:hAnsi="Times New Roman" w:cs="Times New Roman" w:eastAsia="Times New Roman" w:hint="default"/>
                            <w:sz w:val="18"/>
                            <w:szCs w:val="18"/>
                          </w:rPr>
                        </w:pPr>
                        <w:r>
                          <w:rPr>
                            <w:rFonts w:ascii="Times New Roman"/>
                            <w:sz w:val="18"/>
                          </w:rPr>
                          <w:t>--</w:t>
                        </w:r>
                      </w:p>
                    </w:tc>
                  </w:tr>
                  <w:tr>
                    <w:trPr>
                      <w:trHeight w:val="674" w:hRule="exact"/>
                    </w:trPr>
                    <w:tc>
                      <w:tcPr>
                        <w:tcW w:w="1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76"/>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tc>
                    <w:tc>
                      <w:tcPr>
                        <w:tcW w:w="8825" w:type="dxa"/>
                        <w:gridSpan w:val="11"/>
                        <w:tcBorders>
                          <w:top w:val="single" w:sz="4" w:space="0" w:color="000000"/>
                          <w:left w:val="single" w:sz="13"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pacing w:val="-3"/>
                            <w:sz w:val="18"/>
                            <w:szCs w:val="18"/>
                          </w:rPr>
                          <w:t>报告期内，公司募集资金项目进展顺利，与预期进度相符，由于尚处于建设期，本期募集资金项目尚未产生效益</w:t>
                        </w:r>
                      </w:p>
                    </w:tc>
                  </w:tr>
                </w:tbl>
                <w:p>
                  <w:pPr/>
                </w:p>
              </w:txbxContent>
            </v:textbox>
            <w10:wrap type="none"/>
          </v:shape>
        </w:pict>
      </w:r>
      <w:r>
        <w:rPr/>
        <w:t>。</w:t>
      </w:r>
    </w:p>
    <w:p>
      <w:pPr>
        <w:spacing w:after="0" w:line="240" w:lineRule="auto"/>
        <w:jc w:val="right"/>
        <w:sectPr>
          <w:pgSz w:w="11910" w:h="16840"/>
          <w:pgMar w:header="566" w:footer="979" w:top="1360" w:bottom="1160" w:left="0" w:right="0"/>
        </w:sectPr>
      </w:pPr>
    </w:p>
    <w:tbl>
      <w:tblPr>
        <w:tblW w:w="0" w:type="auto"/>
        <w:jc w:val="left"/>
        <w:tblInd w:w="670" w:type="dxa"/>
        <w:tblLayout w:type="fixed"/>
        <w:tblCellMar>
          <w:top w:w="0" w:type="dxa"/>
          <w:left w:w="0" w:type="dxa"/>
          <w:bottom w:w="0" w:type="dxa"/>
          <w:right w:w="0" w:type="dxa"/>
        </w:tblCellMar>
        <w:tblLook w:val="01E0"/>
      </w:tblPr>
      <w:tblGrid>
        <w:gridCol w:w="1735"/>
        <w:gridCol w:w="8821"/>
      </w:tblGrid>
      <w:tr>
        <w:trPr>
          <w:trHeight w:val="362" w:hRule="exact"/>
        </w:trPr>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882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81"/>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8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募集资金投资项目可行性未发生重大变化。</w:t>
            </w:r>
          </w:p>
        </w:tc>
      </w:tr>
      <w:tr>
        <w:trPr>
          <w:trHeight w:val="714" w:hRule="exact"/>
        </w:trPr>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81"/>
              <w:jc w:val="left"/>
              <w:rPr>
                <w:rFonts w:ascii="宋体" w:hAnsi="宋体" w:cs="宋体" w:eastAsia="宋体" w:hint="default"/>
                <w:sz w:val="18"/>
                <w:szCs w:val="18"/>
              </w:rPr>
            </w:pPr>
            <w:r>
              <w:rPr>
                <w:rFonts w:ascii="宋体" w:hAnsi="宋体" w:cs="宋体" w:eastAsia="宋体" w:hint="default"/>
                <w:sz w:val="18"/>
                <w:szCs w:val="18"/>
              </w:rPr>
              <w:t>超募资金的金额、用 途及使用进展情况</w:t>
            </w:r>
          </w:p>
        </w:tc>
        <w:tc>
          <w:tcPr>
            <w:tcW w:w="8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81"/>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8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81"/>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8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319" w:lineRule="auto"/>
              <w:ind w:left="23" w:right="81"/>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8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962" w:hRule="exact"/>
        </w:trPr>
        <w:tc>
          <w:tcPr>
            <w:tcW w:w="1735" w:type="dxa"/>
            <w:vMerge/>
            <w:tcBorders>
              <w:left w:val="single" w:sz="4" w:space="0" w:color="000000"/>
              <w:bottom w:val="single" w:sz="4" w:space="0" w:color="000000"/>
              <w:right w:val="single" w:sz="4" w:space="0" w:color="000000"/>
            </w:tcBorders>
            <w:shd w:val="clear" w:color="auto" w:fill="D2D2D2"/>
          </w:tcPr>
          <w:p>
            <w:pPr/>
          </w:p>
        </w:tc>
        <w:tc>
          <w:tcPr>
            <w:tcW w:w="8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both"/>
              <w:rPr>
                <w:rFonts w:ascii="宋体" w:hAnsi="宋体" w:cs="宋体" w:eastAsia="宋体" w:hint="default"/>
                <w:sz w:val="18"/>
                <w:szCs w:val="18"/>
              </w:rPr>
            </w:pPr>
            <w:r>
              <w:rPr>
                <w:rFonts w:ascii="宋体" w:hAnsi="宋体" w:cs="宋体" w:eastAsia="宋体" w:hint="default"/>
                <w:sz w:val="18"/>
                <w:szCs w:val="18"/>
              </w:rPr>
              <w:t>公司已用募集资金置换预先已投入募集资金投资项目的自筹资金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62,886,456.96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元，并取得了华普天健会计师事</w:t>
            </w:r>
          </w:p>
          <w:p>
            <w:pPr>
              <w:pStyle w:val="TableParagraph"/>
              <w:spacing w:line="309" w:lineRule="auto" w:before="61"/>
              <w:ind w:left="23" w:right="20"/>
              <w:jc w:val="both"/>
              <w:rPr>
                <w:rFonts w:ascii="宋体" w:hAnsi="宋体" w:cs="宋体" w:eastAsia="宋体" w:hint="default"/>
                <w:sz w:val="18"/>
                <w:szCs w:val="18"/>
              </w:rPr>
            </w:pPr>
            <w:r>
              <w:rPr>
                <w:rFonts w:ascii="宋体" w:hAnsi="宋体" w:cs="宋体" w:eastAsia="宋体" w:hint="default"/>
                <w:sz w:val="18"/>
                <w:szCs w:val="18"/>
              </w:rPr>
              <w:t>务所（特殊普通合伙）于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日出具的会专字</w:t>
            </w:r>
            <w:r>
              <w:rPr>
                <w:rFonts w:ascii="Times New Roman" w:hAnsi="Times New Roman" w:cs="Times New Roman" w:eastAsia="Times New Roman" w:hint="default"/>
                <w:sz w:val="18"/>
                <w:szCs w:val="18"/>
              </w:rPr>
              <w:t>[2015]2976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号鉴证报告。于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 </w:t>
            </w:r>
            <w:r>
              <w:rPr>
                <w:rFonts w:ascii="宋体" w:hAnsi="宋体" w:cs="宋体" w:eastAsia="宋体" w:hint="default"/>
                <w:sz w:val="18"/>
                <w:szCs w:val="18"/>
              </w:rPr>
              <w:t>公司第二 </w:t>
            </w:r>
            <w:r>
              <w:rPr>
                <w:rFonts w:ascii="宋体" w:hAnsi="宋体" w:cs="宋体" w:eastAsia="宋体" w:hint="default"/>
                <w:spacing w:val="-5"/>
                <w:sz w:val="18"/>
                <w:szCs w:val="18"/>
              </w:rPr>
              <w:t>届董事会第二十一次会议审议通过了《关于以募集资金置换先期投入募集资金项目的自筹资金的议案》、《关于使</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用募集资金置换预先以自有资金偿还银行贷款的议案》</w:t>
            </w:r>
            <w:r>
              <w:rPr>
                <w:rFonts w:ascii="Times New Roman" w:hAnsi="Times New Roman" w:cs="Times New Roman" w:eastAsia="Times New Roman" w:hint="default"/>
                <w:sz w:val="18"/>
                <w:szCs w:val="18"/>
              </w:rPr>
              <w:t>,</w:t>
            </w:r>
            <w:r>
              <w:rPr>
                <w:rFonts w:ascii="宋体" w:hAnsi="宋体" w:cs="宋体" w:eastAsia="宋体" w:hint="default"/>
                <w:sz w:val="18"/>
                <w:szCs w:val="18"/>
              </w:rPr>
              <w:t>同意以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62,886,456.96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元募集资金置换前期投入募投项目</w:t>
            </w:r>
          </w:p>
          <w:p>
            <w:pPr>
              <w:pStyle w:val="TableParagraph"/>
              <w:spacing w:line="240" w:lineRule="auto" w:before="5"/>
              <w:ind w:left="23" w:right="0"/>
              <w:jc w:val="both"/>
              <w:rPr>
                <w:rFonts w:ascii="宋体" w:hAnsi="宋体" w:cs="宋体" w:eastAsia="宋体" w:hint="default"/>
                <w:sz w:val="18"/>
                <w:szCs w:val="18"/>
              </w:rPr>
            </w:pPr>
            <w:r>
              <w:rPr>
                <w:rFonts w:ascii="宋体" w:hAnsi="宋体" w:cs="宋体" w:eastAsia="宋体" w:hint="default"/>
                <w:sz w:val="18"/>
                <w:szCs w:val="18"/>
              </w:rPr>
              <w:t>的公司自筹资金。公司独立董事、监事会及保荐机构已对该议案发表了明确的同意意见，公司已于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日完成募集资金置换事宜。</w:t>
            </w:r>
          </w:p>
        </w:tc>
      </w:tr>
      <w:tr>
        <w:trPr>
          <w:trHeight w:val="714" w:hRule="exact"/>
        </w:trPr>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81"/>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8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81"/>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8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81"/>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8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尚未使用的募集资金全部存储在公司募集资金银行专户中，按募集资金管理办法严格管理和使用。</w:t>
            </w:r>
          </w:p>
        </w:tc>
      </w:tr>
      <w:tr>
        <w:trPr>
          <w:trHeight w:val="1026" w:hRule="exact"/>
        </w:trPr>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81"/>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8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募集资金变更项目情况" w:id="53"/>
      <w:bookmarkEnd w:id="53"/>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1133"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公司报告期不存在募集资金变更项目情况。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六、重大资产和股权出售" w:id="54"/>
      <w:bookmarkEnd w:id="54"/>
      <w:r>
        <w:rPr>
          <w:b w:val="0"/>
          <w:bCs w:val="0"/>
        </w:rPr>
      </w: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出售重大资产情况" w:id="55"/>
      <w:bookmarkEnd w:id="55"/>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1133"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2"/>
        <w:rPr>
          <w:rFonts w:ascii="宋体" w:hAnsi="宋体" w:cs="宋体" w:eastAsia="宋体" w:hint="default"/>
          <w:sz w:val="21"/>
          <w:szCs w:val="21"/>
        </w:rPr>
      </w:pPr>
    </w:p>
    <w:p>
      <w:pPr>
        <w:pStyle w:val="Heading3"/>
        <w:spacing w:line="240" w:lineRule="auto"/>
        <w:ind w:left="1133" w:right="0"/>
        <w:jc w:val="left"/>
        <w:rPr>
          <w:b w:val="0"/>
          <w:bCs w:val="0"/>
        </w:rPr>
      </w:pPr>
      <w:bookmarkStart w:name="2、出售重大股权情况" w:id="56"/>
      <w:bookmarkEnd w:id="56"/>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566" w:footer="979" w:top="144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left="1134" w:right="0"/>
        <w:jc w:val="left"/>
        <w:rPr>
          <w:b w:val="0"/>
          <w:bCs w:val="0"/>
        </w:rPr>
      </w:pPr>
      <w:bookmarkStart w:name="七、主要控股参股公司分析" w:id="57"/>
      <w:bookmarkEnd w:id="57"/>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headerReference w:type="default" r:id="rId18"/>
          <w:pgSz w:w="11910" w:h="16840"/>
          <w:pgMar w:header="867" w:footer="979" w:top="1060" w:bottom="1160" w:left="0" w:right="0"/>
        </w:sectPr>
      </w:pPr>
    </w:p>
    <w:p>
      <w:pPr>
        <w:pStyle w:val="BodyText"/>
        <w:spacing w:line="240" w:lineRule="auto" w:before="44"/>
        <w:ind w:left="1133"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1133" w:right="-19"/>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单位：元</w:t>
      </w:r>
    </w:p>
    <w:p>
      <w:pPr>
        <w:spacing w:after="0" w:line="240" w:lineRule="auto"/>
        <w:jc w:val="center"/>
        <w:sectPr>
          <w:type w:val="continuous"/>
          <w:pgSz w:w="11910" w:h="16840"/>
          <w:pgMar w:top="1060" w:bottom="1160" w:left="0" w:right="0"/>
          <w:cols w:num="2" w:equalWidth="0">
            <w:col w:w="5829" w:space="3090"/>
            <w:col w:w="2991"/>
          </w:cols>
        </w:sectPr>
      </w:pPr>
    </w:p>
    <w:p>
      <w:pPr>
        <w:spacing w:line="240" w:lineRule="auto" w:before="13"/>
        <w:rPr>
          <w:rFonts w:ascii="宋体" w:hAnsi="宋体" w:cs="宋体" w:eastAsia="宋体" w:hint="default"/>
          <w:sz w:val="7"/>
          <w:szCs w:val="7"/>
        </w:rPr>
      </w:pPr>
      <w:r>
        <w:rPr/>
        <w:pict>
          <v:group style="position:absolute;margin-left:54.84pt;margin-top:28.299988pt;width:485.7pt;height:40.15pt;mso-position-horizontal-relative:page;mso-position-vertical-relative:page;z-index:-614776" coordorigin="1097,566" coordsize="9714,803">
            <v:group style="position:absolute;left:1104;top:1112;width:9700;height:2" coordorigin="1104,1112" coordsize="9700,2">
              <v:shape style="position:absolute;left:1104;top:1112;width:9700;height:2" coordorigin="1104,1112" coordsize="9700,0" path="m1104,1112l10804,1112e" filled="false" stroked="true" strokeweight=".72pt" strokecolor="#000000">
                <v:path arrowok="t"/>
              </v:shape>
              <v:shape style="position:absolute;left:1140;top:566;width:2160;height:803" type="#_x0000_t75" stroked="false">
                <v:imagedata r:id="rId7" o:title=""/>
              </v:shape>
            </v:group>
            <w10:wrap type="none"/>
          </v:group>
        </w:pict>
      </w:r>
    </w:p>
    <w:tbl>
      <w:tblPr>
        <w:tblW w:w="0" w:type="auto"/>
        <w:jc w:val="left"/>
        <w:tblInd w:w="632" w:type="dxa"/>
        <w:tblLayout w:type="fixed"/>
        <w:tblCellMar>
          <w:top w:w="0" w:type="dxa"/>
          <w:left w:w="0" w:type="dxa"/>
          <w:bottom w:w="0" w:type="dxa"/>
          <w:right w:w="0" w:type="dxa"/>
        </w:tblCellMar>
        <w:tblLook w:val="01E0"/>
      </w:tblPr>
      <w:tblGrid>
        <w:gridCol w:w="993"/>
        <w:gridCol w:w="852"/>
        <w:gridCol w:w="1984"/>
        <w:gridCol w:w="1134"/>
        <w:gridCol w:w="1134"/>
        <w:gridCol w:w="1134"/>
        <w:gridCol w:w="1134"/>
        <w:gridCol w:w="1150"/>
        <w:gridCol w:w="1118"/>
      </w:tblGrid>
      <w:tr>
        <w:trPr>
          <w:trHeight w:val="402"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26"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1650"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58"/>
              <w:jc w:val="both"/>
              <w:rPr>
                <w:rFonts w:ascii="宋体" w:hAnsi="宋体" w:cs="宋体" w:eastAsia="宋体" w:hint="default"/>
                <w:sz w:val="18"/>
                <w:szCs w:val="18"/>
              </w:rPr>
            </w:pPr>
            <w:r>
              <w:rPr>
                <w:rFonts w:ascii="宋体" w:hAnsi="宋体" w:cs="宋体" w:eastAsia="宋体" w:hint="default"/>
                <w:sz w:val="18"/>
                <w:szCs w:val="18"/>
              </w:rPr>
              <w:t>上海米健信 息技术有限 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5"/>
                <w:sz w:val="18"/>
                <w:szCs w:val="18"/>
              </w:rPr>
              <w:t>信息科技、计算机软硬件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
                <w:sz w:val="18"/>
                <w:szCs w:val="18"/>
              </w:rPr>
              <w:t>科技、网络科技技术领域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内的技术开发、技术咨 </w:t>
            </w:r>
            <w:r>
              <w:rPr>
                <w:rFonts w:ascii="宋体" w:hAnsi="宋体" w:cs="宋体" w:eastAsia="宋体" w:hint="default"/>
                <w:spacing w:val="-5"/>
                <w:sz w:val="18"/>
                <w:szCs w:val="18"/>
              </w:rPr>
              <w:t>询、技术转让、技术服务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等</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3,030,300.00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31,331,382.19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19,341,688.25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31,548,862.21</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11,526,925.77</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11,896,840.62</w:t>
            </w:r>
          </w:p>
        </w:tc>
      </w:tr>
    </w:tbl>
    <w:p>
      <w:pPr>
        <w:pStyle w:val="BodyText"/>
        <w:spacing w:line="240" w:lineRule="auto" w:before="51"/>
        <w:ind w:right="0"/>
        <w:jc w:val="left"/>
      </w:pPr>
      <w:r>
        <w:rPr/>
        <w:t>报告期内取得和处置子公司的情况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上海米健信息技术有限公司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通过股权转让方式</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本期投资盈利</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9,836,775.36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bl>
    <w:p>
      <w:pPr>
        <w:pStyle w:val="BodyText"/>
        <w:spacing w:line="240" w:lineRule="auto" w:before="51"/>
        <w:ind w:right="0"/>
        <w:jc w:val="left"/>
      </w:pPr>
      <w:r>
        <w:rPr/>
        <w:t>主要控股参股公司情况说明</w:t>
      </w:r>
    </w:p>
    <w:p>
      <w:pPr>
        <w:pStyle w:val="BodyText"/>
        <w:spacing w:line="240" w:lineRule="auto" w:before="115"/>
        <w:ind w:right="0"/>
        <w:jc w:val="left"/>
      </w:pP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9  </w:t>
      </w:r>
      <w:r>
        <w:rPr/>
        <w:t>月 </w:t>
      </w:r>
      <w:r>
        <w:rPr>
          <w:rFonts w:ascii="Times New Roman" w:hAnsi="Times New Roman" w:cs="Times New Roman" w:eastAsia="Times New Roman" w:hint="default"/>
        </w:rPr>
        <w:t>23  </w:t>
      </w:r>
      <w:r>
        <w:rPr/>
        <w:t>日公司与上海米健信息技术有限公司签订股权转让协议，以自有资金 </w:t>
      </w:r>
      <w:r>
        <w:rPr>
          <w:rFonts w:ascii="Times New Roman" w:hAnsi="Times New Roman" w:cs="Times New Roman" w:eastAsia="Times New Roman" w:hint="default"/>
        </w:rPr>
        <w:t>12,750</w:t>
      </w:r>
      <w:r>
        <w:rPr>
          <w:rFonts w:ascii="Times New Roman" w:hAnsi="Times New Roman" w:cs="Times New Roman" w:eastAsia="Times New Roman" w:hint="default"/>
          <w:spacing w:val="5"/>
        </w:rPr>
        <w:t> </w:t>
      </w:r>
      <w:r>
        <w:rPr/>
        <w:t>万元受让上海米健信息技术</w:t>
      </w:r>
    </w:p>
    <w:p>
      <w:pPr>
        <w:pStyle w:val="BodyText"/>
        <w:spacing w:line="302" w:lineRule="auto" w:before="63"/>
        <w:ind w:right="1208"/>
        <w:jc w:val="left"/>
      </w:pPr>
      <w:r>
        <w:rPr/>
        <w:t>有限公司</w:t>
      </w:r>
      <w:r>
        <w:rPr>
          <w:spacing w:val="-46"/>
        </w:rPr>
        <w:t> </w:t>
      </w:r>
      <w:r>
        <w:rPr>
          <w:rFonts w:ascii="Times New Roman" w:hAnsi="Times New Roman" w:cs="Times New Roman" w:eastAsia="Times New Roman" w:hint="default"/>
        </w:rPr>
        <w:t>51%</w:t>
      </w:r>
      <w:r>
        <w:rPr/>
        <w:t>的股权。公司自</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rPr>
        <w:t> </w:t>
      </w:r>
      <w:r>
        <w:rPr/>
        <w:t>月起对上海米健实施控制，并纳入财务报表的合并范围，此次股权受让为公司整 体业绩提升起到积极的推动作用。</w:t>
      </w:r>
    </w:p>
    <w:p>
      <w:pPr>
        <w:spacing w:line="240" w:lineRule="auto" w:before="7"/>
        <w:rPr>
          <w:rFonts w:ascii="宋体" w:hAnsi="宋体" w:cs="宋体" w:eastAsia="宋体" w:hint="default"/>
          <w:sz w:val="21"/>
          <w:szCs w:val="21"/>
        </w:rPr>
      </w:pPr>
    </w:p>
    <w:p>
      <w:pPr>
        <w:pStyle w:val="Heading2"/>
        <w:spacing w:line="240" w:lineRule="auto"/>
        <w:ind w:left="1134" w:right="0"/>
        <w:jc w:val="left"/>
        <w:rPr>
          <w:b w:val="0"/>
          <w:bCs w:val="0"/>
        </w:rPr>
      </w:pPr>
      <w:bookmarkStart w:name="八、公司控制的结构化主体情况" w:id="58"/>
      <w:bookmarkEnd w:id="58"/>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九、公司未来发展的展望" w:id="59"/>
      <w:bookmarkEnd w:id="59"/>
      <w:r>
        <w:rPr>
          <w:b w:val="0"/>
          <w:bCs w:val="0"/>
        </w:rPr>
      </w:r>
      <w:r>
        <w:rPr/>
        <w:t>九、公司未来发展的展望</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56" w:right="0"/>
        <w:jc w:val="left"/>
        <w:rPr>
          <w:b w:val="0"/>
          <w:bCs w:val="0"/>
        </w:rPr>
      </w:pPr>
      <w:r>
        <w:rPr/>
        <w:t>（一）</w:t>
      </w:r>
      <w:r>
        <w:rPr>
          <w:rFonts w:ascii="宋体" w:hAnsi="宋体" w:cs="宋体" w:eastAsia="宋体" w:hint="default"/>
        </w:rPr>
        <w:t>2016</w:t>
      </w:r>
      <w:r>
        <w:rPr/>
        <w:t>年经营计划</w:t>
      </w:r>
      <w:r>
        <w:rPr>
          <w:b w:val="0"/>
          <w:bCs w:val="0"/>
        </w:rPr>
      </w:r>
    </w:p>
    <w:p>
      <w:pPr>
        <w:spacing w:line="240" w:lineRule="auto" w:before="10"/>
        <w:rPr>
          <w:rFonts w:ascii="宋体" w:hAnsi="宋体" w:cs="宋体" w:eastAsia="宋体" w:hint="default"/>
          <w:b/>
          <w:bCs/>
          <w:sz w:val="16"/>
          <w:szCs w:val="16"/>
        </w:rPr>
      </w:pPr>
    </w:p>
    <w:p>
      <w:pPr>
        <w:pStyle w:val="BodyText"/>
        <w:spacing w:line="240" w:lineRule="auto"/>
        <w:ind w:left="1493" w:right="0"/>
        <w:jc w:val="left"/>
      </w:pPr>
      <w:r>
        <w:rPr>
          <w:rFonts w:ascii="Times New Roman" w:hAnsi="Times New Roman" w:cs="Times New Roman" w:eastAsia="Times New Roman" w:hint="default"/>
        </w:rPr>
        <w:t>1</w:t>
      </w:r>
      <w:r>
        <w:rPr/>
        <w:t>、聚焦医疗健康，成为健康 “智天使”</w:t>
      </w:r>
    </w:p>
    <w:p>
      <w:pPr>
        <w:pStyle w:val="BodyText"/>
        <w:spacing w:line="312" w:lineRule="auto" w:before="101"/>
        <w:ind w:left="1133" w:right="1131" w:firstLine="360"/>
        <w:jc w:val="both"/>
      </w:pP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年，公司将进一步聚焦智慧医疗、健康数据领域，打造核心技术竞争力，并在此基础上丰富公司的产品和解决方 </w:t>
      </w:r>
      <w:r>
        <w:rPr>
          <w:spacing w:val="-2"/>
        </w:rPr>
        <w:t>案体系，成为临床应用细分领域的领导者、数据平台方向的区域领导者和医疗健康大数据领域的创新者。在继续深耕主营业</w:t>
      </w:r>
      <w:r>
        <w:rPr>
          <w:spacing w:val="-66"/>
        </w:rPr>
        <w:t> </w:t>
      </w:r>
      <w:r>
        <w:rPr>
          <w:spacing w:val="-66"/>
        </w:rPr>
      </w:r>
      <w:r>
        <w:rPr>
          <w:spacing w:val="-2"/>
        </w:rPr>
        <w:t>务的基础上，以现有技术为基础，面向互联网云平台大数据服务，建立互联网大数据云服务的技术平台，然后构造面向社会</w:t>
      </w:r>
      <w:r>
        <w:rPr>
          <w:spacing w:val="-66"/>
        </w:rPr>
        <w:t> </w:t>
      </w:r>
      <w:r>
        <w:rPr>
          <w:spacing w:val="-66"/>
        </w:rPr>
      </w:r>
      <w:r>
        <w:rPr/>
        <w:t>的医疗健康服务。</w:t>
      </w:r>
    </w:p>
    <w:p>
      <w:pPr>
        <w:pStyle w:val="BodyText"/>
        <w:spacing w:line="319" w:lineRule="auto" w:before="61"/>
        <w:ind w:left="1133" w:right="1043" w:firstLine="360"/>
        <w:jc w:val="both"/>
      </w:pPr>
      <w:r>
        <w:rPr>
          <w:spacing w:val="-2"/>
        </w:rPr>
        <w:t>在创新方面，进一步发挥已有客户联合创新中心的作用，并根据需求拓展新的联合创新中心；同时，进一步发挥享云科</w:t>
      </w:r>
      <w:r>
        <w:rPr/>
        <w:t> </w:t>
      </w:r>
      <w:r>
        <w:rPr>
          <w:spacing w:val="-4"/>
        </w:rPr>
        <w:t>技的技术窗口作用，保持医疗信息化创新方面与美国的高度接轨，尤其在大数据和人工智能方向，做好技术储备和适当投入。</w:t>
      </w:r>
    </w:p>
    <w:p>
      <w:pPr>
        <w:pStyle w:val="BodyText"/>
        <w:spacing w:line="240" w:lineRule="auto" w:before="58"/>
        <w:ind w:left="1493" w:right="0"/>
        <w:jc w:val="left"/>
      </w:pPr>
      <w:r>
        <w:rPr>
          <w:rFonts w:ascii="Times New Roman" w:hAnsi="Times New Roman" w:cs="Times New Roman" w:eastAsia="Times New Roman" w:hint="default"/>
        </w:rPr>
        <w:t>2</w:t>
      </w:r>
      <w:r>
        <w:rPr/>
        <w:t>、全面升级智能融合云，成为数据“云医生”</w:t>
      </w:r>
    </w:p>
    <w:p>
      <w:pPr>
        <w:pStyle w:val="BodyText"/>
        <w:spacing w:line="302" w:lineRule="auto" w:before="101"/>
        <w:ind w:right="1185" w:firstLine="360"/>
        <w:jc w:val="both"/>
      </w:pP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年，公司将全面升级智能融合云，积极利用互联网最新技术为客户提供全方位、一体化的解决方案，并建立智能 融合云运营中心，为医疗健康大数据应用提供强有力的技术支撑和保障。</w:t>
      </w:r>
    </w:p>
    <w:p>
      <w:pPr>
        <w:pStyle w:val="BodyText"/>
        <w:spacing w:line="312" w:lineRule="auto" w:before="68"/>
        <w:ind w:left="1133" w:right="1130" w:firstLine="360"/>
        <w:jc w:val="both"/>
      </w:pPr>
      <w:r>
        <w:rPr/>
        <w:t>在技术方面，用智能云监控技术实现“客户</w:t>
      </w:r>
      <w:r>
        <w:rPr>
          <w:rFonts w:ascii="Times New Roman" w:hAnsi="Times New Roman" w:cs="Times New Roman" w:eastAsia="Times New Roman" w:hint="default"/>
        </w:rPr>
        <w:t>-</w:t>
      </w:r>
      <w:r>
        <w:rPr/>
        <w:t>荣科”一体式运营服务，为客户信息化安全可靠稳定运行保驾护航。</w:t>
      </w:r>
      <w:r>
        <w:rPr>
          <w:spacing w:val="-49"/>
        </w:rPr>
        <w:t> </w:t>
      </w:r>
      <w:r>
        <w:rPr/>
        <w:t>运营</w:t>
      </w:r>
      <w:r>
        <w:rPr>
          <w:spacing w:val="1"/>
        </w:rPr>
        <w:t> </w:t>
      </w:r>
      <w:r>
        <w:rPr>
          <w:spacing w:val="-2"/>
        </w:rPr>
        <w:t>中心要通过“智能云档案”实时交互式传递客户业务运行信息、资源配置信息以及其他管理信息，增强客户体验；还要通过</w:t>
      </w:r>
      <w:r>
        <w:rPr>
          <w:spacing w:val="-66"/>
        </w:rPr>
        <w:t> </w:t>
      </w:r>
      <w:r>
        <w:rPr>
          <w:spacing w:val="-66"/>
        </w:rPr>
      </w:r>
      <w:r>
        <w:rPr>
          <w:spacing w:val="-2"/>
        </w:rPr>
        <w:t>机器学习、人工智能、大数据平台等技术打造“智能云专家”系统，要走到行业发展的前端。医疗健康领域，将成为智能融</w:t>
      </w:r>
      <w:r>
        <w:rPr>
          <w:spacing w:val="-71"/>
        </w:rPr>
        <w:t> </w:t>
      </w:r>
      <w:r>
        <w:rPr>
          <w:spacing w:val="-71"/>
        </w:rPr>
      </w:r>
      <w:r>
        <w:rPr/>
        <w:t>合云最重要的发力点。</w:t>
      </w:r>
    </w:p>
    <w:p>
      <w:pPr>
        <w:spacing w:after="0" w:line="312" w:lineRule="auto"/>
        <w:jc w:val="both"/>
        <w:sectPr>
          <w:type w:val="continuous"/>
          <w:pgSz w:w="11910" w:h="16840"/>
          <w:pgMar w:top="1060" w:bottom="1160" w:left="0" w:right="0"/>
        </w:sectPr>
      </w:pPr>
    </w:p>
    <w:p>
      <w:pPr>
        <w:spacing w:line="240" w:lineRule="auto" w:before="13"/>
        <w:rPr>
          <w:rFonts w:ascii="宋体" w:hAnsi="宋体" w:cs="宋体" w:eastAsia="宋体" w:hint="default"/>
          <w:sz w:val="25"/>
          <w:szCs w:val="25"/>
        </w:rPr>
      </w:pPr>
      <w:r>
        <w:rPr/>
        <w:pict>
          <v:group style="position:absolute;margin-left:54.84pt;margin-top:28.299988pt;width:485.7pt;height:40.15pt;mso-position-horizontal-relative:page;mso-position-vertical-relative:page;z-index:1288" coordorigin="1097,566" coordsize="9714,803">
            <v:group style="position:absolute;left:1104;top:1112;width:9700;height:2" coordorigin="1104,1112" coordsize="9700,2">
              <v:shape style="position:absolute;left:1104;top:1112;width:9700;height:2" coordorigin="1104,1112" coordsize="9700,0" path="m1104,1112l10804,1112e" filled="false" stroked="true" strokeweight=".72pt" strokecolor="#000000">
                <v:path arrowok="t"/>
              </v:shape>
              <v:shape style="position:absolute;left:1140;top:566;width:2160;height:803" type="#_x0000_t75" stroked="false">
                <v:imagedata r:id="rId7" o:title=""/>
              </v:shape>
            </v:group>
            <w10:wrap type="none"/>
          </v:group>
        </w:pict>
      </w:r>
    </w:p>
    <w:p>
      <w:pPr>
        <w:pStyle w:val="BodyText"/>
        <w:spacing w:line="240" w:lineRule="auto" w:before="44"/>
        <w:ind w:left="1494" w:right="0"/>
        <w:jc w:val="left"/>
      </w:pPr>
      <w:r>
        <w:rPr>
          <w:rFonts w:ascii="Times New Roman" w:hAnsi="Times New Roman" w:cs="Times New Roman" w:eastAsia="Times New Roman" w:hint="default"/>
        </w:rPr>
        <w:t>3</w:t>
      </w:r>
      <w:r>
        <w:rPr/>
        <w:t>、继续加大人才投入，做好人才储备</w:t>
      </w:r>
    </w:p>
    <w:p>
      <w:pPr>
        <w:pStyle w:val="BodyText"/>
        <w:spacing w:line="302" w:lineRule="auto" w:before="101"/>
        <w:ind w:right="1185" w:firstLine="360"/>
        <w:jc w:val="both"/>
      </w:pP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年公司将继续把发现人才、团结人才作为人才发展工作的第一要务。在人才的培养和引进上加大投入，做好人才 储备工作。尽最大努力用能找到的资源培养人、支持人，落实到培训中。</w:t>
      </w:r>
    </w:p>
    <w:p>
      <w:pPr>
        <w:pStyle w:val="BodyText"/>
        <w:spacing w:line="312" w:lineRule="auto" w:before="69"/>
        <w:ind w:left="1133" w:right="0" w:firstLine="360"/>
        <w:jc w:val="left"/>
      </w:pPr>
      <w:r>
        <w:rPr>
          <w:spacing w:val="-2"/>
        </w:rPr>
        <w:t>培训方面，继续利用好各个网络学习平台，设计更贴合公司发展的技术、管理类课程，在荣科云学院、荣科微课堂等平</w:t>
      </w:r>
      <w:r>
        <w:rPr/>
        <w:t> 台上进行教授。榜样的力量是无穷的，</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年要持续关注高级管理人才的成长和进步，一方面要求所有高级管理者加入荣 </w:t>
      </w:r>
      <w:r>
        <w:rPr>
          <w:spacing w:val="-2"/>
        </w:rPr>
        <w:t>科讲师的行列，另一方面，公司还将出台高管培养计划，考核结果纳入被培训者的绩效。继续推广以人为本的人才观，</w:t>
      </w:r>
      <w:r>
        <w:rPr>
          <w:rFonts w:ascii="Times New Roman" w:hAnsi="Times New Roman" w:cs="Times New Roman" w:eastAsia="Times New Roman" w:hint="default"/>
          <w:spacing w:val="-2"/>
        </w:rPr>
        <w:t>2016</w:t>
      </w:r>
      <w:r>
        <w:rPr>
          <w:rFonts w:ascii="Times New Roman" w:hAnsi="Times New Roman" w:cs="Times New Roman" w:eastAsia="Times New Roman" w:hint="default"/>
          <w:spacing w:val="-17"/>
        </w:rPr>
        <w:t> </w:t>
      </w:r>
      <w:r>
        <w:rPr>
          <w:spacing w:val="-4"/>
        </w:rPr>
        <w:t>年荣科的人力资源部要成为发现人、团结人的网络和平台，建立起培养人、支援人的资源池，用荣科的事业成全人、造就人，</w:t>
      </w:r>
      <w:r>
        <w:rPr>
          <w:spacing w:val="-44"/>
        </w:rPr>
        <w:t> </w:t>
      </w:r>
      <w:r>
        <w:rPr>
          <w:spacing w:val="-44"/>
        </w:rPr>
      </w:r>
      <w:r>
        <w:rPr>
          <w:spacing w:val="-2"/>
        </w:rPr>
        <w:t>用荣科的体系管好人，用荣科的榜样引领人，用荣科的文化关心人。围绕荣科的大人才计划，为人才建立成长档案，以人的</w:t>
      </w:r>
      <w:r>
        <w:rPr>
          <w:spacing w:val="-66"/>
        </w:rPr>
        <w:t> </w:t>
      </w:r>
      <w:r>
        <w:rPr>
          <w:spacing w:val="-66"/>
        </w:rPr>
      </w:r>
      <w:r>
        <w:rPr/>
        <w:t>成长和进步作为中心工作。</w:t>
      </w:r>
    </w:p>
    <w:p>
      <w:pPr>
        <w:pStyle w:val="BodyText"/>
        <w:spacing w:line="240" w:lineRule="auto" w:before="62"/>
        <w:ind w:left="1493" w:right="0"/>
        <w:jc w:val="left"/>
      </w:pPr>
      <w:r>
        <w:rPr>
          <w:rFonts w:ascii="Times New Roman" w:hAnsi="Times New Roman" w:cs="Times New Roman" w:eastAsia="Times New Roman" w:hint="default"/>
        </w:rPr>
        <w:t>4</w:t>
      </w:r>
      <w:r>
        <w:rPr/>
        <w:t>、持续优化成本管理，实现资源优化整合</w:t>
      </w:r>
    </w:p>
    <w:p>
      <w:pPr>
        <w:pStyle w:val="BodyText"/>
        <w:spacing w:line="240" w:lineRule="auto" w:before="102"/>
        <w:ind w:left="1494" w:right="0"/>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年公司在成本战略方面将从以下几方面进行加强：</w:t>
      </w:r>
    </w:p>
    <w:p>
      <w:pPr>
        <w:pStyle w:val="BodyText"/>
        <w:spacing w:line="240" w:lineRule="auto" w:before="103"/>
        <w:ind w:left="1494" w:right="0"/>
        <w:jc w:val="left"/>
      </w:pPr>
      <w:r>
        <w:rPr/>
        <w:t>（</w:t>
      </w:r>
      <w:r>
        <w:rPr>
          <w:rFonts w:ascii="Times New Roman" w:hAnsi="Times New Roman" w:cs="Times New Roman" w:eastAsia="Times New Roman" w:hint="default"/>
        </w:rPr>
        <w:t>1</w:t>
      </w:r>
      <w:r>
        <w:rPr/>
        <w:t>）进一步优化业务结构，向数字化、民生领域拓展，逐步调整业务结构，达到提升公司创利能力；</w:t>
      </w:r>
    </w:p>
    <w:p>
      <w:pPr>
        <w:pStyle w:val="BodyText"/>
        <w:spacing w:line="240" w:lineRule="auto" w:before="102"/>
        <w:ind w:left="1493" w:right="0"/>
        <w:jc w:val="left"/>
      </w:pPr>
      <w:r>
        <w:rPr/>
        <w:t>（</w:t>
      </w:r>
      <w:r>
        <w:rPr>
          <w:rFonts w:ascii="Times New Roman" w:hAnsi="Times New Roman" w:cs="Times New Roman" w:eastAsia="Times New Roman" w:hint="default"/>
        </w:rPr>
        <w:t>2</w:t>
      </w:r>
      <w:r>
        <w:rPr/>
        <w:t>）进一步优化公司组织结构，完善人员构成，降低人月成本，提升工作效率；</w:t>
      </w:r>
    </w:p>
    <w:p>
      <w:pPr>
        <w:pStyle w:val="BodyText"/>
        <w:spacing w:line="240" w:lineRule="auto" w:before="102"/>
        <w:ind w:left="1493" w:right="0"/>
        <w:jc w:val="left"/>
      </w:pPr>
      <w:r>
        <w:rPr/>
        <w:t>（</w:t>
      </w:r>
      <w:r>
        <w:rPr>
          <w:rFonts w:ascii="Times New Roman" w:hAnsi="Times New Roman" w:cs="Times New Roman" w:eastAsia="Times New Roman" w:hint="default"/>
        </w:rPr>
        <w:t>3</w:t>
      </w:r>
      <w:r>
        <w:rPr/>
        <w:t>）继续加大应用软件产品的研发投入；</w:t>
      </w:r>
    </w:p>
    <w:p>
      <w:pPr>
        <w:pStyle w:val="BodyText"/>
        <w:spacing w:line="240" w:lineRule="auto" w:before="103"/>
        <w:ind w:left="1493" w:right="0"/>
        <w:jc w:val="left"/>
      </w:pPr>
      <w:r>
        <w:rPr/>
        <w:t>（</w:t>
      </w:r>
      <w:r>
        <w:rPr>
          <w:rFonts w:ascii="Times New Roman" w:hAnsi="Times New Roman" w:cs="Times New Roman" w:eastAsia="Times New Roman" w:hint="default"/>
        </w:rPr>
        <w:t>4</w:t>
      </w:r>
      <w:r>
        <w:rPr/>
        <w:t>）推动全面预算管理机制，严格按预算控制成本费用，力争费用总额较上年度有大幅下降。</w:t>
      </w:r>
    </w:p>
    <w:p>
      <w:pPr>
        <w:pStyle w:val="BodyText"/>
        <w:spacing w:line="240" w:lineRule="auto" w:before="102"/>
        <w:ind w:left="1493" w:right="0"/>
        <w:jc w:val="left"/>
      </w:pPr>
      <w:r>
        <w:rPr>
          <w:rFonts w:ascii="Times New Roman" w:hAnsi="Times New Roman" w:cs="Times New Roman" w:eastAsia="Times New Roman" w:hint="default"/>
        </w:rPr>
        <w:t>5</w:t>
      </w:r>
      <w:r>
        <w:rPr/>
        <w:t>、健全内部控制体系，创造管理效益</w:t>
      </w:r>
    </w:p>
    <w:p>
      <w:pPr>
        <w:pStyle w:val="BodyText"/>
        <w:spacing w:line="309" w:lineRule="auto" w:before="101"/>
        <w:ind w:right="1131" w:firstLine="360"/>
        <w:jc w:val="both"/>
      </w:pP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年，公司将持续完善内控管理制度，不断优化业务流程，运行科学的内控管理机制，实施内部控制审计，推动自 </w:t>
      </w:r>
      <w:r>
        <w:rPr>
          <w:spacing w:val="-2"/>
        </w:rPr>
        <w:t>查自纠工作，开展内部控制培训。通过深入推进内部控制体系建设，建立健全和有效实施内部控制，提升经营管理水平和风</w:t>
      </w:r>
      <w:r>
        <w:rPr>
          <w:spacing w:val="-66"/>
        </w:rPr>
        <w:t> </w:t>
      </w:r>
      <w:r>
        <w:rPr>
          <w:spacing w:val="-66"/>
        </w:rPr>
      </w:r>
      <w:r>
        <w:rPr/>
        <w:t>险防范能力，为实现公司战略目标提供重要保障。</w:t>
      </w:r>
    </w:p>
    <w:p>
      <w:pPr>
        <w:pStyle w:val="Heading3"/>
        <w:spacing w:line="240" w:lineRule="auto" w:before="155"/>
        <w:ind w:left="1556" w:right="0"/>
        <w:jc w:val="left"/>
        <w:rPr>
          <w:b w:val="0"/>
          <w:bCs w:val="0"/>
        </w:rPr>
      </w:pPr>
      <w:r>
        <w:rPr>
          <w:rFonts w:ascii="宋体" w:hAnsi="宋体" w:cs="宋体" w:eastAsia="宋体" w:hint="default"/>
        </w:rPr>
        <w:t>(</w:t>
      </w:r>
      <w:r>
        <w:rPr/>
        <w:t>二）行业发展趋势及公司战略</w:t>
      </w:r>
      <w:r>
        <w:rPr>
          <w:b w:val="0"/>
          <w:bCs w:val="0"/>
        </w:rPr>
      </w:r>
    </w:p>
    <w:p>
      <w:pPr>
        <w:spacing w:line="468" w:lineRule="exact" w:before="53"/>
        <w:ind w:left="1494" w:right="0" w:firstLine="1"/>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z w:val="18"/>
          <w:szCs w:val="18"/>
        </w:rPr>
        <w:t>、智慧医疗、健康数据方向</w:t>
      </w:r>
      <w:r>
        <w:rPr>
          <w:rFonts w:ascii="宋体" w:hAnsi="宋体" w:cs="宋体" w:eastAsia="宋体" w:hint="default"/>
          <w:b/>
          <w:bCs/>
          <w:w w:val="99"/>
          <w:sz w:val="18"/>
          <w:szCs w:val="18"/>
        </w:rPr>
        <w:t> </w:t>
      </w:r>
      <w:r>
        <w:rPr>
          <w:rFonts w:ascii="宋体" w:hAnsi="宋体" w:cs="宋体" w:eastAsia="宋体" w:hint="default"/>
          <w:spacing w:val="-2"/>
          <w:sz w:val="18"/>
          <w:szCs w:val="18"/>
        </w:rPr>
        <w:t>医疗健康是一个长期和持续的需求，从医疗信息化角度看，当前我国医疗信息化已经走过了以医院成本管理为核心的医</w:t>
      </w:r>
    </w:p>
    <w:p>
      <w:pPr>
        <w:pStyle w:val="BodyText"/>
        <w:spacing w:line="300" w:lineRule="auto" w:before="8"/>
        <w:ind w:right="1118"/>
        <w:jc w:val="left"/>
      </w:pPr>
      <w:r>
        <w:rPr/>
        <w:t>院管理信息化（</w:t>
      </w:r>
      <w:r>
        <w:rPr>
          <w:rFonts w:ascii="Times New Roman" w:hAnsi="Times New Roman" w:cs="Times New Roman" w:eastAsia="Times New Roman" w:hint="default"/>
        </w:rPr>
        <w:t>HIS</w:t>
      </w:r>
      <w:r>
        <w:rPr/>
        <w:t>）阶段，进入到以医疗质量管理为核心的临床管理信息化阶段（</w:t>
      </w:r>
      <w:r>
        <w:rPr>
          <w:rFonts w:ascii="Times New Roman" w:hAnsi="Times New Roman" w:cs="Times New Roman" w:eastAsia="Times New Roman" w:hint="default"/>
        </w:rPr>
        <w:t>CIS</w:t>
      </w:r>
      <w:r>
        <w:rPr/>
        <w:t>）以及以临床业务整合为核心的区 </w:t>
      </w:r>
      <w:r>
        <w:rPr>
          <w:spacing w:val="-2"/>
        </w:rPr>
        <w:t>域医疗信息化阶段。从市场份额看，医疗健康是一个</w:t>
      </w:r>
      <w:r>
        <w:rPr/>
        <w:t> </w:t>
      </w:r>
      <w:r>
        <w:rPr>
          <w:rFonts w:ascii="Times New Roman" w:hAnsi="Times New Roman" w:cs="Times New Roman" w:eastAsia="Times New Roman" w:hint="default"/>
        </w:rPr>
        <w:t>8</w:t>
      </w:r>
      <w:r>
        <w:rPr>
          <w:rFonts w:ascii="Times New Roman" w:hAnsi="Times New Roman" w:cs="Times New Roman" w:eastAsia="Times New Roman" w:hint="default"/>
          <w:spacing w:val="-25"/>
        </w:rPr>
        <w:t> </w:t>
      </w:r>
      <w:r>
        <w:rPr>
          <w:spacing w:val="-2"/>
        </w:rPr>
        <w:t>万亿人民币的市场空间。从国家政策看，医疗健康是国家长期鼓励发</w:t>
      </w:r>
      <w:r>
        <w:rPr/>
        <w:t> 展的行业。</w:t>
      </w:r>
    </w:p>
    <w:p>
      <w:pPr>
        <w:pStyle w:val="BodyText"/>
        <w:spacing w:line="240" w:lineRule="auto" w:before="72"/>
        <w:ind w:left="1494" w:right="0"/>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年，有</w:t>
      </w:r>
      <w:r>
        <w:rPr>
          <w:spacing w:val="-46"/>
        </w:rPr>
        <w:t> </w:t>
      </w:r>
      <w:r>
        <w:rPr>
          <w:rFonts w:ascii="Times New Roman" w:hAnsi="Times New Roman" w:cs="Times New Roman" w:eastAsia="Times New Roman" w:hint="default"/>
        </w:rPr>
        <w:t>7 </w:t>
      </w:r>
      <w:r>
        <w:rPr/>
        <w:t>大政策影响到医疗健康行业发展：</w:t>
      </w:r>
    </w:p>
    <w:p>
      <w:pPr>
        <w:pStyle w:val="BodyText"/>
        <w:spacing w:line="309" w:lineRule="auto" w:before="101"/>
        <w:ind w:left="1133" w:right="1130" w:firstLine="361"/>
        <w:jc w:val="both"/>
      </w:pPr>
      <w:r>
        <w:rPr>
          <w:rFonts w:ascii="宋体" w:hAnsi="宋体" w:cs="宋体" w:eastAsia="宋体" w:hint="default"/>
          <w:b/>
          <w:bCs/>
        </w:rPr>
        <w:t>分级诊疗</w:t>
      </w:r>
      <w:r>
        <w:rPr>
          <w:rFonts w:ascii="宋体" w:hAnsi="宋体" w:cs="宋体" w:eastAsia="宋体" w:hint="default"/>
          <w:b/>
          <w:bCs/>
          <w:spacing w:val="6"/>
        </w:rPr>
        <w:t> </w:t>
      </w:r>
      <w:r>
        <w:rPr/>
        <w:t>按照疾病的轻、重、缓、急及治疗的难易程度进行分级，不同级别的医疗机构承担不同疾病的治疗，实现基 层首诊和双向转诊。主要是为了缓解大医院“看病难”的问题，实现医院资源的合理配置。目前已经有</w:t>
      </w:r>
      <w:r>
        <w:rPr>
          <w:spacing w:val="-57"/>
        </w:rPr>
        <w:t> </w:t>
      </w:r>
      <w:r>
        <w:rPr>
          <w:rFonts w:ascii="Times New Roman" w:hAnsi="Times New Roman" w:cs="Times New Roman" w:eastAsia="Times New Roman" w:hint="default"/>
        </w:rPr>
        <w:t>28</w:t>
      </w:r>
      <w:r>
        <w:rPr>
          <w:rFonts w:ascii="Times New Roman" w:hAnsi="Times New Roman" w:cs="Times New Roman" w:eastAsia="Times New Roman" w:hint="default"/>
          <w:spacing w:val="-12"/>
        </w:rPr>
        <w:t> </w:t>
      </w:r>
      <w:r>
        <w:rPr/>
        <w:t>个省份，</w:t>
      </w:r>
      <w:r>
        <w:rPr>
          <w:rFonts w:ascii="Times New Roman" w:hAnsi="Times New Roman" w:cs="Times New Roman" w:eastAsia="Times New Roman" w:hint="default"/>
        </w:rPr>
        <w:t>1000</w:t>
      </w:r>
      <w:r>
        <w:rPr>
          <w:rFonts w:ascii="Times New Roman" w:hAnsi="Times New Roman" w:cs="Times New Roman" w:eastAsia="Times New Roman" w:hint="default"/>
          <w:spacing w:val="-12"/>
        </w:rPr>
        <w:t> </w:t>
      </w:r>
      <w:r>
        <w:rPr/>
        <w:t>多 个县市区开展了分级诊疗试点。今年</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月</w:t>
      </w:r>
      <w:r>
        <w:rPr>
          <w:spacing w:val="-52"/>
        </w:rPr>
        <w:t> </w:t>
      </w:r>
      <w:r>
        <w:rPr>
          <w:rFonts w:ascii="Times New Roman" w:hAnsi="Times New Roman" w:cs="Times New Roman" w:eastAsia="Times New Roman" w:hint="default"/>
        </w:rPr>
        <w:t>5</w:t>
      </w:r>
      <w:r>
        <w:rPr>
          <w:rFonts w:ascii="Times New Roman" w:hAnsi="Times New Roman" w:cs="Times New Roman" w:eastAsia="Times New Roman" w:hint="default"/>
          <w:spacing w:val="-7"/>
        </w:rPr>
        <w:t> </w:t>
      </w:r>
      <w:r>
        <w:rPr/>
        <w:t>日，国务院总理李克强的</w:t>
      </w:r>
      <w:r>
        <w:rPr>
          <w:spacing w:val="-52"/>
        </w:rPr>
        <w:t> </w:t>
      </w:r>
      <w:r>
        <w:rPr>
          <w:rFonts w:ascii="Times New Roman" w:hAnsi="Times New Roman" w:cs="Times New Roman" w:eastAsia="Times New Roman" w:hint="default"/>
        </w:rPr>
        <w:t>2015</w:t>
      </w:r>
      <w:r>
        <w:rPr>
          <w:rFonts w:ascii="Times New Roman" w:hAnsi="Times New Roman" w:cs="Times New Roman" w:eastAsia="Times New Roman" w:hint="default"/>
          <w:spacing w:val="-7"/>
        </w:rPr>
        <w:t> </w:t>
      </w:r>
      <w:r>
        <w:rPr/>
        <w:t>年政府工作报告中提到，</w:t>
      </w:r>
      <w:r>
        <w:rPr>
          <w:rFonts w:ascii="Times New Roman" w:hAnsi="Times New Roman" w:cs="Times New Roman" w:eastAsia="Times New Roman" w:hint="default"/>
        </w:rPr>
        <w:t>2015</w:t>
      </w:r>
      <w:r>
        <w:rPr>
          <w:rFonts w:ascii="Times New Roman" w:hAnsi="Times New Roman" w:cs="Times New Roman" w:eastAsia="Times New Roman" w:hint="default"/>
          <w:spacing w:val="-7"/>
        </w:rPr>
        <w:t> </w:t>
      </w:r>
      <w:r>
        <w:rPr/>
        <w:t>年已经在</w:t>
      </w:r>
      <w:r>
        <w:rPr>
          <w:spacing w:val="-52"/>
        </w:rPr>
        <w:t> </w:t>
      </w:r>
      <w:r>
        <w:rPr>
          <w:rFonts w:ascii="Times New Roman" w:hAnsi="Times New Roman" w:cs="Times New Roman" w:eastAsia="Times New Roman" w:hint="default"/>
        </w:rPr>
        <w:t>70%</w:t>
      </w:r>
      <w:r>
        <w:rPr/>
        <w:t>左右 </w:t>
      </w:r>
      <w:r>
        <w:rPr>
          <w:spacing w:val="-2"/>
        </w:rPr>
        <w:t>的地市开展分级诊疗试点。分级诊疗带来了医疗市场利益重新分配的机会，让包括荣科在内的医疗信息化企业能够搭建起分</w:t>
      </w:r>
      <w:r>
        <w:rPr>
          <w:spacing w:val="-64"/>
        </w:rPr>
        <w:t> </w:t>
      </w:r>
      <w:r>
        <w:rPr>
          <w:spacing w:val="-64"/>
        </w:rPr>
      </w:r>
      <w:r>
        <w:rPr/>
        <w:t>级诊疗平台，缓解大医院的诊疗压力。</w:t>
      </w:r>
    </w:p>
    <w:p>
      <w:pPr>
        <w:pStyle w:val="BodyText"/>
        <w:spacing w:line="309" w:lineRule="auto" w:before="62"/>
        <w:ind w:left="1133" w:right="1095" w:firstLine="361"/>
        <w:jc w:val="both"/>
      </w:pPr>
      <w:r>
        <w:rPr>
          <w:rFonts w:ascii="宋体" w:hAnsi="宋体" w:cs="宋体" w:eastAsia="宋体" w:hint="default"/>
          <w:b/>
          <w:bCs/>
        </w:rPr>
        <w:t>电子处方</w:t>
      </w:r>
      <w:r>
        <w:rPr>
          <w:rFonts w:ascii="宋体" w:hAnsi="宋体" w:cs="宋体" w:eastAsia="宋体" w:hint="default"/>
          <w:b/>
          <w:bCs/>
          <w:spacing w:val="18"/>
        </w:rPr>
        <w:t> </w:t>
      </w:r>
      <w:r>
        <w:rPr/>
        <w:t>医生开具处方后，通过网络传输至药房，经药学专业技术人员审核、调配、核对、计费，并作为药房发药和 医疗用药的医疗电子文书。</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41"/>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spacing w:val="-3"/>
        </w:rPr>
        <w:t>月，国务院办公厅正式发布《关于积极推进“互联网</w:t>
      </w:r>
      <w:r>
        <w:rPr>
          <w:rFonts w:ascii="Times New Roman" w:hAnsi="Times New Roman" w:cs="Times New Roman" w:eastAsia="Times New Roman" w:hint="default"/>
          <w:spacing w:val="-3"/>
        </w:rPr>
        <w:t>+</w:t>
      </w:r>
      <w:r>
        <w:rPr>
          <w:spacing w:val="-3"/>
        </w:rPr>
        <w:t>”行动的指导意见》，提出要积</w:t>
      </w:r>
      <w:r>
        <w:rPr>
          <w:spacing w:val="-81"/>
        </w:rPr>
        <w:t> </w:t>
      </w:r>
      <w:r>
        <w:rPr>
          <w:spacing w:val="-81"/>
        </w:rPr>
      </w:r>
      <w:r>
        <w:rPr/>
        <w:t>极探索互联网延伸医嘱、电子处方等网络医疗健康服务应用。</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spacing w:val="-5"/>
        </w:rPr>
        <w:t>日，“乌镇互联网医院”开出一张电子处方，</w:t>
      </w:r>
      <w:r>
        <w:rPr/>
        <w:t> </w:t>
      </w:r>
      <w:r>
        <w:rPr>
          <w:spacing w:val="-2"/>
        </w:rPr>
        <w:t>号称“中国第一电子处方”，引起一时轰动，也让外界对网售处方药政策有了更多期待。电子处方的应用，是远程诊疗、网</w:t>
      </w:r>
      <w:r>
        <w:rPr>
          <w:spacing w:val="-72"/>
        </w:rPr>
        <w:t> </w:t>
      </w:r>
      <w:r>
        <w:rPr>
          <w:spacing w:val="-72"/>
        </w:rPr>
      </w:r>
      <w:r>
        <w:rPr/>
        <w:t>售处方药的前提。</w:t>
      </w:r>
    </w:p>
    <w:p>
      <w:pPr>
        <w:pStyle w:val="BodyText"/>
        <w:spacing w:line="314" w:lineRule="auto" w:before="64"/>
        <w:ind w:right="1130" w:firstLine="361"/>
        <w:jc w:val="both"/>
      </w:pPr>
      <w:r>
        <w:rPr>
          <w:rFonts w:ascii="宋体" w:hAnsi="宋体" w:cs="宋体" w:eastAsia="宋体" w:hint="default"/>
          <w:b/>
          <w:bCs/>
        </w:rPr>
        <w:t>互联网医保支付</w:t>
      </w:r>
      <w:r>
        <w:rPr>
          <w:rFonts w:ascii="宋体" w:hAnsi="宋体" w:cs="宋体" w:eastAsia="宋体" w:hint="default"/>
          <w:b/>
          <w:bCs/>
          <w:spacing w:val="39"/>
        </w:rPr>
        <w:t> </w:t>
      </w:r>
      <w:r>
        <w:rPr>
          <w:spacing w:val="-3"/>
        </w:rPr>
        <w:t>指患者在互联网渠道接受医疗服务后，可以通过医保账户结算、划款。受限于医保的地区差异、互联</w:t>
      </w:r>
      <w:r>
        <w:rPr/>
        <w:t> 网平台与医院的财务系统对接等问题，医保在互联网渠道的应用还没有放开。</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月，浙江海宁的老百姓大药房首吃 </w:t>
      </w:r>
      <w:r>
        <w:rPr>
          <w:spacing w:val="-2"/>
        </w:rPr>
        <w:t>螃蟹，支持消费者网购刷医保。支付的过程很有科技范儿，消费者线上选购药品，选择医保支付，然后将进入一个人脸识别</w:t>
      </w:r>
      <w:r>
        <w:rPr>
          <w:spacing w:val="-66"/>
        </w:rPr>
        <w:t> </w:t>
      </w:r>
      <w:r>
        <w:rPr>
          <w:spacing w:val="-66"/>
        </w:rPr>
      </w:r>
      <w:r>
        <w:rPr>
          <w:spacing w:val="-2"/>
        </w:rPr>
        <w:t>环节，通过电脑摄像头拍照，系统将对该照片与用户的医保卡照片进行对比验证，验证通过后方可成功扣款。如果说老百姓</w:t>
      </w:r>
      <w:r>
        <w:rPr>
          <w:spacing w:val="-66"/>
        </w:rPr>
        <w:t> </w:t>
      </w:r>
      <w:r>
        <w:rPr>
          <w:spacing w:val="-66"/>
        </w:rPr>
      </w:r>
      <w:r>
        <w:rPr>
          <w:spacing w:val="-7"/>
        </w:rPr>
        <w:t>大药房的纯属线上支付，那么沈阳地区的医保网购尝试则偏“线下”。</w:t>
      </w:r>
      <w:r>
        <w:rPr>
          <w:rFonts w:ascii="Times New Roman" w:hAnsi="Times New Roman" w:cs="Times New Roman" w:eastAsia="Times New Roman" w:hint="default"/>
          <w:spacing w:val="-7"/>
        </w:rPr>
        <w:t>2015</w:t>
      </w:r>
      <w:r>
        <w:rPr>
          <w:rFonts w:ascii="Times New Roman" w:hAnsi="Times New Roman" w:cs="Times New Roman" w:eastAsia="Times New Roman" w:hint="default"/>
        </w:rPr>
        <w:t> </w:t>
      </w:r>
      <w:r>
        <w:rPr/>
        <w:t>年 </w:t>
      </w:r>
      <w:r>
        <w:rPr>
          <w:rFonts w:ascii="Times New Roman" w:hAnsi="Times New Roman" w:cs="Times New Roman" w:eastAsia="Times New Roman" w:hint="default"/>
        </w:rPr>
        <w:t>4</w:t>
      </w:r>
      <w:r>
        <w:rPr>
          <w:rFonts w:ascii="Times New Roman" w:hAnsi="Times New Roman" w:cs="Times New Roman" w:eastAsia="Times New Roman" w:hint="default"/>
          <w:spacing w:val="-11"/>
        </w:rPr>
        <w:t> </w:t>
      </w:r>
      <w:r>
        <w:rPr>
          <w:spacing w:val="-5"/>
        </w:rPr>
        <w:t>月，沈阳开通医保网上便民购药服务平台“成</w:t>
      </w:r>
    </w:p>
    <w:p>
      <w:pPr>
        <w:spacing w:after="0" w:line="314" w:lineRule="auto"/>
        <w:jc w:val="both"/>
        <w:sectPr>
          <w:pgSz w:w="11910" w:h="16840"/>
          <w:pgMar w:header="867" w:footer="979" w:top="1060" w:bottom="1160" w:left="0" w:right="0"/>
        </w:sectPr>
      </w:pPr>
    </w:p>
    <w:p>
      <w:pPr>
        <w:pStyle w:val="BodyText"/>
        <w:spacing w:line="309" w:lineRule="auto" w:before="81"/>
        <w:ind w:left="1133" w:right="0"/>
        <w:jc w:val="left"/>
      </w:pPr>
      <w:r>
        <w:rPr>
          <w:spacing w:val="-4"/>
        </w:rPr>
        <w:t>大方圆”，参保人员可以选择货到付款，然后通过移动</w:t>
      </w:r>
      <w:r>
        <w:rPr>
          <w:spacing w:val="-44"/>
        </w:rPr>
        <w:t> </w:t>
      </w:r>
      <w:r>
        <w:rPr>
          <w:rFonts w:ascii="Times New Roman" w:hAnsi="Times New Roman" w:cs="Times New Roman" w:eastAsia="Times New Roman" w:hint="default"/>
          <w:w w:val="99"/>
        </w:rPr>
        <w:t>POS </w:t>
      </w:r>
      <w:r>
        <w:rPr/>
        <w:t>机刷社会保障卡结算。</w:t>
      </w:r>
      <w:r>
        <w:rPr>
          <w:rFonts w:ascii="Times New Roman" w:hAnsi="Times New Roman" w:cs="Times New Roman" w:eastAsia="Times New Roman" w:hint="default"/>
        </w:rPr>
        <w:t>2016 </w:t>
      </w:r>
      <w:r>
        <w:rPr/>
        <w:t>年年初，大连市第三人民医院开通</w:t>
      </w:r>
      <w:r>
        <w:rPr>
          <w:spacing w:val="-88"/>
        </w:rPr>
        <w:t> </w:t>
      </w:r>
      <w:r>
        <w:rPr>
          <w:spacing w:val="-2"/>
        </w:rPr>
        <w:t>支付宝结算诊疗费，其中包含了医保结算。患者先通过支付宝结算所有诊疗费，然后到门诊指定窗口使用医保卡进行医保结</w:t>
      </w:r>
      <w:r>
        <w:rPr>
          <w:spacing w:val="-66"/>
        </w:rPr>
        <w:t> </w:t>
      </w:r>
      <w:r>
        <w:rPr>
          <w:spacing w:val="-66"/>
        </w:rPr>
      </w:r>
      <w:r>
        <w:rPr/>
        <w:t>算，结算后将医保结算报销的金额返回支付宝账户。</w:t>
      </w:r>
    </w:p>
    <w:p>
      <w:pPr>
        <w:pStyle w:val="BodyText"/>
        <w:spacing w:line="312" w:lineRule="auto" w:before="62"/>
        <w:ind w:left="1133" w:right="1117" w:firstLine="361"/>
        <w:jc w:val="left"/>
      </w:pPr>
      <w:r>
        <w:rPr>
          <w:rFonts w:ascii="宋体" w:hAnsi="宋体" w:cs="宋体" w:eastAsia="宋体" w:hint="default"/>
          <w:b/>
          <w:bCs/>
        </w:rPr>
        <w:t>医师自由执业、多点执业</w:t>
      </w:r>
      <w:r>
        <w:rPr>
          <w:rFonts w:ascii="宋体" w:hAnsi="宋体" w:cs="宋体" w:eastAsia="宋体" w:hint="default"/>
          <w:b/>
          <w:bCs/>
          <w:spacing w:val="88"/>
        </w:rPr>
        <w:t> </w:t>
      </w:r>
      <w:r>
        <w:rPr/>
        <w:t>自由执业，是指获得执业资格的医生可以自主选择执业方式和执业机构，有选择“个体行 </w:t>
      </w:r>
      <w:r>
        <w:rPr>
          <w:spacing w:val="-2"/>
        </w:rPr>
        <w:t>医、合伙行医或者受聘于医院行医”的自由，让医生从“单位人”变成“自由人”。多点执业，是指符合条件的执业医师经</w:t>
      </w:r>
      <w:r>
        <w:rPr>
          <w:spacing w:val="-72"/>
        </w:rPr>
        <w:t> </w:t>
      </w:r>
      <w:r>
        <w:rPr>
          <w:spacing w:val="-72"/>
        </w:rPr>
      </w:r>
      <w:r>
        <w:rPr/>
        <w:t>卫生行政部门注册后，受聘在两个以上医疗机构执业。</w:t>
      </w:r>
      <w:r>
        <w:rPr>
          <w:rFonts w:ascii="Times New Roman" w:hAnsi="Times New Roman" w:cs="Times New Roman" w:eastAsia="Times New Roman" w:hint="default"/>
        </w:rPr>
        <w:t>2014</w:t>
      </w:r>
      <w:r>
        <w:rPr>
          <w:rFonts w:ascii="Times New Roman" w:hAnsi="Times New Roman" w:cs="Times New Roman" w:eastAsia="Times New Roman" w:hint="default"/>
          <w:spacing w:val="-13"/>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月，邓开伯教授在北京慈诚医疗开设工作室，试行医师多 </w:t>
      </w:r>
      <w:r>
        <w:rPr>
          <w:spacing w:val="-2"/>
        </w:rPr>
        <w:t>点执业，引起业界轰动。近年来，国内已经先后出现了超过</w:t>
      </w:r>
      <w:r>
        <w:rPr>
          <w:spacing w:val="-30"/>
        </w:rPr>
        <w:t> </w:t>
      </w:r>
      <w:r>
        <w:rPr>
          <w:rFonts w:ascii="Times New Roman" w:hAnsi="Times New Roman" w:cs="Times New Roman" w:eastAsia="Times New Roman" w:hint="default"/>
        </w:rPr>
        <w:t>30</w:t>
      </w:r>
      <w:r>
        <w:rPr>
          <w:rFonts w:ascii="Times New Roman" w:hAnsi="Times New Roman" w:cs="Times New Roman" w:eastAsia="Times New Roman" w:hint="default"/>
          <w:spacing w:val="14"/>
        </w:rPr>
        <w:t> </w:t>
      </w:r>
      <w:r>
        <w:rPr>
          <w:spacing w:val="-6"/>
        </w:rPr>
        <w:t>个“医生集团”（如张强医生集团、万峰医生集团、中欧医生</w:t>
      </w:r>
      <w:r>
        <w:rPr>
          <w:spacing w:val="-85"/>
        </w:rPr>
        <w:t> </w:t>
      </w:r>
      <w:r>
        <w:rPr>
          <w:spacing w:val="-85"/>
        </w:rPr>
      </w:r>
      <w:r>
        <w:rPr>
          <w:spacing w:val="-2"/>
        </w:rPr>
        <w:t>集团、微医集团等），成为一些医生的自由执业选择。自由执业对很多互联网医疗企业来说，医生的自由执业是基本前提，</w:t>
      </w:r>
      <w:r>
        <w:rPr>
          <w:spacing w:val="-72"/>
        </w:rPr>
        <w:t> </w:t>
      </w:r>
      <w:r>
        <w:rPr>
          <w:spacing w:val="-72"/>
        </w:rPr>
      </w:r>
      <w:r>
        <w:rPr>
          <w:spacing w:val="-2"/>
        </w:rPr>
        <w:t>尤其很多涉及医患互动的平台，医生的行为权限、收入等都将受到政策牵制。一旦医生自由执业政策放开，将有越来越多的</w:t>
      </w:r>
      <w:r>
        <w:rPr>
          <w:spacing w:val="-66"/>
        </w:rPr>
        <w:t> </w:t>
      </w:r>
      <w:r>
        <w:rPr>
          <w:spacing w:val="-66"/>
        </w:rPr>
      </w:r>
      <w:r>
        <w:rPr/>
        <w:t>平台服务与医生个人品牌，而非医院。</w:t>
      </w:r>
    </w:p>
    <w:p>
      <w:pPr>
        <w:pStyle w:val="BodyText"/>
        <w:spacing w:line="319" w:lineRule="auto" w:before="62"/>
        <w:ind w:right="1130" w:firstLine="360"/>
        <w:jc w:val="both"/>
      </w:pPr>
      <w:r>
        <w:rPr>
          <w:spacing w:val="-2"/>
        </w:rPr>
        <w:t>我们能够看到，相关国家政策，鼓励和支持医疗信息化和互联网医疗企业，向医疗的纵深发展。荣科所聚焦的临床应用</w:t>
      </w:r>
      <w:r>
        <w:rPr/>
        <w:t> </w:t>
      </w:r>
      <w:r>
        <w:rPr>
          <w:spacing w:val="-2"/>
        </w:rPr>
        <w:t>细分领域、平台级产品、健康数据服务，都是深耕于医疗业务本身，深耕于优势的区域资源，由单纯的信息化服务，向基于</w:t>
      </w:r>
      <w:r>
        <w:rPr>
          <w:spacing w:val="-68"/>
        </w:rPr>
        <w:t> </w:t>
      </w:r>
      <w:r>
        <w:rPr>
          <w:spacing w:val="-68"/>
        </w:rPr>
      </w:r>
      <w:r>
        <w:rPr/>
        <w:t>信息化的医疗服务延伸。</w:t>
      </w:r>
    </w:p>
    <w:p>
      <w:pPr>
        <w:pStyle w:val="BodyText"/>
        <w:spacing w:line="319" w:lineRule="auto" w:before="55"/>
        <w:ind w:right="1132" w:firstLine="360"/>
        <w:jc w:val="both"/>
      </w:pPr>
      <w:r>
        <w:rPr>
          <w:spacing w:val="-2"/>
        </w:rPr>
        <w:t>公司积极探索云平台及数据运营模式，开启更为广阔的市场空间。荣科在专注研发临床信息化产品、着力提高产品化程</w:t>
      </w:r>
      <w:r>
        <w:rPr/>
        <w:t> </w:t>
      </w:r>
      <w:r>
        <w:rPr>
          <w:spacing w:val="-2"/>
        </w:rPr>
        <w:t>度的同时，也在积极探索云平台及数据运营的创新型商业模式。我们认为，云平台及数据运营模式的探索有望为荣科打开更</w:t>
      </w:r>
      <w:r>
        <w:rPr>
          <w:spacing w:val="-66"/>
        </w:rPr>
        <w:t> </w:t>
      </w:r>
      <w:r>
        <w:rPr>
          <w:spacing w:val="-66"/>
        </w:rPr>
      </w:r>
      <w:r>
        <w:rPr/>
        <w:t>为广阔的市场空间。</w:t>
      </w:r>
    </w:p>
    <w:p>
      <w:pPr>
        <w:pStyle w:val="BodyText"/>
        <w:spacing w:line="300" w:lineRule="auto" w:before="55"/>
        <w:ind w:left="1133" w:right="1139" w:firstLine="360"/>
        <w:jc w:val="left"/>
      </w:pPr>
      <w:r>
        <w:rPr/>
        <w:t>以</w:t>
      </w:r>
      <w:r>
        <w:rPr>
          <w:spacing w:val="-46"/>
        </w:rPr>
        <w:t> </w:t>
      </w:r>
      <w:r>
        <w:rPr>
          <w:rFonts w:ascii="Times New Roman" w:hAnsi="Times New Roman" w:cs="Times New Roman" w:eastAsia="Times New Roman" w:hint="default"/>
        </w:rPr>
        <w:t>ICU</w:t>
      </w:r>
      <w:r>
        <w:rPr>
          <w:rFonts w:ascii="Times New Roman" w:hAnsi="Times New Roman" w:cs="Times New Roman" w:eastAsia="Times New Roman" w:hint="default"/>
          <w:spacing w:val="-2"/>
        </w:rPr>
        <w:t> </w:t>
      </w:r>
      <w:r>
        <w:rPr/>
        <w:t>为例，现有盈利模式是按照</w:t>
      </w:r>
      <w:r>
        <w:rPr>
          <w:spacing w:val="-46"/>
        </w:rPr>
        <w:t> </w:t>
      </w:r>
      <w:r>
        <w:rPr>
          <w:rFonts w:ascii="Times New Roman" w:hAnsi="Times New Roman" w:cs="Times New Roman" w:eastAsia="Times New Roman" w:hint="default"/>
        </w:rPr>
        <w:t>ICU</w:t>
      </w:r>
      <w:r>
        <w:rPr>
          <w:rFonts w:ascii="Times New Roman" w:hAnsi="Times New Roman" w:cs="Times New Roman" w:eastAsia="Times New Roman" w:hint="default"/>
          <w:spacing w:val="-2"/>
        </w:rPr>
        <w:t> </w:t>
      </w:r>
      <w:r>
        <w:rPr/>
        <w:t>护理单元病床数</w:t>
      </w:r>
      <w:r>
        <w:rPr>
          <w:rFonts w:ascii="Times New Roman" w:hAnsi="Times New Roman" w:cs="Times New Roman" w:eastAsia="Times New Roman" w:hint="default"/>
        </w:rPr>
        <w:t>+</w:t>
      </w:r>
      <w:r>
        <w:rPr/>
        <w:t>医生工作站</w:t>
      </w:r>
      <w:r>
        <w:rPr>
          <w:rFonts w:ascii="Times New Roman" w:hAnsi="Times New Roman" w:cs="Times New Roman" w:eastAsia="Times New Roman" w:hint="default"/>
        </w:rPr>
        <w:t>+</w:t>
      </w:r>
      <w:r>
        <w:rPr/>
        <w:t>护士工作站</w:t>
      </w:r>
      <w:r>
        <w:rPr>
          <w:rFonts w:ascii="Times New Roman" w:hAnsi="Times New Roman" w:cs="Times New Roman" w:eastAsia="Times New Roman" w:hint="default"/>
        </w:rPr>
        <w:t>+</w:t>
      </w:r>
      <w:r>
        <w:rPr/>
        <w:t>移动查房的数量计费，根据草根调 研，每个床位平均收费在</w:t>
      </w:r>
      <w:r>
        <w:rPr>
          <w:spacing w:val="-46"/>
        </w:rPr>
        <w:t> </w:t>
      </w:r>
      <w:r>
        <w:rPr>
          <w:rFonts w:ascii="Times New Roman" w:hAnsi="Times New Roman" w:cs="Times New Roman" w:eastAsia="Times New Roman" w:hint="default"/>
        </w:rPr>
        <w:t>10 </w:t>
      </w:r>
      <w:r>
        <w:rPr/>
        <w:t>万元以内。除此之外，荣科目前正在积极探索搭建</w:t>
      </w:r>
      <w:r>
        <w:rPr>
          <w:spacing w:val="-46"/>
        </w:rPr>
        <w:t> </w:t>
      </w:r>
      <w:r>
        <w:rPr>
          <w:rFonts w:ascii="Times New Roman" w:hAnsi="Times New Roman" w:cs="Times New Roman" w:eastAsia="Times New Roman" w:hint="default"/>
        </w:rPr>
        <w:t>ICU </w:t>
      </w:r>
      <w:r>
        <w:rPr/>
        <w:t>云平台，一方面探索向医院提供</w:t>
      </w:r>
      <w:r>
        <w:rPr>
          <w:spacing w:val="-46"/>
        </w:rPr>
        <w:t> </w:t>
      </w:r>
      <w:r>
        <w:rPr>
          <w:rFonts w:ascii="Times New Roman" w:hAnsi="Times New Roman" w:cs="Times New Roman" w:eastAsia="Times New Roman" w:hint="default"/>
        </w:rPr>
        <w:t>saas</w:t>
      </w:r>
      <w:r>
        <w:rPr>
          <w:rFonts w:ascii="Times New Roman" w:hAnsi="Times New Roman" w:cs="Times New Roman" w:eastAsia="Times New Roman" w:hint="default"/>
          <w:w w:val="99"/>
        </w:rPr>
        <w:t> </w:t>
      </w:r>
      <w:r>
        <w:rPr/>
        <w:t>模式的服务，另一方面公司也希望未来能够借助云</w:t>
      </w:r>
      <w:r>
        <w:rPr>
          <w:spacing w:val="-45"/>
        </w:rPr>
        <w:t> </w:t>
      </w:r>
      <w:r>
        <w:rPr>
          <w:rFonts w:ascii="Times New Roman" w:hAnsi="Times New Roman" w:cs="Times New Roman" w:eastAsia="Times New Roman" w:hint="default"/>
        </w:rPr>
        <w:t>ICU </w:t>
      </w:r>
      <w:r>
        <w:rPr/>
        <w:t>面向全国来拓展重大疾病的远程医疗服务，以实现稀缺医疗资源的 高效配置。当云</w:t>
      </w:r>
      <w:r>
        <w:rPr>
          <w:spacing w:val="-46"/>
        </w:rPr>
        <w:t> </w:t>
      </w:r>
      <w:r>
        <w:rPr>
          <w:rFonts w:ascii="Times New Roman" w:hAnsi="Times New Roman" w:cs="Times New Roman" w:eastAsia="Times New Roman" w:hint="default"/>
        </w:rPr>
        <w:t>ICU</w:t>
      </w:r>
      <w:r>
        <w:rPr>
          <w:rFonts w:ascii="Times New Roman" w:hAnsi="Times New Roman" w:cs="Times New Roman" w:eastAsia="Times New Roman" w:hint="default"/>
          <w:spacing w:val="-2"/>
        </w:rPr>
        <w:t> </w:t>
      </w:r>
      <w:r>
        <w:rPr/>
        <w:t>平台上积累足够多的</w:t>
      </w:r>
      <w:r>
        <w:rPr>
          <w:spacing w:val="-46"/>
        </w:rPr>
        <w:t> </w:t>
      </w:r>
      <w:r>
        <w:rPr>
          <w:rFonts w:ascii="Times New Roman" w:hAnsi="Times New Roman" w:cs="Times New Roman" w:eastAsia="Times New Roman" w:hint="default"/>
        </w:rPr>
        <w:t>ICU</w:t>
      </w:r>
      <w:r>
        <w:rPr>
          <w:rFonts w:ascii="Times New Roman" w:hAnsi="Times New Roman" w:cs="Times New Roman" w:eastAsia="Times New Roman" w:hint="default"/>
          <w:spacing w:val="-2"/>
        </w:rPr>
        <w:t> </w:t>
      </w:r>
      <w:r>
        <w:rPr/>
        <w:t>临床数据后，可以结合专家数据模型，为科研单位、药厂等提供数据分析服 务以及临床决策辅助服务。</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spacing w:line="3243" w:lineRule="exact"/>
        <w:ind w:left="1584" w:right="0" w:firstLine="0"/>
        <w:rPr>
          <w:rFonts w:ascii="宋体" w:hAnsi="宋体" w:cs="宋体" w:eastAsia="宋体" w:hint="default"/>
          <w:sz w:val="20"/>
          <w:szCs w:val="20"/>
        </w:rPr>
      </w:pPr>
      <w:r>
        <w:rPr>
          <w:rFonts w:ascii="宋体" w:hAnsi="宋体" w:cs="宋体" w:eastAsia="宋体" w:hint="default"/>
          <w:position w:val="-64"/>
          <w:sz w:val="20"/>
          <w:szCs w:val="20"/>
        </w:rPr>
        <w:drawing>
          <wp:inline distT="0" distB="0" distL="0" distR="0">
            <wp:extent cx="5042833" cy="2059686"/>
            <wp:effectExtent l="0" t="0" r="0" b="0"/>
            <wp:docPr id="7" name="image6.jpeg" descr=""/>
            <wp:cNvGraphicFramePr>
              <a:graphicFrameLocks noChangeAspect="1"/>
            </wp:cNvGraphicFramePr>
            <a:graphic>
              <a:graphicData uri="http://schemas.openxmlformats.org/drawingml/2006/picture">
                <pic:pic>
                  <pic:nvPicPr>
                    <pic:cNvPr id="8" name="image6.jpeg"/>
                    <pic:cNvPicPr/>
                  </pic:nvPicPr>
                  <pic:blipFill>
                    <a:blip r:embed="rId20" cstate="print"/>
                    <a:stretch>
                      <a:fillRect/>
                    </a:stretch>
                  </pic:blipFill>
                  <pic:spPr>
                    <a:xfrm>
                      <a:off x="0" y="0"/>
                      <a:ext cx="5042833" cy="2059686"/>
                    </a:xfrm>
                    <a:prstGeom prst="rect">
                      <a:avLst/>
                    </a:prstGeom>
                  </pic:spPr>
                </pic:pic>
              </a:graphicData>
            </a:graphic>
          </wp:inline>
        </w:drawing>
      </w:r>
      <w:r>
        <w:rPr>
          <w:rFonts w:ascii="宋体" w:hAnsi="宋体" w:cs="宋体" w:eastAsia="宋体" w:hint="default"/>
          <w:position w:val="-64"/>
          <w:sz w:val="20"/>
          <w:szCs w:val="20"/>
        </w:rPr>
      </w:r>
    </w:p>
    <w:p>
      <w:pPr>
        <w:spacing w:line="240" w:lineRule="auto" w:before="8"/>
        <w:rPr>
          <w:rFonts w:ascii="宋体" w:hAnsi="宋体" w:cs="宋体" w:eastAsia="宋体" w:hint="default"/>
          <w:sz w:val="16"/>
          <w:szCs w:val="16"/>
        </w:rPr>
      </w:pPr>
    </w:p>
    <w:p>
      <w:pPr>
        <w:pStyle w:val="BodyText"/>
        <w:spacing w:line="240" w:lineRule="auto" w:before="44"/>
        <w:ind w:left="606" w:right="1411"/>
        <w:jc w:val="center"/>
      </w:pPr>
      <w:r>
        <w:rPr/>
        <w:t>图</w:t>
      </w:r>
      <w:r>
        <w:rPr>
          <w:rFonts w:ascii="Times New Roman" w:hAnsi="Times New Roman" w:cs="Times New Roman" w:eastAsia="Times New Roman" w:hint="default"/>
        </w:rPr>
        <w:t>-</w:t>
      </w:r>
      <w:r>
        <w:rPr/>
        <w:t>重症监护系统（</w:t>
      </w:r>
      <w:r>
        <w:rPr>
          <w:rFonts w:ascii="Times New Roman" w:hAnsi="Times New Roman" w:cs="Times New Roman" w:eastAsia="Times New Roman" w:hint="default"/>
        </w:rPr>
        <w:t>ICU</w:t>
      </w:r>
      <w:r>
        <w:rPr/>
        <w:t>）服务模式探索</w:t>
      </w:r>
    </w:p>
    <w:p>
      <w:pPr>
        <w:spacing w:line="240" w:lineRule="auto" w:before="4"/>
        <w:rPr>
          <w:rFonts w:ascii="宋体" w:hAnsi="宋体" w:cs="宋体" w:eastAsia="宋体" w:hint="default"/>
          <w:sz w:val="13"/>
          <w:szCs w:val="13"/>
        </w:rPr>
      </w:pPr>
    </w:p>
    <w:p>
      <w:pPr>
        <w:pStyle w:val="Heading4"/>
        <w:spacing w:line="240" w:lineRule="auto" w:before="44"/>
        <w:ind w:left="1495" w:right="0"/>
        <w:jc w:val="left"/>
        <w:rPr>
          <w:b w:val="0"/>
          <w:bCs w:val="0"/>
        </w:rPr>
      </w:pPr>
      <w:r>
        <w:rPr>
          <w:rFonts w:ascii="宋体" w:hAnsi="宋体" w:cs="宋体" w:eastAsia="宋体" w:hint="default"/>
        </w:rPr>
        <w:t>2</w:t>
      </w:r>
      <w:r>
        <w:rPr/>
        <w:t>、智能融合云方向</w:t>
      </w:r>
      <w:r>
        <w:rPr>
          <w:b w:val="0"/>
          <w:bCs w:val="0"/>
        </w:rPr>
      </w:r>
    </w:p>
    <w:p>
      <w:pPr>
        <w:spacing w:line="240" w:lineRule="auto" w:before="10"/>
        <w:rPr>
          <w:rFonts w:ascii="宋体" w:hAnsi="宋体" w:cs="宋体" w:eastAsia="宋体" w:hint="default"/>
          <w:b/>
          <w:bCs/>
          <w:sz w:val="17"/>
          <w:szCs w:val="17"/>
        </w:rPr>
      </w:pPr>
    </w:p>
    <w:p>
      <w:pPr>
        <w:pStyle w:val="BodyText"/>
        <w:spacing w:line="316" w:lineRule="auto"/>
        <w:ind w:right="1131" w:firstLine="360"/>
        <w:jc w:val="both"/>
      </w:pPr>
      <w:r>
        <w:rPr>
          <w:spacing w:val="-2"/>
        </w:rPr>
        <w:t>荣科智能融合云积极求变，拥抱新技术并结合区域的现状，为客户提供全新的立体式行业云服务和云运营。并且已经在</w:t>
      </w:r>
      <w:r>
        <w:rPr/>
        <w:t> </w:t>
      </w:r>
      <w:r>
        <w:rPr>
          <w:spacing w:val="-2"/>
        </w:rPr>
        <w:t>这条路上取得很好的成绩，在整个东北区域处于领先优势。另外，公司抓住云计算、大数据、物联网、人工智能等新兴技术</w:t>
      </w:r>
      <w:r>
        <w:rPr>
          <w:spacing w:val="-70"/>
        </w:rPr>
        <w:t> </w:t>
      </w:r>
      <w:r>
        <w:rPr>
          <w:spacing w:val="-70"/>
        </w:rPr>
      </w:r>
      <w:r>
        <w:rPr/>
        <w:t>趋势，整合产业链上中下游资源，进一步深化转变成云服务提供商。</w:t>
      </w:r>
    </w:p>
    <w:p>
      <w:pPr>
        <w:spacing w:line="240" w:lineRule="auto" w:before="5"/>
        <w:rPr>
          <w:rFonts w:ascii="宋体" w:hAnsi="宋体" w:cs="宋体" w:eastAsia="宋体" w:hint="default"/>
          <w:sz w:val="13"/>
          <w:szCs w:val="13"/>
        </w:rPr>
      </w:pPr>
    </w:p>
    <w:p>
      <w:pPr>
        <w:pStyle w:val="BodyText"/>
        <w:spacing w:line="319" w:lineRule="auto"/>
        <w:ind w:right="1170" w:firstLine="420"/>
        <w:jc w:val="both"/>
      </w:pPr>
      <w:r>
        <w:rPr/>
        <w:t>智能融合云作为公司“数据云医生”战略愿景的载体，公司未来发展的战略主要围绕在线互联化、生态化和智能大数 据运营这三个方向。</w:t>
      </w:r>
    </w:p>
    <w:p>
      <w:pPr>
        <w:pStyle w:val="BodyText"/>
        <w:spacing w:line="240" w:lineRule="auto" w:before="55"/>
        <w:ind w:left="1494" w:right="0"/>
        <w:jc w:val="left"/>
      </w:pPr>
      <w:r>
        <w:rPr/>
        <w:t>（</w:t>
      </w:r>
      <w:r>
        <w:rPr>
          <w:rFonts w:ascii="Times New Roman" w:hAnsi="Times New Roman" w:cs="Times New Roman" w:eastAsia="Times New Roman" w:hint="default"/>
        </w:rPr>
        <w:t>1</w:t>
      </w:r>
      <w:r>
        <w:rPr/>
        <w:t>）在线互联化：智能融合云服务通过互联网技术手段，积极升级智能荣科云平台建立与客户的在线互联。在线互联</w:t>
      </w:r>
    </w:p>
    <w:p>
      <w:pPr>
        <w:spacing w:after="0" w:line="240" w:lineRule="auto"/>
        <w:jc w:val="left"/>
        <w:sectPr>
          <w:headerReference w:type="default" r:id="rId19"/>
          <w:pgSz w:w="11910" w:h="16840"/>
          <w:pgMar w:header="566" w:footer="979" w:top="1360" w:bottom="1160" w:left="0" w:right="0"/>
        </w:sectPr>
      </w:pPr>
    </w:p>
    <w:p>
      <w:pPr>
        <w:pStyle w:val="BodyText"/>
        <w:spacing w:line="319" w:lineRule="auto" w:before="81"/>
        <w:ind w:right="1118"/>
        <w:jc w:val="left"/>
      </w:pPr>
      <w:r>
        <w:rPr>
          <w:spacing w:val="-2"/>
        </w:rPr>
        <w:t>是云服务的基本形态和要求。通过在线互联能够监测客户业务运行状态，能够与客户实时交互，能够保障客户业务系统安全</w:t>
      </w:r>
      <w:r>
        <w:rPr>
          <w:spacing w:val="-66"/>
        </w:rPr>
        <w:t> </w:t>
      </w:r>
      <w:r>
        <w:rPr>
          <w:spacing w:val="-66"/>
        </w:rPr>
      </w:r>
      <w:r>
        <w:rPr/>
        <w:t>可靠的运行。</w:t>
      </w:r>
    </w:p>
    <w:p>
      <w:pPr>
        <w:pStyle w:val="BodyText"/>
        <w:spacing w:line="309" w:lineRule="auto" w:before="55"/>
        <w:ind w:left="1133" w:right="1128" w:firstLine="360"/>
        <w:jc w:val="both"/>
      </w:pPr>
      <w:r>
        <w:rPr/>
        <w:t>（</w:t>
      </w:r>
      <w:r>
        <w:rPr>
          <w:rFonts w:ascii="Times New Roman" w:hAnsi="Times New Roman" w:cs="Times New Roman" w:eastAsia="Times New Roman" w:hint="default"/>
        </w:rPr>
        <w:t>2</w:t>
      </w:r>
      <w:r>
        <w:rPr/>
        <w:t>）生态化：通过在线互联与客户建立粘性后，智能融合云平台面对客户全面需求，将整合垂直领域的服务商，为客 </w:t>
      </w:r>
      <w:r>
        <w:rPr>
          <w:spacing w:val="-2"/>
        </w:rPr>
        <w:t>户提供立体式服务方式，例如为医疗、教育、金融等行业客户提供管家式服务。这种管家式服务以生态方式提供，例如：共</w:t>
      </w:r>
      <w:r>
        <w:rPr>
          <w:spacing w:val="-66"/>
        </w:rPr>
        <w:t> </w:t>
      </w:r>
      <w:r>
        <w:rPr>
          <w:spacing w:val="-66"/>
        </w:rPr>
      </w:r>
      <w:r>
        <w:rPr/>
        <w:t>享备件、共享资源池等。</w:t>
      </w:r>
    </w:p>
    <w:p>
      <w:pPr>
        <w:pStyle w:val="BodyText"/>
        <w:spacing w:line="302" w:lineRule="auto" w:before="64"/>
        <w:ind w:right="1141" w:firstLine="360"/>
        <w:jc w:val="both"/>
      </w:pPr>
      <w:r>
        <w:rPr/>
        <w:t>（</w:t>
      </w:r>
      <w:r>
        <w:rPr>
          <w:rFonts w:ascii="Times New Roman" w:hAnsi="Times New Roman" w:cs="Times New Roman" w:eastAsia="Times New Roman" w:hint="default"/>
        </w:rPr>
        <w:t>3</w:t>
      </w:r>
      <w:r>
        <w:rPr/>
        <w:t>）智能大数据运营：利用大数据的分析平台，通过收集、管理和分析客户业务数据、基础结构数据、管理数据，让 我们更容易从信息中分析出客户面临未来变化趋势，帮助客户通过数据分析实现决策支持。</w:t>
      </w:r>
    </w:p>
    <w:p>
      <w:pPr>
        <w:spacing w:line="240" w:lineRule="auto" w:before="5"/>
        <w:rPr>
          <w:rFonts w:ascii="宋体" w:hAnsi="宋体" w:cs="宋体" w:eastAsia="宋体" w:hint="default"/>
          <w:sz w:val="21"/>
          <w:szCs w:val="21"/>
        </w:rPr>
      </w:pPr>
    </w:p>
    <w:p>
      <w:pPr>
        <w:pStyle w:val="Heading2"/>
        <w:spacing w:line="240" w:lineRule="auto"/>
        <w:ind w:right="0"/>
        <w:jc w:val="left"/>
        <w:rPr>
          <w:b w:val="0"/>
          <w:bCs w:val="0"/>
        </w:rPr>
      </w:pPr>
      <w:bookmarkStart w:name="十、接待调研、沟通、采访等活动情况" w:id="60"/>
      <w:bookmarkEnd w:id="60"/>
      <w:r>
        <w:rPr>
          <w:b w:val="0"/>
          <w:bCs w:val="0"/>
        </w:rPr>
      </w:r>
      <w:r>
        <w:rPr/>
        <w:t>十、接待调研、沟通、采访等活动情况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报告期内接待调研、沟通、采访等活动登记表" w:id="61"/>
      <w:bookmarkEnd w:id="61"/>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738" w:type="dxa"/>
        <w:tblLayout w:type="fixed"/>
        <w:tblCellMar>
          <w:top w:w="0" w:type="dxa"/>
          <w:left w:w="0" w:type="dxa"/>
          <w:bottom w:w="0" w:type="dxa"/>
          <w:right w:w="0" w:type="dxa"/>
        </w:tblCellMar>
        <w:tblLook w:val="01E0"/>
      </w:tblPr>
      <w:tblGrid>
        <w:gridCol w:w="1560"/>
        <w:gridCol w:w="851"/>
        <w:gridCol w:w="1702"/>
        <w:gridCol w:w="6309"/>
      </w:tblGrid>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接待对象类型</w:t>
            </w:r>
          </w:p>
        </w:tc>
        <w:tc>
          <w:tcPr>
            <w:tcW w:w="63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6309"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58"/>
              <w:jc w:val="left"/>
              <w:rPr>
                <w:rFonts w:ascii="宋体" w:hAnsi="宋体" w:cs="宋体" w:eastAsia="宋体" w:hint="default"/>
                <w:sz w:val="18"/>
                <w:szCs w:val="18"/>
              </w:rPr>
            </w:pPr>
            <w:hyperlink r:id="rId21">
              <w:r>
                <w:rPr>
                  <w:rFonts w:ascii="Times New Roman" w:hAnsi="Times New Roman" w:cs="Times New Roman" w:eastAsia="Times New Roman" w:hint="default"/>
                  <w:sz w:val="18"/>
                  <w:szCs w:val="18"/>
                </w:rPr>
                <w:t>http://www.cninfo.com.cn/cninfo-new/announcement/show</w:t>
              </w:r>
            </w:hyperlink>
            <w:r>
              <w:rPr>
                <w:rFonts w:ascii="Times New Roman" w:hAnsi="Times New Roman" w:cs="Times New Roman" w:eastAsia="Times New Roman" w:hint="default"/>
                <w:spacing w:val="3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日投资 者关系活动记录表</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6309"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23"/>
              <w:jc w:val="left"/>
              <w:rPr>
                <w:rFonts w:ascii="宋体" w:hAnsi="宋体" w:cs="宋体" w:eastAsia="宋体" w:hint="default"/>
                <w:sz w:val="18"/>
                <w:szCs w:val="18"/>
              </w:rPr>
            </w:pPr>
            <w:hyperlink r:id="rId21">
              <w:r>
                <w:rPr>
                  <w:rFonts w:ascii="Times New Roman" w:hAnsi="Times New Roman" w:cs="Times New Roman" w:eastAsia="Times New Roman" w:hint="default"/>
                  <w:sz w:val="18"/>
                  <w:szCs w:val="18"/>
                </w:rPr>
                <w:t>http://www.cninfo.com.cn/cninfo-new/announcement/show</w:t>
              </w:r>
            </w:hyperlink>
            <w:r>
              <w:rPr>
                <w:rFonts w:ascii="Times New Roman" w:hAnsi="Times New Roman" w:cs="Times New Roman" w:eastAsia="Times New Roman" w:hint="default"/>
                <w:spacing w:val="33"/>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日投资 者关系活动记录表</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6309"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23"/>
              <w:jc w:val="left"/>
              <w:rPr>
                <w:rFonts w:ascii="宋体" w:hAnsi="宋体" w:cs="宋体" w:eastAsia="宋体" w:hint="default"/>
                <w:sz w:val="18"/>
                <w:szCs w:val="18"/>
              </w:rPr>
            </w:pPr>
            <w:hyperlink r:id="rId21">
              <w:r>
                <w:rPr>
                  <w:rFonts w:ascii="Times New Roman" w:hAnsi="Times New Roman" w:cs="Times New Roman" w:eastAsia="Times New Roman" w:hint="default"/>
                  <w:sz w:val="18"/>
                  <w:szCs w:val="18"/>
                </w:rPr>
                <w:t>http://www.cninfo.com.cn/cninfo-new/announcement/show</w:t>
              </w:r>
            </w:hyperlink>
            <w:r>
              <w:rPr>
                <w:rFonts w:ascii="Times New Roman" w:hAnsi="Times New Roman" w:cs="Times New Roman" w:eastAsia="Times New Roman" w:hint="default"/>
                <w:spacing w:val="33"/>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日投资 者关系活动记录表</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6309"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85"/>
              <w:jc w:val="left"/>
              <w:rPr>
                <w:rFonts w:ascii="Times New Roman" w:hAnsi="Times New Roman" w:cs="Times New Roman" w:eastAsia="Times New Roman" w:hint="default"/>
                <w:sz w:val="18"/>
                <w:szCs w:val="18"/>
              </w:rPr>
            </w:pPr>
            <w:hyperlink r:id="rId22">
              <w:r>
                <w:rPr>
                  <w:rFonts w:ascii="Times New Roman" w:hAnsi="Times New Roman" w:cs="Times New Roman" w:eastAsia="Times New Roman" w:hint="default"/>
                  <w:sz w:val="18"/>
                  <w:szCs w:val="18"/>
                </w:rPr>
                <w:t>http://www.nbd.com.cn/articles/2015-12-16/970743.html</w:t>
              </w:r>
            </w:hyperlink>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争做临床医疗应用领先者 及健康数据创新者</w:t>
            </w:r>
            <w:r>
              <w:rPr>
                <w:rFonts w:ascii="宋体" w:hAnsi="宋体" w:cs="宋体" w:eastAsia="宋体" w:hint="default"/>
                <w:spacing w:val="-1"/>
                <w:sz w:val="18"/>
                <w:szCs w:val="18"/>
              </w:rPr>
              <w:t> </w:t>
            </w:r>
            <w:r>
              <w:rPr>
                <w:rFonts w:ascii="宋体" w:hAnsi="宋体" w:cs="宋体" w:eastAsia="宋体" w:hint="default"/>
                <w:sz w:val="18"/>
                <w:szCs w:val="18"/>
              </w:rPr>
              <w:t>荣科科技再</w:t>
            </w:r>
            <w:r>
              <w:rPr>
                <w:rFonts w:ascii="Times New Roman" w:hAnsi="Times New Roman" w:cs="Times New Roman" w:eastAsia="Times New Roman" w:hint="default"/>
                <w:sz w:val="18"/>
                <w:szCs w:val="18"/>
              </w:rPr>
              <w:t>“</w:t>
            </w:r>
            <w:r>
              <w:rPr>
                <w:rFonts w:ascii="宋体" w:hAnsi="宋体" w:cs="宋体" w:eastAsia="宋体" w:hint="default"/>
                <w:sz w:val="18"/>
                <w:szCs w:val="18"/>
              </w:rPr>
              <w:t>创业</w:t>
            </w:r>
            <w:r>
              <w:rPr>
                <w:rFonts w:ascii="Times New Roman" w:hAnsi="Times New Roman" w:cs="Times New Roman" w:eastAsia="Times New Roman" w:hint="default"/>
                <w:sz w:val="18"/>
                <w:szCs w:val="18"/>
              </w:rPr>
              <w:t>”</w:t>
            </w:r>
          </w:p>
        </w:tc>
      </w:tr>
    </w:tbl>
    <w:p>
      <w:pPr>
        <w:spacing w:after="0" w:line="302" w:lineRule="auto"/>
        <w:jc w:val="left"/>
        <w:rPr>
          <w:rFonts w:ascii="Times New Roman" w:hAnsi="Times New Roman" w:cs="Times New Roman" w:eastAsia="Times New Roman" w:hint="default"/>
          <w:sz w:val="18"/>
          <w:szCs w:val="18"/>
        </w:rPr>
        <w:sectPr>
          <w:pgSz w:w="11910" w:h="16840"/>
          <w:pgMar w:header="566" w:footer="979" w:top="1360" w:bottom="1160" w:left="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1"/>
        <w:spacing w:line="240" w:lineRule="auto"/>
        <w:ind w:right="1411"/>
        <w:jc w:val="center"/>
        <w:rPr>
          <w:b w:val="0"/>
          <w:bCs w:val="0"/>
        </w:rPr>
      </w:pPr>
      <w:bookmarkStart w:name="_TOC_250006" w:id="62"/>
      <w:bookmarkStart w:name="第五节 重要事项" w:id="63"/>
      <w:r>
        <w:rPr>
          <w:b w:val="0"/>
          <w:bCs w:val="0"/>
        </w:rPr>
      </w:r>
      <w:r>
        <w:rPr/>
        <w:t>第五节</w:t>
      </w:r>
      <w:r>
        <w:rPr>
          <w:spacing w:val="-5"/>
        </w:rPr>
        <w:t> </w:t>
      </w:r>
      <w:r>
        <w:rPr/>
        <w:t>重要事项</w:t>
      </w:r>
      <w:bookmarkEnd w:id="62"/>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4"/>
      <w:bookmarkEnd w:id="64"/>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0"/>
        <w:jc w:val="left"/>
      </w:pPr>
      <w:r>
        <w:rPr/>
        <w:t>报告期内普通股利润分配政策，特别是现金分红政策的制定、执行或调整情况</w:t>
      </w:r>
    </w:p>
    <w:p>
      <w:pPr>
        <w:pStyle w:val="BodyText"/>
        <w:spacing w:line="338" w:lineRule="auto" w:before="117"/>
        <w:ind w:left="1133" w:right="30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公司报告期利润分配预案及资本公积金转增股本预案与公司章程和分红管理办法等的相关规定一致</w:t>
      </w:r>
    </w:p>
    <w:p>
      <w:pPr>
        <w:pStyle w:val="BodyText"/>
        <w:spacing w:line="348" w:lineRule="auto" w:before="42"/>
        <w:ind w:left="1133" w:right="42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公司报告期利润分配预案及资本公积金转增股本预案符合公司章程等的相关规定。 本年度利润分配及资本公积金转增股本预案</w:t>
      </w:r>
    </w:p>
    <w:tbl>
      <w:tblPr>
        <w:tblW w:w="0" w:type="auto"/>
        <w:jc w:val="left"/>
        <w:tblInd w:w="1140" w:type="dxa"/>
        <w:tblLayout w:type="fixed"/>
        <w:tblCellMar>
          <w:top w:w="0" w:type="dxa"/>
          <w:left w:w="0" w:type="dxa"/>
          <w:bottom w:w="0" w:type="dxa"/>
          <w:right w:w="0" w:type="dxa"/>
        </w:tblCellMar>
        <w:tblLook w:val="01E0"/>
      </w:tblPr>
      <w:tblGrid>
        <w:gridCol w:w="3695"/>
        <w:gridCol w:w="5863"/>
      </w:tblGrid>
      <w:tr>
        <w:trPr>
          <w:trHeight w:val="403"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0.35</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321,429,652</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11,250,037.82</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209,943,407.49</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40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15"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年度公司利润分配预案为：以截止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321,429,652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股为基数，向全体股东每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金红利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w:t>
            </w:r>
            <w:r>
              <w:rPr>
                <w:rFonts w:ascii="宋体" w:hAnsi="宋体" w:cs="宋体" w:eastAsia="宋体" w:hint="default"/>
                <w:spacing w:val="-90"/>
                <w:sz w:val="18"/>
                <w:szCs w:val="18"/>
              </w:rPr>
              <w:t>）</w:t>
            </w:r>
            <w:r>
              <w:rPr>
                <w:rFonts w:ascii="宋体" w:hAnsi="宋体" w:cs="宋体" w:eastAsia="宋体" w:hint="default"/>
                <w:sz w:val="18"/>
                <w:szCs w:val="18"/>
              </w:rPr>
              <w:t>，合计派发现金红利</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z w:val="18"/>
                <w:szCs w:val="18"/>
              </w:rPr>
              <w:t>1,250,03</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.82 </w:t>
            </w:r>
            <w:r>
              <w:rPr>
                <w:rFonts w:ascii="宋体" w:hAnsi="宋体" w:cs="宋体" w:eastAsia="宋体" w:hint="default"/>
                <w:sz w:val="18"/>
                <w:szCs w:val="18"/>
              </w:rPr>
              <w:t>元。该分配预案尚需提交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年度股东大会审议。</w:t>
            </w:r>
          </w:p>
        </w:tc>
      </w:tr>
    </w:tbl>
    <w:p>
      <w:pPr>
        <w:pStyle w:val="BodyText"/>
        <w:spacing w:line="319" w:lineRule="auto" w:before="74"/>
        <w:ind w:left="1133" w:right="1123"/>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3"/>
        </w:rPr>
        <w:t>年（包括本报告期）的普通股股利分配方案（预案）、资本公积金转增股本方案（预案）情况</w:t>
      </w:r>
      <w:r>
        <w:rPr>
          <w:spacing w:val="-58"/>
        </w:rPr>
        <w:t> </w:t>
      </w:r>
      <w:r>
        <w:rPr>
          <w:spacing w:val="-58"/>
        </w:rPr>
      </w: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年度公司利润分配预案为：以截止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321,429,652</w:t>
      </w:r>
      <w:r>
        <w:rPr/>
        <w:t>股为基数，向全体股东每</w:t>
      </w:r>
      <w:r>
        <w:rPr>
          <w:rFonts w:ascii="Times New Roman" w:hAnsi="Times New Roman" w:cs="Times New Roman" w:eastAsia="Times New Roman" w:hint="default"/>
        </w:rPr>
        <w:t>10</w:t>
      </w:r>
      <w:r>
        <w:rPr/>
        <w:t>股派发现金红</w:t>
      </w:r>
      <w:r>
        <w:rPr>
          <w:spacing w:val="-85"/>
        </w:rPr>
        <w:t> </w:t>
      </w:r>
      <w:r>
        <w:rPr>
          <w:spacing w:val="-85"/>
        </w:rPr>
      </w:r>
      <w:r>
        <w:rPr/>
        <w:t>利</w:t>
      </w:r>
      <w:r>
        <w:rPr>
          <w:rFonts w:ascii="Times New Roman" w:hAnsi="Times New Roman" w:cs="Times New Roman" w:eastAsia="Times New Roman" w:hint="default"/>
        </w:rPr>
        <w:t>0.35</w:t>
      </w:r>
      <w:r>
        <w:rPr/>
        <w:t>元（含税），合计派发现金红利</w:t>
      </w:r>
      <w:r>
        <w:rPr>
          <w:rFonts w:ascii="Times New Roman" w:hAnsi="Times New Roman" w:cs="Times New Roman" w:eastAsia="Times New Roman" w:hint="default"/>
        </w:rPr>
        <w:t>11,250,037.82</w:t>
      </w:r>
      <w:r>
        <w:rPr/>
        <w:t>元。该分配预案尚需提交</w:t>
      </w:r>
      <w:r>
        <w:rPr>
          <w:rFonts w:ascii="Times New Roman" w:hAnsi="Times New Roman" w:cs="Times New Roman" w:eastAsia="Times New Roman" w:hint="default"/>
        </w:rPr>
        <w:t>2015</w:t>
      </w:r>
      <w:r>
        <w:rPr/>
        <w:t>年度股东大会审议。</w:t>
      </w:r>
    </w:p>
    <w:p>
      <w:pPr>
        <w:pStyle w:val="BodyText"/>
        <w:spacing w:line="300" w:lineRule="auto" w:before="36"/>
        <w:ind w:left="1133" w:right="1129"/>
        <w:jc w:val="both"/>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2015</w:t>
      </w:r>
      <w:r>
        <w:rPr>
          <w:spacing w:val="-2"/>
        </w:rPr>
        <w:t>年半年度公司资本公积金转增股本方案为：以截止</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30</w:t>
      </w:r>
      <w:r>
        <w:rPr>
          <w:spacing w:val="-2"/>
        </w:rPr>
        <w:t>日公司总股本</w:t>
      </w:r>
      <w:r>
        <w:rPr>
          <w:rFonts w:ascii="Times New Roman" w:hAnsi="Times New Roman" w:cs="Times New Roman" w:eastAsia="Times New Roman" w:hint="default"/>
          <w:spacing w:val="-2"/>
        </w:rPr>
        <w:t>160,714,826</w:t>
      </w:r>
      <w:r>
        <w:rPr>
          <w:spacing w:val="-2"/>
        </w:rPr>
        <w:t>股为基数，以资本公积金向</w:t>
      </w:r>
      <w:r>
        <w:rPr>
          <w:spacing w:val="-44"/>
        </w:rPr>
        <w:t> </w:t>
      </w:r>
      <w:r>
        <w:rPr>
          <w:spacing w:val="-44"/>
        </w:rPr>
      </w:r>
      <w:r>
        <w:rPr/>
        <w:t>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10</w:t>
      </w:r>
      <w:r>
        <w:rPr/>
        <w:t>日，公司召开</w:t>
      </w:r>
      <w:r>
        <w:rPr>
          <w:rFonts w:ascii="Times New Roman" w:hAnsi="Times New Roman" w:cs="Times New Roman" w:eastAsia="Times New Roman" w:hint="default"/>
        </w:rPr>
        <w:t>2015</w:t>
      </w:r>
      <w:r>
        <w:rPr/>
        <w:t>年度第一次临时股东大会审议通过了该分配方案，并于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rFonts w:ascii="Times New Roman" w:hAnsi="Times New Roman" w:cs="Times New Roman" w:eastAsia="Times New Roman" w:hint="default"/>
          <w:spacing w:val="39"/>
        </w:rPr>
        <w:t> </w:t>
      </w:r>
      <w:r>
        <w:rPr/>
        <w:t>月</w:t>
      </w:r>
      <w:r>
        <w:rPr>
          <w:rFonts w:ascii="Times New Roman" w:hAnsi="Times New Roman" w:cs="Times New Roman" w:eastAsia="Times New Roman" w:hint="default"/>
        </w:rPr>
        <w:t>18</w:t>
      </w:r>
      <w:r>
        <w:rPr/>
        <w:t>日分派实施完毕。</w:t>
      </w:r>
    </w:p>
    <w:p>
      <w:pPr>
        <w:pStyle w:val="BodyText"/>
        <w:spacing w:line="300" w:lineRule="auto" w:before="51"/>
        <w:ind w:left="1133" w:right="1130"/>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2014</w:t>
      </w:r>
      <w:r>
        <w:rPr/>
        <w:t>年度公司利润分配方案为：以截止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136,000,000</w:t>
      </w:r>
      <w:r>
        <w:rPr/>
        <w:t>股为基数，向全体股东每</w:t>
      </w:r>
      <w:r>
        <w:rPr>
          <w:rFonts w:ascii="Times New Roman" w:hAnsi="Times New Roman" w:cs="Times New Roman" w:eastAsia="Times New Roman" w:hint="default"/>
        </w:rPr>
        <w:t>10</w:t>
      </w:r>
      <w:r>
        <w:rPr/>
        <w:t>股派发现金红</w:t>
      </w:r>
      <w:r>
        <w:rPr>
          <w:spacing w:val="-85"/>
        </w:rPr>
        <w:t> </w:t>
      </w:r>
      <w:r>
        <w:rPr>
          <w:spacing w:val="-85"/>
        </w:rPr>
      </w:r>
      <w:r>
        <w:rPr>
          <w:spacing w:val="-2"/>
        </w:rPr>
        <w:t>利</w:t>
      </w:r>
      <w:r>
        <w:rPr>
          <w:rFonts w:ascii="Times New Roman" w:hAnsi="Times New Roman" w:cs="Times New Roman" w:eastAsia="Times New Roman" w:hint="default"/>
          <w:spacing w:val="-2"/>
        </w:rPr>
        <w:t>0.90</w:t>
      </w:r>
      <w:r>
        <w:rPr>
          <w:spacing w:val="-2"/>
        </w:rPr>
        <w:t>元人民币（含税），合计派发现金红利</w:t>
      </w:r>
      <w:r>
        <w:rPr>
          <w:rFonts w:ascii="Times New Roman" w:hAnsi="Times New Roman" w:cs="Times New Roman" w:eastAsia="Times New Roman" w:hint="default"/>
          <w:spacing w:val="-2"/>
        </w:rPr>
        <w:t>12,240,000.00</w:t>
      </w:r>
      <w:r>
        <w:rPr>
          <w:spacing w:val="-2"/>
        </w:rPr>
        <w:t>元。</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17</w:t>
      </w:r>
      <w:r>
        <w:rPr>
          <w:spacing w:val="-2"/>
        </w:rPr>
        <w:t>日，公司召开</w:t>
      </w:r>
      <w:r>
        <w:rPr>
          <w:rFonts w:ascii="Times New Roman" w:hAnsi="Times New Roman" w:cs="Times New Roman" w:eastAsia="Times New Roman" w:hint="default"/>
          <w:spacing w:val="-2"/>
        </w:rPr>
        <w:t>2014</w:t>
      </w:r>
      <w:r>
        <w:rPr>
          <w:spacing w:val="-2"/>
        </w:rPr>
        <w:t>年度股东大会审议通过了该分</w:t>
      </w:r>
      <w:r>
        <w:rPr>
          <w:spacing w:val="-40"/>
        </w:rPr>
        <w:t> </w:t>
      </w:r>
      <w:r>
        <w:rPr>
          <w:spacing w:val="-40"/>
        </w:rPr>
      </w:r>
      <w:r>
        <w:rPr/>
        <w:t>配方案，并于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11</w:t>
      </w:r>
      <w:r>
        <w:rPr/>
        <w:t>日分派实施完毕。</w:t>
      </w:r>
    </w:p>
    <w:p>
      <w:pPr>
        <w:pStyle w:val="BodyText"/>
        <w:spacing w:line="302" w:lineRule="auto" w:before="51"/>
        <w:ind w:left="1133" w:right="1130"/>
        <w:jc w:val="both"/>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2013</w:t>
      </w:r>
      <w:r>
        <w:rPr/>
        <w:t>年度公司利润分配方案为：以截止</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136,000,000</w:t>
      </w:r>
      <w:r>
        <w:rPr/>
        <w:t>股为基数，向全体股东每</w:t>
      </w:r>
      <w:r>
        <w:rPr>
          <w:rFonts w:ascii="Times New Roman" w:hAnsi="Times New Roman" w:cs="Times New Roman" w:eastAsia="Times New Roman" w:hint="default"/>
        </w:rPr>
        <w:t>10</w:t>
      </w:r>
      <w:r>
        <w:rPr/>
        <w:t>股派发现金红</w:t>
      </w:r>
      <w:r>
        <w:rPr>
          <w:spacing w:val="-85"/>
        </w:rPr>
        <w:t> </w:t>
      </w:r>
      <w:r>
        <w:rPr>
          <w:spacing w:val="-85"/>
        </w:rPr>
      </w:r>
      <w:r>
        <w:rPr>
          <w:spacing w:val="-2"/>
        </w:rPr>
        <w:t>利</w:t>
      </w:r>
      <w:r>
        <w:rPr>
          <w:rFonts w:ascii="Times New Roman" w:hAnsi="Times New Roman" w:cs="Times New Roman" w:eastAsia="Times New Roman" w:hint="default"/>
          <w:spacing w:val="-2"/>
        </w:rPr>
        <w:t>0.80</w:t>
      </w:r>
      <w:r>
        <w:rPr>
          <w:spacing w:val="-2"/>
        </w:rPr>
        <w:t>元人民币（含税），合计派发现金红利</w:t>
      </w:r>
      <w:r>
        <w:rPr>
          <w:rFonts w:ascii="Times New Roman" w:hAnsi="Times New Roman" w:cs="Times New Roman" w:eastAsia="Times New Roman" w:hint="default"/>
          <w:spacing w:val="-2"/>
        </w:rPr>
        <w:t>10,880,000.00</w:t>
      </w:r>
      <w:r>
        <w:rPr>
          <w:spacing w:val="-2"/>
        </w:rPr>
        <w:t>元。</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11</w:t>
      </w:r>
      <w:r>
        <w:rPr>
          <w:spacing w:val="-2"/>
        </w:rPr>
        <w:t>日，公司召开</w:t>
      </w:r>
      <w:r>
        <w:rPr>
          <w:rFonts w:ascii="Times New Roman" w:hAnsi="Times New Roman" w:cs="Times New Roman" w:eastAsia="Times New Roman" w:hint="default"/>
          <w:spacing w:val="-2"/>
        </w:rPr>
        <w:t>2013</w:t>
      </w:r>
      <w:r>
        <w:rPr>
          <w:spacing w:val="-2"/>
        </w:rPr>
        <w:t>年度股东大会审议通过了该分</w:t>
      </w:r>
      <w:r>
        <w:rPr>
          <w:spacing w:val="-39"/>
        </w:rPr>
        <w:t> </w:t>
      </w:r>
      <w:r>
        <w:rPr>
          <w:spacing w:val="-39"/>
        </w:rPr>
      </w:r>
      <w:r>
        <w:rPr/>
        <w:t>配方案，并于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17</w:t>
      </w:r>
      <w:r>
        <w:rPr/>
        <w:t>日分派实施完毕。</w:t>
      </w:r>
    </w:p>
    <w:p>
      <w:pPr>
        <w:spacing w:line="240" w:lineRule="auto" w:before="4"/>
        <w:rPr>
          <w:rFonts w:ascii="宋体" w:hAnsi="宋体" w:cs="宋体" w:eastAsia="宋体" w:hint="default"/>
          <w:sz w:val="27"/>
          <w:szCs w:val="27"/>
        </w:rPr>
      </w:pPr>
    </w:p>
    <w:p>
      <w:pPr>
        <w:pStyle w:val="BodyText"/>
        <w:spacing w:line="240" w:lineRule="auto" w:before="44"/>
        <w:ind w:left="1133" w:right="0"/>
        <w:jc w:val="left"/>
      </w:pPr>
      <w:r>
        <w:rPr/>
        <w:t>公司近三年（包括本报告期）普通股现金分红情况表</w:t>
      </w:r>
    </w:p>
    <w:p>
      <w:pPr>
        <w:pStyle w:val="BodyText"/>
        <w:spacing w:line="240" w:lineRule="auto" w:before="117"/>
        <w:ind w:left="0" w:right="1130"/>
        <w:jc w:val="right"/>
      </w:pPr>
      <w:r>
        <w:rPr/>
        <w:t>单位：元</w:t>
      </w:r>
    </w:p>
    <w:p>
      <w:pPr>
        <w:spacing w:after="0" w:line="240" w:lineRule="auto"/>
        <w:jc w:val="right"/>
        <w:sectPr>
          <w:pgSz w:w="11910" w:h="16840"/>
          <w:pgMar w:header="566" w:footer="979" w:top="1360" w:bottom="1160" w:left="0" w:right="0"/>
        </w:sectPr>
      </w:pPr>
    </w:p>
    <w:p>
      <w:pPr>
        <w:spacing w:line="240" w:lineRule="auto" w:before="6"/>
        <w:rPr>
          <w:rFonts w:ascii="宋体" w:hAnsi="宋体" w:cs="宋体" w:eastAsia="宋体" w:hint="default"/>
          <w:sz w:val="5"/>
          <w:szCs w:val="5"/>
        </w:rPr>
      </w:pPr>
      <w:r>
        <w:rPr/>
        <w:pict>
          <v:shape style="position:absolute;margin-left:258.746002pt;margin-top:436.539978pt;width:244.3pt;height:147.2pt;mso-position-horizontal-relative:page;mso-position-vertical-relative:page;z-index:-614704"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6"/>
                    <w:ind w:left="0" w:right="0"/>
                    <w:jc w:val="left"/>
                  </w:pPr>
                  <w:r>
                    <w:rPr/>
                    <w:t>股票或者现金与股票相结合的方式进行利润分配。</w:t>
                  </w:r>
                </w:p>
              </w:txbxContent>
            </v:textbox>
            <w10:wrap type="none"/>
          </v:shape>
        </w:pict>
      </w:r>
      <w:r>
        <w:rPr/>
        <w:pict>
          <v:group style="position:absolute;margin-left:453.899994pt;margin-top:618.940002pt;width:49.15pt;height:147.2pt;mso-position-horizontal-relative:page;mso-position-vertical-relative:page;z-index:-614680" coordorigin="9078,12379" coordsize="983,2944">
            <v:shape style="position:absolute;left:9078;top:12379;width:983;height:2944" coordorigin="9078,12379" coordsize="983,2944" path="m9078,15323l10061,15323,10061,12379,9078,12379,9078,15323xe" filled="true" fillcolor="#ffffff" stroked="false">
              <v:path arrowok="t"/>
              <v:fill type="solid"/>
            </v:shape>
            <w10:wrap type="none"/>
          </v:group>
        </w:pict>
      </w:r>
    </w:p>
    <w:tbl>
      <w:tblPr>
        <w:tblW w:w="0" w:type="auto"/>
        <w:jc w:val="left"/>
        <w:tblInd w:w="739" w:type="dxa"/>
        <w:tblLayout w:type="fixed"/>
        <w:tblCellMar>
          <w:top w:w="0" w:type="dxa"/>
          <w:left w:w="0" w:type="dxa"/>
          <w:bottom w:w="0" w:type="dxa"/>
          <w:right w:w="0" w:type="dxa"/>
        </w:tblCellMar>
        <w:tblLook w:val="01E0"/>
      </w:tblPr>
      <w:tblGrid>
        <w:gridCol w:w="1136"/>
        <w:gridCol w:w="1984"/>
        <w:gridCol w:w="2517"/>
        <w:gridCol w:w="2020"/>
        <w:gridCol w:w="1418"/>
        <w:gridCol w:w="1344"/>
      </w:tblGrid>
      <w:tr>
        <w:trPr>
          <w:trHeight w:val="161" w:hRule="exact"/>
        </w:trPr>
        <w:tc>
          <w:tcPr>
            <w:tcW w:w="1136" w:type="dxa"/>
            <w:vMerge w:val="restart"/>
            <w:tcBorders>
              <w:top w:val="single" w:sz="4" w:space="0" w:color="000000"/>
              <w:left w:val="single" w:sz="4" w:space="0" w:color="000000"/>
              <w:right w:val="single" w:sz="4" w:space="0" w:color="000000"/>
            </w:tcBorders>
            <w:shd w:val="clear" w:color="auto" w:fill="D2D2D2"/>
          </w:tcPr>
          <w:p>
            <w:pPr/>
          </w:p>
        </w:tc>
        <w:tc>
          <w:tcPr>
            <w:tcW w:w="1984" w:type="dxa"/>
            <w:vMerge w:val="restart"/>
            <w:tcBorders>
              <w:top w:val="single" w:sz="4" w:space="0" w:color="000000"/>
              <w:left w:val="single" w:sz="4" w:space="0" w:color="000000"/>
              <w:right w:val="single" w:sz="4" w:space="0" w:color="000000"/>
            </w:tcBorders>
            <w:shd w:val="clear" w:color="auto" w:fill="D2D2D2"/>
          </w:tcPr>
          <w:p>
            <w:pPr/>
          </w:p>
        </w:tc>
        <w:tc>
          <w:tcPr>
            <w:tcW w:w="2517" w:type="dxa"/>
            <w:tcBorders>
              <w:top w:val="single" w:sz="4" w:space="0" w:color="000000"/>
              <w:left w:val="single" w:sz="4" w:space="0" w:color="000000"/>
              <w:bottom w:val="nil" w:sz="6" w:space="0" w:color="auto"/>
              <w:right w:val="single" w:sz="4" w:space="0" w:color="000000"/>
            </w:tcBorders>
            <w:shd w:val="clear" w:color="auto" w:fill="D2D2D2"/>
          </w:tcPr>
          <w:p>
            <w:pPr/>
          </w:p>
        </w:tc>
        <w:tc>
          <w:tcPr>
            <w:tcW w:w="202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04" w:right="105"/>
              <w:jc w:val="center"/>
              <w:rPr>
                <w:rFonts w:ascii="宋体" w:hAnsi="宋体" w:cs="宋体" w:eastAsia="宋体" w:hint="default"/>
                <w:sz w:val="18"/>
                <w:szCs w:val="18"/>
              </w:rPr>
            </w:pPr>
            <w:r>
              <w:rPr>
                <w:rFonts w:ascii="宋体" w:hAnsi="宋体" w:cs="宋体" w:eastAsia="宋体" w:hint="default"/>
                <w:sz w:val="18"/>
                <w:szCs w:val="18"/>
              </w:rPr>
              <w:t>占合并报表中归属于上 市公司普通股股东的净 利润的比率</w:t>
            </w:r>
          </w:p>
        </w:tc>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4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136" w:type="dxa"/>
            <w:vMerge/>
            <w:tcBorders>
              <w:left w:val="single" w:sz="4" w:space="0" w:color="000000"/>
              <w:bottom w:val="nil" w:sz="6" w:space="0" w:color="auto"/>
              <w:right w:val="single" w:sz="4" w:space="0" w:color="000000"/>
            </w:tcBorders>
            <w:shd w:val="clear" w:color="auto" w:fill="D2D2D2"/>
          </w:tcPr>
          <w:p>
            <w:pPr/>
          </w:p>
        </w:tc>
        <w:tc>
          <w:tcPr>
            <w:tcW w:w="1984" w:type="dxa"/>
            <w:vMerge/>
            <w:tcBorders>
              <w:left w:val="single" w:sz="4" w:space="0" w:color="000000"/>
              <w:bottom w:val="nil" w:sz="6" w:space="0" w:color="auto"/>
              <w:right w:val="single" w:sz="4" w:space="0" w:color="000000"/>
            </w:tcBorders>
            <w:shd w:val="clear" w:color="auto" w:fill="D2D2D2"/>
          </w:tcPr>
          <w:p>
            <w:pPr/>
          </w:p>
        </w:tc>
        <w:tc>
          <w:tcPr>
            <w:tcW w:w="2517"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72" w:right="82" w:hanging="90"/>
              <w:jc w:val="left"/>
              <w:rPr>
                <w:rFonts w:ascii="宋体" w:hAnsi="宋体" w:cs="宋体" w:eastAsia="宋体" w:hint="default"/>
                <w:sz w:val="18"/>
                <w:szCs w:val="18"/>
              </w:rPr>
            </w:pPr>
            <w:r>
              <w:rPr>
                <w:rFonts w:ascii="宋体" w:hAnsi="宋体" w:cs="宋体" w:eastAsia="宋体" w:hint="default"/>
                <w:sz w:val="18"/>
                <w:szCs w:val="18"/>
              </w:rPr>
              <w:t>分红年度合并报表中归属于上 市公司普通股股东的净利润</w:t>
            </w:r>
          </w:p>
        </w:tc>
        <w:tc>
          <w:tcPr>
            <w:tcW w:w="2020" w:type="dxa"/>
            <w:vMerge/>
            <w:tcBorders>
              <w:left w:val="single" w:sz="4" w:space="0" w:color="000000"/>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53" w:right="73" w:hanging="180"/>
              <w:jc w:val="left"/>
              <w:rPr>
                <w:rFonts w:ascii="宋体" w:hAnsi="宋体" w:cs="宋体" w:eastAsia="宋体" w:hint="default"/>
                <w:sz w:val="18"/>
                <w:szCs w:val="18"/>
              </w:rPr>
            </w:pPr>
            <w:r>
              <w:rPr>
                <w:rFonts w:ascii="宋体" w:hAnsi="宋体" w:cs="宋体" w:eastAsia="宋体" w:hint="default"/>
                <w:sz w:val="18"/>
                <w:szCs w:val="18"/>
              </w:rPr>
              <w:t>以其他方式现金 分红的金额</w:t>
            </w:r>
          </w:p>
        </w:tc>
        <w:tc>
          <w:tcPr>
            <w:tcW w:w="134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15" w:right="36" w:hanging="180"/>
              <w:jc w:val="left"/>
              <w:rPr>
                <w:rFonts w:ascii="宋体" w:hAnsi="宋体" w:cs="宋体" w:eastAsia="宋体" w:hint="default"/>
                <w:sz w:val="18"/>
                <w:szCs w:val="18"/>
              </w:rPr>
            </w:pPr>
            <w:r>
              <w:rPr>
                <w:rFonts w:ascii="宋体" w:hAnsi="宋体" w:cs="宋体" w:eastAsia="宋体" w:hint="default"/>
                <w:sz w:val="18"/>
                <w:szCs w:val="18"/>
              </w:rPr>
              <w:t>以其他方式现金 分红的比例</w:t>
            </w:r>
          </w:p>
        </w:tc>
      </w:tr>
      <w:tr>
        <w:trPr>
          <w:trHeight w:val="392" w:hRule="exact"/>
        </w:trPr>
        <w:tc>
          <w:tcPr>
            <w:tcW w:w="11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19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85"/>
              <w:jc w:val="righ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517" w:type="dxa"/>
            <w:vMerge/>
            <w:tcBorders>
              <w:left w:val="single" w:sz="4" w:space="0" w:color="000000"/>
              <w:right w:val="single" w:sz="4" w:space="0" w:color="000000"/>
            </w:tcBorders>
            <w:shd w:val="clear" w:color="auto" w:fill="D2D2D2"/>
          </w:tcPr>
          <w:p>
            <w:pPr/>
          </w:p>
        </w:tc>
        <w:tc>
          <w:tcPr>
            <w:tcW w:w="2020"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shd w:val="clear" w:color="auto" w:fill="D2D2D2"/>
          </w:tcPr>
          <w:p>
            <w:pPr/>
          </w:p>
        </w:tc>
        <w:tc>
          <w:tcPr>
            <w:tcW w:w="1344" w:type="dxa"/>
            <w:vMerge/>
            <w:tcBorders>
              <w:left w:val="single" w:sz="4" w:space="0" w:color="000000"/>
              <w:right w:val="single" w:sz="4" w:space="0" w:color="000000"/>
            </w:tcBorders>
            <w:shd w:val="clear" w:color="auto" w:fill="D2D2D2"/>
          </w:tcPr>
          <w:p>
            <w:pPr/>
          </w:p>
        </w:tc>
      </w:tr>
      <w:tr>
        <w:trPr>
          <w:trHeight w:val="156" w:hRule="exact"/>
        </w:trPr>
        <w:tc>
          <w:tcPr>
            <w:tcW w:w="1136" w:type="dxa"/>
            <w:vMerge w:val="restart"/>
            <w:tcBorders>
              <w:top w:val="nil" w:sz="6" w:space="0" w:color="auto"/>
              <w:left w:val="single" w:sz="4" w:space="0" w:color="000000"/>
              <w:right w:val="single" w:sz="4" w:space="0" w:color="000000"/>
            </w:tcBorders>
            <w:shd w:val="clear" w:color="auto" w:fill="D2D2D2"/>
          </w:tcPr>
          <w:p>
            <w:pPr/>
          </w:p>
        </w:tc>
        <w:tc>
          <w:tcPr>
            <w:tcW w:w="1984" w:type="dxa"/>
            <w:vMerge w:val="restart"/>
            <w:tcBorders>
              <w:top w:val="nil" w:sz="6" w:space="0" w:color="auto"/>
              <w:left w:val="single" w:sz="4" w:space="0" w:color="000000"/>
              <w:right w:val="single" w:sz="4" w:space="0" w:color="000000"/>
            </w:tcBorders>
            <w:shd w:val="clear" w:color="auto" w:fill="D2D2D2"/>
          </w:tcPr>
          <w:p>
            <w:pPr/>
          </w:p>
        </w:tc>
        <w:tc>
          <w:tcPr>
            <w:tcW w:w="2517" w:type="dxa"/>
            <w:vMerge/>
            <w:tcBorders>
              <w:left w:val="single" w:sz="4" w:space="0" w:color="000000"/>
              <w:bottom w:val="nil" w:sz="6" w:space="0" w:color="auto"/>
              <w:right w:val="single" w:sz="4" w:space="0" w:color="000000"/>
            </w:tcBorders>
            <w:shd w:val="clear" w:color="auto" w:fill="D2D2D2"/>
          </w:tcPr>
          <w:p>
            <w:pPr/>
          </w:p>
        </w:tc>
        <w:tc>
          <w:tcPr>
            <w:tcW w:w="2020"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134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136" w:type="dxa"/>
            <w:vMerge/>
            <w:tcBorders>
              <w:left w:val="single" w:sz="4" w:space="0" w:color="000000"/>
              <w:bottom w:val="single" w:sz="4" w:space="0" w:color="000000"/>
              <w:right w:val="single" w:sz="4" w:space="0" w:color="000000"/>
            </w:tcBorders>
            <w:shd w:val="clear" w:color="auto" w:fill="D2D2D2"/>
          </w:tcPr>
          <w:p>
            <w:pPr/>
          </w:p>
        </w:tc>
        <w:tc>
          <w:tcPr>
            <w:tcW w:w="1984" w:type="dxa"/>
            <w:vMerge/>
            <w:tcBorders>
              <w:left w:val="single" w:sz="4" w:space="0" w:color="000000"/>
              <w:bottom w:val="single" w:sz="4" w:space="0" w:color="000000"/>
              <w:right w:val="single" w:sz="4" w:space="0" w:color="000000"/>
            </w:tcBorders>
            <w:shd w:val="clear" w:color="auto" w:fill="D2D2D2"/>
          </w:tcPr>
          <w:p>
            <w:pPr/>
          </w:p>
        </w:tc>
        <w:tc>
          <w:tcPr>
            <w:tcW w:w="2517" w:type="dxa"/>
            <w:tcBorders>
              <w:top w:val="nil" w:sz="6" w:space="0" w:color="auto"/>
              <w:left w:val="single" w:sz="4" w:space="0" w:color="000000"/>
              <w:bottom w:val="single" w:sz="4" w:space="0" w:color="000000"/>
              <w:right w:val="single" w:sz="4" w:space="0" w:color="000000"/>
            </w:tcBorders>
            <w:shd w:val="clear" w:color="auto" w:fill="D2D2D2"/>
          </w:tcPr>
          <w:p>
            <w:pPr/>
          </w:p>
        </w:tc>
        <w:tc>
          <w:tcPr>
            <w:tcW w:w="2020"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4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8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11,250,037.82</w:t>
            </w:r>
          </w:p>
        </w:tc>
        <w:tc>
          <w:tcPr>
            <w:tcW w:w="2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50,635,453.88</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22.22%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8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12,240,000.00</w:t>
            </w:r>
          </w:p>
        </w:tc>
        <w:tc>
          <w:tcPr>
            <w:tcW w:w="2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56,946,829.11</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21.49%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8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10,880,000.00</w:t>
            </w:r>
          </w:p>
        </w:tc>
        <w:tc>
          <w:tcPr>
            <w:tcW w:w="2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53,211,289.80</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20.45%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公司报告期内盈利且母公司可供普通股股东分配利润为正但未提出普通股现金红利分配预案</w:t>
      </w:r>
    </w:p>
    <w:p>
      <w:pPr>
        <w:pStyle w:val="BodyText"/>
        <w:spacing w:line="240" w:lineRule="auto" w:before="117"/>
        <w:ind w:left="11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二、承诺事项履行情况" w:id="65"/>
      <w:bookmarkEnd w:id="65"/>
      <w:r>
        <w:rPr>
          <w:b w:val="0"/>
          <w:bCs w:val="0"/>
        </w:rPr>
      </w:r>
      <w:r>
        <w:rPr/>
        <w:t>二、承诺事项履行情况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59" w:lineRule="auto"/>
        <w:ind w:left="1133" w:right="0"/>
        <w:jc w:val="left"/>
        <w:rPr>
          <w:b w:val="0"/>
          <w:bCs w:val="0"/>
        </w:rPr>
      </w:pPr>
      <w:bookmarkStart w:name="1、公司、股东、实际控制人、收购人、董事、监事、高级管理人员或其他关联方在报告期" w:id="66"/>
      <w:bookmarkEnd w:id="66"/>
      <w:r>
        <w:rPr>
          <w:b w:val="0"/>
          <w:bCs w:val="0"/>
        </w:rPr>
      </w:r>
      <w:r>
        <w:rPr>
          <w:rFonts w:ascii="Times New Roman" w:hAnsi="Times New Roman" w:cs="Times New Roman" w:eastAsia="Times New Roman" w:hint="default"/>
        </w:rPr>
        <w:t>1</w:t>
      </w:r>
      <w:r>
        <w:rPr/>
        <w:t>、公司、股东、实际控制人、收购人、董事、监事、高级管理人员或其他关联方在报告期内履行完毕及</w:t>
      </w:r>
      <w:r>
        <w:rPr>
          <w:spacing w:val="-74"/>
        </w:rPr>
        <w:t> </w:t>
      </w:r>
      <w:r>
        <w:rPr>
          <w:spacing w:val="-74"/>
        </w:rPr>
      </w:r>
      <w:r>
        <w:rPr/>
        <w:t>截至报告期末尚未履行完毕的承诺事项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35" w:type="dxa"/>
        <w:tblLayout w:type="fixed"/>
        <w:tblCellMar>
          <w:top w:w="0" w:type="dxa"/>
          <w:left w:w="0" w:type="dxa"/>
          <w:bottom w:w="0" w:type="dxa"/>
          <w:right w:w="0" w:type="dxa"/>
        </w:tblCellMar>
        <w:tblLook w:val="01E0"/>
      </w:tblPr>
      <w:tblGrid>
        <w:gridCol w:w="1266"/>
        <w:gridCol w:w="862"/>
        <w:gridCol w:w="1134"/>
        <w:gridCol w:w="5671"/>
        <w:gridCol w:w="994"/>
        <w:gridCol w:w="850"/>
        <w:gridCol w:w="851"/>
      </w:tblGrid>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4"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1"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5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026" w:hRule="exact"/>
        </w:trPr>
        <w:tc>
          <w:tcPr>
            <w:tcW w:w="1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50"/>
              <w:jc w:val="both"/>
              <w:rPr>
                <w:rFonts w:ascii="宋体" w:hAnsi="宋体" w:cs="宋体" w:eastAsia="宋体" w:hint="default"/>
                <w:sz w:val="18"/>
                <w:szCs w:val="18"/>
              </w:rPr>
            </w:pPr>
            <w:r>
              <w:rPr>
                <w:rFonts w:ascii="宋体" w:hAnsi="宋体" w:cs="宋体" w:eastAsia="宋体" w:hint="default"/>
                <w:sz w:val="18"/>
                <w:szCs w:val="18"/>
              </w:rPr>
              <w:t>收购报告书或 权益变动报告 书中所作承诺</w:t>
            </w:r>
          </w:p>
        </w:tc>
        <w:tc>
          <w:tcPr>
            <w:tcW w:w="862" w:type="dxa"/>
            <w:tcBorders>
              <w:top w:val="single" w:sz="4" w:space="0" w:color="000000"/>
              <w:left w:val="single" w:sz="13" w:space="0" w:color="D2D2D2"/>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7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150"/>
              <w:jc w:val="left"/>
              <w:rPr>
                <w:rFonts w:ascii="宋体" w:hAnsi="宋体" w:cs="宋体" w:eastAsia="宋体" w:hint="default"/>
                <w:sz w:val="18"/>
                <w:szCs w:val="18"/>
              </w:rPr>
            </w:pPr>
            <w:r>
              <w:rPr>
                <w:rFonts w:ascii="宋体" w:hAnsi="宋体" w:cs="宋体" w:eastAsia="宋体" w:hint="default"/>
                <w:sz w:val="18"/>
                <w:szCs w:val="18"/>
              </w:rPr>
              <w:t>资产重组时所 作承诺</w:t>
            </w:r>
          </w:p>
        </w:tc>
        <w:tc>
          <w:tcPr>
            <w:tcW w:w="862" w:type="dxa"/>
            <w:tcBorders>
              <w:top w:val="single" w:sz="4" w:space="0" w:color="000000"/>
              <w:left w:val="single" w:sz="13" w:space="0" w:color="D2D2D2"/>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7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r>
      <w:tr>
        <w:trPr>
          <w:trHeight w:val="2792" w:hRule="exact"/>
        </w:trPr>
        <w:tc>
          <w:tcPr>
            <w:tcW w:w="1266" w:type="dxa"/>
            <w:tcBorders>
              <w:top w:val="single" w:sz="4" w:space="0" w:color="000000"/>
              <w:left w:val="single" w:sz="4" w:space="0" w:color="000000"/>
              <w:bottom w:val="nil" w:sz="6" w:space="0" w:color="auto"/>
              <w:right w:val="single" w:sz="4" w:space="0" w:color="000000"/>
            </w:tcBorders>
            <w:shd w:val="clear" w:color="auto" w:fill="D2D2D2"/>
          </w:tcPr>
          <w:p>
            <w:pPr/>
          </w:p>
        </w:tc>
        <w:tc>
          <w:tcPr>
            <w:tcW w:w="862"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z w:val="18"/>
                <w:szCs w:val="18"/>
              </w:rPr>
              <w:t>分红承诺（再 融资）</w:t>
            </w:r>
          </w:p>
        </w:tc>
        <w:tc>
          <w:tcPr>
            <w:tcW w:w="5671" w:type="dxa"/>
            <w:vMerge w:val="restart"/>
            <w:tcBorders>
              <w:top w:val="single" w:sz="4" w:space="0" w:color="000000"/>
              <w:left w:val="single" w:sz="4" w:space="0" w:color="000000"/>
              <w:right w:val="single" w:sz="9" w:space="0" w:color="FFFFFF"/>
            </w:tcBorders>
          </w:tcPr>
          <w:p>
            <w:pPr>
              <w:pStyle w:val="TableParagraph"/>
              <w:spacing w:line="309" w:lineRule="auto" w:before="51"/>
              <w:ind w:left="22" w:right="-40"/>
              <w:jc w:val="left"/>
              <w:rPr>
                <w:rFonts w:ascii="宋体" w:hAnsi="宋体" w:cs="宋体" w:eastAsia="宋体" w:hint="default"/>
                <w:sz w:val="18"/>
                <w:szCs w:val="18"/>
              </w:rPr>
            </w:pPr>
            <w:r>
              <w:rPr>
                <w:rFonts w:ascii="宋体" w:hAnsi="宋体" w:cs="宋体" w:eastAsia="宋体" w:hint="default"/>
                <w:spacing w:val="-2"/>
                <w:sz w:val="18"/>
                <w:szCs w:val="18"/>
              </w:rPr>
              <w:t>公司未来三年（</w:t>
            </w:r>
            <w:r>
              <w:rPr>
                <w:rFonts w:ascii="Times New Roman" w:hAnsi="Times New Roman" w:cs="Times New Roman" w:eastAsia="Times New Roman" w:hint="default"/>
                <w:spacing w:val="-2"/>
                <w:sz w:val="18"/>
                <w:szCs w:val="18"/>
              </w:rPr>
              <w:t>2014</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2016 </w:t>
            </w:r>
            <w:r>
              <w:rPr>
                <w:rFonts w:ascii="宋体" w:hAnsi="宋体" w:cs="宋体" w:eastAsia="宋体" w:hint="default"/>
                <w:spacing w:val="-2"/>
                <w:sz w:val="18"/>
                <w:szCs w:val="18"/>
              </w:rPr>
              <w:t>年）的股东回报规划</w:t>
            </w:r>
            <w:r>
              <w:rPr>
                <w:rFonts w:ascii="宋体" w:hAnsi="宋体" w:cs="宋体" w:eastAsia="宋体" w:hint="default"/>
                <w:sz w:val="18"/>
                <w:szCs w:val="18"/>
              </w:rPr>
              <w:t> </w:t>
            </w:r>
            <w:r>
              <w:rPr>
                <w:rFonts w:ascii="宋体" w:hAnsi="宋体" w:cs="宋体" w:eastAsia="宋体" w:hint="default"/>
                <w:spacing w:val="-14"/>
                <w:sz w:val="18"/>
                <w:szCs w:val="18"/>
              </w:rPr>
              <w:t>：（一）利润分配方</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式：公司可采用现金、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在有条件的情况下，根据公司实际经营情况，公司可以进行中期利润分 </w:t>
            </w:r>
            <w:r>
              <w:rPr>
                <w:rFonts w:ascii="宋体" w:hAnsi="宋体" w:cs="宋体" w:eastAsia="宋体" w:hint="default"/>
                <w:spacing w:val="-5"/>
                <w:sz w:val="18"/>
                <w:szCs w:val="18"/>
              </w:rPr>
              <w:t>配。（二）现金分红的具体条件和比例：除特殊情况外，公司在当年盈利</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且累计未分配利润为正的情况下，原则上每年进行一次现金分红，以现 金方式分配的利润应不低于当年实现的可分配利润的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。特殊情况是 指： </w:t>
            </w:r>
            <w:r>
              <w:rPr>
                <w:rFonts w:ascii="Times New Roman" w:hAnsi="Times New Roman" w:cs="Times New Roman" w:eastAsia="Times New Roman" w:hint="default"/>
                <w:sz w:val="18"/>
                <w:szCs w:val="18"/>
              </w:rPr>
              <w:t>1</w:t>
            </w:r>
            <w:r>
              <w:rPr>
                <w:rFonts w:ascii="宋体" w:hAnsi="宋体" w:cs="宋体" w:eastAsia="宋体" w:hint="default"/>
                <w:sz w:val="18"/>
                <w:szCs w:val="18"/>
              </w:rPr>
              <w:t>、审计机构对公司该年度财务报告未出具标准无保留意见的审计 报告； </w:t>
            </w:r>
            <w:r>
              <w:rPr>
                <w:rFonts w:ascii="Times New Roman" w:hAnsi="Times New Roman" w:cs="Times New Roman" w:eastAsia="Times New Roman" w:hint="default"/>
                <w:sz w:val="18"/>
                <w:szCs w:val="18"/>
              </w:rPr>
              <w:t>2</w:t>
            </w:r>
            <w:r>
              <w:rPr>
                <w:rFonts w:ascii="宋体" w:hAnsi="宋体" w:cs="宋体" w:eastAsia="宋体" w:hint="default"/>
                <w:sz w:val="18"/>
                <w:szCs w:val="18"/>
              </w:rPr>
              <w:t>、公司未来十二个月内拟对外投资、收购资产或者购买设备的 累计支出达到或者超过公司最近一期经审计净资产的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、公司经 营活动现金流量连续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pacing w:val="-7"/>
                <w:sz w:val="18"/>
                <w:szCs w:val="18"/>
              </w:rPr>
              <w:t>年为负。（三）发放股票股利的条件：公司在满足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上述现金分红的条件和确保足额现金股利分配的前提下，可以根据公司 股本规模等实际情况，采用发放股票股利的方式进行利润分配。 （四） 公司董事会应当综合考虑所处行业特点、发展阶段、自身经营模式、盈 利水平以及是否有重大资金支出安排等因素，区分下列情形，并按照公 司章程规定的程序，提出差异化的现金分红政策： </w:t>
            </w:r>
            <w:r>
              <w:rPr>
                <w:rFonts w:ascii="Times New Roman" w:hAnsi="Times New Roman" w:cs="Times New Roman" w:eastAsia="Times New Roman" w:hint="default"/>
                <w:sz w:val="18"/>
                <w:szCs w:val="18"/>
              </w:rPr>
              <w:t>1</w:t>
            </w:r>
            <w:r>
              <w:rPr>
                <w:rFonts w:ascii="宋体" w:hAnsi="宋体" w:cs="宋体" w:eastAsia="宋体" w:hint="default"/>
                <w:sz w:val="18"/>
                <w:szCs w:val="18"/>
              </w:rPr>
              <w:t>、公司发展阶段属 成熟期且无重大资金支出安排的，进行利润分配时，现金分红在本次利 润分配中所占比例最低应达到 </w:t>
            </w:r>
            <w:r>
              <w:rPr>
                <w:rFonts w:ascii="Times New Roman" w:hAnsi="Times New Roman" w:cs="Times New Roman" w:eastAsia="Times New Roman" w:hint="default"/>
                <w:sz w:val="18"/>
                <w:szCs w:val="18"/>
              </w:rPr>
              <w:t>80%</w:t>
            </w:r>
            <w:r>
              <w:rPr>
                <w:rFonts w:ascii="宋体" w:hAnsi="宋体" w:cs="宋体" w:eastAsia="宋体" w:hint="default"/>
                <w:sz w:val="18"/>
                <w:szCs w:val="18"/>
              </w:rPr>
              <w:t>；</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、公司发展阶段属成熟期且有重 大资金支出安排的，进行利润分配时，现金分红在本次利润分配中所占 比例最低应达到 </w:t>
            </w:r>
            <w:r>
              <w:rPr>
                <w:rFonts w:ascii="Times New Roman" w:hAnsi="Times New Roman" w:cs="Times New Roman" w:eastAsia="Times New Roman" w:hint="default"/>
                <w:sz w:val="18"/>
                <w:szCs w:val="18"/>
              </w:rPr>
              <w:t>40%</w:t>
            </w:r>
            <w:r>
              <w:rPr>
                <w:rFonts w:ascii="宋体" w:hAnsi="宋体" w:cs="宋体" w:eastAsia="宋体" w:hint="default"/>
                <w:sz w:val="18"/>
                <w:szCs w:val="18"/>
              </w:rPr>
              <w:t>；</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、公司发展阶段属成长期且有重大资金支出安 排的，进行利润分配时，现金分红在本次利润分配中所占比例最低应达 到</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宋体" w:hAnsi="宋体" w:cs="宋体" w:eastAsia="宋体" w:hint="default"/>
                <w:spacing w:val="-56"/>
                <w:sz w:val="18"/>
                <w:szCs w:val="18"/>
              </w:rPr>
              <w:t> </w:t>
            </w:r>
            <w:r>
              <w:rPr>
                <w:rFonts w:ascii="宋体" w:hAnsi="宋体" w:cs="宋体" w:eastAsia="宋体" w:hint="default"/>
                <w:sz w:val="18"/>
                <w:szCs w:val="18"/>
              </w:rPr>
              <w:t>公司发展阶段不易区分但有重大资金支出安排的，可以按照前</w:t>
            </w:r>
          </w:p>
        </w:tc>
        <w:tc>
          <w:tcPr>
            <w:tcW w:w="994" w:type="dxa"/>
            <w:vMerge w:val="restart"/>
            <w:tcBorders>
              <w:top w:val="single" w:sz="4" w:space="0" w:color="000000"/>
              <w:left w:val="single" w:sz="9" w:space="0" w:color="FFFFFF"/>
              <w:right w:val="single" w:sz="4" w:space="0" w:color="000000"/>
            </w:tcBorders>
          </w:tcPr>
          <w:p>
            <w:pPr>
              <w:pStyle w:val="TableParagraph"/>
              <w:spacing w:line="2943" w:lineRule="exact"/>
              <w:ind w:left="-7" w:right="-49"/>
              <w:jc w:val="left"/>
              <w:rPr>
                <w:rFonts w:ascii="宋体" w:hAnsi="宋体" w:cs="宋体" w:eastAsia="宋体" w:hint="default"/>
                <w:sz w:val="20"/>
                <w:szCs w:val="20"/>
              </w:rPr>
            </w:pPr>
            <w:r>
              <w:rPr>
                <w:rFonts w:ascii="宋体" w:hAnsi="宋体" w:cs="宋体" w:eastAsia="宋体" w:hint="default"/>
                <w:position w:val="-58"/>
                <w:sz w:val="20"/>
                <w:szCs w:val="20"/>
              </w:rPr>
              <w:pict>
                <v:group style="width:49.15pt;height:147.2pt;mso-position-horizontal-relative:char;mso-position-vertical-relative:line" coordorigin="0,0" coordsize="983,2944">
                  <v:group style="position:absolute;left:0;top:0;width:983;height:2944" coordorigin="0,0" coordsize="983,2944">
                    <v:shape style="position:absolute;left:0;top:0;width:983;height:2944" coordorigin="0,0" coordsize="983,2944" path="m0,2944l983,2944,983,0,0,0,0,2944xe" filled="true" fillcolor="#ffffff" stroked="false">
                      <v:path arrowok="t"/>
                      <v:fill type="solid"/>
                    </v:shape>
                  </v:group>
                </v:group>
              </w:pict>
            </w:r>
            <w:r>
              <w:rPr>
                <w:rFonts w:ascii="宋体" w:hAnsi="宋体" w:cs="宋体" w:eastAsia="宋体" w:hint="default"/>
                <w:position w:val="-58"/>
                <w:sz w:val="20"/>
                <w:szCs w:val="20"/>
              </w:rPr>
            </w:r>
          </w:p>
          <w:p>
            <w:pPr>
              <w:pStyle w:val="TableParagraph"/>
              <w:spacing w:line="240" w:lineRule="auto" w:before="52"/>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1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1016" w:hRule="exact"/>
        </w:trPr>
        <w:tc>
          <w:tcPr>
            <w:tcW w:w="126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4" w:right="150"/>
              <w:jc w:val="both"/>
              <w:rPr>
                <w:rFonts w:ascii="宋体" w:hAnsi="宋体" w:cs="宋体" w:eastAsia="宋体" w:hint="default"/>
                <w:sz w:val="18"/>
                <w:szCs w:val="18"/>
              </w:rPr>
            </w:pPr>
            <w:r>
              <w:rPr>
                <w:rFonts w:ascii="宋体" w:hAnsi="宋体" w:cs="宋体" w:eastAsia="宋体" w:hint="default"/>
                <w:sz w:val="18"/>
                <w:szCs w:val="18"/>
              </w:rPr>
              <w:t>首次公开发行 或再融资时所 作承诺</w:t>
            </w:r>
          </w:p>
        </w:tc>
        <w:tc>
          <w:tcPr>
            <w:tcW w:w="862" w:type="dxa"/>
            <w:vMerge/>
            <w:tcBorders>
              <w:left w:val="single" w:sz="10" w:space="0" w:color="D2D2D2"/>
              <w:right w:val="single" w:sz="4" w:space="0" w:color="000000"/>
            </w:tcBorders>
          </w:tcPr>
          <w:p>
            <w:pPr/>
          </w:p>
        </w:tc>
        <w:tc>
          <w:tcPr>
            <w:tcW w:w="1134" w:type="dxa"/>
            <w:vMerge/>
            <w:tcBorders>
              <w:left w:val="single" w:sz="4" w:space="0" w:color="000000"/>
              <w:right w:val="single" w:sz="4" w:space="0" w:color="000000"/>
            </w:tcBorders>
          </w:tcPr>
          <w:p>
            <w:pPr/>
          </w:p>
        </w:tc>
        <w:tc>
          <w:tcPr>
            <w:tcW w:w="5671" w:type="dxa"/>
            <w:vMerge/>
            <w:tcBorders>
              <w:left w:val="single" w:sz="4" w:space="0" w:color="000000"/>
              <w:right w:val="single" w:sz="9" w:space="0" w:color="FFFFFF"/>
            </w:tcBorders>
          </w:tcPr>
          <w:p>
            <w:pPr/>
          </w:p>
        </w:tc>
        <w:tc>
          <w:tcPr>
            <w:tcW w:w="994" w:type="dxa"/>
            <w:vMerge/>
            <w:tcBorders>
              <w:left w:val="single" w:sz="9" w:space="0" w:color="FFFFFF"/>
              <w:right w:val="single" w:sz="4" w:space="0" w:color="000000"/>
            </w:tcBorders>
          </w:tcPr>
          <w:p>
            <w:pP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r>
      <w:tr>
        <w:trPr>
          <w:trHeight w:val="2793" w:hRule="exact"/>
        </w:trPr>
        <w:tc>
          <w:tcPr>
            <w:tcW w:w="1266" w:type="dxa"/>
            <w:tcBorders>
              <w:top w:val="nil" w:sz="6" w:space="0" w:color="auto"/>
              <w:left w:val="single" w:sz="4" w:space="0" w:color="000000"/>
              <w:bottom w:val="single" w:sz="4" w:space="0" w:color="000000"/>
              <w:right w:val="single" w:sz="4" w:space="0" w:color="000000"/>
            </w:tcBorders>
            <w:shd w:val="clear" w:color="auto" w:fill="D2D2D2"/>
          </w:tcPr>
          <w:p>
            <w:pPr/>
          </w:p>
        </w:tc>
        <w:tc>
          <w:tcPr>
            <w:tcW w:w="862" w:type="dxa"/>
            <w:vMerge/>
            <w:tcBorders>
              <w:left w:val="single" w:sz="10" w:space="0" w:color="D2D2D2"/>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5671" w:type="dxa"/>
            <w:vMerge/>
            <w:tcBorders>
              <w:left w:val="single" w:sz="4" w:space="0" w:color="000000"/>
              <w:bottom w:val="single" w:sz="4" w:space="0" w:color="000000"/>
              <w:right w:val="single" w:sz="9" w:space="0" w:color="FFFFFF"/>
            </w:tcBorders>
          </w:tcPr>
          <w:p>
            <w:pPr/>
          </w:p>
        </w:tc>
        <w:tc>
          <w:tcPr>
            <w:tcW w:w="994" w:type="dxa"/>
            <w:vMerge/>
            <w:tcBorders>
              <w:left w:val="single" w:sz="9" w:space="0" w:color="FFFFFF"/>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r>
    </w:tbl>
    <w:p>
      <w:pPr>
        <w:spacing w:after="0"/>
        <w:sectPr>
          <w:pgSz w:w="11910" w:h="16840"/>
          <w:pgMar w:header="566" w:footer="979" w:top="1360" w:bottom="1160" w:left="0" w:right="0"/>
        </w:sectPr>
      </w:pPr>
    </w:p>
    <w:tbl>
      <w:tblPr>
        <w:tblW w:w="0" w:type="auto"/>
        <w:jc w:val="left"/>
        <w:tblInd w:w="136" w:type="dxa"/>
        <w:tblLayout w:type="fixed"/>
        <w:tblCellMar>
          <w:top w:w="0" w:type="dxa"/>
          <w:left w:w="0" w:type="dxa"/>
          <w:bottom w:w="0" w:type="dxa"/>
          <w:right w:w="0" w:type="dxa"/>
        </w:tblCellMar>
        <w:tblLook w:val="01E0"/>
      </w:tblPr>
      <w:tblGrid>
        <w:gridCol w:w="1277"/>
        <w:gridCol w:w="850"/>
        <w:gridCol w:w="1134"/>
        <w:gridCol w:w="5671"/>
        <w:gridCol w:w="994"/>
        <w:gridCol w:w="850"/>
        <w:gridCol w:w="851"/>
      </w:tblGrid>
      <w:tr>
        <w:trPr>
          <w:trHeight w:val="362" w:hRule="exact"/>
        </w:trPr>
        <w:tc>
          <w:tcPr>
            <w:tcW w:w="1277" w:type="dxa"/>
            <w:vMerge w:val="restart"/>
            <w:tcBorders>
              <w:top w:val="single" w:sz="4" w:space="0" w:color="000000"/>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项规定处理。</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277"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 w:right="21"/>
              <w:jc w:val="left"/>
              <w:rPr>
                <w:rFonts w:ascii="宋体" w:hAnsi="宋体" w:cs="宋体" w:eastAsia="宋体" w:hint="default"/>
                <w:sz w:val="18"/>
                <w:szCs w:val="18"/>
              </w:rPr>
            </w:pPr>
            <w:r>
              <w:rPr>
                <w:rFonts w:ascii="宋体" w:hAnsi="宋体" w:cs="宋体" w:eastAsia="宋体" w:hint="default"/>
                <w:sz w:val="18"/>
                <w:szCs w:val="18"/>
              </w:rPr>
              <w:t>其他承诺（再 融资）</w:t>
            </w:r>
          </w:p>
        </w:tc>
        <w:tc>
          <w:tcPr>
            <w:tcW w:w="56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55"/>
              <w:jc w:val="both"/>
              <w:rPr>
                <w:rFonts w:ascii="宋体" w:hAnsi="宋体" w:cs="宋体" w:eastAsia="宋体" w:hint="default"/>
                <w:sz w:val="18"/>
                <w:szCs w:val="18"/>
              </w:rPr>
            </w:pPr>
            <w:r>
              <w:rPr>
                <w:rFonts w:ascii="宋体" w:hAnsi="宋体" w:cs="宋体" w:eastAsia="宋体" w:hint="default"/>
                <w:sz w:val="18"/>
                <w:szCs w:val="18"/>
              </w:rPr>
              <w:t>公司承诺：参与公司本次非公开发行股票认购的认购对象中崔万涛、付 艳杰、冯丽、杨兴礼、余力兴、尹春福为公司股东，公司根据公司利润 分配计划向其提供分红；本次发行认购对象荣科科技第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期员工持股计 划的对象为公司员工，公司根据公司员工的不同岗位向其提供工资。除 上述情况外，公司及关联方不存在直接或间接向参与本次发行的认购对 象提供财务资助或补偿的情况，也未发生违反《证券发行与承销管理办 法》第十六条等有关法规规定的情形。</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75"/>
              <w:jc w:val="center"/>
              <w:rPr>
                <w:rFonts w:ascii="宋体" w:hAnsi="宋体" w:cs="宋体" w:eastAsia="宋体" w:hint="default"/>
                <w:sz w:val="18"/>
                <w:szCs w:val="18"/>
              </w:rPr>
            </w:pPr>
            <w:r>
              <w:rPr>
                <w:rFonts w:ascii="宋体" w:hAnsi="宋体" w:cs="宋体" w:eastAsia="宋体" w:hint="default"/>
                <w:sz w:val="18"/>
                <w:szCs w:val="18"/>
              </w:rPr>
              <w:t>正常履行</w:t>
            </w:r>
          </w:p>
        </w:tc>
      </w:tr>
      <w:tr>
        <w:trPr>
          <w:trHeight w:val="1338" w:hRule="exact"/>
        </w:trPr>
        <w:tc>
          <w:tcPr>
            <w:tcW w:w="1277"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95"/>
              <w:jc w:val="left"/>
              <w:rPr>
                <w:rFonts w:ascii="宋体" w:hAnsi="宋体" w:cs="宋体" w:eastAsia="宋体" w:hint="default"/>
                <w:sz w:val="18"/>
                <w:szCs w:val="18"/>
              </w:rPr>
            </w:pPr>
            <w:r>
              <w:rPr>
                <w:rFonts w:ascii="宋体" w:hAnsi="宋体" w:cs="宋体" w:eastAsia="宋体" w:hint="default"/>
                <w:sz w:val="18"/>
                <w:szCs w:val="18"/>
              </w:rPr>
              <w:t>付艳杰、 崔万涛</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99"/>
              <w:jc w:val="left"/>
              <w:rPr>
                <w:rFonts w:ascii="宋体" w:hAnsi="宋体" w:cs="宋体" w:eastAsia="宋体" w:hint="default"/>
                <w:sz w:val="18"/>
                <w:szCs w:val="18"/>
              </w:rPr>
            </w:pPr>
            <w:r>
              <w:rPr>
                <w:rFonts w:ascii="宋体" w:hAnsi="宋体" w:cs="宋体" w:eastAsia="宋体" w:hint="default"/>
                <w:sz w:val="18"/>
                <w:szCs w:val="18"/>
              </w:rPr>
              <w:t>股份限售承 诺（首发）</w:t>
            </w:r>
          </w:p>
        </w:tc>
        <w:tc>
          <w:tcPr>
            <w:tcW w:w="567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55"/>
              <w:jc w:val="both"/>
              <w:rPr>
                <w:rFonts w:ascii="宋体" w:hAnsi="宋体" w:cs="宋体" w:eastAsia="宋体" w:hint="default"/>
                <w:sz w:val="18"/>
                <w:szCs w:val="18"/>
              </w:rPr>
            </w:pPr>
            <w:r>
              <w:rPr>
                <w:rFonts w:ascii="宋体" w:hAnsi="宋体" w:cs="宋体" w:eastAsia="宋体" w:hint="default"/>
                <w:sz w:val="18"/>
                <w:szCs w:val="18"/>
              </w:rPr>
              <w:t>股份限制流通及自愿锁定承诺：本公司控股股东、实际控制人付艳杰、 崔万涛承诺：自发行人股票上市之日起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个月内，不转让或者委托他 人管理其持有的本次公开发行股票前已发行的股份，也不由发行人回购 该部分股份。</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75"/>
              <w:jc w:val="center"/>
              <w:rPr>
                <w:rFonts w:ascii="宋体" w:hAnsi="宋体" w:cs="宋体" w:eastAsia="宋体" w:hint="default"/>
                <w:sz w:val="18"/>
                <w:szCs w:val="18"/>
              </w:rPr>
            </w:pPr>
            <w:r>
              <w:rPr>
                <w:rFonts w:ascii="宋体" w:hAnsi="宋体" w:cs="宋体" w:eastAsia="宋体" w:hint="default"/>
                <w:sz w:val="18"/>
                <w:szCs w:val="18"/>
              </w:rPr>
              <w:t>履行完毕</w:t>
            </w:r>
          </w:p>
        </w:tc>
      </w:tr>
      <w:tr>
        <w:trPr>
          <w:trHeight w:val="1962" w:hRule="exact"/>
        </w:trPr>
        <w:tc>
          <w:tcPr>
            <w:tcW w:w="1277"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95"/>
              <w:jc w:val="left"/>
              <w:rPr>
                <w:rFonts w:ascii="宋体" w:hAnsi="宋体" w:cs="宋体" w:eastAsia="宋体" w:hint="default"/>
                <w:sz w:val="18"/>
                <w:szCs w:val="18"/>
              </w:rPr>
            </w:pPr>
            <w:r>
              <w:rPr>
                <w:rFonts w:ascii="宋体" w:hAnsi="宋体" w:cs="宋体" w:eastAsia="宋体" w:hint="default"/>
                <w:sz w:val="18"/>
                <w:szCs w:val="18"/>
              </w:rPr>
              <w:t>付艳杰、 崔万涛</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99"/>
              <w:jc w:val="left"/>
              <w:rPr>
                <w:rFonts w:ascii="宋体" w:hAnsi="宋体" w:cs="宋体" w:eastAsia="宋体" w:hint="default"/>
                <w:sz w:val="18"/>
                <w:szCs w:val="18"/>
              </w:rPr>
            </w:pPr>
            <w:r>
              <w:rPr>
                <w:rFonts w:ascii="宋体" w:hAnsi="宋体" w:cs="宋体" w:eastAsia="宋体" w:hint="default"/>
                <w:sz w:val="18"/>
                <w:szCs w:val="18"/>
              </w:rPr>
              <w:t>股份限售承 诺（首发）</w:t>
            </w:r>
          </w:p>
        </w:tc>
        <w:tc>
          <w:tcPr>
            <w:tcW w:w="56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1"/>
              <w:jc w:val="both"/>
              <w:rPr>
                <w:rFonts w:ascii="宋体" w:hAnsi="宋体" w:cs="宋体" w:eastAsia="宋体" w:hint="default"/>
                <w:sz w:val="18"/>
                <w:szCs w:val="18"/>
              </w:rPr>
            </w:pPr>
            <w:r>
              <w:rPr>
                <w:rFonts w:ascii="宋体" w:hAnsi="宋体" w:cs="宋体" w:eastAsia="宋体" w:hint="default"/>
                <w:sz w:val="18"/>
                <w:szCs w:val="18"/>
              </w:rPr>
              <w:t>除前述锁定期外，在各自任职期内每年转让的股份不超过各自所持有公 司股份总数的</w:t>
            </w:r>
            <w:r>
              <w:rPr>
                <w:rFonts w:ascii="宋体" w:hAnsi="宋体" w:cs="宋体" w:eastAsia="宋体" w:hint="default"/>
                <w:spacing w:val="-24"/>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；离职后半年内，不转让各自所持有的公司股份；在 首次公开发行股票上市之日起六个月内申报离职的，自申报离职之日起 十八个月内不转让其直接持有的本公司股份；在首次公开发行股票上市 之日起第七个月至第十二个月之间申报离职的，自申报离职之日起十二 个月内不转让其直接持有的本公司股份。</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任职期内</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75"/>
              <w:jc w:val="center"/>
              <w:rPr>
                <w:rFonts w:ascii="宋体" w:hAnsi="宋体" w:cs="宋体" w:eastAsia="宋体" w:hint="default"/>
                <w:sz w:val="18"/>
                <w:szCs w:val="18"/>
              </w:rPr>
            </w:pPr>
            <w:r>
              <w:rPr>
                <w:rFonts w:ascii="宋体" w:hAnsi="宋体" w:cs="宋体" w:eastAsia="宋体" w:hint="default"/>
                <w:sz w:val="18"/>
                <w:szCs w:val="18"/>
              </w:rPr>
              <w:t>正常履行</w:t>
            </w:r>
          </w:p>
        </w:tc>
      </w:tr>
      <w:tr>
        <w:trPr>
          <w:trHeight w:val="1026" w:hRule="exact"/>
        </w:trPr>
        <w:tc>
          <w:tcPr>
            <w:tcW w:w="1277"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95"/>
              <w:jc w:val="left"/>
              <w:rPr>
                <w:rFonts w:ascii="宋体" w:hAnsi="宋体" w:cs="宋体" w:eastAsia="宋体" w:hint="default"/>
                <w:sz w:val="18"/>
                <w:szCs w:val="18"/>
              </w:rPr>
            </w:pPr>
            <w:r>
              <w:rPr>
                <w:rFonts w:ascii="宋体" w:hAnsi="宋体" w:cs="宋体" w:eastAsia="宋体" w:hint="default"/>
                <w:sz w:val="18"/>
                <w:szCs w:val="18"/>
              </w:rPr>
              <w:t>付艳杰、 崔万涛</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z w:val="18"/>
                <w:szCs w:val="18"/>
              </w:rPr>
              <w:t>股份限售承 诺（再融资）</w:t>
            </w:r>
          </w:p>
        </w:tc>
        <w:tc>
          <w:tcPr>
            <w:tcW w:w="567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56"/>
              <w:jc w:val="left"/>
              <w:rPr>
                <w:rFonts w:ascii="宋体" w:hAnsi="宋体" w:cs="宋体" w:eastAsia="宋体" w:hint="default"/>
                <w:sz w:val="18"/>
                <w:szCs w:val="18"/>
              </w:rPr>
            </w:pPr>
            <w:r>
              <w:rPr>
                <w:rFonts w:ascii="宋体" w:hAnsi="宋体" w:cs="宋体" w:eastAsia="宋体" w:hint="default"/>
                <w:sz w:val="18"/>
                <w:szCs w:val="18"/>
              </w:rPr>
              <w:t>本次投资者认购的非公开发行股票自发行结束之日起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个月内不得转 让，在此之后按中国证券监督管理委员会及深圳证券交易所的有关规定 执行。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75"/>
              <w:jc w:val="center"/>
              <w:rPr>
                <w:rFonts w:ascii="宋体" w:hAnsi="宋体" w:cs="宋体" w:eastAsia="宋体" w:hint="default"/>
                <w:sz w:val="18"/>
                <w:szCs w:val="18"/>
              </w:rPr>
            </w:pPr>
            <w:r>
              <w:rPr>
                <w:rFonts w:ascii="宋体" w:hAnsi="宋体" w:cs="宋体" w:eastAsia="宋体" w:hint="default"/>
                <w:sz w:val="18"/>
                <w:szCs w:val="18"/>
              </w:rPr>
              <w:t>正常履行</w:t>
            </w:r>
          </w:p>
        </w:tc>
      </w:tr>
      <w:tr>
        <w:trPr>
          <w:trHeight w:val="1338" w:hRule="exact"/>
        </w:trPr>
        <w:tc>
          <w:tcPr>
            <w:tcW w:w="1277"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95"/>
              <w:jc w:val="left"/>
              <w:rPr>
                <w:rFonts w:ascii="宋体" w:hAnsi="宋体" w:cs="宋体" w:eastAsia="宋体" w:hint="default"/>
                <w:sz w:val="18"/>
                <w:szCs w:val="18"/>
              </w:rPr>
            </w:pPr>
            <w:r>
              <w:rPr>
                <w:rFonts w:ascii="宋体" w:hAnsi="宋体" w:cs="宋体" w:eastAsia="宋体" w:hint="default"/>
                <w:sz w:val="18"/>
                <w:szCs w:val="18"/>
              </w:rPr>
              <w:t>付艳杰、 崔万涛</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21"/>
              <w:jc w:val="left"/>
              <w:rPr>
                <w:rFonts w:ascii="宋体" w:hAnsi="宋体" w:cs="宋体" w:eastAsia="宋体" w:hint="default"/>
                <w:sz w:val="18"/>
                <w:szCs w:val="18"/>
              </w:rPr>
            </w:pPr>
            <w:r>
              <w:rPr>
                <w:rFonts w:ascii="宋体" w:hAnsi="宋体" w:cs="宋体" w:eastAsia="宋体" w:hint="default"/>
                <w:sz w:val="18"/>
                <w:szCs w:val="18"/>
              </w:rPr>
              <w:t>其他承诺（再 融资）</w:t>
            </w:r>
          </w:p>
        </w:tc>
        <w:tc>
          <w:tcPr>
            <w:tcW w:w="56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both"/>
              <w:rPr>
                <w:rFonts w:ascii="宋体" w:hAnsi="宋体" w:cs="宋体" w:eastAsia="宋体" w:hint="default"/>
                <w:sz w:val="18"/>
                <w:szCs w:val="18"/>
              </w:rPr>
            </w:pPr>
            <w:r>
              <w:rPr>
                <w:rFonts w:ascii="宋体" w:hAnsi="宋体" w:cs="宋体" w:eastAsia="宋体" w:hint="default"/>
                <w:sz w:val="18"/>
                <w:szCs w:val="18"/>
              </w:rPr>
              <w:t>公司控股股东、实际控制人（付艳杰、崔万涛）承诺：本人参与认购本 </w:t>
            </w:r>
            <w:r>
              <w:rPr>
                <w:rFonts w:ascii="宋体" w:hAnsi="宋体" w:cs="宋体" w:eastAsia="宋体" w:hint="default"/>
                <w:spacing w:val="-5"/>
                <w:sz w:val="18"/>
                <w:szCs w:val="18"/>
              </w:rPr>
              <w:t>次发行的资金均为本人合法所有（或其他来源）；本人及关联方不存在直</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接或间接向参与本次发行的认购对象提供财务资助或补偿的情况，也未 发生违反《证券发行与承销管理办法》</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75"/>
              <w:jc w:val="center"/>
              <w:rPr>
                <w:rFonts w:ascii="宋体" w:hAnsi="宋体" w:cs="宋体" w:eastAsia="宋体" w:hint="default"/>
                <w:sz w:val="18"/>
                <w:szCs w:val="18"/>
              </w:rPr>
            </w:pPr>
            <w:r>
              <w:rPr>
                <w:rFonts w:ascii="宋体" w:hAnsi="宋体" w:cs="宋体" w:eastAsia="宋体" w:hint="default"/>
                <w:sz w:val="18"/>
                <w:szCs w:val="18"/>
              </w:rPr>
              <w:t>正常履行</w:t>
            </w:r>
          </w:p>
        </w:tc>
      </w:tr>
      <w:tr>
        <w:trPr>
          <w:trHeight w:val="5355" w:hRule="exact"/>
        </w:trPr>
        <w:tc>
          <w:tcPr>
            <w:tcW w:w="1277"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319" w:lineRule="auto"/>
              <w:ind w:left="22" w:right="95"/>
              <w:jc w:val="left"/>
              <w:rPr>
                <w:rFonts w:ascii="宋体" w:hAnsi="宋体" w:cs="宋体" w:eastAsia="宋体" w:hint="default"/>
                <w:sz w:val="18"/>
                <w:szCs w:val="18"/>
              </w:rPr>
            </w:pPr>
            <w:r>
              <w:rPr>
                <w:rFonts w:ascii="宋体" w:hAnsi="宋体" w:cs="宋体" w:eastAsia="宋体" w:hint="default"/>
                <w:sz w:val="18"/>
                <w:szCs w:val="18"/>
              </w:rPr>
              <w:t>付艳杰、 崔万涛</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z w:val="18"/>
                <w:szCs w:val="18"/>
              </w:rPr>
              <w:t>关于同业竞 争、关联交 易、资金占用 方面的承诺</w:t>
            </w:r>
          </w:p>
        </w:tc>
        <w:tc>
          <w:tcPr>
            <w:tcW w:w="5671"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13"/>
              <w:jc w:val="left"/>
              <w:rPr>
                <w:rFonts w:ascii="宋体" w:hAnsi="宋体" w:cs="宋体" w:eastAsia="宋体" w:hint="default"/>
                <w:sz w:val="18"/>
                <w:szCs w:val="18"/>
              </w:rPr>
            </w:pPr>
            <w:r>
              <w:rPr>
                <w:rFonts w:ascii="宋体" w:hAnsi="宋体" w:cs="宋体" w:eastAsia="宋体" w:hint="default"/>
                <w:sz w:val="18"/>
                <w:szCs w:val="18"/>
              </w:rPr>
              <w:t>一、关于同业竞争：为避免损害股份公司及其他股东利益，控股股东、 实际控制人付艳杰女士、和崔万涛先生向本公司及全体股东出具了《避 </w:t>
            </w:r>
            <w:r>
              <w:rPr>
                <w:rFonts w:ascii="宋体" w:hAnsi="宋体" w:cs="宋体" w:eastAsia="宋体" w:hint="default"/>
                <w:spacing w:val="-5"/>
                <w:sz w:val="18"/>
                <w:szCs w:val="18"/>
              </w:rPr>
              <w:t>免同业竞争承诺函》。付艳杰女士承诺内容如下：</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、本人为荣科科技股</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份有限公司（以下简称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）共同实际控制人之一，除公司外，本人 没有其他控制的企业及参股的企业。本人承诺本人</w:t>
            </w:r>
            <w:r>
              <w:rPr>
                <w:rFonts w:ascii="宋体" w:hAnsi="宋体" w:cs="宋体" w:eastAsia="宋体" w:hint="default"/>
                <w:spacing w:val="-6"/>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包括其他关联企 下同</w:t>
            </w:r>
            <w:r>
              <w:rPr>
                <w:rFonts w:ascii="Times New Roman" w:hAnsi="Times New Roman" w:cs="Times New Roman" w:eastAsia="Times New Roman" w:hint="default"/>
                <w:sz w:val="18"/>
                <w:szCs w:val="18"/>
              </w:rPr>
              <w:t>)</w:t>
            </w:r>
            <w:r>
              <w:rPr>
                <w:rFonts w:ascii="宋体" w:hAnsi="宋体" w:cs="宋体" w:eastAsia="宋体" w:hint="default"/>
                <w:sz w:val="18"/>
                <w:szCs w:val="18"/>
              </w:rPr>
              <w:t>目前未从事与公司主营业务相同或相似的业务，与公司不构成同业 竞争。</w:t>
            </w:r>
            <w:r>
              <w:rPr>
                <w:rFonts w:ascii="Times New Roman" w:hAnsi="Times New Roman" w:cs="Times New Roman" w:eastAsia="Times New Roman" w:hint="default"/>
                <w:sz w:val="18"/>
                <w:szCs w:val="18"/>
              </w:rPr>
              <w:t>2</w:t>
            </w:r>
            <w:r>
              <w:rPr>
                <w:rFonts w:ascii="宋体" w:hAnsi="宋体" w:cs="宋体" w:eastAsia="宋体" w:hint="default"/>
                <w:sz w:val="18"/>
                <w:szCs w:val="18"/>
              </w:rPr>
              <w:t>、在本人仍为公司共同实际控制人之一期间，本人承诺：</w:t>
            </w:r>
            <w:r>
              <w:rPr>
                <w:rFonts w:ascii="Times New Roman" w:hAnsi="Times New Roman" w:cs="Times New Roman" w:eastAsia="Times New Roman" w:hint="default"/>
                <w:sz w:val="18"/>
                <w:szCs w:val="18"/>
              </w:rPr>
              <w:t>a) </w:t>
            </w:r>
            <w:r>
              <w:rPr>
                <w:rFonts w:ascii="宋体" w:hAnsi="宋体" w:cs="宋体" w:eastAsia="宋体" w:hint="default"/>
                <w:sz w:val="18"/>
                <w:szCs w:val="18"/>
              </w:rPr>
              <w:t>不 以任何方式从事，包括与他人合作、直接或间接从事与公司相同、相似 或在任何方面构成竞争的业务；</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尽一切可能之努力使本人其他关联企 业不从事与公司相同、相似或在任何方面构成竞争的业务；</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不投资控 股于业务与公司相同、相似或在任何方面构成竞争的公司、企业或其他 </w:t>
            </w:r>
            <w:r>
              <w:rPr>
                <w:rFonts w:ascii="宋体" w:hAnsi="宋体" w:cs="宋体" w:eastAsia="宋体" w:hint="default"/>
                <w:spacing w:val="-2"/>
                <w:sz w:val="18"/>
                <w:szCs w:val="18"/>
              </w:rPr>
              <w:t>机构、组织。</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、如因本人违反本承诺函而给公司造成损失的，本人同意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对由此而给公司造成的损失予以赔偿。</w:t>
            </w:r>
            <w:r>
              <w:rPr>
                <w:rFonts w:ascii="Times New Roman" w:hAnsi="Times New Roman" w:cs="Times New Roman" w:eastAsia="Times New Roman" w:hint="default"/>
                <w:sz w:val="18"/>
                <w:szCs w:val="18"/>
              </w:rPr>
              <w:t>”</w:t>
            </w:r>
            <w:r>
              <w:rPr>
                <w:rFonts w:ascii="宋体" w:hAnsi="宋体" w:cs="宋体" w:eastAsia="宋体" w:hint="default"/>
                <w:sz w:val="18"/>
                <w:szCs w:val="18"/>
              </w:rPr>
              <w:t>崔万涛先生承诺内容如下：</w:t>
            </w:r>
            <w:r>
              <w:rPr>
                <w:rFonts w:ascii="Times New Roman" w:hAnsi="Times New Roman" w:cs="Times New Roman" w:eastAsia="Times New Roman" w:hint="default"/>
                <w:sz w:val="18"/>
                <w:szCs w:val="18"/>
              </w:rPr>
              <w:t>“1</w:t>
            </w:r>
            <w:r>
              <w:rPr>
                <w:rFonts w:ascii="宋体" w:hAnsi="宋体" w:cs="宋体" w:eastAsia="宋体" w:hint="default"/>
                <w:sz w:val="18"/>
                <w:szCs w:val="18"/>
              </w:rPr>
              <w:t>、 本人为荣科科技股份有限公司（以下简称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 除公司外，本人没有其他控制的企业、参股的企业及关联企业。本人承 诺本人目前未从事与公司主营业务相同或相似的业务，与公司不构成同 业竞争。</w:t>
            </w:r>
            <w:r>
              <w:rPr>
                <w:rFonts w:ascii="Times New Roman" w:hAnsi="Times New Roman" w:cs="Times New Roman" w:eastAsia="Times New Roman" w:hint="default"/>
                <w:sz w:val="18"/>
                <w:szCs w:val="18"/>
              </w:rPr>
              <w:t>2</w:t>
            </w:r>
            <w:r>
              <w:rPr>
                <w:rFonts w:ascii="宋体" w:hAnsi="宋体" w:cs="宋体" w:eastAsia="宋体" w:hint="default"/>
                <w:sz w:val="18"/>
                <w:szCs w:val="18"/>
              </w:rPr>
              <w:t>、在本人仍为公司共同实际控制人之一期间，本人承诺：</w:t>
            </w:r>
            <w:r>
              <w:rPr>
                <w:rFonts w:ascii="Times New Roman" w:hAnsi="Times New Roman" w:cs="Times New Roman" w:eastAsia="Times New Roman" w:hint="default"/>
                <w:sz w:val="18"/>
                <w:szCs w:val="18"/>
              </w:rPr>
              <w:t>a)</w:t>
            </w:r>
            <w:r>
              <w:rPr>
                <w:rFonts w:ascii="宋体" w:hAnsi="宋体" w:cs="宋体" w:eastAsia="宋体" w:hint="default"/>
                <w:sz w:val="18"/>
                <w:szCs w:val="18"/>
              </w:rPr>
              <w:t>不</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320" w:lineRule="exact"/>
              <w:ind w:right="-49"/>
              <w:jc w:val="left"/>
              <w:rPr>
                <w:rFonts w:ascii="宋体" w:hAnsi="宋体" w:cs="宋体" w:eastAsia="宋体" w:hint="default"/>
                <w:sz w:val="20"/>
                <w:szCs w:val="20"/>
              </w:rPr>
            </w:pPr>
            <w:r>
              <w:rPr>
                <w:rFonts w:ascii="宋体" w:hAnsi="宋体" w:cs="宋体" w:eastAsia="宋体" w:hint="default"/>
                <w:position w:val="-45"/>
                <w:sz w:val="20"/>
                <w:szCs w:val="20"/>
              </w:rPr>
              <w:pict>
                <v:group style="width:49.15pt;height:116pt;mso-position-horizontal-relative:char;mso-position-vertical-relative:line" coordorigin="0,0" coordsize="983,2320">
                  <v:group style="position:absolute;left:0;top:0;width:983;height:2320" coordorigin="0,0" coordsize="983,2320">
                    <v:shape style="position:absolute;left:0;top:0;width:983;height:2320" coordorigin="0,0" coordsize="983,2320" path="m0,2320l983,2320,983,0,0,0,0,2320xe" filled="true" fillcolor="#ffffff" stroked="false">
                      <v:path arrowok="t"/>
                      <v:fill type="solid"/>
                    </v:shape>
                  </v:group>
                </v:group>
              </w:pict>
            </w:r>
            <w:r>
              <w:rPr>
                <w:rFonts w:ascii="宋体" w:hAnsi="宋体" w:cs="宋体" w:eastAsia="宋体" w:hint="default"/>
                <w:position w:val="-45"/>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永久</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75"/>
              <w:jc w:val="center"/>
              <w:rPr>
                <w:rFonts w:ascii="宋体" w:hAnsi="宋体" w:cs="宋体" w:eastAsia="宋体" w:hint="default"/>
                <w:sz w:val="18"/>
                <w:szCs w:val="18"/>
              </w:rPr>
            </w:pPr>
            <w:r>
              <w:rPr>
                <w:rFonts w:ascii="宋体" w:hAnsi="宋体" w:cs="宋体" w:eastAsia="宋体" w:hint="default"/>
                <w:sz w:val="18"/>
                <w:szCs w:val="18"/>
              </w:rPr>
              <w:t>正常履行</w:t>
            </w:r>
          </w:p>
        </w:tc>
      </w:tr>
    </w:tbl>
    <w:p>
      <w:pPr>
        <w:rPr>
          <w:sz w:val="2"/>
          <w:szCs w:val="2"/>
        </w:rPr>
      </w:pPr>
      <w:r>
        <w:rPr/>
        <w:pict>
          <v:shape style="position:absolute;margin-left:321.746002pt;margin-top:471.459991pt;width:181.3pt;height:15.6pt;mso-position-horizontal-relative:page;mso-position-vertical-relative:page;z-index:-614632" type="#_x0000_t202" filled="false" stroked="false">
            <v:textbox inset="0,0,0,0">
              <w:txbxContent>
                <w:p>
                  <w:pPr>
                    <w:pStyle w:val="BodyText"/>
                    <w:spacing w:line="207" w:lineRule="exact"/>
                    <w:ind w:left="0" w:right="0"/>
                    <w:jc w:val="left"/>
                  </w:pPr>
                  <w:r>
                    <w:rPr/>
                    <w:t>第十六条等有关法规规定的情形。</w:t>
                  </w:r>
                </w:p>
              </w:txbxContent>
            </v:textbox>
            <w10:wrap type="none"/>
          </v:shape>
        </w:pict>
      </w:r>
      <w:r>
        <w:rPr/>
        <w:pict>
          <v:shape style="position:absolute;margin-left:438.720001pt;margin-top:487.539978pt;width:64.3500pt;height:116pt;mso-position-horizontal-relative:page;mso-position-vertical-relative:page;z-index:-61460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20"/>
                    <w:ind w:left="0" w:right="0"/>
                    <w:jc w:val="left"/>
                  </w:pPr>
                  <w:r>
                    <w:rPr/>
                    <w:t>业，</w:t>
                  </w:r>
                </w:p>
              </w:txbxContent>
            </v:textbox>
            <w10:wrap type="none"/>
          </v:shape>
        </w:pict>
      </w:r>
      <w:r>
        <w:rPr/>
        <w:pict>
          <v:shape style="position:absolute;margin-left:366.76001pt;margin-top:638.73999pt;width:136.3pt;height:116pt;mso-position-horizontal-relative:page;mso-position-vertical-relative:page;z-index:-61458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40"/>
                    <w:ind w:left="0" w:right="0"/>
                    <w:jc w:val="left"/>
                  </w:pPr>
                  <w:r>
                    <w:rPr/>
                    <w:t>共同实际控制人之一，</w:t>
                  </w:r>
                </w:p>
              </w:txbxContent>
            </v:textbox>
            <w10:wrap type="none"/>
          </v:shape>
        </w:pict>
      </w:r>
      <w:r>
        <w:rPr/>
        <w:pict>
          <v:group style="position:absolute;margin-left:453.899994pt;margin-top:471.459991pt;width:49.15pt;height:132.1pt;mso-position-horizontal-relative:page;mso-position-vertical-relative:page;z-index:-614560" coordorigin="9078,9429" coordsize="983,2642">
            <v:group style="position:absolute;left:9078;top:9429;width:983;height:312" coordorigin="9078,9429" coordsize="983,312">
              <v:shape style="position:absolute;left:9078;top:9429;width:983;height:312" coordorigin="9078,9429" coordsize="983,312" path="m9078,9741l10061,9741,10061,9429,9078,9429,9078,9741xe" filled="true" fillcolor="#ffffff" stroked="false">
                <v:path arrowok="t"/>
                <v:fill type="solid"/>
              </v:shape>
            </v:group>
            <v:group style="position:absolute;left:9078;top:9751;width:983;height:2320" coordorigin="9078,9751" coordsize="983,2320">
              <v:shape style="position:absolute;left:9078;top:9751;width:983;height:2320" coordorigin="9078,9751" coordsize="983,2320" path="m9078,12070l10061,12070,10061,9751,9078,9751,9078,12070xe" filled="true" fillcolor="#ffffff" stroked="false">
                <v:path arrowok="t"/>
                <v:fill type="solid"/>
              </v:shape>
            </v:group>
            <w10:wrap type="none"/>
          </v:group>
        </w:pict>
      </w:r>
    </w:p>
    <w:p>
      <w:pPr>
        <w:spacing w:after="0"/>
        <w:rPr>
          <w:sz w:val="2"/>
          <w:szCs w:val="2"/>
        </w:rPr>
        <w:sectPr>
          <w:pgSz w:w="11910" w:h="16840"/>
          <w:pgMar w:header="566" w:footer="979" w:top="1440" w:bottom="1160" w:left="0" w:right="0"/>
        </w:sectPr>
      </w:pPr>
    </w:p>
    <w:tbl>
      <w:tblPr>
        <w:tblW w:w="0" w:type="auto"/>
        <w:jc w:val="left"/>
        <w:tblInd w:w="136" w:type="dxa"/>
        <w:tblLayout w:type="fixed"/>
        <w:tblCellMar>
          <w:top w:w="0" w:type="dxa"/>
          <w:left w:w="0" w:type="dxa"/>
          <w:bottom w:w="0" w:type="dxa"/>
          <w:right w:w="0" w:type="dxa"/>
        </w:tblCellMar>
        <w:tblLook w:val="01E0"/>
      </w:tblPr>
      <w:tblGrid>
        <w:gridCol w:w="1277"/>
        <w:gridCol w:w="850"/>
        <w:gridCol w:w="1134"/>
        <w:gridCol w:w="5671"/>
        <w:gridCol w:w="994"/>
        <w:gridCol w:w="850"/>
        <w:gridCol w:w="851"/>
      </w:tblGrid>
      <w:tr>
        <w:trPr>
          <w:trHeight w:val="317" w:hRule="exact"/>
        </w:trPr>
        <w:tc>
          <w:tcPr>
            <w:tcW w:w="1277" w:type="dxa"/>
            <w:vMerge w:val="restart"/>
            <w:tcBorders>
              <w:top w:val="single" w:sz="4" w:space="0" w:color="000000"/>
              <w:left w:val="single" w:sz="4" w:space="0" w:color="000000"/>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
        </w:tc>
        <w:tc>
          <w:tcPr>
            <w:tcW w:w="56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以任何方式从事，包括与他人合作、直接或间接从事与公司相同、相似</w:t>
            </w:r>
          </w:p>
        </w:tc>
        <w:tc>
          <w:tcPr>
            <w:tcW w:w="994"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851" w:type="dxa"/>
            <w:vMerge w:val="restart"/>
            <w:tcBorders>
              <w:top w:val="single" w:sz="4" w:space="0" w:color="000000"/>
              <w:left w:val="single" w:sz="4" w:space="0" w:color="000000"/>
              <w:right w:val="single" w:sz="4" w:space="0" w:color="000000"/>
            </w:tcBorders>
          </w:tcPr>
          <w:p>
            <w:pPr/>
          </w:p>
        </w:tc>
      </w:tr>
      <w:tr>
        <w:trPr>
          <w:trHeight w:val="317" w:hRule="exact"/>
        </w:trPr>
        <w:tc>
          <w:tcPr>
            <w:tcW w:w="1277"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6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或在任何方面构成竞争的业务；</w:t>
            </w:r>
            <w:r>
              <w:rPr>
                <w:rFonts w:ascii="Times New Roman" w:hAnsi="Times New Roman" w:cs="Times New Roman" w:eastAsia="Times New Roman" w:hint="default"/>
                <w:sz w:val="18"/>
                <w:szCs w:val="18"/>
              </w:rPr>
              <w:t>b)</w:t>
            </w:r>
            <w:r>
              <w:rPr>
                <w:rFonts w:ascii="宋体" w:hAnsi="宋体" w:cs="宋体" w:eastAsia="宋体" w:hint="default"/>
                <w:sz w:val="18"/>
                <w:szCs w:val="18"/>
              </w:rPr>
              <w:t>不投资控股于业务与公司相同、相似</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6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或在任何方面构成竞争的公司、企业或其他机构、组织。</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、如因本人违</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r>
      <w:tr>
        <w:trPr>
          <w:trHeight w:val="307" w:hRule="exact"/>
        </w:trPr>
        <w:tc>
          <w:tcPr>
            <w:tcW w:w="1277"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6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反本承诺函而给公司造成损失的，本人同意对由此而给公司造成的损失</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r>
      <w:tr>
        <w:trPr>
          <w:trHeight w:val="318" w:hRule="exact"/>
        </w:trPr>
        <w:tc>
          <w:tcPr>
            <w:tcW w:w="1277"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6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予以赔偿。</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二、关于资金占用：本人承诺未来不以任何方式占用荣科科</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r>
      <w:tr>
        <w:trPr>
          <w:trHeight w:val="352" w:hRule="exact"/>
        </w:trPr>
        <w:tc>
          <w:tcPr>
            <w:tcW w:w="1277"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56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技股份有限公司资金。</w:t>
            </w:r>
          </w:p>
        </w:tc>
        <w:tc>
          <w:tcPr>
            <w:tcW w:w="994"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r>
      <w:tr>
        <w:trPr>
          <w:trHeight w:val="362" w:hRule="exact"/>
        </w:trPr>
        <w:tc>
          <w:tcPr>
            <w:tcW w:w="1277"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56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公司控股股东付艳杰</w:t>
            </w:r>
            <w:r>
              <w:rPr>
                <w:rFonts w:ascii="宋体" w:hAnsi="宋体" w:cs="宋体" w:eastAsia="宋体" w:hint="default"/>
                <w:spacing w:val="-74"/>
                <w:sz w:val="18"/>
                <w:szCs w:val="18"/>
              </w:rPr>
              <w:t>、</w:t>
            </w:r>
            <w:r>
              <w:rPr>
                <w:rFonts w:ascii="宋体" w:hAnsi="宋体" w:cs="宋体" w:eastAsia="宋体" w:hint="default"/>
                <w:sz w:val="18"/>
                <w:szCs w:val="18"/>
              </w:rPr>
              <w:t>崔万涛于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日续</w:t>
            </w:r>
            <w:r>
              <w:rPr>
                <w:rFonts w:ascii="宋体" w:hAnsi="宋体" w:cs="宋体" w:eastAsia="宋体" w:hint="default"/>
                <w:spacing w:val="-74"/>
                <w:sz w:val="18"/>
                <w:szCs w:val="18"/>
              </w:rPr>
              <w:t>签</w:t>
            </w:r>
            <w:r>
              <w:rPr>
                <w:rFonts w:ascii="宋体" w:hAnsi="宋体" w:cs="宋体" w:eastAsia="宋体" w:hint="default"/>
                <w:sz w:val="18"/>
                <w:szCs w:val="18"/>
              </w:rPr>
              <w:t>《</w:t>
            </w:r>
            <w:r>
              <w:rPr>
                <w:rFonts w:ascii="宋体" w:hAnsi="宋体" w:cs="宋体" w:eastAsia="宋体" w:hint="default"/>
                <w:spacing w:val="1"/>
                <w:sz w:val="18"/>
                <w:szCs w:val="18"/>
              </w:rPr>
              <w:t>一</w:t>
            </w:r>
            <w:r>
              <w:rPr>
                <w:rFonts w:ascii="宋体" w:hAnsi="宋体" w:cs="宋体" w:eastAsia="宋体" w:hint="default"/>
                <w:sz w:val="18"/>
                <w:szCs w:val="18"/>
              </w:rPr>
              <w:t>致行动协议》</w:t>
            </w:r>
          </w:p>
        </w:tc>
        <w:tc>
          <w:tcPr>
            <w:tcW w:w="994"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277"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6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双方就保持一致行动事宜达成如下条款：第一条 共同控制 双方曾于</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7"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6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】日签订了协议书，作为一致行动人共同控制</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7"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6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股份公司。自股份公司设立以来，双方以股东或经营管理者身份对股份</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6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公司的经营管理共同决策，在股份公司的历次股东大会和董事会对议案</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6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表决时，不存在表决结果不一致的情形。第二条 一致行动 针对股份公</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7"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6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司日后运营决策事项，双方同意：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在不违背法律法规、公司章程，</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7"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6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不损害公司、股东和债权人利益的情况下，凡涉及股份公司重大经营决</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6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策事项，双方须先行协商统一意见，再行在股份公司各级会议上按协商</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r>
      <w:tr>
        <w:trPr>
          <w:trHeight w:val="630" w:hRule="exact"/>
        </w:trPr>
        <w:tc>
          <w:tcPr>
            <w:tcW w:w="1277"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95"/>
              <w:jc w:val="left"/>
              <w:rPr>
                <w:rFonts w:ascii="宋体" w:hAnsi="宋体" w:cs="宋体" w:eastAsia="宋体" w:hint="default"/>
                <w:sz w:val="18"/>
                <w:szCs w:val="18"/>
              </w:rPr>
            </w:pPr>
            <w:r>
              <w:rPr>
                <w:rFonts w:ascii="宋体" w:hAnsi="宋体" w:cs="宋体" w:eastAsia="宋体" w:hint="default"/>
                <w:sz w:val="18"/>
                <w:szCs w:val="18"/>
              </w:rPr>
              <w:t>付艳杰、 崔万涛</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99"/>
              <w:jc w:val="left"/>
              <w:rPr>
                <w:rFonts w:ascii="宋体" w:hAnsi="宋体" w:cs="宋体" w:eastAsia="宋体" w:hint="default"/>
                <w:sz w:val="18"/>
                <w:szCs w:val="18"/>
              </w:rPr>
            </w:pPr>
            <w:r>
              <w:rPr>
                <w:rFonts w:ascii="宋体" w:hAnsi="宋体" w:cs="宋体" w:eastAsia="宋体" w:hint="default"/>
                <w:sz w:val="18"/>
                <w:szCs w:val="18"/>
              </w:rPr>
              <w:t>股东一致行 动承诺</w:t>
            </w:r>
          </w:p>
        </w:tc>
        <w:tc>
          <w:tcPr>
            <w:tcW w:w="567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56"/>
              <w:jc w:val="left"/>
              <w:rPr>
                <w:rFonts w:ascii="宋体" w:hAnsi="宋体" w:cs="宋体" w:eastAsia="宋体" w:hint="default"/>
                <w:sz w:val="18"/>
                <w:szCs w:val="18"/>
              </w:rPr>
            </w:pPr>
            <w:r>
              <w:rPr>
                <w:rFonts w:ascii="宋体" w:hAnsi="宋体" w:cs="宋体" w:eastAsia="宋体" w:hint="default"/>
                <w:sz w:val="18"/>
                <w:szCs w:val="18"/>
              </w:rPr>
              <w:t>结果发表意见；在其中一方作为决策事项的关联方时，双方均须回避表 决；</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双方共同提名公司董事、监事候选人、共同向股东大会提出提</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75"/>
              <w:jc w:val="center"/>
              <w:rPr>
                <w:rFonts w:ascii="宋体" w:hAnsi="宋体" w:cs="宋体" w:eastAsia="宋体" w:hint="default"/>
                <w:sz w:val="18"/>
                <w:szCs w:val="18"/>
              </w:rPr>
            </w:pPr>
            <w:r>
              <w:rPr>
                <w:rFonts w:ascii="宋体" w:hAnsi="宋体" w:cs="宋体" w:eastAsia="宋体" w:hint="default"/>
                <w:sz w:val="18"/>
                <w:szCs w:val="18"/>
              </w:rPr>
              <w:t>正常履行</w:t>
            </w:r>
          </w:p>
        </w:tc>
      </w:tr>
      <w:tr>
        <w:trPr>
          <w:trHeight w:val="306" w:hRule="exact"/>
        </w:trPr>
        <w:tc>
          <w:tcPr>
            <w:tcW w:w="1277"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6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案；在股东大会、董事会就审议事项表决时，双方应根据事先协商确定</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7"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6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的一致意见对议案进行投票；</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双方共同委托股东大会计票人和监票</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7"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6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人对双方的表决情况进行监督；如有不一致的情形，股东大会计票人和</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6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监票人有权要求双方再次就行使何种表决权进行协商。如果双方经再次</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6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协商，仍无法就行使何种表决权达成一致意见的，则双方同意共同对相</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7"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6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关议案投弃权票。</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任何一方均不得与本协议签署方之外的第三方签</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7"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6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订与本协议内容相同、近似的协议或合同。第三条 生效 本协议自双方</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277"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6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签字之日起生效，有效期自【</w:t>
            </w:r>
            <w:r>
              <w:rPr>
                <w:rFonts w:ascii="Times New Roman" w:hAnsi="Times New Roman" w:cs="Times New Roman" w:eastAsia="Times New Roman" w:hint="default"/>
                <w:spacing w:val="-7"/>
                <w:sz w:val="18"/>
                <w:szCs w:val="18"/>
              </w:rPr>
              <w:t>2015</w:t>
            </w:r>
            <w:r>
              <w:rPr>
                <w:rFonts w:ascii="宋体" w:hAnsi="宋体" w:cs="宋体" w:eastAsia="宋体" w:hint="default"/>
                <w:spacing w:val="-7"/>
                <w:sz w:val="18"/>
                <w:szCs w:val="18"/>
              </w:rPr>
              <w:t>】年【</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】月【</w:t>
            </w:r>
            <w:r>
              <w:rPr>
                <w:rFonts w:ascii="Times New Roman" w:hAnsi="Times New Roman" w:cs="Times New Roman" w:eastAsia="Times New Roman" w:hint="default"/>
                <w:spacing w:val="-7"/>
                <w:sz w:val="18"/>
                <w:szCs w:val="18"/>
              </w:rPr>
              <w:t>16</w:t>
            </w:r>
            <w:r>
              <w:rPr>
                <w:rFonts w:ascii="宋体" w:hAnsi="宋体" w:cs="宋体" w:eastAsia="宋体" w:hint="default"/>
                <w:spacing w:val="-7"/>
                <w:sz w:val="18"/>
                <w:szCs w:val="18"/>
              </w:rPr>
              <w:t>】日至【</w:t>
            </w:r>
            <w:r>
              <w:rPr>
                <w:rFonts w:ascii="Times New Roman" w:hAnsi="Times New Roman" w:cs="Times New Roman" w:eastAsia="Times New Roman" w:hint="default"/>
                <w:spacing w:val="-7"/>
                <w:sz w:val="18"/>
                <w:szCs w:val="18"/>
              </w:rPr>
              <w:t>2020</w:t>
            </w:r>
            <w:r>
              <w:rPr>
                <w:rFonts w:ascii="宋体" w:hAnsi="宋体" w:cs="宋体" w:eastAsia="宋体" w:hint="default"/>
                <w:spacing w:val="-7"/>
                <w:sz w:val="18"/>
                <w:szCs w:val="18"/>
              </w:rPr>
              <w:t>】年【</w:t>
            </w:r>
            <w:r>
              <w:rPr>
                <w:rFonts w:ascii="Times New Roman" w:hAnsi="Times New Roman" w:cs="Times New Roman" w:eastAsia="Times New Roman" w:hint="default"/>
                <w:spacing w:val="-7"/>
                <w:sz w:val="18"/>
                <w:szCs w:val="18"/>
              </w:rPr>
              <w:t>2</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1277"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56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994"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277"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56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本次投资者认购的非公开发行股票自发行结束之日起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个月内不得转</w:t>
            </w:r>
          </w:p>
        </w:tc>
        <w:tc>
          <w:tcPr>
            <w:tcW w:w="994"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r>
      <w:tr>
        <w:trPr>
          <w:trHeight w:val="1555" w:hRule="exact"/>
        </w:trPr>
        <w:tc>
          <w:tcPr>
            <w:tcW w:w="1277"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312" w:lineRule="auto"/>
              <w:ind w:left="22" w:right="95"/>
              <w:jc w:val="both"/>
              <w:rPr>
                <w:rFonts w:ascii="宋体" w:hAnsi="宋体" w:cs="宋体" w:eastAsia="宋体" w:hint="default"/>
                <w:sz w:val="18"/>
                <w:szCs w:val="18"/>
              </w:rPr>
            </w:pPr>
            <w:r>
              <w:rPr>
                <w:rFonts w:ascii="宋体" w:hAnsi="宋体" w:cs="宋体" w:eastAsia="宋体" w:hint="default"/>
                <w:sz w:val="18"/>
                <w:szCs w:val="18"/>
              </w:rPr>
              <w:t>荣科科技 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期员 工持股计 划</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z w:val="18"/>
                <w:szCs w:val="18"/>
              </w:rPr>
              <w:t>股份限售承 诺（再融资）</w:t>
            </w:r>
          </w:p>
        </w:tc>
        <w:tc>
          <w:tcPr>
            <w:tcW w:w="5671" w:type="dxa"/>
            <w:tcBorders>
              <w:top w:val="nil" w:sz="6" w:space="0" w:color="auto"/>
              <w:left w:val="single" w:sz="4" w:space="0" w:color="000000"/>
              <w:bottom w:val="nil" w:sz="6" w:space="0" w:color="auto"/>
              <w:right w:val="single" w:sz="4" w:space="0" w:color="000000"/>
            </w:tcBorders>
          </w:tcPr>
          <w:p>
            <w:pPr>
              <w:pStyle w:val="TableParagraph"/>
              <w:spacing w:line="314" w:lineRule="auto" w:before="5"/>
              <w:ind w:left="22" w:right="56"/>
              <w:jc w:val="both"/>
              <w:rPr>
                <w:rFonts w:ascii="宋体" w:hAnsi="宋体" w:cs="宋体" w:eastAsia="宋体" w:hint="default"/>
                <w:sz w:val="18"/>
                <w:szCs w:val="18"/>
              </w:rPr>
            </w:pPr>
            <w:r>
              <w:rPr>
                <w:rFonts w:ascii="宋体" w:hAnsi="宋体" w:cs="宋体" w:eastAsia="宋体" w:hint="default"/>
                <w:sz w:val="18"/>
                <w:szCs w:val="18"/>
              </w:rPr>
              <w:t>让，在此之后按中国证券监督管理委员会及深圳证券交易所的有关规定 执行。荣科科技第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期员工持股计划拟参与对象承诺：本人自愿参加本 次员工持股计划，不存在摊派、强行分配等方式强制要求参加的情况； 本人参与职工持股计划投入的资金为本人自有资金，具体来源为工资收 入及其他合法途径收入，未接受荣科科技及其控股股东、实际控制人和</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75"/>
              <w:jc w:val="center"/>
              <w:rPr>
                <w:rFonts w:ascii="宋体" w:hAnsi="宋体" w:cs="宋体" w:eastAsia="宋体" w:hint="default"/>
                <w:sz w:val="18"/>
                <w:szCs w:val="18"/>
              </w:rPr>
            </w:pPr>
            <w:r>
              <w:rPr>
                <w:rFonts w:ascii="宋体" w:hAnsi="宋体" w:cs="宋体" w:eastAsia="宋体" w:hint="default"/>
                <w:sz w:val="18"/>
                <w:szCs w:val="18"/>
              </w:rPr>
              <w:t>正常履行</w:t>
            </w:r>
          </w:p>
        </w:tc>
      </w:tr>
      <w:tr>
        <w:trPr>
          <w:trHeight w:val="357" w:hRule="exact"/>
        </w:trPr>
        <w:tc>
          <w:tcPr>
            <w:tcW w:w="1277"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56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其关联方的财务资助或补偿。</w:t>
            </w:r>
          </w:p>
        </w:tc>
        <w:tc>
          <w:tcPr>
            <w:tcW w:w="994"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277"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56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本次投资者认购的非公开发行股票自发行结束之日起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个月内不得转</w:t>
            </w:r>
          </w:p>
        </w:tc>
        <w:tc>
          <w:tcPr>
            <w:tcW w:w="994"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277"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6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让，在此之后按中国证券监督管理委员会及深圳证券交易所的有关规定</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6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执行。财通基金承诺：本公司作为资产管理计划的管理人，将通过一切</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1277"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319" w:lineRule="auto" w:before="147"/>
              <w:ind w:left="22" w:right="95"/>
              <w:jc w:val="both"/>
              <w:rPr>
                <w:rFonts w:ascii="宋体" w:hAnsi="宋体" w:cs="宋体" w:eastAsia="宋体" w:hint="default"/>
                <w:sz w:val="18"/>
                <w:szCs w:val="18"/>
              </w:rPr>
            </w:pPr>
            <w:r>
              <w:rPr>
                <w:rFonts w:ascii="宋体" w:hAnsi="宋体" w:cs="宋体" w:eastAsia="宋体" w:hint="default"/>
                <w:sz w:val="18"/>
                <w:szCs w:val="18"/>
              </w:rPr>
              <w:t>财通基金 管理有限 公司</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319" w:lineRule="auto"/>
              <w:ind w:left="22" w:right="19"/>
              <w:jc w:val="left"/>
              <w:rPr>
                <w:rFonts w:ascii="宋体" w:hAnsi="宋体" w:cs="宋体" w:eastAsia="宋体" w:hint="default"/>
                <w:sz w:val="18"/>
                <w:szCs w:val="18"/>
              </w:rPr>
            </w:pPr>
            <w:r>
              <w:rPr>
                <w:rFonts w:ascii="宋体" w:hAnsi="宋体" w:cs="宋体" w:eastAsia="宋体" w:hint="default"/>
                <w:sz w:val="18"/>
                <w:szCs w:val="18"/>
              </w:rPr>
              <w:t>股份限售承 诺（再融资）</w:t>
            </w:r>
          </w:p>
        </w:tc>
        <w:tc>
          <w:tcPr>
            <w:tcW w:w="5671"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56"/>
              <w:jc w:val="both"/>
              <w:rPr>
                <w:rFonts w:ascii="宋体" w:hAnsi="宋体" w:cs="宋体" w:eastAsia="宋体" w:hint="default"/>
                <w:sz w:val="18"/>
                <w:szCs w:val="18"/>
              </w:rPr>
            </w:pPr>
            <w:r>
              <w:rPr>
                <w:rFonts w:ascii="宋体" w:hAnsi="宋体" w:cs="宋体" w:eastAsia="宋体" w:hint="default"/>
                <w:sz w:val="18"/>
                <w:szCs w:val="18"/>
              </w:rPr>
              <w:t>合理且可行之手段确保资产管理计划在本次发行获得证监会核准后，发 行方案于证监会备案前依法设立、办理产品备案并可以对外投资，用于 认购本次非公开发行股票的资金募集到位；本公司作为资产管理计划的 管理人与荣科科技及其控股股东、实际控制人和其关联方不存在关联关</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75"/>
              <w:jc w:val="center"/>
              <w:rPr>
                <w:rFonts w:ascii="宋体" w:hAnsi="宋体" w:cs="宋体" w:eastAsia="宋体" w:hint="default"/>
                <w:sz w:val="18"/>
                <w:szCs w:val="18"/>
              </w:rPr>
            </w:pPr>
            <w:r>
              <w:rPr>
                <w:rFonts w:ascii="宋体" w:hAnsi="宋体" w:cs="宋体" w:eastAsia="宋体" w:hint="default"/>
                <w:sz w:val="18"/>
                <w:szCs w:val="18"/>
              </w:rPr>
              <w:t>正常履行</w:t>
            </w:r>
          </w:p>
        </w:tc>
      </w:tr>
      <w:tr>
        <w:trPr>
          <w:trHeight w:val="312" w:hRule="exact"/>
        </w:trPr>
        <w:tc>
          <w:tcPr>
            <w:tcW w:w="1277"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6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系；本公司认购本次发行的资金均来自于委托人认购资金管理计划份额</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6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的委托资金。委托人的上述资金均为委托人自有资金，</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277"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56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控股股东、实际控制人（崔万涛、付艳杰）及其关联方直接或间接提供</w:t>
            </w:r>
          </w:p>
        </w:tc>
        <w:tc>
          <w:tcPr>
            <w:tcW w:w="994"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r>
    </w:tbl>
    <w:p>
      <w:pPr>
        <w:rPr>
          <w:sz w:val="2"/>
          <w:szCs w:val="2"/>
        </w:rPr>
      </w:pPr>
      <w:r>
        <w:rPr/>
        <w:pict>
          <v:shape style="position:absolute;margin-left:447.69101pt;margin-top:168.61998pt;width:55.35pt;height:140.4pt;mso-position-horizontal-relative:page;mso-position-vertical-relative:page;z-index:-614536" type="#_x0000_t202" filled="false" stroked="false">
            <v:textbox inset="0,0,0,0">
              <w:txbxContent>
                <w:p>
                  <w:pPr>
                    <w:pStyle w:val="BodyText"/>
                    <w:spacing w:line="240" w:lineRule="auto" w:before="51"/>
                    <w:ind w:left="0" w:right="0"/>
                    <w:jc w:val="left"/>
                  </w:pPr>
                  <w:r>
                    <w:rPr/>
                    <w:t>，</w:t>
                  </w:r>
                </w:p>
              </w:txbxContent>
            </v:textbox>
            <w10:wrap type="none"/>
          </v:shape>
        </w:pict>
      </w:r>
      <w:r>
        <w:rPr/>
        <w:pict>
          <v:shape style="position:absolute;margin-left:447.720001pt;margin-top:344.23999pt;width:55.35pt;height:140.450pt;mso-position-horizontal-relative:page;mso-position-vertical-relative:page;z-index:-61451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0"/>
                      <w:szCs w:val="20"/>
                    </w:rPr>
                  </w:pPr>
                </w:p>
                <w:p>
                  <w:pPr>
                    <w:pStyle w:val="BodyText"/>
                    <w:spacing w:line="240" w:lineRule="auto"/>
                    <w:ind w:left="0" w:right="0"/>
                    <w:jc w:val="left"/>
                  </w:pPr>
                  <w:r>
                    <w:rPr/>
                    <w:t>】</w:t>
                  </w:r>
                </w:p>
              </w:txbxContent>
            </v:textbox>
            <w10:wrap type="none"/>
          </v:shape>
        </w:pict>
      </w:r>
      <w:r>
        <w:rPr/>
        <w:pict>
          <v:shape style="position:absolute;margin-left:384.763pt;margin-top:695.440002pt;width:118.3pt;height:61.4pt;mso-position-horizontal-relative:page;mso-position-vertical-relative:page;z-index:-61448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43"/>
                    <w:ind w:left="0" w:right="0"/>
                    <w:jc w:val="left"/>
                  </w:pPr>
                  <w:r>
                    <w:rPr/>
                    <w:t>不存在荣科科技、</w:t>
                  </w:r>
                </w:p>
              </w:txbxContent>
            </v:textbox>
            <w10:wrap type="none"/>
          </v:shape>
        </w:pict>
      </w:r>
      <w:r>
        <w:rPr/>
        <w:pict>
          <v:group style="position:absolute;margin-left:453.899994pt;margin-top:168.61998pt;width:49.15pt;height:140.4pt;mso-position-horizontal-relative:page;mso-position-vertical-relative:page;z-index:-614464" coordorigin="9078,3372" coordsize="983,2808">
            <v:shape style="position:absolute;left:9078;top:3372;width:983;height:2808" coordorigin="9078,3372" coordsize="983,2808" path="m9078,6180l10061,6180,10061,3372,9078,3372,9078,6180xe" filled="true" fillcolor="#ffffff" stroked="false">
              <v:path arrowok="t"/>
              <v:fill type="solid"/>
            </v:shape>
            <w10:wrap type="none"/>
          </v:group>
        </w:pict>
      </w:r>
      <w:r>
        <w:rPr/>
        <w:pict>
          <v:group style="position:absolute;margin-left:453.899994pt;margin-top:344.23999pt;width:49.15pt;height:140.450pt;mso-position-horizontal-relative:page;mso-position-vertical-relative:page;z-index:-614440" coordorigin="9078,6885" coordsize="983,2809">
            <v:shape style="position:absolute;left:9078;top:6885;width:983;height:2809" coordorigin="9078,6885" coordsize="983,2809" path="m9078,9693l10061,9693,10061,6885,9078,6885,9078,9693xe" filled="true" fillcolor="#ffffff" stroked="false">
              <v:path arrowok="t"/>
              <v:fill type="solid"/>
            </v:shape>
            <w10:wrap type="none"/>
          </v:group>
        </w:pict>
      </w:r>
      <w:r>
        <w:rPr/>
        <w:pict>
          <v:group style="position:absolute;margin-left:453.899994pt;margin-top:695.440002pt;width:49.15pt;height:61.4pt;mso-position-horizontal-relative:page;mso-position-vertical-relative:page;z-index:-614416" coordorigin="9078,13909" coordsize="983,1228">
            <v:shape style="position:absolute;left:9078;top:13909;width:983;height:1228" coordorigin="9078,13909" coordsize="983,1228" path="m9078,15137l10061,15137,10061,13909,9078,13909,9078,15137xe" filled="true" fillcolor="#ffffff" stroked="false">
              <v:path arrowok="t"/>
              <v:fill type="solid"/>
            </v:shape>
            <w10:wrap type="none"/>
          </v:group>
        </w:pict>
      </w:r>
    </w:p>
    <w:p>
      <w:pPr>
        <w:spacing w:after="0"/>
        <w:rPr>
          <w:sz w:val="2"/>
          <w:szCs w:val="2"/>
        </w:rPr>
        <w:sectPr>
          <w:pgSz w:w="11910" w:h="16840"/>
          <w:pgMar w:header="566" w:footer="979" w:top="1440" w:bottom="1160" w:left="0" w:right="0"/>
        </w:sectPr>
      </w:pPr>
    </w:p>
    <w:tbl>
      <w:tblPr>
        <w:tblW w:w="0" w:type="auto"/>
        <w:jc w:val="left"/>
        <w:tblInd w:w="136" w:type="dxa"/>
        <w:tblLayout w:type="fixed"/>
        <w:tblCellMar>
          <w:top w:w="0" w:type="dxa"/>
          <w:left w:w="0" w:type="dxa"/>
          <w:bottom w:w="0" w:type="dxa"/>
          <w:right w:w="0" w:type="dxa"/>
        </w:tblCellMar>
        <w:tblLook w:val="01E0"/>
      </w:tblPr>
      <w:tblGrid>
        <w:gridCol w:w="1277"/>
        <w:gridCol w:w="850"/>
        <w:gridCol w:w="1134"/>
        <w:gridCol w:w="5671"/>
        <w:gridCol w:w="994"/>
        <w:gridCol w:w="850"/>
        <w:gridCol w:w="851"/>
      </w:tblGrid>
      <w:tr>
        <w:trPr>
          <w:trHeight w:val="1611" w:hRule="exact"/>
        </w:trPr>
        <w:tc>
          <w:tcPr>
            <w:tcW w:w="1277" w:type="dxa"/>
            <w:vMerge w:val="restart"/>
            <w:tcBorders>
              <w:top w:val="single" w:sz="4" w:space="0" w:color="000000"/>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32"/>
              <w:jc w:val="left"/>
              <w:rPr>
                <w:rFonts w:ascii="宋体" w:hAnsi="宋体" w:cs="宋体" w:eastAsia="宋体" w:hint="default"/>
                <w:sz w:val="18"/>
                <w:szCs w:val="18"/>
              </w:rPr>
            </w:pPr>
            <w:r>
              <w:rPr>
                <w:rFonts w:ascii="宋体" w:hAnsi="宋体" w:cs="宋体" w:eastAsia="宋体" w:hint="default"/>
                <w:sz w:val="18"/>
                <w:szCs w:val="18"/>
              </w:rPr>
              <w:t>财务资助或者补偿的情形；本公司本次参与认购本次发行的资产管理计 划的各委托人之间不存在分级收益等结构化安排；本公司本次认购的荣 科科技股票自本次发行结束之日起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个月不得转让，在上述锁定期内， 本公司不接受资产管理计划的委托人转让其持有的该资产管理计划份额 的申请。</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r>
      <w:tr>
        <w:trPr>
          <w:trHeight w:val="6642" w:hRule="exact"/>
        </w:trPr>
        <w:tc>
          <w:tcPr>
            <w:tcW w:w="1277"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316" w:lineRule="auto"/>
              <w:ind w:left="22" w:right="95"/>
              <w:jc w:val="both"/>
              <w:rPr>
                <w:rFonts w:ascii="宋体" w:hAnsi="宋体" w:cs="宋体" w:eastAsia="宋体" w:hint="default"/>
                <w:sz w:val="18"/>
                <w:szCs w:val="18"/>
              </w:rPr>
            </w:pPr>
            <w:r>
              <w:rPr>
                <w:rFonts w:ascii="宋体" w:hAnsi="宋体" w:cs="宋体" w:eastAsia="宋体" w:hint="default"/>
                <w:sz w:val="18"/>
                <w:szCs w:val="18"/>
              </w:rPr>
              <w:t>浙江海宁 嘉慧投资 合伙企业</w:t>
            </w:r>
          </w:p>
          <w:p>
            <w:pPr>
              <w:pStyle w:val="TableParagraph"/>
              <w:spacing w:line="319" w:lineRule="auto" w:before="19"/>
              <w:ind w:left="22" w:right="95"/>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z w:val="18"/>
                <w:szCs w:val="18"/>
              </w:rPr>
              <w:t>股份限售承 诺（再融资）</w:t>
            </w:r>
          </w:p>
        </w:tc>
        <w:tc>
          <w:tcPr>
            <w:tcW w:w="56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56"/>
              <w:jc w:val="left"/>
              <w:rPr>
                <w:rFonts w:ascii="宋体" w:hAnsi="宋体" w:cs="宋体" w:eastAsia="宋体" w:hint="default"/>
                <w:sz w:val="18"/>
                <w:szCs w:val="18"/>
              </w:rPr>
            </w:pPr>
            <w:r>
              <w:rPr>
                <w:rFonts w:ascii="宋体" w:hAnsi="宋体" w:cs="宋体" w:eastAsia="宋体" w:hint="default"/>
                <w:sz w:val="18"/>
                <w:szCs w:val="18"/>
              </w:rPr>
              <w:t>本次投资者认购的非公开发行股票自发行结束之日起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个月内不得转 让，在此之后按中国证券监督管理委员会及深圳证券交易所的有关规定 执行。嘉慧投资承诺：荣科科技本次非公开发行股票获得中国证券监督 管理委员会核准后，发行方案于中国证券监督管理委员会备案前，到位 全部认购资金；本企业不存在接受荣科科技及其控股股东、实际控制人</w:t>
            </w:r>
          </w:p>
          <w:p>
            <w:pPr>
              <w:pStyle w:val="TableParagraph"/>
              <w:spacing w:line="316" w:lineRule="auto" w:before="20"/>
              <w:ind w:left="22" w:right="21"/>
              <w:jc w:val="left"/>
              <w:rPr>
                <w:rFonts w:ascii="宋体" w:hAnsi="宋体" w:cs="宋体" w:eastAsia="宋体" w:hint="default"/>
                <w:sz w:val="18"/>
                <w:szCs w:val="18"/>
              </w:rPr>
            </w:pPr>
            <w:r>
              <w:rPr>
                <w:rFonts w:ascii="宋体" w:hAnsi="宋体" w:cs="宋体" w:eastAsia="宋体" w:hint="default"/>
                <w:spacing w:val="-4"/>
                <w:sz w:val="18"/>
                <w:szCs w:val="18"/>
              </w:rPr>
              <w:t>（崔万涛、付艳杰）</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本企业各合伙人之间不存在分级收益等结构化安排；本企业参与本次认 购取得的荣科科技股份自本次认购结束之日起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 </w:t>
            </w:r>
            <w:r>
              <w:rPr>
                <w:rFonts w:ascii="宋体" w:hAnsi="宋体" w:cs="宋体" w:eastAsia="宋体" w:hint="default"/>
                <w:spacing w:val="-6"/>
                <w:sz w:val="18"/>
                <w:szCs w:val="18"/>
              </w:rPr>
              <w:t>个月不转让，在上述锁</w:t>
            </w:r>
            <w:r>
              <w:rPr>
                <w:rFonts w:ascii="宋体" w:hAnsi="宋体" w:cs="宋体" w:eastAsia="宋体" w:hint="default"/>
                <w:sz w:val="18"/>
                <w:szCs w:val="18"/>
              </w:rPr>
              <w:t> 定期内，本企业不得接受合伙人转让合伙份额或退出嘉慧投资。西藏山 南天时投资合伙企业合伙人陶小刚、陶灵萍承诺：本人持有山南天时的 合伙份额为本人真实持有，不存在为他人代持的情形；本人在山南天时 的投资资金全部来源于自有合法资金；本人不存在接受荣科科技及其控 股股东、实际控制人（崔万涛、付艳杰）和其关联方直接或间接的财务 资助或者补偿的情形，与荣科科技不存在其他关联交易；荣科科技本次 非公开发行股票获得中国证券监督管理委员会核准后，发行方案于中国 证券监督管理委员会备案前，本人足额缴纳用于本次非公开发行股票的 认购资金；本人与山南天时的其他合伙人之间不存在分级收益等结构化 安排；嘉慧投资参与本次认购取得的荣科科技股份自本次发行结束之日 起</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个月不转让，在上述锁定期内，山南天时不以任何方式转让持有的 嘉慧投资的合伙份额或退出合伙，同时本人不以任何方式转让持有的山 南天时的合伙份额或退出合伙。</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75"/>
              <w:jc w:val="center"/>
              <w:rPr>
                <w:rFonts w:ascii="宋体" w:hAnsi="宋体" w:cs="宋体" w:eastAsia="宋体" w:hint="default"/>
                <w:sz w:val="18"/>
                <w:szCs w:val="18"/>
              </w:rPr>
            </w:pPr>
            <w:r>
              <w:rPr>
                <w:rFonts w:ascii="宋体" w:hAnsi="宋体" w:cs="宋体" w:eastAsia="宋体" w:hint="default"/>
                <w:sz w:val="18"/>
                <w:szCs w:val="18"/>
              </w:rPr>
              <w:t>正常履行</w:t>
            </w:r>
          </w:p>
        </w:tc>
      </w:tr>
      <w:tr>
        <w:trPr>
          <w:trHeight w:val="1650" w:hRule="exact"/>
        </w:trPr>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2"/>
                <w:szCs w:val="22"/>
              </w:rPr>
            </w:pPr>
          </w:p>
          <w:p>
            <w:pPr>
              <w:pStyle w:val="TableParagraph"/>
              <w:spacing w:line="316" w:lineRule="auto"/>
              <w:ind w:left="23" w:right="162"/>
              <w:jc w:val="both"/>
              <w:rPr>
                <w:rFonts w:ascii="宋体" w:hAnsi="宋体" w:cs="宋体" w:eastAsia="宋体" w:hint="default"/>
                <w:sz w:val="18"/>
                <w:szCs w:val="18"/>
              </w:rPr>
            </w:pPr>
            <w:r>
              <w:rPr>
                <w:rFonts w:ascii="宋体" w:hAnsi="宋体" w:cs="宋体" w:eastAsia="宋体" w:hint="default"/>
                <w:sz w:val="18"/>
                <w:szCs w:val="18"/>
              </w:rPr>
              <w:t>其他对公司中 小股东所作承 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99"/>
              <w:jc w:val="left"/>
              <w:rPr>
                <w:rFonts w:ascii="宋体" w:hAnsi="宋体" w:cs="宋体" w:eastAsia="宋体" w:hint="default"/>
                <w:sz w:val="18"/>
                <w:szCs w:val="18"/>
              </w:rPr>
            </w:pPr>
            <w:r>
              <w:rPr>
                <w:rFonts w:ascii="宋体" w:hAnsi="宋体" w:cs="宋体" w:eastAsia="宋体" w:hint="default"/>
                <w:sz w:val="18"/>
                <w:szCs w:val="18"/>
              </w:rPr>
              <w:t>募集资金承 诺</w:t>
            </w:r>
          </w:p>
        </w:tc>
        <w:tc>
          <w:tcPr>
            <w:tcW w:w="56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5"/>
              <w:jc w:val="both"/>
              <w:rPr>
                <w:rFonts w:ascii="宋体" w:hAnsi="宋体" w:cs="宋体" w:eastAsia="宋体" w:hint="default"/>
                <w:sz w:val="18"/>
                <w:szCs w:val="18"/>
              </w:rPr>
            </w:pPr>
            <w:r>
              <w:rPr>
                <w:rFonts w:ascii="宋体" w:hAnsi="宋体" w:cs="宋体" w:eastAsia="宋体" w:hint="default"/>
                <w:sz w:val="18"/>
                <w:szCs w:val="18"/>
              </w:rPr>
              <w:t>募投项目结余资金永久补充流动资金仅限于与公司主营业务相关的生产 经营使用，不会直接或间接用于新股配售、申购，或用于投资股票及其 衍生品种、可转换公司债券等。公司近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个月内未进行证券投资、委</w:t>
            </w:r>
          </w:p>
          <w:p>
            <w:pPr>
              <w:pStyle w:val="TableParagraph"/>
              <w:spacing w:line="302" w:lineRule="auto"/>
              <w:ind w:left="22" w:right="101"/>
              <w:jc w:val="both"/>
              <w:rPr>
                <w:rFonts w:ascii="宋体" w:hAnsi="宋体" w:cs="宋体" w:eastAsia="宋体" w:hint="default"/>
                <w:sz w:val="18"/>
                <w:szCs w:val="18"/>
              </w:rPr>
            </w:pPr>
            <w:r>
              <w:rPr>
                <w:rFonts w:ascii="宋体" w:hAnsi="宋体" w:cs="宋体" w:eastAsia="宋体" w:hint="default"/>
                <w:sz w:val="18"/>
                <w:szCs w:val="18"/>
              </w:rPr>
              <w:t>托理财、衍生品投资、创业投资等高风险投资，并承诺未来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 也不进行上述高风险投资。</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75"/>
              <w:jc w:val="center"/>
              <w:rPr>
                <w:rFonts w:ascii="宋体" w:hAnsi="宋体" w:cs="宋体" w:eastAsia="宋体" w:hint="default"/>
                <w:sz w:val="18"/>
                <w:szCs w:val="18"/>
              </w:rPr>
            </w:pPr>
            <w:r>
              <w:rPr>
                <w:rFonts w:ascii="宋体" w:hAnsi="宋体" w:cs="宋体" w:eastAsia="宋体" w:hint="default"/>
                <w:sz w:val="18"/>
                <w:szCs w:val="18"/>
              </w:rPr>
              <w:t>履行完毕</w:t>
            </w:r>
          </w:p>
        </w:tc>
      </w:tr>
      <w:tr>
        <w:trPr>
          <w:trHeight w:val="1026" w:hRule="exact"/>
        </w:trPr>
        <w:tc>
          <w:tcPr>
            <w:tcW w:w="1277"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99"/>
              <w:jc w:val="left"/>
              <w:rPr>
                <w:rFonts w:ascii="宋体" w:hAnsi="宋体" w:cs="宋体" w:eastAsia="宋体" w:hint="default"/>
                <w:sz w:val="18"/>
                <w:szCs w:val="18"/>
              </w:rPr>
            </w:pPr>
            <w:r>
              <w:rPr>
                <w:rFonts w:ascii="宋体" w:hAnsi="宋体" w:cs="宋体" w:eastAsia="宋体" w:hint="default"/>
                <w:sz w:val="18"/>
                <w:szCs w:val="18"/>
              </w:rPr>
              <w:t>募集资金承 诺</w:t>
            </w:r>
          </w:p>
        </w:tc>
        <w:tc>
          <w:tcPr>
            <w:tcW w:w="567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公司过去十二个月内未进行证券投资、委托理财、衍生品投资、创业投 </w:t>
            </w:r>
            <w:r>
              <w:rPr>
                <w:rFonts w:ascii="宋体" w:hAnsi="宋体" w:cs="宋体" w:eastAsia="宋体" w:hint="default"/>
                <w:spacing w:val="-3"/>
                <w:sz w:val="18"/>
                <w:szCs w:val="18"/>
              </w:rPr>
              <w:t>资等高风险投资，本次使用超募资金永久补充流动资金后</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个月内也不</w:t>
            </w:r>
            <w:r>
              <w:rPr>
                <w:rFonts w:ascii="宋体" w:hAnsi="宋体" w:cs="宋体" w:eastAsia="宋体" w:hint="default"/>
                <w:spacing w:val="-88"/>
                <w:sz w:val="18"/>
                <w:szCs w:val="18"/>
              </w:rPr>
              <w:t> </w:t>
            </w:r>
            <w:r>
              <w:rPr>
                <w:rFonts w:ascii="宋体" w:hAnsi="宋体" w:cs="宋体" w:eastAsia="宋体" w:hint="default"/>
                <w:sz w:val="18"/>
                <w:szCs w:val="18"/>
              </w:rPr>
              <w:t>进行此类高风险投资。</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75"/>
              <w:jc w:val="center"/>
              <w:rPr>
                <w:rFonts w:ascii="宋体" w:hAnsi="宋体" w:cs="宋体" w:eastAsia="宋体" w:hint="default"/>
                <w:sz w:val="18"/>
                <w:szCs w:val="18"/>
              </w:rPr>
            </w:pPr>
            <w:r>
              <w:rPr>
                <w:rFonts w:ascii="宋体" w:hAnsi="宋体" w:cs="宋体" w:eastAsia="宋体" w:hint="default"/>
                <w:sz w:val="18"/>
                <w:szCs w:val="18"/>
              </w:rPr>
              <w:t>履行完毕</w:t>
            </w:r>
          </w:p>
        </w:tc>
      </w:tr>
      <w:tr>
        <w:trPr>
          <w:trHeight w:val="1650" w:hRule="exact"/>
        </w:trPr>
        <w:tc>
          <w:tcPr>
            <w:tcW w:w="1277"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99"/>
              <w:jc w:val="left"/>
              <w:rPr>
                <w:rFonts w:ascii="宋体" w:hAnsi="宋体" w:cs="宋体" w:eastAsia="宋体" w:hint="default"/>
                <w:sz w:val="18"/>
                <w:szCs w:val="18"/>
              </w:rPr>
            </w:pPr>
            <w:r>
              <w:rPr>
                <w:rFonts w:ascii="宋体" w:hAnsi="宋体" w:cs="宋体" w:eastAsia="宋体" w:hint="default"/>
                <w:sz w:val="18"/>
                <w:szCs w:val="18"/>
              </w:rPr>
              <w:t>募集资金承 诺</w:t>
            </w:r>
          </w:p>
        </w:tc>
        <w:tc>
          <w:tcPr>
            <w:tcW w:w="56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7"/>
              <w:jc w:val="both"/>
              <w:rPr>
                <w:rFonts w:ascii="宋体" w:hAnsi="宋体" w:cs="宋体" w:eastAsia="宋体" w:hint="default"/>
                <w:sz w:val="18"/>
                <w:szCs w:val="18"/>
              </w:rPr>
            </w:pPr>
            <w:r>
              <w:rPr>
                <w:rFonts w:ascii="宋体" w:hAnsi="宋体" w:cs="宋体" w:eastAsia="宋体" w:hint="default"/>
                <w:sz w:val="18"/>
                <w:szCs w:val="18"/>
              </w:rPr>
              <w:t>募投项目结余资金永久补充流动资金仅限于与公司主营业务相关的生产 经营使用，不会直接或间接用于新股配售、申购，或用于投资股票及其 衍生品种、可转换公司债券等。公司近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个月内未进行证券投资、委</w:t>
            </w:r>
          </w:p>
          <w:p>
            <w:pPr>
              <w:pStyle w:val="TableParagraph"/>
              <w:spacing w:line="302" w:lineRule="auto"/>
              <w:ind w:left="22" w:right="101"/>
              <w:jc w:val="both"/>
              <w:rPr>
                <w:rFonts w:ascii="宋体" w:hAnsi="宋体" w:cs="宋体" w:eastAsia="宋体" w:hint="default"/>
                <w:sz w:val="18"/>
                <w:szCs w:val="18"/>
              </w:rPr>
            </w:pPr>
            <w:r>
              <w:rPr>
                <w:rFonts w:ascii="宋体" w:hAnsi="宋体" w:cs="宋体" w:eastAsia="宋体" w:hint="default"/>
                <w:sz w:val="18"/>
                <w:szCs w:val="18"/>
              </w:rPr>
              <w:t>托理财、衍生品投资、创业投资等高风险投资，并承诺未来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 也不进行上述高风险投资。</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75"/>
              <w:jc w:val="center"/>
              <w:rPr>
                <w:rFonts w:ascii="宋体" w:hAnsi="宋体" w:cs="宋体" w:eastAsia="宋体" w:hint="default"/>
                <w:sz w:val="18"/>
                <w:szCs w:val="18"/>
              </w:rPr>
            </w:pPr>
            <w:r>
              <w:rPr>
                <w:rFonts w:ascii="宋体" w:hAnsi="宋体" w:cs="宋体" w:eastAsia="宋体" w:hint="default"/>
                <w:sz w:val="18"/>
                <w:szCs w:val="18"/>
              </w:rPr>
              <w:t>履行完毕</w:t>
            </w:r>
          </w:p>
        </w:tc>
      </w:tr>
      <w:tr>
        <w:trPr>
          <w:trHeight w:val="714"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162"/>
              <w:jc w:val="left"/>
              <w:rPr>
                <w:rFonts w:ascii="宋体" w:hAnsi="宋体" w:cs="宋体" w:eastAsia="宋体" w:hint="default"/>
                <w:sz w:val="18"/>
                <w:szCs w:val="18"/>
              </w:rPr>
            </w:pPr>
            <w:r>
              <w:rPr>
                <w:rFonts w:ascii="宋体" w:hAnsi="宋体" w:cs="宋体" w:eastAsia="宋体" w:hint="default"/>
                <w:sz w:val="18"/>
                <w:szCs w:val="18"/>
              </w:rPr>
              <w:t>承诺是否按时 履行</w:t>
            </w:r>
          </w:p>
        </w:tc>
        <w:tc>
          <w:tcPr>
            <w:tcW w:w="1034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rPr>
          <w:sz w:val="2"/>
          <w:szCs w:val="2"/>
        </w:rPr>
      </w:pPr>
      <w:r>
        <w:rPr/>
        <w:pict>
          <v:shape style="position:absolute;margin-left:249.746002pt;margin-top:153.019989pt;width:253.3pt;height:148.2pt;mso-position-horizontal-relative:page;mso-position-vertical-relative:page;z-index:-61439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BodyText"/>
                    <w:spacing w:line="240" w:lineRule="auto"/>
                    <w:ind w:left="0" w:right="0"/>
                    <w:jc w:val="left"/>
                  </w:pPr>
                  <w:r>
                    <w:rPr/>
                    <w:t>和其关联方直接或间接的财务资助或者补偿的情形；</w:t>
                  </w:r>
                </w:p>
              </w:txbxContent>
            </v:textbox>
            <w10:wrap type="none"/>
          </v:shape>
        </w:pict>
      </w:r>
      <w:r>
        <w:rPr/>
        <w:pict>
          <v:group style="position:absolute;margin-left:453.899994pt;margin-top:72.47998pt;width:49.15pt;height:228.75pt;mso-position-horizontal-relative:page;mso-position-vertical-relative:page;z-index:-614368" coordorigin="9078,1450" coordsize="983,4575">
            <v:group style="position:absolute;left:9078;top:1450;width:983;height:1602" coordorigin="9078,1450" coordsize="983,1602">
              <v:shape style="position:absolute;left:9078;top:1450;width:983;height:1602" coordorigin="9078,1450" coordsize="983,1602" path="m9078,3051l10061,3051,10061,1450,9078,1450,9078,3051xe" filled="true" fillcolor="#ffffff" stroked="false">
                <v:path arrowok="t"/>
                <v:fill type="solid"/>
              </v:shape>
            </v:group>
            <v:group style="position:absolute;left:9078;top:3060;width:983;height:2964" coordorigin="9078,3060" coordsize="983,2964">
              <v:shape style="position:absolute;left:9078;top:3060;width:983;height:2964" coordorigin="9078,3060" coordsize="983,2964" path="m9078,6024l10061,6024,10061,3060,9078,3060,9078,6024xe" filled="true" fillcolor="#ffffff" stroked="false">
                <v:path arrowok="t"/>
                <v:fill type="solid"/>
              </v:shape>
            </v:group>
            <w10:wrap type="none"/>
          </v:group>
        </w:pict>
      </w:r>
    </w:p>
    <w:p>
      <w:pPr>
        <w:spacing w:after="0"/>
        <w:rPr>
          <w:sz w:val="2"/>
          <w:szCs w:val="2"/>
        </w:rPr>
        <w:sectPr>
          <w:pgSz w:w="11910" w:h="16840"/>
          <w:pgMar w:header="566" w:footer="979" w:top="1440" w:bottom="1160" w:left="0" w:right="0"/>
        </w:sectPr>
      </w:pPr>
    </w:p>
    <w:p>
      <w:pPr>
        <w:pStyle w:val="Heading3"/>
        <w:spacing w:line="259" w:lineRule="auto" w:before="57"/>
        <w:ind w:right="0"/>
        <w:jc w:val="left"/>
        <w:rPr>
          <w:b w:val="0"/>
          <w:bCs w:val="0"/>
        </w:rPr>
      </w:pPr>
      <w:bookmarkStart w:name="2、公司资产或项目存在盈利预测，且报告期仍处在盈利预测期间，公司就资产或项目达到" w:id="67"/>
      <w:bookmarkEnd w:id="67"/>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三、控股股东及其关联方对上市公司的非经营性占用资金情况" w:id="68"/>
      <w:bookmarkEnd w:id="68"/>
      <w:r>
        <w:rPr>
          <w:b w:val="0"/>
          <w:bCs w:val="0"/>
        </w:rPr>
      </w:r>
      <w:r>
        <w:rPr/>
        <w:t>三、控股股东及其关联方对上市公司的非经营性占用资金情况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left="1133"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四、董事会对最近一期“非标准审计报告”相关情况的说明" w:id="69"/>
      <w:bookmarkEnd w:id="69"/>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left="11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董事会、监事会、独立董事（如有）对会计师事务所本报告期“非标准审计报告”的说" w:id="70"/>
      <w:bookmarkEnd w:id="70"/>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left="11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六、董事会关于报告期会计政策、会计估计变更或重大会计差错更正的说明" w:id="71"/>
      <w:bookmarkEnd w:id="71"/>
      <w:r>
        <w:rPr>
          <w:b w:val="0"/>
          <w:bCs w:val="0"/>
        </w:rPr>
      </w:r>
      <w:r>
        <w:rPr/>
        <w:t>六、董事会关于报告期会计政策、会计估计变更或重大会计差错更正的说明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七、与上年度财务报告相比，合并报表范围发生变化的情况说明" w:id="72"/>
      <w:bookmarkEnd w:id="72"/>
      <w:r>
        <w:rPr>
          <w:b w:val="0"/>
          <w:bCs w:val="0"/>
        </w:rPr>
      </w:r>
      <w:r>
        <w:rPr/>
        <w:t>七、与上年度财务报告相比，合并报表范围发生变化的情况说明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208"/>
        <w:jc w:val="left"/>
      </w:pPr>
      <w:r>
        <w:rPr/>
        <w:t>报告期内，公司完成了对上海米健</w:t>
      </w:r>
      <w:r>
        <w:rPr>
          <w:spacing w:val="-46"/>
        </w:rPr>
        <w:t> </w:t>
      </w:r>
      <w:r>
        <w:rPr>
          <w:rFonts w:ascii="Times New Roman" w:hAnsi="Times New Roman" w:cs="Times New Roman" w:eastAsia="Times New Roman" w:hint="default"/>
        </w:rPr>
        <w:t>51%</w:t>
      </w:r>
      <w:r>
        <w:rPr/>
        <w:t>股权的收购，于</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t>月起将上海米健及其两家子公司：苏州易健医疗信息技 术有限公司和北京米东信息技术有限公司纳入到合并报表范围。</w:t>
      </w:r>
    </w:p>
    <w:p>
      <w:pPr>
        <w:spacing w:line="240" w:lineRule="auto" w:before="6"/>
        <w:rPr>
          <w:rFonts w:ascii="宋体" w:hAnsi="宋体" w:cs="宋体" w:eastAsia="宋体" w:hint="default"/>
          <w:sz w:val="4"/>
          <w:szCs w:val="4"/>
        </w:rPr>
      </w:pPr>
    </w:p>
    <w:tbl>
      <w:tblPr>
        <w:tblW w:w="0" w:type="auto"/>
        <w:jc w:val="left"/>
        <w:tblInd w:w="1126" w:type="dxa"/>
        <w:tblLayout w:type="fixed"/>
        <w:tblCellMar>
          <w:top w:w="0" w:type="dxa"/>
          <w:left w:w="0" w:type="dxa"/>
          <w:bottom w:w="0" w:type="dxa"/>
          <w:right w:w="0" w:type="dxa"/>
        </w:tblCellMar>
        <w:tblLook w:val="01E0"/>
      </w:tblPr>
      <w:tblGrid>
        <w:gridCol w:w="851"/>
        <w:gridCol w:w="3686"/>
        <w:gridCol w:w="4253"/>
      </w:tblGrid>
      <w:tr>
        <w:trPr>
          <w:trHeight w:val="346" w:hRule="exact"/>
        </w:trPr>
        <w:tc>
          <w:tcPr>
            <w:tcW w:w="85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6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子公司全称</w:t>
            </w:r>
            <w:r>
              <w:rPr>
                <w:rFonts w:ascii="宋体" w:hAnsi="宋体" w:cs="宋体" w:eastAsia="宋体" w:hint="default"/>
                <w:sz w:val="18"/>
                <w:szCs w:val="18"/>
              </w:rPr>
            </w:r>
          </w:p>
        </w:tc>
        <w:tc>
          <w:tcPr>
            <w:tcW w:w="425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本期纳入合并范围原因</w:t>
            </w:r>
            <w:r>
              <w:rPr>
                <w:rFonts w:ascii="宋体" w:hAnsi="宋体" w:cs="宋体" w:eastAsia="宋体" w:hint="default"/>
                <w:sz w:val="18"/>
                <w:szCs w:val="18"/>
              </w:rPr>
            </w:r>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w:t>
            </w:r>
          </w:p>
        </w:tc>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上海米健信息技术有限公司</w:t>
            </w:r>
          </w:p>
        </w:tc>
        <w:tc>
          <w:tcPr>
            <w:tcW w:w="4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收购股权达到控制</w:t>
            </w:r>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w:t>
            </w:r>
          </w:p>
        </w:tc>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苏州易健医疗信息技术有限公司</w:t>
            </w:r>
          </w:p>
        </w:tc>
        <w:tc>
          <w:tcPr>
            <w:tcW w:w="4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收购股权达到控制</w:t>
            </w:r>
          </w:p>
        </w:tc>
      </w:tr>
      <w:tr>
        <w:trPr>
          <w:trHeight w:val="348"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w:t>
            </w:r>
          </w:p>
        </w:tc>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北京米东信息技术有限公司</w:t>
            </w:r>
          </w:p>
        </w:tc>
        <w:tc>
          <w:tcPr>
            <w:tcW w:w="4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收购股权达到控制</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八、聘任、解聘会计师事务所情况" w:id="73"/>
      <w:bookmarkEnd w:id="73"/>
      <w:r>
        <w:rPr>
          <w:b w:val="0"/>
          <w:bCs w:val="0"/>
        </w:rPr>
      </w:r>
      <w:r>
        <w:rPr/>
        <w:t>八、聘任、解聘会计师事务所情况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0"/>
        <w:jc w:val="left"/>
      </w:pPr>
      <w:r>
        <w:rPr/>
        <w:t>现聘任的会计师事务所</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886"/>
        <w:gridCol w:w="4904"/>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华普天健会计师事务所（特殊普通合伙）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55</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宫国超、王逸飞、佟海光</w:t>
            </w:r>
          </w:p>
        </w:tc>
      </w:tr>
    </w:tbl>
    <w:p>
      <w:pPr>
        <w:pStyle w:val="BodyText"/>
        <w:spacing w:line="240" w:lineRule="auto" w:before="51"/>
        <w:ind w:right="0"/>
        <w:jc w:val="left"/>
      </w:pPr>
      <w:r>
        <w:rPr/>
        <w:t>是否改聘会计师事务所</w:t>
      </w:r>
    </w:p>
    <w:p>
      <w:pPr>
        <w:pStyle w:val="BodyText"/>
        <w:spacing w:line="338" w:lineRule="auto" w:before="117"/>
        <w:ind w:left="1133" w:right="62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spacing w:after="0" w:line="338" w:lineRule="auto"/>
        <w:jc w:val="left"/>
        <w:sectPr>
          <w:pgSz w:w="11910" w:h="16840"/>
          <w:pgMar w:header="566" w:footer="979" w:top="1360" w:bottom="1160" w:left="0" w:right="0"/>
        </w:sectPr>
      </w:pPr>
    </w:p>
    <w:p>
      <w:pPr>
        <w:pStyle w:val="BodyText"/>
        <w:spacing w:line="240" w:lineRule="auto" w:before="82"/>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九、年度报告披露后面临暂停上市和终止上市情况" w:id="74"/>
      <w:bookmarkEnd w:id="74"/>
      <w:r>
        <w:rPr>
          <w:b w:val="0"/>
          <w:bCs w:val="0"/>
        </w:rPr>
      </w:r>
      <w:r>
        <w:rPr/>
        <w:t>九、年度报告披露后面临暂停上市和终止上市情况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3"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十、破产重整相关事项" w:id="75"/>
      <w:bookmarkEnd w:id="75"/>
      <w:r>
        <w:rPr>
          <w:b w:val="0"/>
          <w:bCs w:val="0"/>
        </w:rPr>
      </w:r>
      <w:r>
        <w:rPr/>
        <w:t>十、破产重整相关事项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1133"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bookmarkStart w:name="十一、重大诉讼、仲裁事项" w:id="76"/>
      <w:bookmarkEnd w:id="76"/>
      <w:r>
        <w:rPr>
          <w:b w:val="0"/>
          <w:bCs w:val="0"/>
        </w:rPr>
      </w:r>
      <w:r>
        <w:rPr/>
        <w:t>十一、重大诉讼、仲裁事项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1133"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本报告期公司无重大诉讼、仲裁事项。</w:t>
      </w:r>
    </w:p>
    <w:p>
      <w:pPr>
        <w:spacing w:line="240" w:lineRule="auto" w:before="4"/>
        <w:rPr>
          <w:rFonts w:ascii="宋体" w:hAnsi="宋体" w:cs="宋体" w:eastAsia="宋体" w:hint="default"/>
          <w:sz w:val="19"/>
          <w:szCs w:val="19"/>
        </w:rPr>
      </w:pPr>
    </w:p>
    <w:p>
      <w:pPr>
        <w:pStyle w:val="Heading2"/>
        <w:spacing w:line="240" w:lineRule="auto"/>
        <w:ind w:right="0"/>
        <w:jc w:val="both"/>
        <w:rPr>
          <w:b w:val="0"/>
          <w:bCs w:val="0"/>
        </w:rPr>
      </w:pPr>
      <w:bookmarkStart w:name="十二、处罚及整改情况" w:id="77"/>
      <w:bookmarkEnd w:id="77"/>
      <w:r>
        <w:rPr>
          <w:b w:val="0"/>
          <w:bCs w:val="0"/>
        </w:rPr>
      </w:r>
      <w:r>
        <w:rPr/>
        <w:t>十二、处罚及整改情况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1133"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bookmarkStart w:name="十三、公司及其控股股东、实际控制人的诚信状况" w:id="78"/>
      <w:bookmarkEnd w:id="78"/>
      <w:r>
        <w:rPr>
          <w:b w:val="0"/>
          <w:bCs w:val="0"/>
        </w:rPr>
      </w:r>
      <w:r>
        <w:rPr/>
        <w:t>十三、公司及其控股股东、实际控制人的诚信状况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3"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bookmarkStart w:name="十四、公司股权激励计划、员工持股计划或其他员工激励措施的实施情况" w:id="79"/>
      <w:bookmarkEnd w:id="79"/>
      <w:r>
        <w:rPr>
          <w:b w:val="0"/>
          <w:bCs w:val="0"/>
        </w:rPr>
      </w:r>
      <w:r>
        <w:rPr/>
        <w:t>十四、公司股权激励计划、员工持股计划或其他员工激励措施的实施情况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1493" w:right="0"/>
        <w:jc w:val="left"/>
      </w:pP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9</w:t>
      </w:r>
      <w:r>
        <w:rPr>
          <w:spacing w:val="-4"/>
        </w:rPr>
        <w:t>月</w:t>
      </w:r>
      <w:r>
        <w:rPr>
          <w:rFonts w:ascii="Times New Roman" w:hAnsi="Times New Roman" w:cs="Times New Roman" w:eastAsia="Times New Roman" w:hint="default"/>
          <w:spacing w:val="-4"/>
        </w:rPr>
        <w:t>29</w:t>
      </w:r>
      <w:r>
        <w:rPr>
          <w:spacing w:val="-4"/>
        </w:rPr>
        <w:t>日，公司召开第二届董事会第十三次会议，审议通过了《荣科科技股份有限公司第</w:t>
      </w:r>
      <w:r>
        <w:rPr>
          <w:rFonts w:ascii="Times New Roman" w:hAnsi="Times New Roman" w:cs="Times New Roman" w:eastAsia="Times New Roman" w:hint="default"/>
          <w:spacing w:val="-4"/>
        </w:rPr>
        <w:t>1</w:t>
      </w:r>
      <w:r>
        <w:rPr>
          <w:spacing w:val="-4"/>
        </w:rPr>
        <w:t>期员工持股计划（草案）</w:t>
      </w:r>
    </w:p>
    <w:p>
      <w:pPr>
        <w:pStyle w:val="BodyText"/>
        <w:spacing w:line="304" w:lineRule="auto" w:before="63"/>
        <w:ind w:left="1133" w:right="1131"/>
        <w:jc w:val="both"/>
      </w:pPr>
      <w:r>
        <w:rPr>
          <w:spacing w:val="-3"/>
        </w:rPr>
        <w:t>（认购非公开发行股票方式）》：本次员工持股计划每</w:t>
      </w:r>
      <w:r>
        <w:rPr>
          <w:rFonts w:ascii="Times New Roman" w:hAnsi="Times New Roman" w:cs="Times New Roman" w:eastAsia="Times New Roman" w:hint="default"/>
          <w:spacing w:val="-3"/>
        </w:rPr>
        <w:t>1</w:t>
      </w:r>
      <w:r>
        <w:rPr>
          <w:spacing w:val="-3"/>
        </w:rPr>
        <w:t>计划份额的认购价格为人民币</w:t>
      </w:r>
      <w:r>
        <w:rPr>
          <w:rFonts w:ascii="Times New Roman" w:hAnsi="Times New Roman" w:cs="Times New Roman" w:eastAsia="Times New Roman" w:hint="default"/>
          <w:spacing w:val="-3"/>
        </w:rPr>
        <w:t>1</w:t>
      </w:r>
      <w:r>
        <w:rPr>
          <w:spacing w:val="-3"/>
        </w:rPr>
        <w:t>元，设立时计划份额合计不超过</w:t>
      </w:r>
      <w:r>
        <w:rPr>
          <w:rFonts w:ascii="Times New Roman" w:hAnsi="Times New Roman" w:cs="Times New Roman" w:eastAsia="Times New Roman" w:hint="default"/>
          <w:spacing w:val="-3"/>
        </w:rPr>
        <w:t>6,000</w:t>
      </w:r>
      <w:r>
        <w:rPr>
          <w:rFonts w:ascii="Times New Roman" w:hAnsi="Times New Roman" w:cs="Times New Roman" w:eastAsia="Times New Roman" w:hint="default"/>
          <w:spacing w:val="-2"/>
        </w:rPr>
        <w:t> </w:t>
      </w:r>
      <w:r>
        <w:rPr>
          <w:spacing w:val="-1"/>
        </w:rPr>
        <w:t>万份，资金总额不超过</w:t>
      </w:r>
      <w:r>
        <w:rPr>
          <w:rFonts w:ascii="Times New Roman" w:hAnsi="Times New Roman" w:cs="Times New Roman" w:eastAsia="Times New Roman" w:hint="default"/>
          <w:spacing w:val="-1"/>
        </w:rPr>
        <w:t>6,000</w:t>
      </w:r>
      <w:r>
        <w:rPr>
          <w:spacing w:val="-1"/>
        </w:rPr>
        <w:t>万元，其中认购员工持股计划的公司董事、监事和高级管理人员不超过</w:t>
      </w:r>
      <w:r>
        <w:rPr>
          <w:rFonts w:ascii="Times New Roman" w:hAnsi="Times New Roman" w:cs="Times New Roman" w:eastAsia="Times New Roman" w:hint="default"/>
          <w:spacing w:val="-1"/>
        </w:rPr>
        <w:t>7</w:t>
      </w:r>
      <w:r>
        <w:rPr>
          <w:spacing w:val="-1"/>
        </w:rPr>
        <w:t>人。参加对象认购员工</w:t>
      </w:r>
      <w:r>
        <w:rPr>
          <w:spacing w:val="-73"/>
        </w:rPr>
        <w:t> </w:t>
      </w:r>
      <w:r>
        <w:rPr>
          <w:spacing w:val="-73"/>
        </w:rPr>
      </w:r>
      <w:r>
        <w:rPr>
          <w:spacing w:val="-2"/>
        </w:rPr>
        <w:t>持股计划份额的款项来源于参加对象的合法薪酬及其他合法方式筹集。员工持股计划的股票来源为认购本公司非公开发行的</w:t>
      </w:r>
      <w:r>
        <w:rPr>
          <w:spacing w:val="-64"/>
        </w:rPr>
        <w:t> </w:t>
      </w:r>
      <w:r>
        <w:rPr>
          <w:spacing w:val="-64"/>
        </w:rPr>
      </w:r>
      <w:r>
        <w:rPr>
          <w:spacing w:val="-2"/>
        </w:rPr>
        <w:t>股票。员工持股计划认购本公司非公开发行股票金额不超过</w:t>
      </w:r>
      <w:r>
        <w:rPr>
          <w:rFonts w:ascii="Times New Roman" w:hAnsi="Times New Roman" w:cs="Times New Roman" w:eastAsia="Times New Roman" w:hint="default"/>
          <w:spacing w:val="-2"/>
        </w:rPr>
        <w:t>6,000</w:t>
      </w:r>
      <w:r>
        <w:rPr>
          <w:spacing w:val="-2"/>
        </w:rPr>
        <w:t>万元，认购股份不超过</w:t>
      </w:r>
      <w:r>
        <w:rPr>
          <w:rFonts w:ascii="Times New Roman" w:hAnsi="Times New Roman" w:cs="Times New Roman" w:eastAsia="Times New Roman" w:hint="default"/>
          <w:spacing w:val="-2"/>
        </w:rPr>
        <w:t>378.0718</w:t>
      </w:r>
      <w:r>
        <w:rPr>
          <w:spacing w:val="-2"/>
        </w:rPr>
        <w:t>万股。本次员工持股计划的</w:t>
      </w:r>
      <w:r>
        <w:rPr>
          <w:spacing w:val="-55"/>
        </w:rPr>
        <w:t> </w:t>
      </w:r>
      <w:r>
        <w:rPr>
          <w:spacing w:val="-55"/>
        </w:rPr>
      </w:r>
      <w:r>
        <w:rPr>
          <w:spacing w:val="-2"/>
        </w:rPr>
        <w:t>存续期为</w:t>
      </w:r>
      <w:r>
        <w:rPr>
          <w:rFonts w:ascii="Times New Roman" w:hAnsi="Times New Roman" w:cs="Times New Roman" w:eastAsia="Times New Roman" w:hint="default"/>
          <w:spacing w:val="-2"/>
        </w:rPr>
        <w:t>48</w:t>
      </w:r>
      <w:r>
        <w:rPr>
          <w:spacing w:val="-2"/>
        </w:rPr>
        <w:t>个月，自公司公告本次非公开发行的股票登记至员工持股计划名下时起算。员工持股计划认购非公开发行股票的</w:t>
      </w:r>
      <w:r>
        <w:rPr>
          <w:spacing w:val="-62"/>
        </w:rPr>
        <w:t> </w:t>
      </w:r>
      <w:r>
        <w:rPr>
          <w:spacing w:val="-62"/>
        </w:rPr>
      </w:r>
      <w:r>
        <w:rPr/>
        <w:t>锁定期为</w:t>
      </w:r>
      <w:r>
        <w:rPr>
          <w:rFonts w:ascii="Times New Roman" w:hAnsi="Times New Roman" w:cs="Times New Roman" w:eastAsia="Times New Roman" w:hint="default"/>
        </w:rPr>
        <w:t>36</w:t>
      </w:r>
      <w:r>
        <w:rPr/>
        <w:t>个月，自公司公告本次非公开发行的股票登记至员工持股计划名下时起算。详见：</w:t>
      </w:r>
    </w:p>
    <w:p>
      <w:pPr>
        <w:pStyle w:val="BodyText"/>
        <w:spacing w:line="316" w:lineRule="auto" w:before="48"/>
        <w:ind w:left="1493" w:right="0" w:hanging="360"/>
        <w:jc w:val="left"/>
      </w:pPr>
      <w:hyperlink r:id="rId23">
        <w:r>
          <w:rPr>
            <w:rFonts w:ascii="Times New Roman" w:hAnsi="Times New Roman" w:cs="Times New Roman" w:eastAsia="Times New Roman" w:hint="default"/>
            <w:spacing w:val="-1"/>
          </w:rPr>
          <w:t>http://www.cninfo.com.cn/cninfo-new/disclosure/szse_gem/bulletin_detail/true/1200274404?announceTime=2014-09-30</w:t>
        </w:r>
      </w:hyperlink>
      <w:r>
        <w:rPr>
          <w:rFonts w:ascii="Times New Roman" w:hAnsi="Times New Roman" w:cs="Times New Roman" w:eastAsia="Times New Roman" w:hint="default"/>
          <w:spacing w:val="4"/>
        </w:rPr>
        <w:t> </w:t>
      </w:r>
      <w:r>
        <w:rPr>
          <w:rFonts w:ascii="Times New Roman" w:hAnsi="Times New Roman" w:cs="Times New Roman" w:eastAsia="Times New Roman" w:hint="default"/>
          <w:spacing w:val="4"/>
        </w:rPr>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15</w:t>
      </w:r>
      <w:r>
        <w:rPr/>
        <w:t>日，公司召开</w:t>
      </w:r>
      <w:r>
        <w:rPr>
          <w:rFonts w:ascii="Times New Roman" w:hAnsi="Times New Roman" w:cs="Times New Roman" w:eastAsia="Times New Roman" w:hint="default"/>
        </w:rPr>
        <w:t>2014</w:t>
      </w:r>
      <w:r>
        <w:rPr/>
        <w:t>年度第二次临时股东大会，审议通过了该项议案。</w:t>
      </w:r>
    </w:p>
    <w:p>
      <w:pPr>
        <w:pStyle w:val="BodyText"/>
        <w:spacing w:line="300" w:lineRule="auto"/>
        <w:ind w:left="1133" w:right="1139"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4</w:t>
      </w:r>
      <w:r>
        <w:rPr/>
        <w:t>日，公司收到中国证监会《关于核准荣科科技股份有限公司非公开发行股票的批复》（证监许可</w:t>
      </w:r>
      <w:r>
        <w:rPr>
          <w:rFonts w:ascii="Times New Roman" w:hAnsi="Times New Roman" w:cs="Times New Roman" w:eastAsia="Times New Roman" w:hint="default"/>
        </w:rPr>
        <w:t>[2015]996 </w:t>
      </w:r>
      <w:r>
        <w:rPr/>
        <w:t>号）核准了本次发行。</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26</w:t>
      </w:r>
      <w:r>
        <w:rPr/>
        <w:t>日，公司通过中国结算深圳分公司办理了股份登记事宜。</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7</w:t>
      </w:r>
      <w:r>
        <w:rPr/>
        <w:t>日，公司本次非公 开发行股票在深交所创业板上市。本次非公开发行股票上市情况详见：</w:t>
      </w:r>
    </w:p>
    <w:p>
      <w:pPr>
        <w:pStyle w:val="BodyText"/>
        <w:spacing w:line="240" w:lineRule="auto" w:before="71"/>
        <w:ind w:left="1133" w:right="0"/>
        <w:jc w:val="both"/>
        <w:rPr>
          <w:rFonts w:ascii="Times New Roman" w:hAnsi="Times New Roman" w:cs="Times New Roman" w:eastAsia="Times New Roman" w:hint="default"/>
        </w:rPr>
      </w:pPr>
      <w:hyperlink r:id="rId24">
        <w:r>
          <w:rPr>
            <w:rFonts w:ascii="Times New Roman"/>
          </w:rPr>
          <w:t>http://www.cninfo.com.cn/cninfo-new/disclosure/szse_gem/bulletin_detail/true/1201237053?announceTime=2015-07-03</w:t>
        </w:r>
      </w:hyperlink>
    </w:p>
    <w:p>
      <w:pPr>
        <w:spacing w:after="0" w:line="240" w:lineRule="auto"/>
        <w:jc w:val="both"/>
        <w:rPr>
          <w:rFonts w:ascii="Times New Roman" w:hAnsi="Times New Roman" w:cs="Times New Roman" w:eastAsia="Times New Roman" w:hint="default"/>
        </w:rPr>
        <w:sectPr>
          <w:pgSz w:w="11910" w:h="16840"/>
          <w:pgMar w:header="566" w:footer="979" w:top="1360" w:bottom="1160" w:left="0" w:right="0"/>
        </w:sectPr>
      </w:pPr>
    </w:p>
    <w:p>
      <w:pPr>
        <w:spacing w:line="240" w:lineRule="auto" w:before="11"/>
        <w:rPr>
          <w:rFonts w:ascii="Times New Roman" w:hAnsi="Times New Roman" w:cs="Times New Roman" w:eastAsia="Times New Roman" w:hint="default"/>
          <w:sz w:val="26"/>
          <w:szCs w:val="26"/>
        </w:rPr>
      </w:pPr>
      <w:r>
        <w:rPr/>
        <w:pict>
          <v:group style="position:absolute;margin-left:54.84pt;margin-top:28.299988pt;width:485.7pt;height:40.15pt;mso-position-horizontal-relative:page;mso-position-vertical-relative:page;z-index:-614344" coordorigin="1097,566" coordsize="9714,803">
            <v:group style="position:absolute;left:1104;top:1112;width:9700;height:2" coordorigin="1104,1112" coordsize="9700,2">
              <v:shape style="position:absolute;left:1104;top:1112;width:9700;height:2" coordorigin="1104,1112" coordsize="9700,0" path="m1104,1112l10804,1112e" filled="false" stroked="true" strokeweight=".72pt" strokecolor="#000000">
                <v:path arrowok="t"/>
              </v:shape>
              <v:shape style="position:absolute;left:1140;top:566;width:2160;height:803" type="#_x0000_t75" stroked="false">
                <v:imagedata r:id="rId7" o:title=""/>
              </v:shape>
            </v:group>
            <w10:wrap type="none"/>
          </v:group>
        </w:pict>
      </w:r>
    </w:p>
    <w:p>
      <w:pPr>
        <w:pStyle w:val="Heading2"/>
        <w:spacing w:line="240" w:lineRule="auto" w:before="26"/>
        <w:ind w:left="1134" w:right="0"/>
        <w:jc w:val="left"/>
        <w:rPr>
          <w:b w:val="0"/>
          <w:bCs w:val="0"/>
        </w:rPr>
      </w:pPr>
      <w:bookmarkStart w:name="十五、重大关联交易" w:id="80"/>
      <w:bookmarkEnd w:id="80"/>
      <w:r>
        <w:rPr>
          <w:b w:val="0"/>
          <w:bCs w:val="0"/>
        </w:rPr>
      </w:r>
      <w:r>
        <w:rPr/>
        <w:t>十五、重大关联交易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与日常经营相关的关联交易" w:id="81"/>
      <w:bookmarkEnd w:id="81"/>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1133"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公司报告期未发生与日常经营相关的关联交易。</w:t>
      </w:r>
    </w:p>
    <w:p>
      <w:pPr>
        <w:spacing w:line="240" w:lineRule="auto" w:before="2"/>
        <w:rPr>
          <w:rFonts w:ascii="宋体" w:hAnsi="宋体" w:cs="宋体" w:eastAsia="宋体" w:hint="default"/>
          <w:sz w:val="21"/>
          <w:szCs w:val="21"/>
        </w:rPr>
      </w:pPr>
    </w:p>
    <w:p>
      <w:pPr>
        <w:pStyle w:val="Heading3"/>
        <w:spacing w:line="240" w:lineRule="auto"/>
        <w:ind w:left="1133" w:right="0"/>
        <w:jc w:val="left"/>
        <w:rPr>
          <w:b w:val="0"/>
          <w:bCs w:val="0"/>
        </w:rPr>
      </w:pPr>
      <w:bookmarkStart w:name="2、资产或股权收购、出售发生的关联交易" w:id="82"/>
      <w:bookmarkEnd w:id="82"/>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1133"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3、共同对外投资的关联交易" w:id="83"/>
      <w:bookmarkEnd w:id="83"/>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1133"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2"/>
        <w:rPr>
          <w:rFonts w:ascii="宋体" w:hAnsi="宋体" w:cs="宋体" w:eastAsia="宋体" w:hint="default"/>
          <w:sz w:val="21"/>
          <w:szCs w:val="21"/>
        </w:rPr>
      </w:pPr>
    </w:p>
    <w:p>
      <w:pPr>
        <w:pStyle w:val="Heading3"/>
        <w:spacing w:line="240" w:lineRule="auto"/>
        <w:ind w:left="1133" w:right="0"/>
        <w:jc w:val="left"/>
        <w:rPr>
          <w:b w:val="0"/>
          <w:bCs w:val="0"/>
        </w:rPr>
      </w:pPr>
      <w:bookmarkStart w:name="4、关联债权债务往来" w:id="84"/>
      <w:bookmarkEnd w:id="84"/>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left="1133"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13"/>
        <w:rPr>
          <w:rFonts w:ascii="宋体" w:hAnsi="宋体" w:cs="宋体" w:eastAsia="宋体" w:hint="default"/>
          <w:sz w:val="20"/>
          <w:szCs w:val="20"/>
        </w:rPr>
      </w:pPr>
    </w:p>
    <w:p>
      <w:pPr>
        <w:pStyle w:val="Heading3"/>
        <w:spacing w:line="240" w:lineRule="auto"/>
        <w:ind w:left="1133" w:right="0"/>
        <w:jc w:val="left"/>
        <w:rPr>
          <w:b w:val="0"/>
          <w:bCs w:val="0"/>
        </w:rPr>
      </w:pPr>
      <w:bookmarkStart w:name="5、其他重大关联交易" w:id="85"/>
      <w:bookmarkEnd w:id="85"/>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1133"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六、重大合同及其履行情况" w:id="86"/>
      <w:bookmarkEnd w:id="86"/>
      <w:r>
        <w:rPr>
          <w:b w:val="0"/>
          <w:bCs w:val="0"/>
        </w:rPr>
      </w:r>
      <w:r>
        <w:rPr/>
        <w:t>十六、重大合同及其履行情况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托管、承包、租赁事项情况" w:id="87"/>
      <w:bookmarkEnd w:id="87"/>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托管情况" w:id="88"/>
      <w:bookmarkEnd w:id="88"/>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left="1133"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2"/>
        <w:rPr>
          <w:rFonts w:ascii="宋体" w:hAnsi="宋体" w:cs="宋体" w:eastAsia="宋体" w:hint="default"/>
          <w:sz w:val="20"/>
          <w:szCs w:val="20"/>
        </w:rPr>
      </w:pPr>
    </w:p>
    <w:p>
      <w:pPr>
        <w:pStyle w:val="Heading3"/>
        <w:spacing w:line="240" w:lineRule="auto"/>
        <w:ind w:left="1133" w:right="0"/>
        <w:jc w:val="left"/>
        <w:rPr>
          <w:b w:val="0"/>
          <w:bCs w:val="0"/>
        </w:rPr>
      </w:pPr>
      <w:bookmarkStart w:name="（2）承包情况" w:id="89"/>
      <w:bookmarkEnd w:id="89"/>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1133"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2"/>
        <w:rPr>
          <w:rFonts w:ascii="宋体" w:hAnsi="宋体" w:cs="宋体" w:eastAsia="宋体" w:hint="default"/>
          <w:sz w:val="21"/>
          <w:szCs w:val="21"/>
        </w:rPr>
      </w:pPr>
    </w:p>
    <w:p>
      <w:pPr>
        <w:pStyle w:val="Heading3"/>
        <w:spacing w:line="240" w:lineRule="auto"/>
        <w:ind w:left="1133" w:right="0"/>
        <w:jc w:val="left"/>
        <w:rPr>
          <w:b w:val="0"/>
          <w:bCs w:val="0"/>
        </w:rPr>
      </w:pPr>
      <w:bookmarkStart w:name="（3）租赁情况" w:id="90"/>
      <w:bookmarkEnd w:id="90"/>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headerReference w:type="default" r:id="rId25"/>
          <w:pgSz w:w="11910" w:h="16840"/>
          <w:pgMar w:header="867" w:footer="979" w:top="1060" w:bottom="1160" w:left="0" w:right="0"/>
        </w:sectPr>
      </w:pPr>
    </w:p>
    <w:p>
      <w:pPr>
        <w:spacing w:line="240" w:lineRule="auto" w:before="13"/>
        <w:rPr>
          <w:rFonts w:ascii="宋体" w:hAnsi="宋体" w:cs="宋体" w:eastAsia="宋体" w:hint="default"/>
          <w:sz w:val="25"/>
          <w:szCs w:val="25"/>
        </w:rPr>
      </w:pPr>
      <w:r>
        <w:rPr/>
        <w:pict>
          <v:group style="position:absolute;margin-left:54.84pt;margin-top:28.299988pt;width:485.7pt;height:40.15pt;mso-position-horizontal-relative:page;mso-position-vertical-relative:page;z-index:1720" coordorigin="1097,566" coordsize="9714,803">
            <v:group style="position:absolute;left:1104;top:1112;width:9700;height:2" coordorigin="1104,1112" coordsize="9700,2">
              <v:shape style="position:absolute;left:1104;top:1112;width:9700;height:2" coordorigin="1104,1112" coordsize="9700,0" path="m1104,1112l10804,1112e" filled="false" stroked="true" strokeweight=".72pt" strokecolor="#000000">
                <v:path arrowok="t"/>
              </v:shape>
              <v:shape style="position:absolute;left:1140;top:566;width:2160;height:803" type="#_x0000_t75" stroked="false">
                <v:imagedata r:id="rId7" o:title=""/>
              </v:shape>
            </v:group>
            <w10:wrap type="none"/>
          </v:group>
        </w:pict>
      </w:r>
    </w:p>
    <w:p>
      <w:pPr>
        <w:pStyle w:val="BodyText"/>
        <w:spacing w:line="240" w:lineRule="auto" w:before="44"/>
        <w:ind w:right="0"/>
        <w:jc w:val="left"/>
      </w:pPr>
      <w:r>
        <w:rPr/>
        <w:t>公司报告期不存在租赁情况。</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重大担保" w:id="91"/>
      <w:bookmarkEnd w:id="91"/>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1133"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公司报告期不存在担保情况。</w:t>
      </w:r>
    </w:p>
    <w:p>
      <w:pPr>
        <w:spacing w:line="240" w:lineRule="auto" w:before="2"/>
        <w:rPr>
          <w:rFonts w:ascii="宋体" w:hAnsi="宋体" w:cs="宋体" w:eastAsia="宋体" w:hint="default"/>
          <w:sz w:val="21"/>
          <w:szCs w:val="21"/>
        </w:rPr>
      </w:pPr>
    </w:p>
    <w:p>
      <w:pPr>
        <w:pStyle w:val="Heading3"/>
        <w:spacing w:line="240" w:lineRule="auto"/>
        <w:ind w:left="1133" w:right="0"/>
        <w:jc w:val="left"/>
        <w:rPr>
          <w:b w:val="0"/>
          <w:bCs w:val="0"/>
        </w:rPr>
      </w:pPr>
      <w:bookmarkStart w:name="3、委托他人进行现金资产管理情况" w:id="92"/>
      <w:bookmarkEnd w:id="92"/>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委托理财情况" w:id="93"/>
      <w:bookmarkEnd w:id="93"/>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1133"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公司报告期不存在委托理财。</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2）委托贷款情况" w:id="94"/>
      <w:bookmarkEnd w:id="94"/>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1133"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2"/>
        <w:rPr>
          <w:rFonts w:ascii="宋体" w:hAnsi="宋体" w:cs="宋体" w:eastAsia="宋体" w:hint="default"/>
          <w:sz w:val="21"/>
          <w:szCs w:val="21"/>
        </w:rPr>
      </w:pPr>
    </w:p>
    <w:p>
      <w:pPr>
        <w:pStyle w:val="Heading3"/>
        <w:spacing w:line="240" w:lineRule="auto"/>
        <w:ind w:left="1133" w:right="0"/>
        <w:jc w:val="left"/>
        <w:rPr>
          <w:b w:val="0"/>
          <w:bCs w:val="0"/>
        </w:rPr>
      </w:pPr>
      <w:bookmarkStart w:name="4、其他重大合同" w:id="95"/>
      <w:bookmarkEnd w:id="95"/>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left="1133"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七、其他重大事项的说明" w:id="96"/>
      <w:bookmarkEnd w:id="96"/>
      <w:r>
        <w:rPr>
          <w:b w:val="0"/>
          <w:bCs w:val="0"/>
        </w:rPr>
      </w:r>
      <w:r>
        <w:rPr/>
        <w:t>十七、其他重大事项的说明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1133" w:right="69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公司报告期内不存在需要说明的其他重大事项。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八、公司子公司重大事项" w:id="97"/>
      <w:bookmarkEnd w:id="97"/>
      <w:r>
        <w:rPr>
          <w:b w:val="0"/>
          <w:bCs w:val="0"/>
        </w:rPr>
      </w:r>
      <w:r>
        <w:rPr/>
        <w:t>十八、公司子公司重大事项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十九、社会责任情况" w:id="98"/>
      <w:bookmarkEnd w:id="98"/>
      <w:r>
        <w:rPr>
          <w:b w:val="0"/>
          <w:bCs w:val="0"/>
        </w:rPr>
      </w:r>
      <w:r>
        <w:rPr/>
        <w:t>十九、社会责任情况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二十、公司债券相关情况" w:id="99"/>
      <w:bookmarkEnd w:id="99"/>
      <w:r>
        <w:rPr>
          <w:b w:val="0"/>
          <w:bCs w:val="0"/>
        </w:rPr>
      </w:r>
      <w:r>
        <w:rPr/>
        <w:t>二十、公司债券相关情况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0"/>
        <w:jc w:val="left"/>
      </w:pPr>
      <w:r>
        <w:rPr/>
        <w:t>公司不存在公开发行并在证券交易所上市，且在年度报告批准报出日未到期或到期未能全额兑付的公司债券。</w:t>
      </w:r>
    </w:p>
    <w:p>
      <w:pPr>
        <w:spacing w:after="0" w:line="240" w:lineRule="auto"/>
        <w:jc w:val="left"/>
        <w:sectPr>
          <w:pgSz w:w="11910" w:h="16840"/>
          <w:pgMar w:header="867" w:footer="979" w:top="1060" w:bottom="1160" w:left="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1"/>
        <w:spacing w:line="240" w:lineRule="auto"/>
        <w:ind w:left="3946" w:right="0"/>
        <w:jc w:val="left"/>
        <w:rPr>
          <w:b w:val="0"/>
          <w:bCs w:val="0"/>
        </w:rPr>
      </w:pPr>
      <w:bookmarkStart w:name="_TOC_250005" w:id="100"/>
      <w:bookmarkStart w:name="第六节 股份变动及股东情况" w:id="101"/>
      <w:r>
        <w:rPr>
          <w:b w:val="0"/>
          <w:bCs w:val="0"/>
        </w:rPr>
      </w:r>
      <w:r>
        <w:rPr/>
        <w:t>第六节</w:t>
      </w:r>
      <w:r>
        <w:rPr>
          <w:spacing w:val="-10"/>
        </w:rPr>
        <w:t> </w:t>
      </w:r>
      <w:r>
        <w:rPr/>
        <w:t>股份变动及股东情况</w:t>
      </w:r>
      <w:bookmarkEnd w:id="100"/>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2"/>
      <w:bookmarkEnd w:id="102"/>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股份变动情况" w:id="103"/>
      <w:bookmarkEnd w:id="103"/>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220"/>
        <w:jc w:val="right"/>
      </w:pPr>
      <w:r>
        <w:rPr/>
        <w:t>单位：股</w:t>
      </w:r>
    </w:p>
    <w:p>
      <w:pPr>
        <w:spacing w:line="240" w:lineRule="auto" w:before="1"/>
        <w:rPr>
          <w:rFonts w:ascii="宋体" w:hAnsi="宋体" w:cs="宋体" w:eastAsia="宋体" w:hint="default"/>
          <w:sz w:val="8"/>
          <w:szCs w:val="8"/>
        </w:rPr>
      </w:pPr>
    </w:p>
    <w:tbl>
      <w:tblPr>
        <w:tblW w:w="0" w:type="auto"/>
        <w:jc w:val="left"/>
        <w:tblInd w:w="555" w:type="dxa"/>
        <w:tblLayout w:type="fixed"/>
        <w:tblCellMar>
          <w:top w:w="0" w:type="dxa"/>
          <w:left w:w="0" w:type="dxa"/>
          <w:bottom w:w="0" w:type="dxa"/>
          <w:right w:w="0" w:type="dxa"/>
        </w:tblCellMar>
        <w:tblLook w:val="01E0"/>
      </w:tblPr>
      <w:tblGrid>
        <w:gridCol w:w="1924"/>
        <w:gridCol w:w="1145"/>
        <w:gridCol w:w="851"/>
        <w:gridCol w:w="1134"/>
        <w:gridCol w:w="708"/>
        <w:gridCol w:w="994"/>
        <w:gridCol w:w="993"/>
        <w:gridCol w:w="1134"/>
        <w:gridCol w:w="1122"/>
        <w:gridCol w:w="795"/>
      </w:tblGrid>
      <w:tr>
        <w:trPr>
          <w:trHeight w:val="205" w:hRule="exact"/>
        </w:trPr>
        <w:tc>
          <w:tcPr>
            <w:tcW w:w="19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4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963"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487"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9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02"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97" w:hRule="exact"/>
        </w:trPr>
        <w:tc>
          <w:tcPr>
            <w:tcW w:w="1924" w:type="dxa"/>
            <w:vMerge w:val="restart"/>
            <w:tcBorders>
              <w:top w:val="nil" w:sz="6" w:space="0" w:color="auto"/>
              <w:left w:val="single" w:sz="4" w:space="0" w:color="000000"/>
              <w:right w:val="single" w:sz="4" w:space="0" w:color="000000"/>
            </w:tcBorders>
            <w:shd w:val="clear" w:color="auto" w:fill="D2D2D2"/>
          </w:tcPr>
          <w:p>
            <w:pPr/>
          </w:p>
        </w:tc>
        <w:tc>
          <w:tcPr>
            <w:tcW w:w="1996" w:type="dxa"/>
            <w:gridSpan w:val="2"/>
            <w:vMerge/>
            <w:tcBorders>
              <w:left w:val="single" w:sz="4" w:space="0" w:color="000000"/>
              <w:bottom w:val="single" w:sz="4" w:space="0" w:color="000000"/>
              <w:right w:val="single" w:sz="4" w:space="0" w:color="000000"/>
            </w:tcBorders>
            <w:shd w:val="clear" w:color="auto" w:fill="D2D2D2"/>
          </w:tcPr>
          <w:p>
            <w:pPr/>
          </w:p>
        </w:tc>
        <w:tc>
          <w:tcPr>
            <w:tcW w:w="4963" w:type="dxa"/>
            <w:gridSpan w:val="5"/>
            <w:vMerge/>
            <w:tcBorders>
              <w:left w:val="single" w:sz="4" w:space="0" w:color="000000"/>
              <w:bottom w:val="single" w:sz="4" w:space="0" w:color="000000"/>
              <w:right w:val="single" w:sz="4" w:space="0" w:color="000000"/>
            </w:tcBorders>
            <w:shd w:val="clear" w:color="auto" w:fill="D2D2D2"/>
          </w:tcPr>
          <w:p>
            <w:pPr/>
          </w:p>
        </w:tc>
        <w:tc>
          <w:tcPr>
            <w:tcW w:w="1917"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24" w:type="dxa"/>
            <w:vMerge/>
            <w:tcBorders>
              <w:left w:val="single" w:sz="4" w:space="0" w:color="000000"/>
              <w:bottom w:val="nil" w:sz="6" w:space="0" w:color="auto"/>
              <w:right w:val="single" w:sz="4" w:space="0" w:color="000000"/>
            </w:tcBorders>
            <w:shd w:val="clear" w:color="auto" w:fill="D2D2D2"/>
          </w:tcPr>
          <w:p>
            <w:pPr/>
          </w:p>
        </w:tc>
        <w:tc>
          <w:tcPr>
            <w:tcW w:w="114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4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1"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9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7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9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45" w:type="dxa"/>
            <w:vMerge/>
            <w:tcBorders>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993"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122" w:type="dxa"/>
            <w:vMerge/>
            <w:tcBorders>
              <w:left w:val="single" w:sz="4" w:space="0" w:color="000000"/>
              <w:bottom w:val="single" w:sz="4" w:space="0" w:color="000000"/>
              <w:right w:val="single" w:sz="4" w:space="0" w:color="000000"/>
            </w:tcBorders>
            <w:shd w:val="clear" w:color="auto" w:fill="D2D2D2"/>
          </w:tcPr>
          <w:p>
            <w:pPr/>
          </w:p>
        </w:tc>
        <w:tc>
          <w:tcPr>
            <w:tcW w:w="79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79,012,400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58.10%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24,714,826</w:t>
            </w: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84,071,293</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-19,655,933</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89,130,186</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168,142,586</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52.31%</w:t>
            </w:r>
          </w:p>
        </w:tc>
      </w:tr>
      <w:tr>
        <w:trPr>
          <w:trHeight w:val="402" w:hRule="exact"/>
        </w:trPr>
        <w:tc>
          <w:tcPr>
            <w:tcW w:w="1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、其他内资持股</w:t>
            </w:r>
          </w:p>
        </w:tc>
        <w:tc>
          <w:tcPr>
            <w:tcW w:w="11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79,012,400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58.10%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24,714,826</w:t>
            </w: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84,071,293</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-19,655,933</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89,130,186</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168,142,586</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52.31%</w:t>
            </w:r>
          </w:p>
        </w:tc>
      </w:tr>
      <w:tr>
        <w:trPr>
          <w:trHeight w:val="402" w:hRule="exact"/>
        </w:trPr>
        <w:tc>
          <w:tcPr>
            <w:tcW w:w="1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145" w:type="dxa"/>
            <w:tcBorders>
              <w:top w:val="single" w:sz="4" w:space="0" w:color="000000"/>
              <w:left w:val="single" w:sz="13" w:space="0" w:color="D2D2D2"/>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12,040,556</w:t>
            </w: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12,040,556</w:t>
            </w: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24,081,112</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24,081,112</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7.49%</w:t>
            </w:r>
          </w:p>
        </w:tc>
      </w:tr>
      <w:tr>
        <w:trPr>
          <w:trHeight w:val="402" w:hRule="exact"/>
        </w:trPr>
        <w:tc>
          <w:tcPr>
            <w:tcW w:w="1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1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79,012,400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58.10%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12,674,270</w:t>
            </w: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72,030,737</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-19,655,933</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65,049,074</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144,061,474</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44.82%</w:t>
            </w:r>
          </w:p>
        </w:tc>
      </w:tr>
      <w:tr>
        <w:trPr>
          <w:trHeight w:val="402" w:hRule="exact"/>
        </w:trPr>
        <w:tc>
          <w:tcPr>
            <w:tcW w:w="1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56,987,600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41.90%</w:t>
            </w: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76,643,533</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19,655,933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96,299,466</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153,287,066</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47.69%</w:t>
            </w:r>
          </w:p>
        </w:tc>
      </w:tr>
      <w:tr>
        <w:trPr>
          <w:trHeight w:val="402" w:hRule="exact"/>
        </w:trPr>
        <w:tc>
          <w:tcPr>
            <w:tcW w:w="1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56,987,600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41.90%</w:t>
            </w: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76,643,533</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19,655,933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96,299,466</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153,287,066</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47.69%</w:t>
            </w:r>
          </w:p>
        </w:tc>
      </w:tr>
      <w:tr>
        <w:trPr>
          <w:trHeight w:val="402" w:hRule="exact"/>
        </w:trPr>
        <w:tc>
          <w:tcPr>
            <w:tcW w:w="1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136,000,000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24,714,826</w:t>
            </w: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160,714,826</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185,429,652</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321,429,652</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7"/>
        <w:rPr>
          <w:rFonts w:ascii="宋体" w:hAnsi="宋体" w:cs="宋体" w:eastAsia="宋体" w:hint="default"/>
          <w:sz w:val="27"/>
          <w:szCs w:val="27"/>
        </w:rPr>
      </w:pPr>
    </w:p>
    <w:p>
      <w:pPr>
        <w:pStyle w:val="BodyText"/>
        <w:spacing w:line="240" w:lineRule="auto" w:before="44"/>
        <w:ind w:left="1133" w:right="0"/>
        <w:jc w:val="left"/>
      </w:pPr>
      <w:r>
        <w:rPr/>
        <w:t>股份变动的原因</w:t>
      </w:r>
    </w:p>
    <w:p>
      <w:pPr>
        <w:pStyle w:val="BodyText"/>
        <w:spacing w:line="319" w:lineRule="auto" w:before="116"/>
        <w:ind w:left="1133" w:right="166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报告期内，公司新增非公开发行股票</w:t>
      </w:r>
      <w:r>
        <w:rPr>
          <w:rFonts w:ascii="Times New Roman" w:hAnsi="Times New Roman" w:cs="Times New Roman" w:eastAsia="Times New Roman" w:hint="default"/>
        </w:rPr>
        <w:t>24,714,826</w:t>
      </w:r>
      <w:r>
        <w:rPr/>
        <w:t>股；使用资本公积金转增股本新增股份</w:t>
      </w:r>
      <w:r>
        <w:rPr>
          <w:rFonts w:ascii="Times New Roman" w:hAnsi="Times New Roman" w:cs="Times New Roman" w:eastAsia="Times New Roman" w:hint="default"/>
        </w:rPr>
        <w:t>160,714,826</w:t>
      </w:r>
      <w:r>
        <w:rPr/>
        <w:t>股，合计新增股份 </w:t>
      </w:r>
      <w:r>
        <w:rPr>
          <w:rFonts w:ascii="Times New Roman" w:hAnsi="Times New Roman" w:cs="Times New Roman" w:eastAsia="Times New Roman" w:hint="default"/>
        </w:rPr>
        <w:t>185,429,652</w:t>
      </w:r>
      <w:r>
        <w:rPr/>
        <w:t>股。</w:t>
      </w:r>
    </w:p>
    <w:p>
      <w:pPr>
        <w:pStyle w:val="BodyText"/>
        <w:spacing w:line="240" w:lineRule="auto" w:before="38"/>
        <w:ind w:left="1133" w:right="0"/>
        <w:jc w:val="left"/>
      </w:pPr>
      <w:r>
        <w:rPr/>
        <w:t>股份变动的批准情况</w:t>
      </w:r>
    </w:p>
    <w:p>
      <w:pPr>
        <w:pStyle w:val="BodyText"/>
        <w:spacing w:line="319" w:lineRule="auto" w:before="117"/>
        <w:ind w:left="11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29</w:t>
      </w:r>
      <w:r>
        <w:rPr>
          <w:spacing w:val="-2"/>
        </w:rPr>
        <w:t>日，公司第二届董事会第十三次会议审议通过了公司非公开发行股票的相关议案；</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15</w:t>
      </w:r>
      <w:r>
        <w:rPr>
          <w:spacing w:val="-2"/>
        </w:rPr>
        <w:t>日，公司召</w:t>
      </w:r>
      <w:r>
        <w:rPr>
          <w:spacing w:val="-49"/>
        </w:rPr>
        <w:t> </w:t>
      </w:r>
      <w:r>
        <w:rPr>
          <w:spacing w:val="-49"/>
        </w:rPr>
      </w:r>
      <w:r>
        <w:rPr>
          <w:spacing w:val="-2"/>
        </w:rPr>
        <w:t>开</w:t>
      </w:r>
      <w:r>
        <w:rPr>
          <w:rFonts w:ascii="Times New Roman" w:hAnsi="Times New Roman" w:cs="Times New Roman" w:eastAsia="Times New Roman" w:hint="default"/>
          <w:spacing w:val="-2"/>
        </w:rPr>
        <w:t>2014</w:t>
      </w:r>
      <w:r>
        <w:rPr>
          <w:spacing w:val="-2"/>
        </w:rPr>
        <w:t>年第二次临时股东大会审议通过了公司非公开发行股票的相关议案，有效期一年。</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4</w:t>
      </w:r>
      <w:r>
        <w:rPr>
          <w:spacing w:val="-2"/>
        </w:rPr>
        <w:t>日，公司收到中国证监</w:t>
      </w:r>
    </w:p>
    <w:p>
      <w:pPr>
        <w:pStyle w:val="BodyText"/>
        <w:spacing w:line="319" w:lineRule="auto"/>
        <w:ind w:left="1133" w:right="1036"/>
        <w:jc w:val="left"/>
      </w:pPr>
      <w:r>
        <w:rPr/>
        <w:t>会《关于核准荣科科技股份有限公司非公开发行股票的批复》（证监许可</w:t>
      </w:r>
      <w:r>
        <w:rPr>
          <w:rFonts w:ascii="Times New Roman" w:hAnsi="Times New Roman" w:cs="Times New Roman" w:eastAsia="Times New Roman" w:hint="default"/>
        </w:rPr>
        <w:t>[2015]996</w:t>
      </w:r>
      <w:r>
        <w:rPr/>
        <w:t>号）核准了本次发行。 </w:t>
      </w: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25</w:t>
      </w:r>
      <w:r>
        <w:rPr>
          <w:spacing w:val="-3"/>
        </w:rPr>
        <w:t>日，公司召开第二届董事会第二十二次会议，审议通过了《关于</w:t>
      </w:r>
      <w:r>
        <w:rPr>
          <w:rFonts w:ascii="Times New Roman" w:hAnsi="Times New Roman" w:cs="Times New Roman" w:eastAsia="Times New Roman" w:hint="default"/>
          <w:spacing w:val="-3"/>
        </w:rPr>
        <w:t>2015</w:t>
      </w:r>
      <w:r>
        <w:rPr>
          <w:spacing w:val="-3"/>
        </w:rPr>
        <w:t>年半年度资本公积金转增股本的议案》，</w:t>
      </w:r>
      <w:r>
        <w:rPr>
          <w:spacing w:val="-81"/>
        </w:rPr>
        <w:t> </w:t>
      </w:r>
      <w:r>
        <w:rPr>
          <w:spacing w:val="-81"/>
        </w:rPr>
      </w:r>
      <w:r>
        <w:rPr>
          <w:spacing w:val="-2"/>
        </w:rPr>
        <w:t>以截至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30</w:t>
      </w:r>
      <w:r>
        <w:rPr>
          <w:spacing w:val="-2"/>
        </w:rPr>
        <w:t>日公司总股本</w:t>
      </w:r>
      <w:r>
        <w:rPr>
          <w:rFonts w:ascii="Times New Roman" w:hAnsi="Times New Roman" w:cs="Times New Roman" w:eastAsia="Times New Roman" w:hint="default"/>
          <w:spacing w:val="-2"/>
        </w:rPr>
        <w:t>160,714,826</w:t>
      </w:r>
      <w:r>
        <w:rPr>
          <w:spacing w:val="-2"/>
        </w:rPr>
        <w:t>股为基数，用资本公积金向全体股东每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10</w:t>
      </w:r>
      <w:r>
        <w:rPr>
          <w:spacing w:val="-2"/>
        </w:rPr>
        <w:t>股，共计转增</w:t>
      </w:r>
      <w:r>
        <w:rPr>
          <w:rFonts w:ascii="Times New Roman" w:hAnsi="Times New Roman" w:cs="Times New Roman" w:eastAsia="Times New Roman" w:hint="default"/>
          <w:spacing w:val="-2"/>
        </w:rPr>
        <w:t>160,714,826</w:t>
      </w:r>
      <w:r>
        <w:rPr>
          <w:spacing w:val="-2"/>
        </w:rPr>
        <w:t>股。</w:t>
      </w:r>
    </w:p>
    <w:p>
      <w:pPr>
        <w:pStyle w:val="BodyText"/>
        <w:spacing w:line="338" w:lineRule="auto"/>
        <w:ind w:left="1133" w:right="4183"/>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10</w:t>
      </w:r>
      <w:r>
        <w:rPr/>
        <w:t>日，公司召开了</w:t>
      </w:r>
      <w:r>
        <w:rPr>
          <w:rFonts w:ascii="Times New Roman" w:hAnsi="Times New Roman" w:cs="Times New Roman" w:eastAsia="Times New Roman" w:hint="default"/>
        </w:rPr>
        <w:t>2015</w:t>
      </w:r>
      <w:r>
        <w:rPr/>
        <w:t>年度第一次临时股东大会，审议通过了上述议案。 股份变动的过户情况</w:t>
      </w:r>
    </w:p>
    <w:p>
      <w:pPr>
        <w:pStyle w:val="BodyText"/>
        <w:spacing w:line="240" w:lineRule="auto" w:before="42"/>
        <w:ind w:left="11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1133"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26</w:t>
      </w:r>
      <w:r>
        <w:rPr/>
        <w:t>日，公司在中国结算深圳分公司办理了非公开发行新增股份的股份登记。</w:t>
      </w:r>
    </w:p>
    <w:p>
      <w:pPr>
        <w:pStyle w:val="BodyText"/>
        <w:spacing w:line="338" w:lineRule="auto" w:before="102"/>
        <w:ind w:left="1133" w:right="1033"/>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18</w:t>
      </w:r>
      <w:r>
        <w:rPr/>
        <w:t>日，公司完成了</w:t>
      </w:r>
      <w:r>
        <w:rPr>
          <w:rFonts w:ascii="Times New Roman" w:hAnsi="Times New Roman" w:cs="Times New Roman" w:eastAsia="Times New Roman" w:hint="default"/>
        </w:rPr>
        <w:t>2015</w:t>
      </w:r>
      <w:r>
        <w:rPr/>
        <w:t>年半年度权益分派工作，本次转增股份于当日直接计入权益分派对象的股东证券账户。 股份变动对最近一年和最近一期基本每股收益和稀释每股收益、归属于公司普通股股东的每股净资产等财务指标的影响</w:t>
      </w:r>
    </w:p>
    <w:p>
      <w:pPr>
        <w:pStyle w:val="BodyText"/>
        <w:spacing w:line="338" w:lineRule="auto" w:before="43"/>
        <w:ind w:left="1133" w:right="55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详见本报告第二节第五部分</w:t>
      </w:r>
      <w:r>
        <w:rPr>
          <w:rFonts w:ascii="Times New Roman" w:hAnsi="Times New Roman" w:cs="Times New Roman" w:eastAsia="Times New Roman" w:hint="default"/>
        </w:rPr>
        <w:t>“</w:t>
      </w:r>
      <w:r>
        <w:rPr/>
        <w:t>主要会计数据和财务指标</w:t>
      </w:r>
      <w:r>
        <w:rPr>
          <w:rFonts w:ascii="Times New Roman" w:hAnsi="Times New Roman" w:cs="Times New Roman" w:eastAsia="Times New Roman" w:hint="default"/>
        </w:rPr>
        <w:t>”</w:t>
      </w:r>
      <w:r>
        <w:rPr/>
        <w:t>所列内容。 公司认为必要或证券监管机构要求披露的其他内容</w:t>
      </w:r>
    </w:p>
    <w:p>
      <w:pPr>
        <w:spacing w:after="0" w:line="338" w:lineRule="auto"/>
        <w:jc w:val="left"/>
        <w:sectPr>
          <w:headerReference w:type="default" r:id="rId26"/>
          <w:pgSz w:w="11910" w:h="16840"/>
          <w:pgMar w:header="566" w:footer="979" w:top="1360" w:bottom="1160" w:left="0" w:right="0"/>
        </w:sectPr>
      </w:pPr>
    </w:p>
    <w:p>
      <w:pPr>
        <w:pStyle w:val="BodyText"/>
        <w:spacing w:line="240" w:lineRule="auto" w:before="8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2、限售股份变动情况" w:id="104"/>
      <w:bookmarkEnd w:id="104"/>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1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单位：股</w:t>
      </w:r>
    </w:p>
    <w:p>
      <w:pPr>
        <w:spacing w:line="240" w:lineRule="auto" w:before="6"/>
        <w:rPr>
          <w:rFonts w:ascii="宋体" w:hAnsi="宋体" w:cs="宋体" w:eastAsia="宋体" w:hint="default"/>
          <w:sz w:val="8"/>
          <w:szCs w:val="8"/>
        </w:rPr>
      </w:pPr>
    </w:p>
    <w:tbl>
      <w:tblPr>
        <w:tblW w:w="0" w:type="auto"/>
        <w:jc w:val="left"/>
        <w:tblInd w:w="135" w:type="dxa"/>
        <w:tblLayout w:type="fixed"/>
        <w:tblCellMar>
          <w:top w:w="0" w:type="dxa"/>
          <w:left w:w="0" w:type="dxa"/>
          <w:bottom w:w="0" w:type="dxa"/>
          <w:right w:w="0" w:type="dxa"/>
        </w:tblCellMar>
        <w:tblLook w:val="01E0"/>
      </w:tblPr>
      <w:tblGrid>
        <w:gridCol w:w="3688"/>
        <w:gridCol w:w="1276"/>
        <w:gridCol w:w="1134"/>
        <w:gridCol w:w="1134"/>
        <w:gridCol w:w="1134"/>
        <w:gridCol w:w="1700"/>
        <w:gridCol w:w="1560"/>
      </w:tblGrid>
      <w:tr>
        <w:trPr>
          <w:trHeight w:val="744" w:hRule="exact"/>
        </w:trPr>
        <w:tc>
          <w:tcPr>
            <w:tcW w:w="36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93"/>
              <w:jc w:val="right"/>
              <w:rPr>
                <w:rFonts w:ascii="宋体" w:hAnsi="宋体" w:cs="宋体" w:eastAsia="宋体" w:hint="default"/>
                <w:sz w:val="18"/>
                <w:szCs w:val="18"/>
              </w:rPr>
            </w:pPr>
            <w:r>
              <w:rPr>
                <w:rFonts w:ascii="宋体" w:hAnsi="宋体" w:cs="宋体" w:eastAsia="宋体" w:hint="default"/>
                <w:sz w:val="18"/>
                <w:szCs w:val="18"/>
              </w:rPr>
              <w:t>期初限售股数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291" w:right="110"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291" w:right="110" w:hanging="180"/>
              <w:jc w:val="left"/>
              <w:rPr>
                <w:rFonts w:ascii="宋体" w:hAnsi="宋体" w:cs="宋体" w:eastAsia="宋体" w:hint="default"/>
                <w:sz w:val="18"/>
                <w:szCs w:val="18"/>
              </w:rPr>
            </w:pPr>
            <w:r>
              <w:rPr>
                <w:rFonts w:ascii="宋体" w:hAnsi="宋体" w:cs="宋体" w:eastAsia="宋体" w:hint="default"/>
                <w:sz w:val="18"/>
                <w:szCs w:val="18"/>
              </w:rPr>
              <w:t>本期增加限 售股数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46"/>
              <w:ind w:left="381" w:right="201" w:hanging="180"/>
              <w:jc w:val="left"/>
              <w:rPr>
                <w:rFonts w:ascii="宋体" w:hAnsi="宋体" w:cs="宋体" w:eastAsia="宋体" w:hint="default"/>
                <w:sz w:val="18"/>
                <w:szCs w:val="18"/>
              </w:rPr>
            </w:pPr>
            <w:r>
              <w:rPr>
                <w:rFonts w:ascii="宋体" w:hAnsi="宋体" w:cs="宋体" w:eastAsia="宋体" w:hint="default"/>
                <w:sz w:val="18"/>
                <w:szCs w:val="18"/>
              </w:rPr>
              <w:t>期末限售 股数</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407" w:hRule="exact"/>
        </w:trPr>
        <w:tc>
          <w:tcPr>
            <w:tcW w:w="3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付艳杰</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12" w:space="0" w:color="D2D2D2"/>
              <w:left w:val="single" w:sz="4" w:space="0" w:color="000000"/>
              <w:bottom w:val="single" w:sz="4" w:space="0" w:color="000000"/>
              <w:right w:val="single" w:sz="4" w:space="0" w:color="000000"/>
            </w:tcBorders>
          </w:tcPr>
          <w:p>
            <w:pPr/>
          </w:p>
        </w:tc>
        <w:tc>
          <w:tcPr>
            <w:tcW w:w="1134"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8"/>
                <w:szCs w:val="18"/>
              </w:rPr>
            </w:pPr>
            <w:r>
              <w:rPr>
                <w:rFonts w:ascii="Times New Roman"/>
                <w:sz w:val="18"/>
              </w:rPr>
              <w:t>12,674,270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12,674,270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非公开发行股票限售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w:t>
            </w:r>
          </w:p>
        </w:tc>
      </w:tr>
      <w:tr>
        <w:trPr>
          <w:trHeight w:val="402" w:hRule="exact"/>
        </w:trPr>
        <w:tc>
          <w:tcPr>
            <w:tcW w:w="3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崔万涛</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12,674,270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12,674,270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非公开发行股票限售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w:t>
            </w:r>
          </w:p>
        </w:tc>
      </w:tr>
      <w:tr>
        <w:trPr>
          <w:trHeight w:val="402" w:hRule="exact"/>
        </w:trPr>
        <w:tc>
          <w:tcPr>
            <w:tcW w:w="3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财通基金</w:t>
            </w:r>
            <w:r>
              <w:rPr>
                <w:rFonts w:ascii="Times New Roman" w:hAnsi="Times New Roman" w:cs="Times New Roman" w:eastAsia="Times New Roman" w:hint="default"/>
                <w:sz w:val="18"/>
                <w:szCs w:val="18"/>
              </w:rPr>
              <w:t>-</w:t>
            </w:r>
            <w:r>
              <w:rPr>
                <w:rFonts w:ascii="宋体" w:hAnsi="宋体" w:cs="宋体" w:eastAsia="宋体" w:hint="default"/>
                <w:sz w:val="18"/>
                <w:szCs w:val="18"/>
              </w:rPr>
              <w:t>招商银行</w:t>
            </w:r>
            <w:r>
              <w:rPr>
                <w:rFonts w:ascii="Times New Roman" w:hAnsi="Times New Roman" w:cs="Times New Roman" w:eastAsia="Times New Roman" w:hint="default"/>
                <w:sz w:val="18"/>
                <w:szCs w:val="18"/>
              </w:rPr>
              <w:t>-</w:t>
            </w:r>
            <w:r>
              <w:rPr>
                <w:rFonts w:ascii="宋体" w:hAnsi="宋体" w:cs="宋体" w:eastAsia="宋体" w:hint="default"/>
                <w:sz w:val="18"/>
                <w:szCs w:val="18"/>
              </w:rPr>
              <w:t>本翼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号资产管理计划</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10,139,416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10,139,416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非公开发行股票限售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w:t>
            </w:r>
          </w:p>
        </w:tc>
      </w:tr>
      <w:tr>
        <w:trPr>
          <w:trHeight w:val="402" w:hRule="exact"/>
        </w:trPr>
        <w:tc>
          <w:tcPr>
            <w:tcW w:w="3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荣科科技股份有限公司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期员工持股计划</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7,604,562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7,604,562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非公开发行股票限售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w:t>
            </w:r>
          </w:p>
        </w:tc>
      </w:tr>
      <w:tr>
        <w:trPr>
          <w:trHeight w:val="402" w:hRule="exact"/>
        </w:trPr>
        <w:tc>
          <w:tcPr>
            <w:tcW w:w="3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浙江海宁嘉慧投资合伙企业（有限合伙）</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6,337,134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6,337,134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非公开发行股票限售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w:t>
            </w:r>
          </w:p>
        </w:tc>
      </w:tr>
      <w:tr>
        <w:trPr>
          <w:trHeight w:val="402" w:hRule="exact"/>
        </w:trPr>
        <w:tc>
          <w:tcPr>
            <w:tcW w:w="3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付艳杰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39,266,714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9,816,679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29,450,035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58,900,070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402" w:hRule="exact"/>
        </w:trPr>
        <w:tc>
          <w:tcPr>
            <w:tcW w:w="3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崔万涛</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39,266,714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9,816,679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29,450,035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58,900,070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402" w:hRule="exact"/>
        </w:trPr>
        <w:tc>
          <w:tcPr>
            <w:tcW w:w="3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尹春福</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132,524</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132,524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265,048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402" w:hRule="exact"/>
        </w:trPr>
        <w:tc>
          <w:tcPr>
            <w:tcW w:w="3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冯丽</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117,799</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117,799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235,598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402" w:hRule="exact"/>
        </w:trPr>
        <w:tc>
          <w:tcPr>
            <w:tcW w:w="3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杨兴礼</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117,799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15,150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117,799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220,448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402" w:hRule="exact"/>
        </w:trPr>
        <w:tc>
          <w:tcPr>
            <w:tcW w:w="3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余力兴</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110,850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110,850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191,700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402" w:hRule="exact"/>
        </w:trPr>
        <w:tc>
          <w:tcPr>
            <w:tcW w:w="36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79,012,400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19,678,508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108,808,694</w:t>
            </w:r>
          </w:p>
        </w:tc>
        <w:tc>
          <w:tcPr>
            <w:tcW w:w="113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168,142,586</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二、证券发行与上市情况" w:id="105"/>
      <w:bookmarkEnd w:id="105"/>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报告期内证券发行（不含优先股）情况" w:id="106"/>
      <w:bookmarkEnd w:id="106"/>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667" w:type="dxa"/>
        <w:tblLayout w:type="fixed"/>
        <w:tblCellMar>
          <w:top w:w="0" w:type="dxa"/>
          <w:left w:w="0" w:type="dxa"/>
          <w:bottom w:w="0" w:type="dxa"/>
          <w:right w:w="0" w:type="dxa"/>
        </w:tblCellMar>
        <w:tblLook w:val="01E0"/>
      </w:tblPr>
      <w:tblGrid>
        <w:gridCol w:w="1986"/>
        <w:gridCol w:w="1559"/>
        <w:gridCol w:w="1134"/>
        <w:gridCol w:w="1277"/>
        <w:gridCol w:w="1629"/>
        <w:gridCol w:w="1489"/>
        <w:gridCol w:w="1489"/>
      </w:tblGrid>
      <w:tr>
        <w:trPr>
          <w:trHeight w:val="714"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7" w:right="0"/>
              <w:jc w:val="left"/>
              <w:rPr>
                <w:rFonts w:ascii="宋体" w:hAnsi="宋体" w:cs="宋体" w:eastAsia="宋体" w:hint="default"/>
                <w:sz w:val="18"/>
                <w:szCs w:val="18"/>
              </w:rPr>
            </w:pPr>
            <w:r>
              <w:rPr>
                <w:rFonts w:ascii="宋体" w:hAnsi="宋体" w:cs="宋体" w:eastAsia="宋体" w:hint="default"/>
                <w:sz w:val="18"/>
                <w:szCs w:val="18"/>
              </w:rPr>
              <w:t>股票及其衍生证券名称</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91" w:right="22" w:hanging="269"/>
              <w:jc w:val="left"/>
              <w:rPr>
                <w:rFonts w:ascii="宋体" w:hAnsi="宋体" w:cs="宋体" w:eastAsia="宋体" w:hint="default"/>
                <w:sz w:val="18"/>
                <w:szCs w:val="18"/>
              </w:rPr>
            </w:pPr>
            <w:r>
              <w:rPr>
                <w:rFonts w:ascii="宋体" w:hAnsi="宋体" w:cs="宋体" w:eastAsia="宋体" w:hint="default"/>
                <w:sz w:val="18"/>
                <w:szCs w:val="18"/>
              </w:rPr>
              <w:t>发行价格（或 利率）</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8"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49" w:right="108" w:hanging="540"/>
              <w:jc w:val="left"/>
              <w:rPr>
                <w:rFonts w:ascii="宋体" w:hAnsi="宋体" w:cs="宋体" w:eastAsia="宋体" w:hint="default"/>
                <w:sz w:val="18"/>
                <w:szCs w:val="18"/>
              </w:rPr>
            </w:pPr>
            <w:r>
              <w:rPr>
                <w:rFonts w:ascii="宋体" w:hAnsi="宋体" w:cs="宋体" w:eastAsia="宋体" w:hint="default"/>
                <w:sz w:val="18"/>
                <w:szCs w:val="18"/>
              </w:rPr>
              <w:t>获准上市交易数 量</w:t>
            </w: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2" w:hRule="exact"/>
        </w:trPr>
        <w:tc>
          <w:tcPr>
            <w:tcW w:w="10564"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荣科科技</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15.78 </w:t>
            </w:r>
            <w:r>
              <w:rPr>
                <w:rFonts w:ascii="宋体" w:hAnsi="宋体" w:cs="宋体" w:eastAsia="宋体" w:hint="default"/>
                <w:sz w:val="18"/>
                <w:szCs w:val="18"/>
              </w:rPr>
              <w:t>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3" w:right="0"/>
              <w:jc w:val="left"/>
              <w:rPr>
                <w:rFonts w:ascii="Times New Roman" w:hAnsi="Times New Roman" w:cs="Times New Roman" w:eastAsia="Times New Roman" w:hint="default"/>
                <w:sz w:val="18"/>
                <w:szCs w:val="18"/>
              </w:rPr>
            </w:pPr>
            <w:r>
              <w:rPr>
                <w:rFonts w:ascii="Times New Roman"/>
                <w:sz w:val="18"/>
              </w:rPr>
              <w:t>24,714,826</w:t>
            </w:r>
          </w:p>
        </w:tc>
        <w:tc>
          <w:tcPr>
            <w:tcW w:w="1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5" w:right="0"/>
              <w:jc w:val="left"/>
              <w:rPr>
                <w:rFonts w:ascii="Times New Roman" w:hAnsi="Times New Roman" w:cs="Times New Roman" w:eastAsia="Times New Roman" w:hint="default"/>
                <w:sz w:val="18"/>
                <w:szCs w:val="18"/>
              </w:rPr>
            </w:pPr>
            <w:r>
              <w:rPr>
                <w:rFonts w:ascii="Times New Roman"/>
                <w:sz w:val="18"/>
              </w:rPr>
              <w:t>24,714,826</w:t>
            </w:r>
          </w:p>
        </w:tc>
        <w:tc>
          <w:tcPr>
            <w:tcW w:w="14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564"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2" w:hRule="exact"/>
        </w:trPr>
        <w:tc>
          <w:tcPr>
            <w:tcW w:w="10564"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pStyle w:val="BodyText"/>
        <w:spacing w:line="240" w:lineRule="auto" w:before="51"/>
        <w:ind w:right="0"/>
        <w:jc w:val="both"/>
      </w:pPr>
      <w:r>
        <w:rPr/>
        <w:t>报告期内证券发行（不含优先股）情况的说明</w:t>
      </w:r>
    </w:p>
    <w:p>
      <w:pPr>
        <w:pStyle w:val="BodyText"/>
        <w:spacing w:line="300" w:lineRule="auto" w:before="116"/>
        <w:ind w:left="1133" w:right="1132"/>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15</w:t>
      </w:r>
      <w:r>
        <w:rPr/>
        <w:t>日，公司召开</w:t>
      </w:r>
      <w:r>
        <w:rPr>
          <w:rFonts w:ascii="Times New Roman" w:hAnsi="Times New Roman" w:cs="Times New Roman" w:eastAsia="Times New Roman" w:hint="default"/>
        </w:rPr>
        <w:t>2014</w:t>
      </w:r>
      <w:r>
        <w:rPr/>
        <w:t>年第二次临时股东大会审议通过了公司非公开发行股票的相关议案，有效期一年。</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 </w:t>
      </w:r>
      <w:r>
        <w:rPr>
          <w:spacing w:val="-1"/>
        </w:rPr>
        <w:t>月</w:t>
      </w:r>
      <w:r>
        <w:rPr>
          <w:rFonts w:ascii="Times New Roman" w:hAnsi="Times New Roman" w:cs="Times New Roman" w:eastAsia="Times New Roman" w:hint="default"/>
          <w:spacing w:val="-1"/>
        </w:rPr>
        <w:t>4</w:t>
      </w:r>
      <w:r>
        <w:rPr>
          <w:spacing w:val="-1"/>
        </w:rPr>
        <w:t>日，公司收到中国证监会《关于核准荣科科技股份有限公司非公开发行股票的批复》（证监许可</w:t>
      </w:r>
      <w:r>
        <w:rPr>
          <w:rFonts w:ascii="Times New Roman" w:hAnsi="Times New Roman" w:cs="Times New Roman" w:eastAsia="Times New Roman" w:hint="default"/>
          <w:spacing w:val="-1"/>
        </w:rPr>
        <w:t>[2015]996</w:t>
      </w:r>
      <w:r>
        <w:rPr>
          <w:spacing w:val="-1"/>
        </w:rPr>
        <w:t>号）核准了本</w:t>
      </w:r>
      <w:r>
        <w:rPr>
          <w:spacing w:val="-55"/>
        </w:rPr>
        <w:t> </w:t>
      </w:r>
      <w:r>
        <w:rPr>
          <w:spacing w:val="-55"/>
        </w:rPr>
      </w:r>
      <w:r>
        <w:rPr>
          <w:spacing w:val="-2"/>
        </w:rPr>
        <w:t>次发行。</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宋体" w:hAnsi="宋体" w:cs="宋体" w:eastAsia="宋体" w:hint="default"/>
          <w:spacing w:val="-2"/>
        </w:rPr>
        <w:t>24</w:t>
      </w:r>
      <w:r>
        <w:rPr>
          <w:spacing w:val="-2"/>
        </w:rPr>
        <w:t>日，根据证监会的许可，公司非公开发行股份</w:t>
      </w:r>
      <w:r>
        <w:rPr>
          <w:rFonts w:ascii="Times New Roman" w:hAnsi="Times New Roman" w:cs="Times New Roman" w:eastAsia="Times New Roman" w:hint="default"/>
          <w:spacing w:val="-2"/>
        </w:rPr>
        <w:t>24,714,826</w:t>
      </w:r>
      <w:r>
        <w:rPr>
          <w:spacing w:val="-2"/>
        </w:rPr>
        <w:t>股；</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7</w:t>
      </w:r>
      <w:r>
        <w:rPr>
          <w:spacing w:val="-2"/>
        </w:rPr>
        <w:t>日，本次发行新增股份在深交</w:t>
      </w:r>
      <w:r>
        <w:rPr>
          <w:spacing w:val="-44"/>
        </w:rPr>
        <w:t> </w:t>
      </w:r>
      <w:r>
        <w:rPr>
          <w:spacing w:val="-44"/>
        </w:rPr>
      </w:r>
      <w:r>
        <w:rPr/>
        <w:t>所创业板上市，新增股份的限售期为新增股份上市之日起</w:t>
      </w:r>
      <w:r>
        <w:rPr>
          <w:rFonts w:ascii="Times New Roman" w:hAnsi="Times New Roman" w:cs="Times New Roman" w:eastAsia="Times New Roman" w:hint="default"/>
        </w:rPr>
        <w:t>36</w:t>
      </w:r>
      <w:r>
        <w:rPr/>
        <w:t>个月，预计上市流通时间为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7</w:t>
      </w:r>
      <w:r>
        <w:rPr/>
        <w:t>日（遇节假日顺延）。</w:t>
      </w:r>
    </w:p>
    <w:p>
      <w:pPr>
        <w:spacing w:after="0" w:line="300" w:lineRule="auto"/>
        <w:jc w:val="both"/>
        <w:sectPr>
          <w:pgSz w:w="11910" w:h="16840"/>
          <w:pgMar w:header="566" w:footer="979" w:top="1360" w:bottom="1160" w:left="0" w:right="0"/>
        </w:sectPr>
      </w:pPr>
    </w:p>
    <w:p>
      <w:pPr>
        <w:pStyle w:val="Heading3"/>
        <w:spacing w:line="240" w:lineRule="auto" w:before="57"/>
        <w:ind w:right="0"/>
        <w:jc w:val="left"/>
        <w:rPr>
          <w:b w:val="0"/>
          <w:bCs w:val="0"/>
        </w:rPr>
      </w:pPr>
      <w:bookmarkStart w:name="2、公司股份总数及股东结构的变动、公司资产和负债结构的变动情况说明" w:id="107"/>
      <w:bookmarkEnd w:id="107"/>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26"/>
          <w:szCs w:val="26"/>
        </w:rPr>
      </w:pPr>
    </w:p>
    <w:p>
      <w:pPr>
        <w:pStyle w:val="BodyText"/>
        <w:spacing w:line="328" w:lineRule="auto"/>
        <w:ind w:left="11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报告期内，公司因非公开发行股票导致公司股份总数变动。本次非公开发行导致股东结构的变动、公司资产和负债结构的变</w:t>
      </w:r>
      <w:r>
        <w:rPr>
          <w:spacing w:val="-66"/>
        </w:rPr>
        <w:t> </w:t>
      </w:r>
      <w:r>
        <w:rPr>
          <w:spacing w:val="-66"/>
        </w:rPr>
      </w:r>
      <w:r>
        <w:rPr/>
        <w:t>动情况，请详见公司于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w:t>
      </w:r>
      <w:r>
        <w:rPr/>
        <w:t>日在巨潮资讯网站上披露的《非公开发行股票上市公告书》。</w:t>
      </w:r>
    </w:p>
    <w:p>
      <w:pPr>
        <w:spacing w:line="240" w:lineRule="auto" w:before="3"/>
        <w:rPr>
          <w:rFonts w:ascii="宋体" w:hAnsi="宋体" w:cs="宋体" w:eastAsia="宋体" w:hint="default"/>
          <w:sz w:val="20"/>
          <w:szCs w:val="20"/>
        </w:rPr>
      </w:pPr>
    </w:p>
    <w:p>
      <w:pPr>
        <w:pStyle w:val="Heading3"/>
        <w:spacing w:line="240" w:lineRule="auto"/>
        <w:ind w:left="1133" w:right="0"/>
        <w:jc w:val="left"/>
        <w:rPr>
          <w:b w:val="0"/>
          <w:bCs w:val="0"/>
        </w:rPr>
      </w:pPr>
      <w:bookmarkStart w:name="3、现存的内部职工股情况" w:id="108"/>
      <w:bookmarkEnd w:id="108"/>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股东和实际控制人情况" w:id="109"/>
      <w:bookmarkEnd w:id="109"/>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公司股东数量及持股情况" w:id="110"/>
      <w:bookmarkEnd w:id="110"/>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pict>
          <v:group style="position:absolute;margin-left:397.179993pt;margin-top:44.891689pt;width:27.9pt;height:7.8pt;mso-position-horizontal-relative:page;mso-position-vertical-relative:paragraph;z-index:-614296" coordorigin="7944,898" coordsize="558,156">
            <v:shape style="position:absolute;left:7944;top:898;width:558;height:156" coordorigin="7944,898" coordsize="558,156" path="m7944,1054l8501,1054,8501,898,7944,898,7944,1054xe" filled="true" fillcolor="#ffffff" stroked="false">
              <v:path arrowok="t"/>
              <v:fill type="solid"/>
            </v:shape>
            <w10:wrap type="none"/>
          </v:group>
        </w:pict>
      </w:r>
      <w:r>
        <w:rPr/>
        <w:pict>
          <v:group style="position:absolute;margin-left:560.280029pt;margin-top:44.891689pt;width:27.9pt;height:7.8pt;mso-position-horizontal-relative:page;mso-position-vertical-relative:paragraph;z-index:-614272" coordorigin="11206,898" coordsize="558,156">
            <v:shape style="position:absolute;left:11206;top:898;width:558;height:156" coordorigin="11206,898" coordsize="558,156" path="m11206,1054l11763,1054,11763,898,11206,898,11206,1054xe" filled="true" fillcolor="#ffffff" stroked="false">
              <v:path arrowok="t"/>
              <v:fill type="solid"/>
            </v:shape>
            <w10:wrap type="none"/>
          </v:group>
        </w:pict>
      </w:r>
      <w:r>
        <w:rPr/>
        <w:t>单位：股</w:t>
      </w:r>
    </w:p>
    <w:p>
      <w:pPr>
        <w:spacing w:line="240" w:lineRule="auto" w:before="13"/>
        <w:rPr>
          <w:rFonts w:ascii="宋体" w:hAnsi="宋体" w:cs="宋体" w:eastAsia="宋体" w:hint="default"/>
          <w:sz w:val="7"/>
          <w:szCs w:val="7"/>
        </w:rPr>
      </w:pPr>
    </w:p>
    <w:tbl>
      <w:tblPr>
        <w:tblW w:w="0" w:type="auto"/>
        <w:jc w:val="left"/>
        <w:tblInd w:w="135" w:type="dxa"/>
        <w:tblLayout w:type="fixed"/>
        <w:tblCellMar>
          <w:top w:w="0" w:type="dxa"/>
          <w:left w:w="0" w:type="dxa"/>
          <w:bottom w:w="0" w:type="dxa"/>
          <w:right w:w="0" w:type="dxa"/>
        </w:tblCellMar>
        <w:tblLook w:val="01E0"/>
      </w:tblPr>
      <w:tblGrid>
        <w:gridCol w:w="1692"/>
        <w:gridCol w:w="1015"/>
        <w:gridCol w:w="272"/>
        <w:gridCol w:w="1277"/>
        <w:gridCol w:w="555"/>
        <w:gridCol w:w="295"/>
        <w:gridCol w:w="721"/>
        <w:gridCol w:w="413"/>
        <w:gridCol w:w="1134"/>
        <w:gridCol w:w="413"/>
        <w:gridCol w:w="591"/>
        <w:gridCol w:w="130"/>
        <w:gridCol w:w="1134"/>
        <w:gridCol w:w="992"/>
        <w:gridCol w:w="414"/>
        <w:gridCol w:w="579"/>
      </w:tblGrid>
      <w:tr>
        <w:trPr>
          <w:trHeight w:val="719" w:hRule="exact"/>
        </w:trPr>
        <w:tc>
          <w:tcPr>
            <w:tcW w:w="16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36"/>
              <w:jc w:val="left"/>
              <w:rPr>
                <w:rFonts w:ascii="宋体" w:hAnsi="宋体" w:cs="宋体" w:eastAsia="宋体" w:hint="default"/>
                <w:sz w:val="18"/>
                <w:szCs w:val="18"/>
              </w:rPr>
            </w:pPr>
            <w:r>
              <w:rPr>
                <w:rFonts w:ascii="宋体" w:hAnsi="宋体" w:cs="宋体" w:eastAsia="宋体" w:hint="default"/>
                <w:sz w:val="18"/>
                <w:szCs w:val="18"/>
              </w:rPr>
              <w:t>报告期末普通股股东 总数</w:t>
            </w:r>
          </w:p>
        </w:tc>
        <w:tc>
          <w:tcPr>
            <w:tcW w:w="1015"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4" w:right="0"/>
              <w:jc w:val="left"/>
              <w:rPr>
                <w:rFonts w:ascii="Times New Roman" w:hAnsi="Times New Roman" w:cs="Times New Roman" w:eastAsia="Times New Roman" w:hint="default"/>
                <w:sz w:val="18"/>
                <w:szCs w:val="18"/>
              </w:rPr>
            </w:pPr>
            <w:r>
              <w:rPr>
                <w:rFonts w:ascii="Times New Roman"/>
                <w:sz w:val="18"/>
              </w:rPr>
              <w:t>19,783</w:t>
            </w:r>
          </w:p>
        </w:tc>
        <w:tc>
          <w:tcPr>
            <w:tcW w:w="210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2"/>
              <w:jc w:val="left"/>
              <w:rPr>
                <w:rFonts w:ascii="宋体" w:hAnsi="宋体" w:cs="宋体" w:eastAsia="宋体" w:hint="default"/>
                <w:sz w:val="18"/>
                <w:szCs w:val="18"/>
              </w:rPr>
            </w:pPr>
            <w:r>
              <w:rPr>
                <w:rFonts w:ascii="宋体" w:hAnsi="宋体" w:cs="宋体" w:eastAsia="宋体" w:hint="default"/>
                <w:sz w:val="18"/>
                <w:szCs w:val="18"/>
              </w:rPr>
              <w:t>年度报告披露日前上一月 末普通股股东总数</w:t>
            </w:r>
          </w:p>
        </w:tc>
        <w:tc>
          <w:tcPr>
            <w:tcW w:w="1015"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4" w:right="0"/>
              <w:jc w:val="left"/>
              <w:rPr>
                <w:rFonts w:ascii="Times New Roman" w:hAnsi="Times New Roman" w:cs="Times New Roman" w:eastAsia="Times New Roman" w:hint="default"/>
                <w:sz w:val="18"/>
                <w:szCs w:val="18"/>
              </w:rPr>
            </w:pPr>
            <w:r>
              <w:rPr>
                <w:rFonts w:ascii="Times New Roman"/>
                <w:sz w:val="18"/>
              </w:rPr>
              <w:t>23,795</w:t>
            </w:r>
          </w:p>
        </w:tc>
        <w:tc>
          <w:tcPr>
            <w:tcW w:w="1961" w:type="dxa"/>
            <w:gridSpan w:val="3"/>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319" w:lineRule="auto" w:before="51"/>
              <w:ind w:left="11" w:right="-52"/>
              <w:jc w:val="left"/>
              <w:rPr>
                <w:rFonts w:ascii="宋体" w:hAnsi="宋体" w:cs="宋体" w:eastAsia="宋体" w:hint="default"/>
                <w:sz w:val="18"/>
                <w:szCs w:val="18"/>
              </w:rPr>
            </w:pPr>
            <w:r>
              <w:rPr>
                <w:rFonts w:ascii="宋体" w:hAnsi="宋体" w:cs="宋体" w:eastAsia="宋体" w:hint="default"/>
                <w:sz w:val="18"/>
                <w:szCs w:val="18"/>
              </w:rPr>
              <w:t>报告期末表决权恢复的 优先股股东总数（如有）</w:t>
            </w:r>
          </w:p>
        </w:tc>
        <w:tc>
          <w:tcPr>
            <w:tcW w:w="591" w:type="dxa"/>
            <w:tcBorders>
              <w:top w:val="single" w:sz="4" w:space="0" w:color="000000"/>
              <w:left w:val="single" w:sz="9" w:space="0" w:color="FFFFFF"/>
              <w:bottom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w:t>
            </w:r>
          </w:p>
        </w:tc>
        <w:tc>
          <w:tcPr>
            <w:tcW w:w="2671" w:type="dxa"/>
            <w:gridSpan w:val="4"/>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319" w:lineRule="auto" w:before="51"/>
              <w:ind w:left="11" w:right="116"/>
              <w:jc w:val="left"/>
              <w:rPr>
                <w:rFonts w:ascii="宋体" w:hAnsi="宋体" w:cs="宋体" w:eastAsia="宋体" w:hint="default"/>
                <w:sz w:val="18"/>
                <w:szCs w:val="18"/>
              </w:rPr>
            </w:pPr>
            <w:r>
              <w:rPr>
                <w:rFonts w:ascii="宋体" w:hAnsi="宋体" w:cs="宋体" w:eastAsia="宋体" w:hint="default"/>
                <w:sz w:val="18"/>
                <w:szCs w:val="18"/>
              </w:rPr>
              <w:t>年度报告披露日前上一月末表决 权恢复的优先股股东总数（如有</w:t>
            </w:r>
          </w:p>
        </w:tc>
        <w:tc>
          <w:tcPr>
            <w:tcW w:w="579"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162" w:lineRule="exact"/>
              <w:ind w:right="20"/>
              <w:jc w:val="right"/>
              <w:rPr>
                <w:rFonts w:ascii="Times New Roman" w:hAnsi="Times New Roman" w:cs="Times New Roman" w:eastAsia="Times New Roman" w:hint="default"/>
                <w:sz w:val="18"/>
                <w:szCs w:val="18"/>
              </w:rPr>
            </w:pPr>
            <w:r>
              <w:rPr>
                <w:rFonts w:ascii="Times New Roman"/>
                <w:sz w:val="18"/>
              </w:rPr>
              <w:t>0</w:t>
            </w:r>
          </w:p>
          <w:p>
            <w:pPr>
              <w:pStyle w:val="TableParagraph"/>
              <w:spacing w:line="191" w:lineRule="exact"/>
              <w:ind w:left="-146"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392" w:hRule="exact"/>
        </w:trPr>
        <w:tc>
          <w:tcPr>
            <w:tcW w:w="11627" w:type="dxa"/>
            <w:gridSpan w:val="1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2979" w:type="dxa"/>
            <w:gridSpan w:val="3"/>
            <w:vMerge w:val="restart"/>
            <w:tcBorders>
              <w:top w:val="single" w:sz="4" w:space="0" w:color="000000"/>
              <w:left w:val="single" w:sz="4" w:space="0" w:color="000000"/>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shd w:val="clear" w:color="auto" w:fill="D2D2D2"/>
          </w:tcPr>
          <w:p>
            <w:pPr/>
          </w:p>
        </w:tc>
        <w:tc>
          <w:tcPr>
            <w:tcW w:w="850" w:type="dxa"/>
            <w:gridSpan w:val="2"/>
            <w:vMerge w:val="restart"/>
            <w:tcBorders>
              <w:top w:val="single" w:sz="4" w:space="0" w:color="000000"/>
              <w:left w:val="single" w:sz="4" w:space="0" w:color="000000"/>
              <w:right w:val="single" w:sz="4" w:space="0" w:color="000000"/>
            </w:tcBorders>
            <w:shd w:val="clear" w:color="auto" w:fill="D2D2D2"/>
          </w:tcPr>
          <w:p>
            <w:pPr/>
          </w:p>
        </w:tc>
        <w:tc>
          <w:tcPr>
            <w:tcW w:w="113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11" w:right="111"/>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11" w:right="110"/>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98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56"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2979" w:type="dxa"/>
            <w:gridSpan w:val="3"/>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850" w:type="dxa"/>
            <w:gridSpan w:val="2"/>
            <w:vMerge/>
            <w:tcBorders>
              <w:left w:val="single" w:sz="4" w:space="0" w:color="000000"/>
              <w:bottom w:val="nil" w:sz="6" w:space="0" w:color="auto"/>
              <w:right w:val="single" w:sz="4" w:space="0" w:color="000000"/>
            </w:tcBorders>
            <w:shd w:val="clear" w:color="auto" w:fill="D2D2D2"/>
          </w:tcPr>
          <w:p>
            <w:pPr/>
          </w:p>
        </w:tc>
        <w:tc>
          <w:tcPr>
            <w:tcW w:w="113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91" w:right="110"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11" w:right="110"/>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134" w:type="dxa"/>
            <w:gridSpan w:val="3"/>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1985" w:type="dxa"/>
            <w:gridSpan w:val="3"/>
            <w:vMerge/>
            <w:tcBorders>
              <w:left w:val="single" w:sz="4" w:space="0" w:color="000000"/>
              <w:right w:val="single" w:sz="4" w:space="0" w:color="000000"/>
            </w:tcBorders>
            <w:shd w:val="clear" w:color="auto" w:fill="D2D2D2"/>
          </w:tcPr>
          <w:p>
            <w:pPr/>
          </w:p>
        </w:tc>
      </w:tr>
      <w:tr>
        <w:trPr>
          <w:trHeight w:val="141" w:hRule="exact"/>
        </w:trPr>
        <w:tc>
          <w:tcPr>
            <w:tcW w:w="2979"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5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9"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134" w:type="dxa"/>
            <w:gridSpan w:val="2"/>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1134" w:type="dxa"/>
            <w:gridSpan w:val="3"/>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1985" w:type="dxa"/>
            <w:gridSpan w:val="3"/>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2979" w:type="dxa"/>
            <w:gridSpan w:val="3"/>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850" w:type="dxa"/>
            <w:gridSpan w:val="2"/>
            <w:vMerge/>
            <w:tcBorders>
              <w:left w:val="single" w:sz="4" w:space="0" w:color="000000"/>
              <w:bottom w:val="nil" w:sz="6" w:space="0" w:color="auto"/>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1134" w:type="dxa"/>
            <w:gridSpan w:val="3"/>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130"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99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10"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2979" w:type="dxa"/>
            <w:gridSpan w:val="3"/>
            <w:vMerge w:val="restart"/>
            <w:tcBorders>
              <w:top w:val="nil" w:sz="6" w:space="0" w:color="auto"/>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
        </w:tc>
        <w:tc>
          <w:tcPr>
            <w:tcW w:w="850" w:type="dxa"/>
            <w:gridSpan w:val="2"/>
            <w:vMerge w:val="restart"/>
            <w:tcBorders>
              <w:top w:val="nil" w:sz="6" w:space="0" w:color="auto"/>
              <w:left w:val="single" w:sz="4" w:space="0" w:color="000000"/>
              <w:right w:val="single" w:sz="4" w:space="0" w:color="000000"/>
            </w:tcBorders>
            <w:shd w:val="clear" w:color="auto" w:fill="D2D2D2"/>
          </w:tcPr>
          <w:p>
            <w:pPr/>
          </w:p>
        </w:tc>
        <w:tc>
          <w:tcPr>
            <w:tcW w:w="1134" w:type="dxa"/>
            <w:gridSpan w:val="2"/>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134" w:type="dxa"/>
            <w:gridSpan w:val="3"/>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993" w:type="dxa"/>
            <w:gridSpan w:val="2"/>
            <w:vMerge/>
            <w:tcBorders>
              <w:left w:val="single" w:sz="4" w:space="0" w:color="000000"/>
              <w:right w:val="single" w:sz="4" w:space="0" w:color="000000"/>
            </w:tcBorders>
            <w:shd w:val="clear" w:color="auto" w:fill="D2D2D2"/>
          </w:tcPr>
          <w:p>
            <w:pPr/>
          </w:p>
        </w:tc>
      </w:tr>
      <w:tr>
        <w:trPr>
          <w:trHeight w:val="161" w:hRule="exact"/>
        </w:trPr>
        <w:tc>
          <w:tcPr>
            <w:tcW w:w="2979" w:type="dxa"/>
            <w:gridSpan w:val="3"/>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850" w:type="dxa"/>
            <w:gridSpan w:val="2"/>
            <w:vMerge/>
            <w:tcBorders>
              <w:left w:val="single" w:sz="4" w:space="0" w:color="000000"/>
              <w:bottom w:val="single" w:sz="4" w:space="0" w:color="000000"/>
              <w:right w:val="single" w:sz="4" w:space="0" w:color="000000"/>
            </w:tcBorders>
            <w:shd w:val="clear" w:color="auto" w:fill="D2D2D2"/>
          </w:tcPr>
          <w:p>
            <w:pPr/>
          </w:p>
        </w:tc>
        <w:tc>
          <w:tcPr>
            <w:tcW w:w="113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gridSpan w:val="3"/>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993" w:type="dxa"/>
            <w:gridSpan w:val="2"/>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97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付艳杰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2" w:right="0"/>
              <w:jc w:val="left"/>
              <w:rPr>
                <w:rFonts w:ascii="Times New Roman" w:hAnsi="Times New Roman" w:cs="Times New Roman" w:eastAsia="Times New Roman" w:hint="default"/>
                <w:sz w:val="18"/>
                <w:szCs w:val="18"/>
              </w:rPr>
            </w:pPr>
            <w:r>
              <w:rPr>
                <w:rFonts w:ascii="Times New Roman"/>
                <w:sz w:val="18"/>
              </w:rPr>
              <w:t>28.38%</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0" w:right="0"/>
              <w:jc w:val="left"/>
              <w:rPr>
                <w:rFonts w:ascii="Times New Roman" w:hAnsi="Times New Roman" w:cs="Times New Roman" w:eastAsia="Times New Roman" w:hint="default"/>
                <w:sz w:val="18"/>
                <w:szCs w:val="18"/>
              </w:rPr>
            </w:pPr>
            <w:r>
              <w:rPr>
                <w:rFonts w:ascii="Times New Roman"/>
                <w:sz w:val="18"/>
              </w:rPr>
              <w:t>91,207,698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12,674,270</w:t>
            </w:r>
          </w:p>
        </w:tc>
        <w:tc>
          <w:tcPr>
            <w:tcW w:w="113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0" w:right="0"/>
              <w:jc w:val="left"/>
              <w:rPr>
                <w:rFonts w:ascii="Times New Roman" w:hAnsi="Times New Roman" w:cs="Times New Roman" w:eastAsia="Times New Roman" w:hint="default"/>
                <w:sz w:val="18"/>
                <w:szCs w:val="18"/>
              </w:rPr>
            </w:pPr>
            <w:r>
              <w:rPr>
                <w:rFonts w:ascii="Times New Roman"/>
                <w:sz w:val="18"/>
              </w:rPr>
              <w:t>71,574,340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19,633,358</w:t>
            </w:r>
          </w:p>
        </w:tc>
        <w:tc>
          <w:tcPr>
            <w:tcW w:w="992" w:type="dxa"/>
            <w:tcBorders>
              <w:top w:val="single" w:sz="45" w:space="0" w:color="D2D2D2"/>
              <w:left w:val="single" w:sz="4" w:space="0" w:color="000000"/>
              <w:bottom w:val="single" w:sz="4" w:space="0" w:color="000000"/>
              <w:right w:val="single" w:sz="4" w:space="0" w:color="000000"/>
            </w:tcBorders>
          </w:tcPr>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质押</w:t>
            </w:r>
          </w:p>
        </w:tc>
        <w:tc>
          <w:tcPr>
            <w:tcW w:w="993" w:type="dxa"/>
            <w:gridSpan w:val="2"/>
            <w:tcBorders>
              <w:top w:val="single" w:sz="45" w:space="0" w:color="D2D2D2"/>
              <w:left w:val="single" w:sz="4" w:space="0" w:color="000000"/>
              <w:bottom w:val="single" w:sz="4" w:space="0" w:color="000000"/>
              <w:right w:val="single" w:sz="4" w:space="0" w:color="000000"/>
            </w:tcBorders>
          </w:tcPr>
          <w:p>
            <w:pPr>
              <w:pStyle w:val="TableParagraph"/>
              <w:spacing w:line="240" w:lineRule="auto" w:before="40"/>
              <w:ind w:left="150" w:right="0"/>
              <w:jc w:val="left"/>
              <w:rPr>
                <w:rFonts w:ascii="Times New Roman" w:hAnsi="Times New Roman" w:cs="Times New Roman" w:eastAsia="Times New Roman" w:hint="default"/>
                <w:sz w:val="18"/>
                <w:szCs w:val="18"/>
              </w:rPr>
            </w:pPr>
            <w:r>
              <w:rPr>
                <w:rFonts w:ascii="Times New Roman"/>
                <w:sz w:val="18"/>
              </w:rPr>
              <w:t>65,500,000</w:t>
            </w:r>
          </w:p>
        </w:tc>
      </w:tr>
      <w:tr>
        <w:trPr>
          <w:trHeight w:val="402" w:hRule="exact"/>
        </w:trPr>
        <w:tc>
          <w:tcPr>
            <w:tcW w:w="297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崔万涛</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2" w:right="0"/>
              <w:jc w:val="left"/>
              <w:rPr>
                <w:rFonts w:ascii="Times New Roman" w:hAnsi="Times New Roman" w:cs="Times New Roman" w:eastAsia="Times New Roman" w:hint="default"/>
                <w:sz w:val="18"/>
                <w:szCs w:val="18"/>
              </w:rPr>
            </w:pPr>
            <w:r>
              <w:rPr>
                <w:rFonts w:ascii="Times New Roman"/>
                <w:sz w:val="18"/>
              </w:rPr>
              <w:t>28.38%</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0" w:right="0"/>
              <w:jc w:val="left"/>
              <w:rPr>
                <w:rFonts w:ascii="Times New Roman" w:hAnsi="Times New Roman" w:cs="Times New Roman" w:eastAsia="Times New Roman" w:hint="default"/>
                <w:sz w:val="18"/>
                <w:szCs w:val="18"/>
              </w:rPr>
            </w:pPr>
            <w:r>
              <w:rPr>
                <w:rFonts w:ascii="Times New Roman"/>
                <w:sz w:val="18"/>
              </w:rPr>
              <w:t>91,207,698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12,674,270</w:t>
            </w:r>
          </w:p>
        </w:tc>
        <w:tc>
          <w:tcPr>
            <w:tcW w:w="113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0" w:right="0"/>
              <w:jc w:val="left"/>
              <w:rPr>
                <w:rFonts w:ascii="Times New Roman" w:hAnsi="Times New Roman" w:cs="Times New Roman" w:eastAsia="Times New Roman" w:hint="default"/>
                <w:sz w:val="18"/>
                <w:szCs w:val="18"/>
              </w:rPr>
            </w:pPr>
            <w:r>
              <w:rPr>
                <w:rFonts w:ascii="Times New Roman"/>
                <w:sz w:val="18"/>
              </w:rPr>
              <w:t>71,574,340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19,633,358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质押</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0" w:right="0"/>
              <w:jc w:val="left"/>
              <w:rPr>
                <w:rFonts w:ascii="Times New Roman" w:hAnsi="Times New Roman" w:cs="Times New Roman" w:eastAsia="Times New Roman" w:hint="default"/>
                <w:sz w:val="18"/>
                <w:szCs w:val="18"/>
              </w:rPr>
            </w:pPr>
            <w:r>
              <w:rPr>
                <w:rFonts w:ascii="Times New Roman"/>
                <w:sz w:val="18"/>
              </w:rPr>
              <w:t>61,792,000</w:t>
            </w:r>
          </w:p>
        </w:tc>
      </w:tr>
      <w:tr>
        <w:trPr>
          <w:trHeight w:val="714" w:hRule="exact"/>
        </w:trPr>
        <w:tc>
          <w:tcPr>
            <w:tcW w:w="2979" w:type="dxa"/>
            <w:gridSpan w:val="3"/>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4" w:right="122"/>
              <w:jc w:val="left"/>
              <w:rPr>
                <w:rFonts w:ascii="宋体" w:hAnsi="宋体" w:cs="宋体" w:eastAsia="宋体" w:hint="default"/>
                <w:sz w:val="18"/>
                <w:szCs w:val="18"/>
              </w:rPr>
            </w:pPr>
            <w:r>
              <w:rPr>
                <w:rFonts w:ascii="宋体" w:hAnsi="宋体" w:cs="宋体" w:eastAsia="宋体" w:hint="default"/>
                <w:sz w:val="18"/>
                <w:szCs w:val="18"/>
              </w:rPr>
              <w:t>财通基金</w:t>
            </w:r>
            <w:r>
              <w:rPr>
                <w:rFonts w:ascii="Times New Roman" w:hAnsi="Times New Roman" w:cs="Times New Roman" w:eastAsia="Times New Roman" w:hint="default"/>
                <w:sz w:val="18"/>
                <w:szCs w:val="18"/>
              </w:rPr>
              <w:t>-</w:t>
            </w:r>
            <w:r>
              <w:rPr>
                <w:rFonts w:ascii="宋体" w:hAnsi="宋体" w:cs="宋体" w:eastAsia="宋体" w:hint="default"/>
                <w:sz w:val="18"/>
                <w:szCs w:val="18"/>
              </w:rPr>
              <w:t>招商银行</w:t>
            </w:r>
            <w:r>
              <w:rPr>
                <w:rFonts w:ascii="Times New Roman" w:hAnsi="Times New Roman" w:cs="Times New Roman" w:eastAsia="Times New Roman" w:hint="default"/>
                <w:sz w:val="18"/>
                <w:szCs w:val="18"/>
              </w:rPr>
              <w:t>-</w:t>
            </w:r>
            <w:r>
              <w:rPr>
                <w:rFonts w:ascii="宋体" w:hAnsi="宋体" w:cs="宋体" w:eastAsia="宋体" w:hint="default"/>
                <w:sz w:val="18"/>
                <w:szCs w:val="18"/>
              </w:rPr>
              <w:t>本翼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号资产管 理计划</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3.15%</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10,139,416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10,139,416</w:t>
            </w:r>
          </w:p>
        </w:tc>
        <w:tc>
          <w:tcPr>
            <w:tcW w:w="113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10,139,416</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79" w:type="dxa"/>
            <w:gridSpan w:val="3"/>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荣科科技股份有限公司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第</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期员工持 股计划</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2.37%</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0" w:right="0"/>
              <w:jc w:val="left"/>
              <w:rPr>
                <w:rFonts w:ascii="Times New Roman" w:hAnsi="Times New Roman" w:cs="Times New Roman" w:eastAsia="Times New Roman" w:hint="default"/>
                <w:sz w:val="18"/>
                <w:szCs w:val="18"/>
              </w:rPr>
            </w:pPr>
            <w:r>
              <w:rPr>
                <w:rFonts w:ascii="Times New Roman"/>
                <w:sz w:val="18"/>
              </w:rPr>
              <w:t>7,604,562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7,604,562</w:t>
            </w:r>
          </w:p>
        </w:tc>
        <w:tc>
          <w:tcPr>
            <w:tcW w:w="113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0" w:right="0"/>
              <w:jc w:val="left"/>
              <w:rPr>
                <w:rFonts w:ascii="Times New Roman" w:hAnsi="Times New Roman" w:cs="Times New Roman" w:eastAsia="Times New Roman" w:hint="default"/>
                <w:sz w:val="18"/>
                <w:szCs w:val="18"/>
              </w:rPr>
            </w:pPr>
            <w:r>
              <w:rPr>
                <w:rFonts w:ascii="Times New Roman"/>
                <w:sz w:val="18"/>
              </w:rPr>
              <w:t>7,604,562</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gridSpan w:val="2"/>
            <w:tcBorders>
              <w:top w:val="single" w:sz="4" w:space="0" w:color="000000"/>
              <w:left w:val="single" w:sz="4" w:space="0" w:color="000000"/>
              <w:bottom w:val="single" w:sz="4" w:space="0" w:color="000000"/>
              <w:right w:val="single" w:sz="4" w:space="0" w:color="000000"/>
            </w:tcBorders>
          </w:tcPr>
          <w:p>
            <w:pPr/>
          </w:p>
        </w:tc>
      </w:tr>
      <w:tr>
        <w:trPr>
          <w:trHeight w:val="754" w:hRule="exact"/>
        </w:trPr>
        <w:tc>
          <w:tcPr>
            <w:tcW w:w="2979"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4" w:right="63"/>
              <w:jc w:val="left"/>
              <w:rPr>
                <w:rFonts w:ascii="宋体" w:hAnsi="宋体" w:cs="宋体" w:eastAsia="宋体" w:hint="default"/>
                <w:sz w:val="18"/>
                <w:szCs w:val="18"/>
              </w:rPr>
            </w:pPr>
            <w:r>
              <w:rPr>
                <w:rFonts w:ascii="宋体" w:hAnsi="宋体" w:cs="宋体" w:eastAsia="宋体" w:hint="default"/>
                <w:sz w:val="18"/>
                <w:szCs w:val="18"/>
              </w:rPr>
              <w:t>浙江海宁嘉慧投资合伙企业（有限合 伙）</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452" w:right="182" w:hanging="270"/>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1.97%</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380" w:right="0"/>
              <w:jc w:val="left"/>
              <w:rPr>
                <w:rFonts w:ascii="Times New Roman" w:hAnsi="Times New Roman" w:cs="Times New Roman" w:eastAsia="Times New Roman" w:hint="default"/>
                <w:sz w:val="18"/>
                <w:szCs w:val="18"/>
              </w:rPr>
            </w:pPr>
            <w:r>
              <w:rPr>
                <w:rFonts w:ascii="Times New Roman"/>
                <w:sz w:val="18"/>
              </w:rPr>
              <w:t>6,337,134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6,337,134</w:t>
            </w:r>
          </w:p>
        </w:tc>
        <w:tc>
          <w:tcPr>
            <w:tcW w:w="113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380" w:right="0"/>
              <w:jc w:val="left"/>
              <w:rPr>
                <w:rFonts w:ascii="Times New Roman" w:hAnsi="Times New Roman" w:cs="Times New Roman" w:eastAsia="Times New Roman" w:hint="default"/>
                <w:sz w:val="18"/>
                <w:szCs w:val="18"/>
              </w:rPr>
            </w:pPr>
            <w:r>
              <w:rPr>
                <w:rFonts w:ascii="Times New Roman"/>
                <w:sz w:val="18"/>
              </w:rPr>
              <w:t>6,337,134</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79" w:type="dxa"/>
            <w:gridSpan w:val="3"/>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4" w:right="182"/>
              <w:jc w:val="left"/>
              <w:rPr>
                <w:rFonts w:ascii="宋体" w:hAnsi="宋体" w:cs="宋体" w:eastAsia="宋体" w:hint="default"/>
                <w:sz w:val="18"/>
                <w:szCs w:val="18"/>
              </w:rPr>
            </w:pPr>
            <w:r>
              <w:rPr>
                <w:rFonts w:ascii="宋体" w:hAnsi="宋体" w:cs="宋体" w:eastAsia="宋体" w:hint="default"/>
                <w:sz w:val="18"/>
                <w:szCs w:val="18"/>
              </w:rPr>
              <w:t>兴业银行股份有限公司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兴全全球视 野股票型证券投资基金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1.66%</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80" w:right="0"/>
              <w:jc w:val="left"/>
              <w:rPr>
                <w:rFonts w:ascii="Times New Roman" w:hAnsi="Times New Roman" w:cs="Times New Roman" w:eastAsia="Times New Roman" w:hint="default"/>
                <w:sz w:val="18"/>
                <w:szCs w:val="18"/>
              </w:rPr>
            </w:pPr>
            <w:r>
              <w:rPr>
                <w:rFonts w:ascii="Times New Roman"/>
                <w:sz w:val="18"/>
              </w:rPr>
              <w:t>5,333,042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5,333,042</w:t>
            </w:r>
          </w:p>
        </w:tc>
        <w:tc>
          <w:tcPr>
            <w:tcW w:w="1134" w:type="dxa"/>
            <w:gridSpan w:val="3"/>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5,333,042</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gridSpan w:val="2"/>
            <w:tcBorders>
              <w:top w:val="single" w:sz="4" w:space="0" w:color="000000"/>
              <w:left w:val="single" w:sz="4" w:space="0" w:color="000000"/>
              <w:bottom w:val="single" w:sz="4" w:space="0" w:color="000000"/>
              <w:right w:val="single" w:sz="4" w:space="0" w:color="000000"/>
            </w:tcBorders>
          </w:tcPr>
          <w:p>
            <w:pPr/>
          </w:p>
        </w:tc>
      </w:tr>
      <w:tr>
        <w:trPr>
          <w:trHeight w:val="755" w:hRule="exact"/>
        </w:trPr>
        <w:tc>
          <w:tcPr>
            <w:tcW w:w="297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沈阳森木投资管理有限公司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2"/>
              <w:ind w:left="452" w:right="182" w:hanging="270"/>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1.58%</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380" w:right="0"/>
              <w:jc w:val="left"/>
              <w:rPr>
                <w:rFonts w:ascii="Times New Roman" w:hAnsi="Times New Roman" w:cs="Times New Roman" w:eastAsia="Times New Roman" w:hint="default"/>
                <w:sz w:val="18"/>
                <w:szCs w:val="18"/>
              </w:rPr>
            </w:pPr>
            <w:r>
              <w:rPr>
                <w:rFonts w:ascii="Times New Roman"/>
                <w:sz w:val="18"/>
              </w:rPr>
              <w:t>5,093,732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3,234,330</w:t>
            </w:r>
          </w:p>
        </w:tc>
        <w:tc>
          <w:tcPr>
            <w:tcW w:w="1134" w:type="dxa"/>
            <w:gridSpan w:val="3"/>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5,093,732</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79" w:type="dxa"/>
            <w:gridSpan w:val="3"/>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82"/>
              <w:jc w:val="left"/>
              <w:rPr>
                <w:rFonts w:ascii="宋体" w:hAnsi="宋体" w:cs="宋体" w:eastAsia="宋体" w:hint="default"/>
                <w:sz w:val="18"/>
                <w:szCs w:val="18"/>
              </w:rPr>
            </w:pPr>
            <w:r>
              <w:rPr>
                <w:rFonts w:ascii="宋体" w:hAnsi="宋体" w:cs="宋体" w:eastAsia="宋体" w:hint="default"/>
                <w:sz w:val="18"/>
                <w:szCs w:val="18"/>
              </w:rPr>
              <w:t>兴业银行股份有限公司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兴全趋势投 资混合型证券投资基金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1.21%</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0" w:right="0"/>
              <w:jc w:val="left"/>
              <w:rPr>
                <w:rFonts w:ascii="Times New Roman" w:hAnsi="Times New Roman" w:cs="Times New Roman" w:eastAsia="Times New Roman" w:hint="default"/>
                <w:sz w:val="18"/>
                <w:szCs w:val="18"/>
              </w:rPr>
            </w:pPr>
            <w:r>
              <w:rPr>
                <w:rFonts w:ascii="Times New Roman"/>
                <w:sz w:val="18"/>
              </w:rPr>
              <w:t>3,873,627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3,873,627</w:t>
            </w:r>
          </w:p>
        </w:tc>
        <w:tc>
          <w:tcPr>
            <w:tcW w:w="1134" w:type="dxa"/>
            <w:gridSpan w:val="3"/>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3,873,627</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79" w:type="dxa"/>
            <w:gridSpan w:val="3"/>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82"/>
              <w:jc w:val="left"/>
              <w:rPr>
                <w:rFonts w:ascii="宋体" w:hAnsi="宋体" w:cs="宋体" w:eastAsia="宋体" w:hint="default"/>
                <w:sz w:val="18"/>
                <w:szCs w:val="18"/>
              </w:rPr>
            </w:pPr>
            <w:r>
              <w:rPr>
                <w:rFonts w:ascii="宋体" w:hAnsi="宋体" w:cs="宋体" w:eastAsia="宋体" w:hint="default"/>
                <w:sz w:val="18"/>
                <w:szCs w:val="18"/>
              </w:rPr>
              <w:t>交通银行股份有限公司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浦银安盛战 略新兴产业混合型证券投资基金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0.70%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0" w:right="0"/>
              <w:jc w:val="left"/>
              <w:rPr>
                <w:rFonts w:ascii="Times New Roman" w:hAnsi="Times New Roman" w:cs="Times New Roman" w:eastAsia="Times New Roman" w:hint="default"/>
                <w:sz w:val="18"/>
                <w:szCs w:val="18"/>
              </w:rPr>
            </w:pPr>
            <w:r>
              <w:rPr>
                <w:rFonts w:ascii="Times New Roman"/>
                <w:sz w:val="18"/>
              </w:rPr>
              <w:t>2,250,505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2,250,505</w:t>
            </w:r>
          </w:p>
        </w:tc>
        <w:tc>
          <w:tcPr>
            <w:tcW w:w="1134" w:type="dxa"/>
            <w:gridSpan w:val="3"/>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2,250,505</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79" w:type="dxa"/>
            <w:gridSpan w:val="3"/>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82"/>
              <w:jc w:val="left"/>
              <w:rPr>
                <w:rFonts w:ascii="宋体" w:hAnsi="宋体" w:cs="宋体" w:eastAsia="宋体" w:hint="default"/>
                <w:sz w:val="18"/>
                <w:szCs w:val="18"/>
              </w:rPr>
            </w:pPr>
            <w:r>
              <w:rPr>
                <w:rFonts w:ascii="宋体" w:hAnsi="宋体" w:cs="宋体" w:eastAsia="宋体" w:hint="default"/>
                <w:sz w:val="18"/>
                <w:szCs w:val="18"/>
              </w:rPr>
              <w:t>中国建设银行股份有限公司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融通新 能源灵活配置混合型证券投资基金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0.68%</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0" w:right="0"/>
              <w:jc w:val="left"/>
              <w:rPr>
                <w:rFonts w:ascii="Times New Roman" w:hAnsi="Times New Roman" w:cs="Times New Roman" w:eastAsia="Times New Roman" w:hint="default"/>
                <w:sz w:val="18"/>
                <w:szCs w:val="18"/>
              </w:rPr>
            </w:pPr>
            <w:r>
              <w:rPr>
                <w:rFonts w:ascii="Times New Roman"/>
                <w:sz w:val="18"/>
              </w:rPr>
              <w:t>2,199,902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2,199,902</w:t>
            </w:r>
          </w:p>
        </w:tc>
        <w:tc>
          <w:tcPr>
            <w:tcW w:w="1134" w:type="dxa"/>
            <w:gridSpan w:val="3"/>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2,199,902</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gridSpan w:val="2"/>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战略投资者或一般法人因配售新股成为前</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名股东的</w:t>
            </w:r>
          </w:p>
        </w:tc>
        <w:tc>
          <w:tcPr>
            <w:tcW w:w="7372"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报告期内，公司非公开发行股份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24,714,826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股，发行对象认购股份情况详见公司于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p>
        </w:tc>
      </w:tr>
    </w:tbl>
    <w:p>
      <w:pPr>
        <w:spacing w:after="0" w:line="240" w:lineRule="auto"/>
        <w:jc w:val="left"/>
        <w:rPr>
          <w:rFonts w:ascii="Times New Roman" w:hAnsi="Times New Roman" w:cs="Times New Roman" w:eastAsia="Times New Roman" w:hint="default"/>
          <w:sz w:val="18"/>
          <w:szCs w:val="18"/>
        </w:rPr>
        <w:sectPr>
          <w:pgSz w:w="11910" w:h="16840"/>
          <w:pgMar w:header="566" w:footer="979" w:top="1360" w:bottom="1160" w:left="0" w:right="0"/>
        </w:sectPr>
      </w:pPr>
    </w:p>
    <w:tbl>
      <w:tblPr>
        <w:tblW w:w="0" w:type="auto"/>
        <w:jc w:val="left"/>
        <w:tblInd w:w="135" w:type="dxa"/>
        <w:tblLayout w:type="fixed"/>
        <w:tblCellMar>
          <w:top w:w="0" w:type="dxa"/>
          <w:left w:w="0" w:type="dxa"/>
          <w:bottom w:w="0" w:type="dxa"/>
          <w:right w:w="0" w:type="dxa"/>
        </w:tblCellMar>
        <w:tblLook w:val="01E0"/>
      </w:tblPr>
      <w:tblGrid>
        <w:gridCol w:w="4256"/>
        <w:gridCol w:w="1984"/>
        <w:gridCol w:w="1624"/>
        <w:gridCol w:w="1349"/>
        <w:gridCol w:w="2415"/>
      </w:tblGrid>
      <w:tr>
        <w:trPr>
          <w:trHeight w:val="358" w:hRule="exact"/>
        </w:trPr>
        <w:tc>
          <w:tcPr>
            <w:tcW w:w="425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情况</w:t>
            </w:r>
          </w:p>
        </w:tc>
        <w:tc>
          <w:tcPr>
            <w:tcW w:w="7372" w:type="dxa"/>
            <w:gridSpan w:val="4"/>
            <w:vMerge w:val="restart"/>
            <w:tcBorders>
              <w:top w:val="single" w:sz="4" w:space="0" w:color="000000"/>
              <w:left w:val="single" w:sz="9" w:space="0" w:color="D2D2D2"/>
              <w:right w:val="single" w:sz="4" w:space="0" w:color="000000"/>
            </w:tcBorders>
          </w:tcPr>
          <w:p>
            <w:pPr>
              <w:pStyle w:val="TableParagraph"/>
              <w:spacing w:line="240" w:lineRule="auto" w:before="1"/>
              <w:ind w:left="1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日披露的《非公开发行股票上市公告书》</w:t>
            </w:r>
          </w:p>
          <w:p>
            <w:pPr>
              <w:pStyle w:val="TableParagraph"/>
              <w:spacing w:line="302" w:lineRule="auto" w:before="63"/>
              <w:ind w:left="16" w:right="77"/>
              <w:jc w:val="left"/>
              <w:rPr>
                <w:rFonts w:ascii="宋体" w:hAnsi="宋体" w:cs="宋体" w:eastAsia="宋体" w:hint="default"/>
                <w:sz w:val="18"/>
                <w:szCs w:val="18"/>
              </w:rPr>
            </w:pPr>
            <w:r>
              <w:rPr>
                <w:rFonts w:ascii="宋体" w:hAnsi="宋体" w:cs="宋体" w:eastAsia="宋体" w:hint="default"/>
                <w:spacing w:val="-1"/>
                <w:sz w:val="18"/>
                <w:szCs w:val="18"/>
              </w:rPr>
              <w:t>（</w:t>
            </w:r>
            <w:hyperlink r:id="rId27">
              <w:r>
                <w:rPr>
                  <w:rFonts w:ascii="Times New Roman" w:hAnsi="Times New Roman" w:cs="Times New Roman" w:eastAsia="Times New Roman" w:hint="default"/>
                  <w:spacing w:val="-1"/>
                  <w:sz w:val="18"/>
                  <w:szCs w:val="18"/>
                </w:rPr>
                <w:t>http://www.cninfo.com.cn/cninfo-new/disclosure/szse_gem/bulletin_detail/true/1201237053?anno</w:t>
              </w:r>
            </w:hyperlink>
            <w:r>
              <w:rPr>
                <w:rFonts w:ascii="Times New Roman" w:hAnsi="Times New Roman" w:cs="Times New Roman" w:eastAsia="Times New Roman" w:hint="default"/>
                <w:spacing w:val="19"/>
                <w:sz w:val="18"/>
                <w:szCs w:val="18"/>
              </w:rPr>
              <w:t> </w:t>
            </w:r>
            <w:r>
              <w:rPr>
                <w:rFonts w:ascii="Times New Roman" w:hAnsi="Times New Roman" w:cs="Times New Roman" w:eastAsia="Times New Roman" w:hint="default"/>
                <w:spacing w:val="19"/>
                <w:sz w:val="18"/>
                <w:szCs w:val="18"/>
              </w:rPr>
            </w:r>
            <w:r>
              <w:rPr>
                <w:rFonts w:ascii="Times New Roman" w:hAnsi="Times New Roman" w:cs="Times New Roman" w:eastAsia="Times New Roman" w:hint="default"/>
                <w:sz w:val="18"/>
                <w:szCs w:val="18"/>
              </w:rPr>
              <w:t>unceTime=2015-07-03%2018:41</w:t>
            </w:r>
            <w:r>
              <w:rPr>
                <w:rFonts w:ascii="宋体" w:hAnsi="宋体" w:cs="宋体" w:eastAsia="宋体" w:hint="default"/>
                <w:sz w:val="18"/>
                <w:szCs w:val="18"/>
              </w:rPr>
              <w:t>）</w:t>
            </w:r>
          </w:p>
        </w:tc>
      </w:tr>
      <w:tr>
        <w:trPr>
          <w:trHeight w:val="629" w:hRule="exact"/>
        </w:trPr>
        <w:tc>
          <w:tcPr>
            <w:tcW w:w="4256" w:type="dxa"/>
            <w:tcBorders>
              <w:top w:val="nil" w:sz="6" w:space="0" w:color="auto"/>
              <w:left w:val="single" w:sz="4" w:space="0" w:color="000000"/>
              <w:bottom w:val="single" w:sz="4" w:space="0" w:color="000000"/>
              <w:right w:val="single" w:sz="4" w:space="0" w:color="000000"/>
            </w:tcBorders>
            <w:shd w:val="clear" w:color="auto" w:fill="D2D2D2"/>
          </w:tcPr>
          <w:p>
            <w:pPr/>
          </w:p>
        </w:tc>
        <w:tc>
          <w:tcPr>
            <w:tcW w:w="7372" w:type="dxa"/>
            <w:gridSpan w:val="4"/>
            <w:vMerge/>
            <w:tcBorders>
              <w:left w:val="single" w:sz="9" w:space="0" w:color="D2D2D2"/>
              <w:bottom w:val="single" w:sz="4" w:space="0" w:color="000000"/>
              <w:right w:val="single" w:sz="4" w:space="0" w:color="000000"/>
            </w:tcBorders>
          </w:tcPr>
          <w:p>
            <w:pPr/>
          </w:p>
        </w:tc>
      </w:tr>
      <w:tr>
        <w:trPr>
          <w:trHeight w:val="402" w:hRule="exact"/>
        </w:trPr>
        <w:tc>
          <w:tcPr>
            <w:tcW w:w="4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24"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7372" w:type="dxa"/>
            <w:gridSpan w:val="4"/>
            <w:tcBorders>
              <w:top w:val="single" w:sz="4" w:space="0" w:color="000000"/>
              <w:left w:val="single" w:sz="13" w:space="0" w:color="D2D2D2"/>
              <w:bottom w:val="single" w:sz="4" w:space="0" w:color="000000"/>
              <w:right w:val="single" w:sz="4" w:space="0" w:color="000000"/>
            </w:tcBorders>
          </w:tcPr>
          <w:p>
            <w:pPr>
              <w:pStyle w:val="TableParagraph"/>
              <w:spacing w:line="240" w:lineRule="auto" w:before="41"/>
              <w:ind w:left="10" w:right="0"/>
              <w:jc w:val="left"/>
              <w:rPr>
                <w:rFonts w:ascii="宋体" w:hAnsi="宋体" w:cs="宋体" w:eastAsia="宋体" w:hint="default"/>
                <w:sz w:val="18"/>
                <w:szCs w:val="18"/>
              </w:rPr>
            </w:pPr>
            <w:r>
              <w:rPr>
                <w:rFonts w:ascii="宋体" w:hAnsi="宋体" w:cs="宋体" w:eastAsia="宋体" w:hint="default"/>
                <w:sz w:val="18"/>
                <w:szCs w:val="18"/>
              </w:rPr>
              <w:t>上述股东中，付艳杰与崔万涛为一致行动人。</w:t>
            </w:r>
          </w:p>
        </w:tc>
      </w:tr>
      <w:tr>
        <w:trPr>
          <w:trHeight w:val="397" w:hRule="exact"/>
        </w:trPr>
        <w:tc>
          <w:tcPr>
            <w:tcW w:w="1162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10" w:hRule="exact"/>
        </w:trPr>
        <w:tc>
          <w:tcPr>
            <w:tcW w:w="624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62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1"/>
              <w:ind w:left="176" w:right="85" w:hanging="90"/>
              <w:jc w:val="left"/>
              <w:rPr>
                <w:rFonts w:ascii="宋体" w:hAnsi="宋体" w:cs="宋体" w:eastAsia="宋体" w:hint="default"/>
                <w:sz w:val="18"/>
                <w:szCs w:val="18"/>
              </w:rPr>
            </w:pPr>
            <w:r>
              <w:rPr>
                <w:rFonts w:ascii="宋体" w:hAnsi="宋体" w:cs="宋体" w:eastAsia="宋体" w:hint="default"/>
                <w:sz w:val="18"/>
                <w:szCs w:val="18"/>
              </w:rPr>
              <w:t>报告期末持有无限 售条件股份数量</w:t>
            </w:r>
          </w:p>
        </w:tc>
        <w:tc>
          <w:tcPr>
            <w:tcW w:w="376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7" w:hRule="exact"/>
        </w:trPr>
        <w:tc>
          <w:tcPr>
            <w:tcW w:w="624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1"/>
              <w:ind w:left="1"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624" w:type="dxa"/>
            <w:vMerge/>
            <w:tcBorders>
              <w:left w:val="single" w:sz="4" w:space="0" w:color="000000"/>
              <w:right w:val="single" w:sz="4" w:space="0" w:color="000000"/>
            </w:tcBorders>
            <w:shd w:val="clear" w:color="auto" w:fill="D2D2D2"/>
          </w:tcPr>
          <w:p>
            <w:pPr/>
          </w:p>
        </w:tc>
        <w:tc>
          <w:tcPr>
            <w:tcW w:w="3764"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6240" w:type="dxa"/>
            <w:gridSpan w:val="2"/>
            <w:vMerge/>
            <w:tcBorders>
              <w:left w:val="single" w:sz="4" w:space="0" w:color="000000"/>
              <w:bottom w:val="nil" w:sz="6" w:space="0" w:color="auto"/>
              <w:right w:val="single" w:sz="4" w:space="0" w:color="000000"/>
            </w:tcBorders>
            <w:shd w:val="clear" w:color="auto" w:fill="D2D2D2"/>
          </w:tcPr>
          <w:p>
            <w:pPr/>
          </w:p>
        </w:tc>
        <w:tc>
          <w:tcPr>
            <w:tcW w:w="1624" w:type="dxa"/>
            <w:vMerge/>
            <w:tcBorders>
              <w:left w:val="single" w:sz="4" w:space="0" w:color="000000"/>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1"/>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24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624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624" w:type="dxa"/>
            <w:vMerge/>
            <w:tcBorders>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24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62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4" w:right="0"/>
              <w:jc w:val="left"/>
              <w:rPr>
                <w:rFonts w:ascii="宋体" w:hAnsi="宋体" w:cs="宋体" w:eastAsia="宋体" w:hint="default"/>
                <w:sz w:val="18"/>
                <w:szCs w:val="18"/>
              </w:rPr>
            </w:pPr>
            <w:r>
              <w:rPr>
                <w:rFonts w:ascii="宋体" w:hAnsi="宋体" w:cs="宋体" w:eastAsia="宋体" w:hint="default"/>
                <w:sz w:val="18"/>
                <w:szCs w:val="18"/>
              </w:rPr>
              <w:t>付艳杰</w:t>
            </w:r>
          </w:p>
        </w:tc>
        <w:tc>
          <w:tcPr>
            <w:tcW w:w="1624" w:type="dxa"/>
            <w:tcBorders>
              <w:top w:val="single" w:sz="18" w:space="0" w:color="D2D2D2"/>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19,633,358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19,633,358</w:t>
            </w:r>
          </w:p>
        </w:tc>
      </w:tr>
      <w:tr>
        <w:trPr>
          <w:trHeight w:val="402" w:hRule="exact"/>
        </w:trPr>
        <w:tc>
          <w:tcPr>
            <w:tcW w:w="62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4" w:right="0"/>
              <w:jc w:val="left"/>
              <w:rPr>
                <w:rFonts w:ascii="宋体" w:hAnsi="宋体" w:cs="宋体" w:eastAsia="宋体" w:hint="default"/>
                <w:sz w:val="18"/>
                <w:szCs w:val="18"/>
              </w:rPr>
            </w:pPr>
            <w:r>
              <w:rPr>
                <w:rFonts w:ascii="宋体" w:hAnsi="宋体" w:cs="宋体" w:eastAsia="宋体" w:hint="default"/>
                <w:sz w:val="18"/>
                <w:szCs w:val="18"/>
              </w:rPr>
              <w:t>崔万涛</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19,633,358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z w:val="18"/>
              </w:rPr>
              <w:t>19,633,358</w:t>
            </w:r>
          </w:p>
        </w:tc>
      </w:tr>
      <w:tr>
        <w:trPr>
          <w:trHeight w:val="402" w:hRule="exact"/>
        </w:trPr>
        <w:tc>
          <w:tcPr>
            <w:tcW w:w="62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4" w:right="0"/>
              <w:jc w:val="left"/>
              <w:rPr>
                <w:rFonts w:ascii="宋体" w:hAnsi="宋体" w:cs="宋体" w:eastAsia="宋体" w:hint="default"/>
                <w:sz w:val="18"/>
                <w:szCs w:val="18"/>
              </w:rPr>
            </w:pPr>
            <w:r>
              <w:rPr>
                <w:rFonts w:ascii="宋体" w:hAnsi="宋体" w:cs="宋体" w:eastAsia="宋体" w:hint="default"/>
                <w:sz w:val="18"/>
                <w:szCs w:val="18"/>
              </w:rPr>
              <w:t>兴业银行股份有限公司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兴全全球视野股票型证券投资基金</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5,333,042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5,333,042</w:t>
            </w:r>
          </w:p>
        </w:tc>
      </w:tr>
      <w:tr>
        <w:trPr>
          <w:trHeight w:val="402" w:hRule="exact"/>
        </w:trPr>
        <w:tc>
          <w:tcPr>
            <w:tcW w:w="62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4" w:right="0"/>
              <w:jc w:val="left"/>
              <w:rPr>
                <w:rFonts w:ascii="宋体" w:hAnsi="宋体" w:cs="宋体" w:eastAsia="宋体" w:hint="default"/>
                <w:sz w:val="18"/>
                <w:szCs w:val="18"/>
              </w:rPr>
            </w:pPr>
            <w:r>
              <w:rPr>
                <w:rFonts w:ascii="宋体" w:hAnsi="宋体" w:cs="宋体" w:eastAsia="宋体" w:hint="default"/>
                <w:sz w:val="18"/>
                <w:szCs w:val="18"/>
              </w:rPr>
              <w:t>沈阳森木投资管理有限公司</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5,093,732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5,093,732</w:t>
            </w:r>
          </w:p>
        </w:tc>
      </w:tr>
      <w:tr>
        <w:trPr>
          <w:trHeight w:val="402" w:hRule="exact"/>
        </w:trPr>
        <w:tc>
          <w:tcPr>
            <w:tcW w:w="62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4" w:right="0"/>
              <w:jc w:val="left"/>
              <w:rPr>
                <w:rFonts w:ascii="宋体" w:hAnsi="宋体" w:cs="宋体" w:eastAsia="宋体" w:hint="default"/>
                <w:sz w:val="18"/>
                <w:szCs w:val="18"/>
              </w:rPr>
            </w:pPr>
            <w:r>
              <w:rPr>
                <w:rFonts w:ascii="宋体" w:hAnsi="宋体" w:cs="宋体" w:eastAsia="宋体" w:hint="default"/>
                <w:sz w:val="18"/>
                <w:szCs w:val="18"/>
              </w:rPr>
              <w:t>兴业银行股份有限公司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兴全趋势投资混合型证券投资基金</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3,873,627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3,873,627</w:t>
            </w:r>
          </w:p>
        </w:tc>
      </w:tr>
      <w:tr>
        <w:trPr>
          <w:trHeight w:val="402" w:hRule="exact"/>
        </w:trPr>
        <w:tc>
          <w:tcPr>
            <w:tcW w:w="62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4" w:right="0"/>
              <w:jc w:val="left"/>
              <w:rPr>
                <w:rFonts w:ascii="宋体" w:hAnsi="宋体" w:cs="宋体" w:eastAsia="宋体" w:hint="default"/>
                <w:sz w:val="18"/>
                <w:szCs w:val="18"/>
              </w:rPr>
            </w:pPr>
            <w:r>
              <w:rPr>
                <w:rFonts w:ascii="宋体" w:hAnsi="宋体" w:cs="宋体" w:eastAsia="宋体" w:hint="default"/>
                <w:sz w:val="18"/>
                <w:szCs w:val="18"/>
              </w:rPr>
              <w:t>交通银行股份有限公司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浦银安盛战略新兴产业混合型证券投资基金</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2,250,505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2,250,505</w:t>
            </w:r>
          </w:p>
        </w:tc>
      </w:tr>
      <w:tr>
        <w:trPr>
          <w:trHeight w:val="402" w:hRule="exact"/>
        </w:trPr>
        <w:tc>
          <w:tcPr>
            <w:tcW w:w="62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4"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融通新能源灵活配置混合型证券投资基金</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2,199,902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2,199,902</w:t>
            </w:r>
          </w:p>
        </w:tc>
      </w:tr>
      <w:tr>
        <w:trPr>
          <w:trHeight w:val="402" w:hRule="exact"/>
        </w:trPr>
        <w:tc>
          <w:tcPr>
            <w:tcW w:w="62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4" w:right="0"/>
              <w:jc w:val="left"/>
              <w:rPr>
                <w:rFonts w:ascii="宋体" w:hAnsi="宋体" w:cs="宋体" w:eastAsia="宋体" w:hint="default"/>
                <w:sz w:val="18"/>
                <w:szCs w:val="18"/>
              </w:rPr>
            </w:pPr>
            <w:r>
              <w:rPr>
                <w:rFonts w:ascii="宋体" w:hAnsi="宋体" w:cs="宋体" w:eastAsia="宋体" w:hint="default"/>
                <w:sz w:val="18"/>
                <w:szCs w:val="18"/>
              </w:rPr>
              <w:t>丁云芳</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1,313,340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1,313,340</w:t>
            </w:r>
          </w:p>
        </w:tc>
      </w:tr>
      <w:tr>
        <w:trPr>
          <w:trHeight w:val="402" w:hRule="exact"/>
        </w:trPr>
        <w:tc>
          <w:tcPr>
            <w:tcW w:w="62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4" w:right="0"/>
              <w:jc w:val="left"/>
              <w:rPr>
                <w:rFonts w:ascii="宋体" w:hAnsi="宋体" w:cs="宋体" w:eastAsia="宋体" w:hint="default"/>
                <w:sz w:val="18"/>
                <w:szCs w:val="18"/>
              </w:rPr>
            </w:pPr>
            <w:r>
              <w:rPr>
                <w:rFonts w:ascii="宋体" w:hAnsi="宋体" w:cs="宋体" w:eastAsia="宋体" w:hint="default"/>
                <w:sz w:val="18"/>
                <w:szCs w:val="18"/>
              </w:rPr>
              <w:t>敦和资产管理有限公司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敦和虎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号母基金</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1,230,000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1,230,000</w:t>
            </w:r>
          </w:p>
        </w:tc>
      </w:tr>
      <w:tr>
        <w:trPr>
          <w:trHeight w:val="402" w:hRule="exact"/>
        </w:trPr>
        <w:tc>
          <w:tcPr>
            <w:tcW w:w="62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4"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交银施罗德蓝筹混合型证券投资基金</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1,200,000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1,200,000</w:t>
            </w:r>
          </w:p>
        </w:tc>
      </w:tr>
      <w:tr>
        <w:trPr>
          <w:trHeight w:val="714" w:hRule="exact"/>
        </w:trPr>
        <w:tc>
          <w:tcPr>
            <w:tcW w:w="624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1"/>
              <w:ind w:left="24" w:right="2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名无限售流通股股东之间，以及前</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名股东 之间关联关系或一致行动的说明</w:t>
            </w:r>
          </w:p>
        </w:tc>
        <w:tc>
          <w:tcPr>
            <w:tcW w:w="53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上述股东中，付艳杰与崔万涛为一致行动人。</w:t>
            </w:r>
          </w:p>
        </w:tc>
      </w:tr>
      <w:tr>
        <w:trPr>
          <w:trHeight w:val="1650" w:hRule="exact"/>
        </w:trPr>
        <w:tc>
          <w:tcPr>
            <w:tcW w:w="624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w:t>
            </w:r>
          </w:p>
        </w:tc>
        <w:tc>
          <w:tcPr>
            <w:tcW w:w="53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2" w:right="0"/>
              <w:jc w:val="both"/>
              <w:rPr>
                <w:rFonts w:ascii="宋体" w:hAnsi="宋体" w:cs="宋体" w:eastAsia="宋体" w:hint="default"/>
                <w:sz w:val="18"/>
                <w:szCs w:val="18"/>
              </w:rPr>
            </w:pPr>
            <w:r>
              <w:rPr>
                <w:rFonts w:ascii="宋体" w:hAnsi="宋体" w:cs="宋体" w:eastAsia="宋体" w:hint="default"/>
                <w:sz w:val="18"/>
                <w:szCs w:val="18"/>
              </w:rPr>
              <w:t>公司股东沈阳森木投资管理有限公司除通过普通证券账户持有</w:t>
            </w:r>
          </w:p>
          <w:p>
            <w:pPr>
              <w:pStyle w:val="TableParagraph"/>
              <w:spacing w:line="240" w:lineRule="auto" w:before="75"/>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4,432,800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股外，还通过光大证券股份有限公司客户信用交易担保证</w:t>
            </w:r>
          </w:p>
          <w:p>
            <w:pPr>
              <w:pStyle w:val="TableParagraph"/>
              <w:spacing w:line="309" w:lineRule="auto" w:before="63"/>
              <w:ind w:left="22" w:right="89"/>
              <w:jc w:val="both"/>
              <w:rPr>
                <w:rFonts w:ascii="宋体" w:hAnsi="宋体" w:cs="宋体" w:eastAsia="宋体" w:hint="default"/>
                <w:sz w:val="18"/>
                <w:szCs w:val="18"/>
              </w:rPr>
            </w:pPr>
            <w:r>
              <w:rPr>
                <w:rFonts w:ascii="宋体" w:hAnsi="宋体" w:cs="宋体" w:eastAsia="宋体" w:hint="default"/>
                <w:sz w:val="18"/>
                <w:szCs w:val="18"/>
              </w:rPr>
              <w:t>券账户持有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660,932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股，实际合计持有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5,093,732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股；公司股东丁云 芳通过中银国际证券有限责任公司客户信用交易担保证券账户持有 </w:t>
            </w:r>
            <w:r>
              <w:rPr>
                <w:rFonts w:ascii="Times New Roman" w:hAnsi="Times New Roman" w:cs="Times New Roman" w:eastAsia="Times New Roman" w:hint="default"/>
                <w:sz w:val="18"/>
                <w:szCs w:val="18"/>
              </w:rPr>
              <w:t>1,313,340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股，实际合计持有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1,313,340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bl>
    <w:p>
      <w:pPr>
        <w:pStyle w:val="BodyText"/>
        <w:spacing w:line="240" w:lineRule="auto" w:before="41"/>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left="113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left="1133"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2、公司控股股东情况" w:id="111"/>
      <w:bookmarkEnd w:id="111"/>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592"/>
        <w:jc w:val="left"/>
      </w:pPr>
      <w:r>
        <w:rPr/>
        <w:t>控股股东性质：自然人控股 控股股东类型：自然人</w:t>
      </w:r>
    </w:p>
    <w:tbl>
      <w:tblPr>
        <w:tblW w:w="0" w:type="auto"/>
        <w:jc w:val="left"/>
        <w:tblInd w:w="668" w:type="dxa"/>
        <w:tblLayout w:type="fixed"/>
        <w:tblCellMar>
          <w:top w:w="0" w:type="dxa"/>
          <w:left w:w="0" w:type="dxa"/>
          <w:bottom w:w="0" w:type="dxa"/>
          <w:right w:w="0" w:type="dxa"/>
        </w:tblCellMar>
        <w:tblLook w:val="01E0"/>
      </w:tblPr>
      <w:tblGrid>
        <w:gridCol w:w="2270"/>
        <w:gridCol w:w="4172"/>
        <w:gridCol w:w="4120"/>
      </w:tblGrid>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9" w:right="0"/>
              <w:jc w:val="left"/>
              <w:rPr>
                <w:rFonts w:ascii="宋体" w:hAnsi="宋体" w:cs="宋体" w:eastAsia="宋体" w:hint="default"/>
                <w:sz w:val="18"/>
                <w:szCs w:val="18"/>
              </w:rPr>
            </w:pPr>
            <w:r>
              <w:rPr>
                <w:rFonts w:ascii="宋体" w:hAnsi="宋体" w:cs="宋体" w:eastAsia="宋体" w:hint="default"/>
                <w:sz w:val="18"/>
                <w:szCs w:val="18"/>
              </w:rPr>
              <w:t>控股股东姓名</w:t>
            </w:r>
          </w:p>
        </w:tc>
        <w:tc>
          <w:tcPr>
            <w:tcW w:w="4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付艳杰</w:t>
            </w:r>
          </w:p>
        </w:tc>
        <w:tc>
          <w:tcPr>
            <w:tcW w:w="4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崔万涛</w:t>
            </w:r>
          </w:p>
        </w:tc>
        <w:tc>
          <w:tcPr>
            <w:tcW w:w="4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829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pacing w:val="-2"/>
                <w:sz w:val="18"/>
                <w:szCs w:val="18"/>
              </w:rPr>
              <w:t>付艳杰曾任荣科有限监事、执行董事职务，现担任本公司董事职务，目前还担任铁岭市雅森木业有限公司</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pacing w:val="-2"/>
                <w:sz w:val="18"/>
                <w:szCs w:val="18"/>
              </w:rPr>
              <w:t>总经理职务；崔万涛现担任本公司董事、辽宁恒际建筑集团公司高级项目经理、辽宁荣科金融服务有限公</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司监事等职务。</w:t>
            </w:r>
          </w:p>
        </w:tc>
      </w:tr>
    </w:tbl>
    <w:p>
      <w:pPr>
        <w:spacing w:after="0" w:line="316" w:lineRule="auto"/>
        <w:jc w:val="both"/>
        <w:rPr>
          <w:rFonts w:ascii="宋体" w:hAnsi="宋体" w:cs="宋体" w:eastAsia="宋体" w:hint="default"/>
          <w:sz w:val="18"/>
          <w:szCs w:val="18"/>
        </w:rPr>
        <w:sectPr>
          <w:pgSz w:w="11910" w:h="16840"/>
          <w:pgMar w:header="566" w:footer="979" w:top="1440" w:bottom="1160" w:left="0" w:right="0"/>
        </w:sectPr>
      </w:pPr>
    </w:p>
    <w:p>
      <w:pPr>
        <w:spacing w:line="240" w:lineRule="auto" w:before="12"/>
        <w:rPr>
          <w:rFonts w:ascii="宋体" w:hAnsi="宋体" w:cs="宋体" w:eastAsia="宋体" w:hint="default"/>
          <w:sz w:val="2"/>
          <w:szCs w:val="2"/>
        </w:rPr>
      </w:pPr>
      <w:r>
        <w:rPr/>
        <w:pict>
          <v:shape style="position:absolute;margin-left:57pt;margin-top:28.299988pt;width:108pt;height:40.149994pt;mso-position-horizontal-relative:page;mso-position-vertical-relative:page;z-index:-614248" type="#_x0000_t75" stroked="false">
            <v:imagedata r:id="rId7" o:title=""/>
          </v:shape>
        </w:pict>
      </w:r>
    </w:p>
    <w:tbl>
      <w:tblPr>
        <w:tblW w:w="0" w:type="auto"/>
        <w:jc w:val="left"/>
        <w:tblInd w:w="668" w:type="dxa"/>
        <w:tblLayout w:type="fixed"/>
        <w:tblCellMar>
          <w:top w:w="0" w:type="dxa"/>
          <w:left w:w="0" w:type="dxa"/>
          <w:bottom w:w="0" w:type="dxa"/>
          <w:right w:w="0" w:type="dxa"/>
        </w:tblCellMar>
        <w:tblLook w:val="01E0"/>
      </w:tblPr>
      <w:tblGrid>
        <w:gridCol w:w="2269"/>
        <w:gridCol w:w="8292"/>
      </w:tblGrid>
      <w:tr>
        <w:trPr>
          <w:trHeight w:val="332" w:hRule="exact"/>
        </w:trPr>
        <w:tc>
          <w:tcPr>
            <w:tcW w:w="2269" w:type="dxa"/>
            <w:tcBorders>
              <w:top w:val="single" w:sz="6" w:space="0" w:color="000000"/>
              <w:left w:val="nil" w:sz="6" w:space="0" w:color="auto"/>
              <w:bottom w:val="single" w:sz="4" w:space="0" w:color="000000"/>
              <w:right w:val="nil" w:sz="6" w:space="0" w:color="auto"/>
            </w:tcBorders>
          </w:tcPr>
          <w:p>
            <w:pPr/>
          </w:p>
        </w:tc>
        <w:tc>
          <w:tcPr>
            <w:tcW w:w="8292" w:type="dxa"/>
            <w:tcBorders>
              <w:top w:val="single" w:sz="6" w:space="0" w:color="000000"/>
              <w:left w:val="nil" w:sz="6" w:space="0" w:color="auto"/>
              <w:bottom w:val="single" w:sz="4" w:space="0" w:color="000000"/>
              <w:right w:val="nil" w:sz="6" w:space="0" w:color="auto"/>
            </w:tcBorders>
          </w:tcPr>
          <w:p>
            <w:pPr/>
          </w:p>
        </w:tc>
      </w:tr>
      <w:tr>
        <w:trPr>
          <w:trHeight w:val="714" w:hRule="exact"/>
        </w:trPr>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报告期内控股和参股的其他 境内外上市公司的股权情况</w:t>
            </w:r>
          </w:p>
        </w:tc>
        <w:tc>
          <w:tcPr>
            <w:tcW w:w="8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上述控股股东过去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年均未曾控股境内外上市公司。</w:t>
            </w:r>
          </w:p>
        </w:tc>
      </w:tr>
    </w:tbl>
    <w:p>
      <w:pPr>
        <w:pStyle w:val="BodyText"/>
        <w:spacing w:line="240" w:lineRule="auto" w:before="51"/>
        <w:ind w:right="0"/>
        <w:jc w:val="left"/>
      </w:pPr>
      <w:r>
        <w:rPr/>
        <w:t>控股股东报告期内变更</w:t>
      </w:r>
    </w:p>
    <w:p>
      <w:pPr>
        <w:pStyle w:val="BodyText"/>
        <w:spacing w:line="338" w:lineRule="auto" w:before="117"/>
        <w:ind w:left="1133"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2"/>
        <w:rPr>
          <w:rFonts w:ascii="宋体" w:hAnsi="宋体" w:cs="宋体" w:eastAsia="宋体" w:hint="default"/>
          <w:sz w:val="21"/>
          <w:szCs w:val="21"/>
        </w:rPr>
      </w:pPr>
    </w:p>
    <w:p>
      <w:pPr>
        <w:pStyle w:val="Heading3"/>
        <w:spacing w:line="240" w:lineRule="auto"/>
        <w:ind w:left="1133" w:right="0"/>
        <w:jc w:val="left"/>
        <w:rPr>
          <w:b w:val="0"/>
          <w:bCs w:val="0"/>
        </w:rPr>
      </w:pPr>
      <w:bookmarkStart w:name="3、公司实际控制人情况" w:id="112"/>
      <w:bookmarkEnd w:id="112"/>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133" w:right="8413"/>
        <w:jc w:val="left"/>
      </w:pPr>
      <w:r>
        <w:rPr/>
        <w:t>实际控制人性质：境内自然人 实际控制人类型：自然人</w:t>
      </w:r>
    </w:p>
    <w:tbl>
      <w:tblPr>
        <w:tblW w:w="0" w:type="auto"/>
        <w:jc w:val="left"/>
        <w:tblInd w:w="667" w:type="dxa"/>
        <w:tblLayout w:type="fixed"/>
        <w:tblCellMar>
          <w:top w:w="0" w:type="dxa"/>
          <w:left w:w="0" w:type="dxa"/>
          <w:bottom w:w="0" w:type="dxa"/>
          <w:right w:w="0" w:type="dxa"/>
        </w:tblCellMar>
        <w:tblLook w:val="01E0"/>
      </w:tblPr>
      <w:tblGrid>
        <w:gridCol w:w="4321"/>
        <w:gridCol w:w="2122"/>
        <w:gridCol w:w="4120"/>
      </w:tblGrid>
      <w:tr>
        <w:trPr>
          <w:trHeight w:val="402" w:hRule="exact"/>
        </w:trPr>
        <w:tc>
          <w:tcPr>
            <w:tcW w:w="4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实际控制人姓名</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付艳杰</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崔万涛</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4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4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7"/>
              <w:jc w:val="both"/>
              <w:rPr>
                <w:rFonts w:ascii="宋体" w:hAnsi="宋体" w:cs="宋体" w:eastAsia="宋体" w:hint="default"/>
                <w:sz w:val="18"/>
                <w:szCs w:val="18"/>
              </w:rPr>
            </w:pPr>
            <w:r>
              <w:rPr>
                <w:rFonts w:ascii="宋体" w:hAnsi="宋体" w:cs="宋体" w:eastAsia="宋体" w:hint="default"/>
                <w:sz w:val="18"/>
                <w:szCs w:val="18"/>
              </w:rPr>
              <w:t>付艳杰曾任荣科有限监事、执行董事职务，现担任本公司董事职务，目前还担 任铁岭市雅森木业有限公司总经理职务；崔万涛现担任本公司董事、辽宁恒际 建筑集团公司高级项目经理、辽宁荣科金融服务有限公司监事等职务。</w:t>
            </w:r>
          </w:p>
        </w:tc>
      </w:tr>
      <w:tr>
        <w:trPr>
          <w:trHeight w:val="402" w:hRule="exact"/>
        </w:trPr>
        <w:tc>
          <w:tcPr>
            <w:tcW w:w="4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上述控股股东过去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年均未曾控股境内外上市公司。</w:t>
            </w:r>
          </w:p>
        </w:tc>
      </w:tr>
    </w:tbl>
    <w:p>
      <w:pPr>
        <w:pStyle w:val="BodyText"/>
        <w:spacing w:line="240" w:lineRule="auto" w:before="65"/>
        <w:ind w:right="0"/>
        <w:jc w:val="left"/>
      </w:pPr>
      <w:r>
        <w:rPr/>
        <w:t>实际控制人报告期内变更</w:t>
      </w:r>
    </w:p>
    <w:p>
      <w:pPr>
        <w:pStyle w:val="BodyText"/>
        <w:spacing w:line="350" w:lineRule="auto" w:before="117"/>
        <w:ind w:left="1133"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line="240" w:lineRule="auto" w:before="4"/>
        <w:rPr>
          <w:rFonts w:ascii="宋体" w:hAnsi="宋体" w:cs="宋体" w:eastAsia="宋体" w:hint="default"/>
          <w:sz w:val="24"/>
          <w:szCs w:val="24"/>
        </w:rPr>
      </w:pPr>
    </w:p>
    <w:p>
      <w:pPr>
        <w:spacing w:line="3141" w:lineRule="exact"/>
        <w:ind w:left="3378" w:right="0" w:firstLine="0"/>
        <w:rPr>
          <w:rFonts w:ascii="宋体" w:hAnsi="宋体" w:cs="宋体" w:eastAsia="宋体" w:hint="default"/>
          <w:sz w:val="20"/>
          <w:szCs w:val="20"/>
        </w:rPr>
      </w:pPr>
      <w:r>
        <w:rPr>
          <w:rFonts w:ascii="宋体" w:hAnsi="宋体" w:cs="宋体" w:eastAsia="宋体" w:hint="default"/>
          <w:position w:val="-62"/>
          <w:sz w:val="20"/>
          <w:szCs w:val="20"/>
        </w:rPr>
        <w:drawing>
          <wp:inline distT="0" distB="0" distL="0" distR="0">
            <wp:extent cx="3255484" cy="1995011"/>
            <wp:effectExtent l="0" t="0" r="0" b="0"/>
            <wp:docPr id="9" name="image7.jpeg" descr=""/>
            <wp:cNvGraphicFramePr>
              <a:graphicFrameLocks noChangeAspect="1"/>
            </wp:cNvGraphicFramePr>
            <a:graphic>
              <a:graphicData uri="http://schemas.openxmlformats.org/drawingml/2006/picture">
                <pic:pic>
                  <pic:nvPicPr>
                    <pic:cNvPr id="10" name="image7.jpeg"/>
                    <pic:cNvPicPr/>
                  </pic:nvPicPr>
                  <pic:blipFill>
                    <a:blip r:embed="rId29" cstate="print"/>
                    <a:stretch>
                      <a:fillRect/>
                    </a:stretch>
                  </pic:blipFill>
                  <pic:spPr>
                    <a:xfrm>
                      <a:off x="0" y="0"/>
                      <a:ext cx="3255484" cy="1995011"/>
                    </a:xfrm>
                    <a:prstGeom prst="rect">
                      <a:avLst/>
                    </a:prstGeom>
                  </pic:spPr>
                </pic:pic>
              </a:graphicData>
            </a:graphic>
          </wp:inline>
        </w:drawing>
      </w:r>
      <w:r>
        <w:rPr>
          <w:rFonts w:ascii="宋体" w:hAnsi="宋体" w:cs="宋体" w:eastAsia="宋体" w:hint="default"/>
          <w:position w:val="-62"/>
          <w:sz w:val="20"/>
          <w:szCs w:val="20"/>
        </w:rPr>
      </w:r>
    </w:p>
    <w:p>
      <w:pPr>
        <w:spacing w:line="240" w:lineRule="auto" w:before="7"/>
        <w:rPr>
          <w:rFonts w:ascii="宋体" w:hAnsi="宋体" w:cs="宋体" w:eastAsia="宋体" w:hint="default"/>
          <w:sz w:val="24"/>
          <w:szCs w:val="24"/>
        </w:rPr>
      </w:pPr>
    </w:p>
    <w:p>
      <w:pPr>
        <w:pStyle w:val="BodyText"/>
        <w:spacing w:line="240" w:lineRule="auto" w:before="44"/>
        <w:ind w:right="0"/>
        <w:jc w:val="left"/>
      </w:pPr>
      <w:r>
        <w:rPr/>
        <w:t>实际控制人通过信托或其他资产管理方式控制公司</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133" w:right="0"/>
        <w:jc w:val="left"/>
        <w:rPr>
          <w:b w:val="0"/>
          <w:bCs w:val="0"/>
        </w:rPr>
      </w:pPr>
      <w:bookmarkStart w:name="4、其他持股在10%以上的法人股东" w:id="113"/>
      <w:bookmarkEnd w:id="113"/>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headerReference w:type="default" r:id="rId28"/>
          <w:pgSz w:w="11910" w:h="16840"/>
          <w:pgMar w:header="867" w:footer="979" w:top="1060" w:bottom="1160" w:left="0" w:right="0"/>
        </w:sectPr>
      </w:pPr>
    </w:p>
    <w:p>
      <w:pPr>
        <w:spacing w:line="240" w:lineRule="auto" w:before="9"/>
        <w:rPr>
          <w:rFonts w:ascii="宋体" w:hAnsi="宋体" w:cs="宋体" w:eastAsia="宋体" w:hint="default"/>
          <w:sz w:val="24"/>
          <w:szCs w:val="24"/>
        </w:rPr>
      </w:pPr>
      <w:r>
        <w:rPr/>
        <w:pict>
          <v:group style="position:absolute;margin-left:54.84pt;margin-top:28.299988pt;width:485.7pt;height:40.15pt;mso-position-horizontal-relative:page;mso-position-vertical-relative:page;z-index:1816" coordorigin="1097,566" coordsize="9714,803">
            <v:group style="position:absolute;left:1104;top:1112;width:9700;height:2" coordorigin="1104,1112" coordsize="9700,2">
              <v:shape style="position:absolute;left:1104;top:1112;width:9700;height:2" coordorigin="1104,1112" coordsize="9700,0" path="m1104,1112l10804,1112e" filled="false" stroked="true" strokeweight=".72pt" strokecolor="#000000">
                <v:path arrowok="t"/>
              </v:shape>
              <v:shape style="position:absolute;left:1140;top:566;width:2160;height:803" type="#_x0000_t75" stroked="false">
                <v:imagedata r:id="rId7" o:title=""/>
              </v:shape>
            </v:group>
            <w10:wrap type="none"/>
          </v:group>
        </w:pict>
      </w:r>
    </w:p>
    <w:p>
      <w:pPr>
        <w:pStyle w:val="Heading3"/>
        <w:spacing w:line="240" w:lineRule="auto" w:before="35"/>
        <w:ind w:right="0"/>
        <w:jc w:val="left"/>
        <w:rPr>
          <w:b w:val="0"/>
          <w:bCs w:val="0"/>
        </w:rPr>
      </w:pPr>
      <w:bookmarkStart w:name="5、控股股东、实际控制人、重组方及其他承诺主体股份限制减持情况" w:id="114"/>
      <w:bookmarkEnd w:id="114"/>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67" w:footer="979" w:top="1060" w:bottom="1160" w:left="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1"/>
        <w:spacing w:line="240" w:lineRule="auto"/>
        <w:ind w:right="1411"/>
        <w:jc w:val="center"/>
        <w:rPr>
          <w:b w:val="0"/>
          <w:bCs w:val="0"/>
        </w:rPr>
      </w:pPr>
      <w:bookmarkStart w:name="_TOC_250004" w:id="115"/>
      <w:bookmarkStart w:name="第七节 优先股相关情况" w:id="116"/>
      <w:r>
        <w:rPr>
          <w:b w:val="0"/>
          <w:bCs w:val="0"/>
        </w:rPr>
      </w:r>
      <w:r>
        <w:rPr/>
        <w:t>第七节</w:t>
      </w:r>
      <w:r>
        <w:rPr>
          <w:spacing w:val="-8"/>
        </w:rPr>
        <w:t> </w:t>
      </w:r>
      <w:r>
        <w:rPr/>
        <w:t>优先股相关情况</w:t>
      </w:r>
      <w:bookmarkEnd w:id="115"/>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before="44"/>
        <w:ind w:left="1133"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headerReference w:type="default" r:id="rId30"/>
          <w:pgSz w:w="11910" w:h="16840"/>
          <w:pgMar w:header="566" w:footer="979" w:top="1360" w:bottom="1160" w:left="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1"/>
        <w:spacing w:line="240" w:lineRule="auto"/>
        <w:ind w:left="2660" w:right="0"/>
        <w:jc w:val="left"/>
        <w:rPr>
          <w:b w:val="0"/>
          <w:bCs w:val="0"/>
        </w:rPr>
      </w:pPr>
      <w:bookmarkStart w:name="_TOC_250003" w:id="117"/>
      <w:bookmarkStart w:name="第八节 董事、监事、高级管理人员和员工情况" w:id="118"/>
      <w:r>
        <w:rPr>
          <w:b w:val="0"/>
          <w:bCs w:val="0"/>
        </w:rPr>
      </w:r>
      <w:r>
        <w:rPr/>
        <w:t>第八节</w:t>
      </w:r>
      <w:r>
        <w:rPr>
          <w:spacing w:val="-16"/>
        </w:rPr>
        <w:t> </w:t>
      </w:r>
      <w:r>
        <w:rPr/>
        <w:t>董事、监事、高级管理人员和员工情况</w:t>
      </w:r>
      <w:bookmarkEnd w:id="117"/>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19"/>
      <w:bookmarkEnd w:id="119"/>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632" w:type="dxa"/>
        <w:tblLayout w:type="fixed"/>
        <w:tblCellMar>
          <w:top w:w="0" w:type="dxa"/>
          <w:left w:w="0" w:type="dxa"/>
          <w:bottom w:w="0" w:type="dxa"/>
          <w:right w:w="0" w:type="dxa"/>
        </w:tblCellMar>
        <w:tblLook w:val="01E0"/>
      </w:tblPr>
      <w:tblGrid>
        <w:gridCol w:w="851"/>
        <w:gridCol w:w="1738"/>
        <w:gridCol w:w="956"/>
        <w:gridCol w:w="710"/>
        <w:gridCol w:w="708"/>
        <w:gridCol w:w="1134"/>
        <w:gridCol w:w="1276"/>
        <w:gridCol w:w="1134"/>
        <w:gridCol w:w="992"/>
        <w:gridCol w:w="1134"/>
      </w:tblGrid>
      <w:tr>
        <w:trPr>
          <w:trHeight w:val="713"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（股）</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本期增持股份 数量（股）</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1" w:firstLine="89"/>
              <w:jc w:val="left"/>
              <w:rPr>
                <w:rFonts w:ascii="宋体" w:hAnsi="宋体" w:cs="宋体" w:eastAsia="宋体" w:hint="default"/>
                <w:sz w:val="18"/>
                <w:szCs w:val="18"/>
              </w:rPr>
            </w:pPr>
            <w:r>
              <w:rPr>
                <w:rFonts w:ascii="宋体" w:hAnsi="宋体" w:cs="宋体" w:eastAsia="宋体" w:hint="default"/>
                <w:sz w:val="18"/>
                <w:szCs w:val="18"/>
              </w:rPr>
              <w:t>本期减持股 份数量（股）</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30" w:right="41" w:hanging="90"/>
              <w:jc w:val="left"/>
              <w:rPr>
                <w:rFonts w:ascii="宋体" w:hAnsi="宋体" w:cs="宋体" w:eastAsia="宋体" w:hint="default"/>
                <w:sz w:val="18"/>
                <w:szCs w:val="18"/>
              </w:rPr>
            </w:pPr>
            <w:r>
              <w:rPr>
                <w:rFonts w:ascii="宋体" w:hAnsi="宋体" w:cs="宋体" w:eastAsia="宋体" w:hint="default"/>
                <w:sz w:val="18"/>
                <w:szCs w:val="18"/>
              </w:rPr>
              <w:t>其他增减变 动（股）</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付永全</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董事长、高管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48</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付艳杰</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39,266,714</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51,940,984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91,207,698</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崔万涛</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39,266,714</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51,940,984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91,207,698</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崔万田</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43</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尹春福</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董事、高管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176,700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176,700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353,400</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冯丽</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董事、财务总监、董 事会秘书、高管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157,066</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157,066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314,132</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林木西</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62</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宋廷锋</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48</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杨根兴</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67</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余力兴</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127,800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127,800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255,600</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艾川</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32</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郭薇</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38</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杨兴礼</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37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146,966</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146,966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293,932</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刘斌</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37</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79,141,960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104,490,500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183,632,460</w:t>
            </w:r>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二、公司董事、监事、高级管理人员变动情况" w:id="120"/>
      <w:bookmarkEnd w:id="120"/>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0"/>
        <w:jc w:val="left"/>
      </w:pPr>
      <w:r>
        <w:rPr/>
        <w:t>报告期内，公司董事、监事、高级管理人员没有发生变动。</w:t>
      </w:r>
    </w:p>
    <w:p>
      <w:pPr>
        <w:spacing w:line="240" w:lineRule="auto" w:before="13"/>
        <w:rPr>
          <w:rFonts w:ascii="宋体" w:hAnsi="宋体" w:cs="宋体" w:eastAsia="宋体" w:hint="default"/>
          <w:sz w:val="24"/>
          <w:szCs w:val="24"/>
        </w:rPr>
      </w:pPr>
    </w:p>
    <w:p>
      <w:pPr>
        <w:pStyle w:val="Heading2"/>
        <w:spacing w:line="240" w:lineRule="auto"/>
        <w:ind w:left="1134" w:right="0"/>
        <w:jc w:val="left"/>
        <w:rPr>
          <w:b w:val="0"/>
          <w:bCs w:val="0"/>
        </w:rPr>
      </w:pPr>
      <w:bookmarkStart w:name="三、任职情况" w:id="121"/>
      <w:bookmarkEnd w:id="121"/>
      <w:r>
        <w:rPr>
          <w:b w:val="0"/>
          <w:bCs w:val="0"/>
        </w:rPr>
      </w:r>
      <w:r>
        <w:rPr/>
        <w:t>三、任职情况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公司现任董事、监事、高级管理人员专业背景、主要工作经历以及目前在公司的主要职责</w:t>
      </w:r>
    </w:p>
    <w:p>
      <w:pPr>
        <w:spacing w:line="240" w:lineRule="auto" w:before="10"/>
        <w:rPr>
          <w:rFonts w:ascii="宋体" w:hAnsi="宋体" w:cs="宋体" w:eastAsia="宋体" w:hint="default"/>
          <w:sz w:val="26"/>
          <w:szCs w:val="26"/>
        </w:rPr>
      </w:pPr>
    </w:p>
    <w:p>
      <w:pPr>
        <w:pStyle w:val="Heading3"/>
        <w:spacing w:line="240" w:lineRule="auto"/>
        <w:ind w:left="1133" w:right="0"/>
        <w:jc w:val="left"/>
        <w:rPr>
          <w:b w:val="0"/>
          <w:bCs w:val="0"/>
        </w:rPr>
      </w:pPr>
      <w:r>
        <w:rPr>
          <w:rFonts w:ascii="Times New Roman" w:hAnsi="Times New Roman" w:cs="Times New Roman" w:eastAsia="Times New Roman" w:hint="default"/>
        </w:rPr>
        <w:t>1</w:t>
      </w:r>
      <w:r>
        <w:rPr/>
        <w:t>、董事会成员</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right="1043" w:firstLine="360"/>
        <w:jc w:val="both"/>
      </w:pPr>
      <w:r>
        <w:rPr>
          <w:spacing w:val="-2"/>
        </w:rPr>
        <w:t>付永全先生，本公司董事长，</w:t>
      </w:r>
      <w:r>
        <w:rPr>
          <w:rFonts w:ascii="Times New Roman" w:hAnsi="Times New Roman" w:cs="Times New Roman" w:eastAsia="Times New Roman" w:hint="default"/>
          <w:spacing w:val="-2"/>
        </w:rPr>
        <w:t>1968</w:t>
      </w:r>
      <w:r>
        <w:rPr>
          <w:spacing w:val="-2"/>
        </w:rPr>
        <w:t>年出生，毕业于辽宁大学计算机应用技术专业，硕士学历，中国国籍，无永久境外居</w:t>
      </w:r>
      <w:r>
        <w:rPr/>
        <w:t> </w:t>
      </w:r>
      <w:r>
        <w:rPr>
          <w:spacing w:val="-2"/>
        </w:rPr>
        <w:t>留权。现任本公司董事长及总经理职务的同时，还担任沈阳荣科全濠科技有限公司董事长、辽宁荣科金融服务有限公司执行</w:t>
      </w:r>
      <w:r>
        <w:rPr>
          <w:spacing w:val="-66"/>
        </w:rPr>
        <w:t> </w:t>
      </w:r>
      <w:r>
        <w:rPr>
          <w:spacing w:val="-66"/>
        </w:rPr>
      </w:r>
      <w:r>
        <w:rPr>
          <w:spacing w:val="-2"/>
        </w:rPr>
        <w:t>董事兼总经理、北京荣科爱信科技有限公司执行董事兼总经理；民盟第十一届中央委员、政协辽宁省第十届委员会常委、辽</w:t>
      </w:r>
      <w:r>
        <w:rPr>
          <w:spacing w:val="-66"/>
        </w:rPr>
        <w:t> </w:t>
      </w:r>
      <w:r>
        <w:rPr>
          <w:spacing w:val="-66"/>
        </w:rPr>
      </w:r>
      <w:r>
        <w:rPr>
          <w:spacing w:val="-4"/>
        </w:rPr>
        <w:t>宁省政协教科卫体委员会副主任、沈阳航空航天大学名誉教授、辽宁省软件协会副理事长、沈阳市摄影家协会副会长等职务。</w:t>
      </w:r>
    </w:p>
    <w:p>
      <w:pPr>
        <w:spacing w:after="0" w:line="312" w:lineRule="auto"/>
        <w:jc w:val="both"/>
        <w:sectPr>
          <w:pgSz w:w="11910" w:h="16840"/>
          <w:pgMar w:header="566" w:footer="979" w:top="1360" w:bottom="1160" w:left="0" w:right="0"/>
        </w:sectPr>
      </w:pPr>
    </w:p>
    <w:p>
      <w:pPr>
        <w:pStyle w:val="BodyText"/>
        <w:spacing w:line="302" w:lineRule="auto" w:before="81"/>
        <w:ind w:left="1133" w:right="1043" w:firstLine="360"/>
        <w:jc w:val="both"/>
      </w:pPr>
      <w:r>
        <w:rPr>
          <w:spacing w:val="-4"/>
        </w:rPr>
        <w:t>付艳杰女士，本公司董事，</w:t>
      </w:r>
      <w:r>
        <w:rPr>
          <w:rFonts w:ascii="Times New Roman" w:hAnsi="Times New Roman" w:cs="Times New Roman" w:eastAsia="Times New Roman" w:hint="default"/>
          <w:spacing w:val="-4"/>
        </w:rPr>
        <w:t>1972</w:t>
      </w:r>
      <w:r>
        <w:rPr>
          <w:spacing w:val="-4"/>
        </w:rPr>
        <w:t>年出生，高中学历，中国国籍，无永久境外居留权。曾任荣科有限监事、执行董事职务。</w:t>
      </w:r>
      <w:r>
        <w:rPr/>
        <w:t> 现任本公司董事、铁岭市雅森木业有限公司总经理职务。</w:t>
      </w:r>
    </w:p>
    <w:p>
      <w:pPr>
        <w:pStyle w:val="BodyText"/>
        <w:spacing w:line="309" w:lineRule="auto" w:before="68"/>
        <w:ind w:right="1132" w:firstLine="360"/>
        <w:jc w:val="both"/>
      </w:pPr>
      <w:r>
        <w:rPr>
          <w:spacing w:val="-2"/>
        </w:rPr>
        <w:t>崔万涛先生，本公司董事，</w:t>
      </w:r>
      <w:r>
        <w:rPr>
          <w:rFonts w:ascii="Times New Roman" w:hAnsi="Times New Roman" w:cs="Times New Roman" w:eastAsia="Times New Roman" w:hint="default"/>
          <w:spacing w:val="-2"/>
        </w:rPr>
        <w:t>1967</w:t>
      </w:r>
      <w:r>
        <w:rPr>
          <w:spacing w:val="-2"/>
        </w:rPr>
        <w:t>年出生，高中学历，中国国籍，无永久境外居留权。曾任荣科有限执行董事、监事和沈</w:t>
      </w:r>
      <w:r>
        <w:rPr/>
        <w:t> </w:t>
      </w:r>
      <w:r>
        <w:rPr>
          <w:spacing w:val="-2"/>
        </w:rPr>
        <w:t>阳基业长青绿化工程有限公司执行董事等职务。现任本公司董事、辽宁荣科金融服务有限公司监事、辽宁恒际建筑集团公司</w:t>
      </w:r>
      <w:r>
        <w:rPr>
          <w:spacing w:val="-66"/>
        </w:rPr>
        <w:t> </w:t>
      </w:r>
      <w:r>
        <w:rPr>
          <w:spacing w:val="-66"/>
        </w:rPr>
      </w:r>
      <w:r>
        <w:rPr/>
        <w:t>高级项目经理等职务。</w:t>
      </w:r>
    </w:p>
    <w:p>
      <w:pPr>
        <w:pStyle w:val="BodyText"/>
        <w:spacing w:line="312" w:lineRule="auto" w:before="64"/>
        <w:ind w:left="1133" w:right="1131" w:firstLine="360"/>
        <w:jc w:val="both"/>
      </w:pPr>
      <w:r>
        <w:rPr>
          <w:spacing w:val="-2"/>
        </w:rPr>
        <w:t>崔万田先生，本公司董事，</w:t>
      </w:r>
      <w:r>
        <w:rPr>
          <w:rFonts w:ascii="Times New Roman" w:hAnsi="Times New Roman" w:cs="Times New Roman" w:eastAsia="Times New Roman" w:hint="default"/>
          <w:spacing w:val="-2"/>
        </w:rPr>
        <w:t>1973</w:t>
      </w:r>
      <w:r>
        <w:rPr>
          <w:spacing w:val="-2"/>
        </w:rPr>
        <w:t>年出生，毕业于辽宁大学世界经济专业，博士研究生学历，教授，中国国籍，无永久境</w:t>
      </w:r>
      <w:r>
        <w:rPr/>
        <w:t> </w:t>
      </w:r>
      <w:r>
        <w:rPr>
          <w:spacing w:val="-2"/>
        </w:rPr>
        <w:t>外居留权。曾任盛京银行股份有限公司独立董事，现任本公司董事、上海米健信息技术有限公司董事、营口沿海银行股份有</w:t>
      </w:r>
      <w:r>
        <w:rPr>
          <w:spacing w:val="-66"/>
        </w:rPr>
        <w:t> </w:t>
      </w:r>
      <w:r>
        <w:rPr>
          <w:spacing w:val="-66"/>
        </w:rPr>
      </w:r>
      <w:r>
        <w:rPr>
          <w:spacing w:val="-2"/>
        </w:rPr>
        <w:t>限公司独立董事、辽宁大学经济学院教授、全国青年联合会委员、辽宁省青年联合会委员、中国人民大学民营企业研究中心</w:t>
      </w:r>
      <w:r>
        <w:rPr>
          <w:spacing w:val="-66"/>
        </w:rPr>
        <w:t> </w:t>
      </w:r>
      <w:r>
        <w:rPr>
          <w:spacing w:val="-66"/>
        </w:rPr>
      </w:r>
      <w:r>
        <w:rPr/>
        <w:t>特聘教授、博士生导师等职务。</w:t>
      </w:r>
    </w:p>
    <w:p>
      <w:pPr>
        <w:pStyle w:val="BodyText"/>
        <w:spacing w:line="300" w:lineRule="auto" w:before="61"/>
        <w:ind w:right="1130" w:firstLine="360"/>
        <w:jc w:val="both"/>
      </w:pPr>
      <w:r>
        <w:rPr>
          <w:spacing w:val="-2"/>
        </w:rPr>
        <w:t>冯丽女士，本公司董事，</w:t>
      </w:r>
      <w:r>
        <w:rPr>
          <w:rFonts w:ascii="Times New Roman" w:hAnsi="Times New Roman" w:cs="Times New Roman" w:eastAsia="Times New Roman" w:hint="default"/>
          <w:spacing w:val="-2"/>
        </w:rPr>
        <w:t>1966</w:t>
      </w:r>
      <w:r>
        <w:rPr>
          <w:spacing w:val="-2"/>
        </w:rPr>
        <w:t>年出生，研究生学历，中国国籍，无永久境外居留权。曾担任沈阳未来置业房产开发有限</w:t>
      </w:r>
      <w:r>
        <w:rPr/>
        <w:t> 公司财务经理，尼沃实业有限公司财务总监、</w:t>
      </w:r>
      <w:r>
        <w:rPr>
          <w:rFonts w:ascii="Times New Roman" w:hAnsi="Times New Roman" w:cs="Times New Roman" w:eastAsia="Times New Roman" w:hint="default"/>
        </w:rPr>
        <w:t>SR</w:t>
      </w:r>
      <w:r>
        <w:rPr/>
        <w:t>房产开发（沈阳）有限公司财务总监等职务。现任本公司董事、董事会秘 书、财务总监，目前还担任沈阳荣科全濠科技有限公司董事、上海米健信息技术有限公司董事。</w:t>
      </w:r>
    </w:p>
    <w:p>
      <w:pPr>
        <w:pStyle w:val="BodyText"/>
        <w:spacing w:line="302" w:lineRule="auto" w:before="70"/>
        <w:ind w:left="1133" w:right="1139" w:firstLine="360"/>
        <w:jc w:val="both"/>
      </w:pPr>
      <w:r>
        <w:rPr/>
        <w:t>尹春福先生，本公司董事，</w:t>
      </w:r>
      <w:r>
        <w:rPr>
          <w:rFonts w:ascii="Times New Roman" w:hAnsi="Times New Roman" w:cs="Times New Roman" w:eastAsia="Times New Roman" w:hint="default"/>
        </w:rPr>
        <w:t>1973</w:t>
      </w:r>
      <w:r>
        <w:rPr/>
        <w:t>年出生，研究生学历，中国国籍，无永久境外居留权。</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5</w:t>
      </w:r>
      <w:r>
        <w:rPr/>
        <w:t>月至今担任本公司销售 总监职务，</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8</w:t>
      </w:r>
      <w:r>
        <w:rPr/>
        <w:t>月至今担任本公司董事、销售总监。</w:t>
      </w:r>
    </w:p>
    <w:p>
      <w:pPr>
        <w:pStyle w:val="BodyText"/>
        <w:spacing w:line="309" w:lineRule="auto" w:before="50"/>
        <w:ind w:left="1133" w:right="1050" w:firstLine="360"/>
        <w:jc w:val="left"/>
      </w:pPr>
      <w:r>
        <w:rPr>
          <w:spacing w:val="-2"/>
        </w:rPr>
        <w:t>林木西先生，本公司独立董事，</w:t>
      </w:r>
      <w:r>
        <w:rPr>
          <w:rFonts w:ascii="Times New Roman" w:hAnsi="Times New Roman" w:cs="Times New Roman" w:eastAsia="Times New Roman" w:hint="default"/>
          <w:spacing w:val="-2"/>
        </w:rPr>
        <w:t>1954</w:t>
      </w:r>
      <w:r>
        <w:rPr>
          <w:spacing w:val="-2"/>
        </w:rPr>
        <w:t>年出生，毕业于辽宁大学西方经济学专业，研究生学历，经济学博士，国务院学位</w:t>
      </w:r>
      <w:r>
        <w:rPr/>
        <w:t> 委员会学科评议组成员、中组部</w:t>
      </w:r>
      <w:r>
        <w:rPr>
          <w:rFonts w:ascii="Times New Roman" w:hAnsi="Times New Roman" w:cs="Times New Roman" w:eastAsia="Times New Roman" w:hint="default"/>
        </w:rPr>
        <w:t>“</w:t>
      </w:r>
      <w:r>
        <w:rPr/>
        <w:t>万人计划</w:t>
      </w:r>
      <w:r>
        <w:rPr>
          <w:rFonts w:ascii="Times New Roman" w:hAnsi="Times New Roman" w:cs="Times New Roman" w:eastAsia="Times New Roman" w:hint="default"/>
        </w:rPr>
        <w:t>”</w:t>
      </w:r>
      <w:r>
        <w:rPr/>
        <w:t>第一批教学名师、教育部</w:t>
      </w:r>
      <w:r>
        <w:rPr>
          <w:rFonts w:ascii="Times New Roman" w:hAnsi="Times New Roman" w:cs="Times New Roman" w:eastAsia="Times New Roman" w:hint="default"/>
        </w:rPr>
        <w:t>“</w:t>
      </w:r>
      <w:r>
        <w:rPr/>
        <w:t>长江学者奖励计划</w:t>
      </w:r>
      <w:r>
        <w:rPr>
          <w:rFonts w:ascii="Times New Roman" w:hAnsi="Times New Roman" w:cs="Times New Roman" w:eastAsia="Times New Roman" w:hint="default"/>
        </w:rPr>
        <w:t>”</w:t>
      </w:r>
      <w:r>
        <w:rPr/>
        <w:t>特聘教授，中国国籍，无永久境外 居留权。曾任辽宁大学经济（管理）学院党总支书记、院长、党委书记等职务，现为辽宁大学经济学院教授、博士生导师。 目前还担任沈阳机床股份有限公司独立董事、辽宁奥克化学股份有限公司独立董事、东北制药集团股份有限公司独立董事、 中兴</w:t>
      </w:r>
      <w:r>
        <w:rPr>
          <w:rFonts w:ascii="Times New Roman" w:hAnsi="Times New Roman" w:cs="Times New Roman" w:eastAsia="Times New Roman" w:hint="default"/>
        </w:rPr>
        <w:t>-</w:t>
      </w:r>
      <w:r>
        <w:rPr/>
        <w:t>沈阳商业大厦</w:t>
      </w:r>
      <w:r>
        <w:rPr>
          <w:rFonts w:ascii="Times New Roman" w:hAnsi="Times New Roman" w:cs="Times New Roman" w:eastAsia="Times New Roman" w:hint="default"/>
        </w:rPr>
        <w:t>(</w:t>
      </w:r>
      <w:r>
        <w:rPr/>
        <w:t>集团</w:t>
      </w:r>
      <w:r>
        <w:rPr>
          <w:rFonts w:ascii="Times New Roman" w:hAnsi="Times New Roman" w:cs="Times New Roman" w:eastAsia="Times New Roman" w:hint="default"/>
        </w:rPr>
        <w:t>)</w:t>
      </w:r>
      <w:r>
        <w:rPr/>
        <w:t>股份有限公司董事等职务。</w:t>
      </w:r>
    </w:p>
    <w:p>
      <w:pPr>
        <w:pStyle w:val="BodyText"/>
        <w:spacing w:line="309" w:lineRule="auto" w:before="43"/>
        <w:ind w:left="1133" w:right="1050" w:firstLine="360"/>
        <w:jc w:val="both"/>
      </w:pPr>
      <w:r>
        <w:rPr/>
        <w:t>宋廷锋先生，本公司独立董事，</w:t>
      </w:r>
      <w:r>
        <w:rPr>
          <w:rFonts w:ascii="Times New Roman" w:hAnsi="Times New Roman" w:cs="Times New Roman" w:eastAsia="Times New Roman" w:hint="default"/>
        </w:rPr>
        <w:t>1968</w:t>
      </w:r>
      <w:r>
        <w:rPr/>
        <w:t>年出生，毕业于中国人民大学会计学专业，博士研究生学历，长江商学院</w:t>
      </w:r>
      <w:r>
        <w:rPr>
          <w:rFonts w:ascii="Times New Roman" w:hAnsi="Times New Roman" w:cs="Times New Roman" w:eastAsia="Times New Roman" w:hint="default"/>
        </w:rPr>
        <w:t>EMBA</w:t>
      </w:r>
      <w:r>
        <w:rPr/>
        <w:t>， 高级会计师，中国国籍，无永久境外居留权。曾任国药集团药业股份有限公司财务总监、国药控股股份有限公司财务总监， 中国生物技术集团公司财务总监等职务，现担任赫基国际集团高级副总裁，沈阳新松机器人自动化股份有限公司独立董事。</w:t>
      </w:r>
    </w:p>
    <w:p>
      <w:pPr>
        <w:pStyle w:val="BodyText"/>
        <w:spacing w:line="312" w:lineRule="auto" w:before="62"/>
        <w:ind w:right="1132" w:firstLine="360"/>
        <w:jc w:val="both"/>
      </w:pPr>
      <w:r>
        <w:rPr/>
        <w:t>杨根兴先生，本公司独立董事，</w:t>
      </w:r>
      <w:r>
        <w:rPr>
          <w:rFonts w:ascii="Times New Roman" w:hAnsi="Times New Roman" w:cs="Times New Roman" w:eastAsia="Times New Roman" w:hint="default"/>
        </w:rPr>
        <w:t>1949</w:t>
      </w:r>
      <w:r>
        <w:rPr>
          <w:rFonts w:ascii="Times New Roman" w:hAnsi="Times New Roman" w:cs="Times New Roman" w:eastAsia="Times New Roman" w:hint="default"/>
          <w:spacing w:val="26"/>
        </w:rPr>
        <w:t> </w:t>
      </w:r>
      <w:r>
        <w:rPr/>
        <w:t>年出生，毕业于华东理工大学控制理论与工程专业，博士研究生学历，博士生导 </w:t>
      </w:r>
      <w:r>
        <w:rPr>
          <w:spacing w:val="-2"/>
        </w:rPr>
        <w:t>师、研究员（正高二级）、国务院政府特贴专家，中国国籍，无永久境外居留权。现任上海市软件行业协会常务副会长（法</w:t>
      </w:r>
      <w:r>
        <w:rPr>
          <w:spacing w:val="-67"/>
        </w:rPr>
        <w:t> </w:t>
      </w:r>
      <w:r>
        <w:rPr>
          <w:spacing w:val="-67"/>
        </w:rPr>
      </w:r>
      <w:r>
        <w:rPr>
          <w:spacing w:val="-2"/>
        </w:rPr>
        <w:t>人）兼秘书长，上海计算机软件技术开发中心顾问、华东理工大学博士生导师、上海软件园管理办公室副主任、上海市计算</w:t>
      </w:r>
      <w:r>
        <w:rPr>
          <w:spacing w:val="-66"/>
        </w:rPr>
        <w:t> </w:t>
      </w:r>
      <w:r>
        <w:rPr>
          <w:spacing w:val="-66"/>
        </w:rPr>
      </w:r>
      <w:r>
        <w:rPr/>
        <w:t>机软件评测重点实验室学术委员会主任。此外，还担任上海泛微网络科技股份有限公司独立董事。</w:t>
      </w:r>
    </w:p>
    <w:p>
      <w:pPr>
        <w:spacing w:line="240" w:lineRule="auto" w:before="9"/>
        <w:rPr>
          <w:rFonts w:ascii="宋体" w:hAnsi="宋体" w:cs="宋体" w:eastAsia="宋体" w:hint="default"/>
          <w:sz w:val="22"/>
          <w:szCs w:val="22"/>
        </w:rPr>
      </w:pPr>
    </w:p>
    <w:p>
      <w:pPr>
        <w:pStyle w:val="Heading3"/>
        <w:spacing w:line="240" w:lineRule="auto"/>
        <w:ind w:left="1133" w:right="0"/>
        <w:jc w:val="left"/>
        <w:rPr>
          <w:b w:val="0"/>
          <w:bCs w:val="0"/>
        </w:rPr>
      </w:pPr>
      <w:r>
        <w:rPr>
          <w:rFonts w:ascii="Times New Roman" w:hAnsi="Times New Roman" w:cs="Times New Roman" w:eastAsia="Times New Roman" w:hint="default"/>
        </w:rPr>
        <w:t>2</w:t>
      </w:r>
      <w:r>
        <w:rPr/>
        <w:t>、监事会成员</w:t>
      </w:r>
      <w:r>
        <w:rPr>
          <w:b w:val="0"/>
          <w:bCs w:val="0"/>
        </w:rPr>
      </w:r>
    </w:p>
    <w:p>
      <w:pPr>
        <w:spacing w:line="240" w:lineRule="auto" w:before="5"/>
        <w:rPr>
          <w:rFonts w:ascii="宋体" w:hAnsi="宋体" w:cs="宋体" w:eastAsia="宋体" w:hint="default"/>
          <w:b/>
          <w:bCs/>
          <w:sz w:val="26"/>
          <w:szCs w:val="26"/>
        </w:rPr>
      </w:pPr>
    </w:p>
    <w:p>
      <w:pPr>
        <w:pStyle w:val="BodyText"/>
        <w:spacing w:line="302" w:lineRule="auto"/>
        <w:ind w:left="1133" w:right="1139" w:firstLine="360"/>
        <w:jc w:val="both"/>
      </w:pPr>
      <w:r>
        <w:rPr/>
        <w:t>余力兴先生，本公司监事会主席，</w:t>
      </w:r>
      <w:r>
        <w:rPr>
          <w:rFonts w:ascii="Times New Roman" w:hAnsi="Times New Roman" w:cs="Times New Roman" w:eastAsia="Times New Roman" w:hint="default"/>
        </w:rPr>
        <w:t>1975</w:t>
      </w:r>
      <w:r>
        <w:rPr/>
        <w:t>年出生，研究生学历，中国国籍，无永久境外居留权。近</w:t>
      </w:r>
      <w:r>
        <w:rPr>
          <w:rFonts w:ascii="Times New Roman" w:hAnsi="Times New Roman" w:cs="Times New Roman" w:eastAsia="Times New Roman" w:hint="default"/>
        </w:rPr>
        <w:t>5</w:t>
      </w:r>
      <w:r>
        <w:rPr/>
        <w:t>年一直在本公司担任 销售经理，现任本公司监事会主席及金融行业资深销售经理职务。</w:t>
      </w:r>
    </w:p>
    <w:p>
      <w:pPr>
        <w:pStyle w:val="BodyText"/>
        <w:spacing w:line="276" w:lineRule="auto" w:before="69"/>
        <w:ind w:right="1133" w:firstLine="360"/>
        <w:jc w:val="both"/>
        <w:rPr>
          <w:sz w:val="21"/>
          <w:szCs w:val="21"/>
        </w:rPr>
      </w:pPr>
      <w:r>
        <w:rPr>
          <w:spacing w:val="-2"/>
        </w:rPr>
        <w:t>郭薇女士，本公司监事，</w:t>
      </w:r>
      <w:r>
        <w:rPr>
          <w:rFonts w:ascii="Times New Roman" w:hAnsi="Times New Roman" w:cs="Times New Roman" w:eastAsia="Times New Roman" w:hint="default"/>
          <w:spacing w:val="-2"/>
        </w:rPr>
        <w:t>1978</w:t>
      </w:r>
      <w:r>
        <w:rPr>
          <w:spacing w:val="-2"/>
        </w:rPr>
        <w:t>年出生，大专学历，中国国籍，无永久境外居留权。曾担任公司商务部经理、人力资源部</w:t>
      </w:r>
      <w:r>
        <w:rPr/>
        <w:t> 经理、项目部经理，现就职于公司</w:t>
      </w:r>
      <w:r>
        <w:rPr>
          <w:rFonts w:ascii="Times New Roman" w:hAnsi="Times New Roman" w:cs="Times New Roman" w:eastAsia="Times New Roman" w:hint="default"/>
        </w:rPr>
        <w:t>IT</w:t>
      </w:r>
      <w:r>
        <w:rPr/>
        <w:t>融合事业部</w:t>
      </w:r>
      <w:r>
        <w:rPr>
          <w:sz w:val="21"/>
          <w:szCs w:val="21"/>
        </w:rPr>
        <w:t>。</w:t>
      </w:r>
    </w:p>
    <w:p>
      <w:pPr>
        <w:pStyle w:val="BodyText"/>
        <w:spacing w:line="302" w:lineRule="auto" w:before="58"/>
        <w:ind w:left="1133" w:right="1132" w:firstLine="360"/>
        <w:jc w:val="both"/>
      </w:pPr>
      <w:r>
        <w:rPr>
          <w:spacing w:val="-2"/>
        </w:rPr>
        <w:t>艾川先生，本公司监事，</w:t>
      </w:r>
      <w:r>
        <w:rPr>
          <w:rFonts w:ascii="Times New Roman" w:hAnsi="Times New Roman" w:cs="Times New Roman" w:eastAsia="Times New Roman" w:hint="default"/>
          <w:spacing w:val="-2"/>
        </w:rPr>
        <w:t>1984</w:t>
      </w:r>
      <w:r>
        <w:rPr>
          <w:spacing w:val="-2"/>
        </w:rPr>
        <w:t>年出生，专科学历，中国国籍，无永久境外居留权。曾担任公司</w:t>
      </w:r>
      <w:r>
        <w:rPr>
          <w:rFonts w:ascii="Times New Roman" w:hAnsi="Times New Roman" w:cs="Times New Roman" w:eastAsia="Times New Roman" w:hint="default"/>
          <w:spacing w:val="-2"/>
        </w:rPr>
        <w:t>IT</w:t>
      </w:r>
      <w:r>
        <w:rPr>
          <w:spacing w:val="-2"/>
        </w:rPr>
        <w:t>融合事业部工程师，现</w:t>
      </w:r>
      <w:r>
        <w:rPr/>
        <w:t> 任公司</w:t>
      </w:r>
      <w:r>
        <w:rPr>
          <w:rFonts w:ascii="Times New Roman" w:hAnsi="Times New Roman" w:cs="Times New Roman" w:eastAsia="Times New Roman" w:hint="default"/>
        </w:rPr>
        <w:t>IT</w:t>
      </w:r>
      <w:r>
        <w:rPr/>
        <w:t>融合事业部下属部门经理。</w:t>
      </w:r>
    </w:p>
    <w:p>
      <w:pPr>
        <w:spacing w:line="240" w:lineRule="auto" w:before="10"/>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、高级管理人员</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493" w:right="1123"/>
        <w:jc w:val="left"/>
      </w:pPr>
      <w:r>
        <w:rPr/>
        <w:t>付永全先生，本公司总经理，其简历见董事会成员介绍。 冯丽女士，本公司财务总监及董事会秘书，其简历见董事会成员介绍。 尹春福先生，本公司销售总监，其简历见董事会成员介绍。 杨兴礼先生，本公司软件技术总监，</w:t>
      </w:r>
      <w:r>
        <w:rPr>
          <w:rFonts w:ascii="Times New Roman" w:hAnsi="Times New Roman" w:cs="Times New Roman" w:eastAsia="Times New Roman" w:hint="default"/>
        </w:rPr>
        <w:t>1979</w:t>
      </w:r>
      <w:r>
        <w:rPr/>
        <w:t>年出生，研究生学历，中国国籍，无永久境外居留权。近</w:t>
      </w:r>
      <w:r>
        <w:rPr>
          <w:rFonts w:ascii="Times New Roman" w:hAnsi="Times New Roman" w:cs="Times New Roman" w:eastAsia="Times New Roman" w:hint="default"/>
        </w:rPr>
        <w:t>5</w:t>
      </w:r>
      <w:r>
        <w:rPr/>
        <w:t>年来一直在本公司</w:t>
      </w:r>
    </w:p>
    <w:p>
      <w:pPr>
        <w:pStyle w:val="BodyText"/>
        <w:spacing w:line="202" w:lineRule="exact"/>
        <w:ind w:left="1133" w:right="0"/>
        <w:jc w:val="left"/>
      </w:pPr>
      <w:r>
        <w:rPr/>
        <w:t>担任软件技术总监职务，负责主持技术研发工作。</w:t>
      </w:r>
    </w:p>
    <w:p>
      <w:pPr>
        <w:spacing w:after="0" w:line="202" w:lineRule="exact"/>
        <w:jc w:val="left"/>
        <w:sectPr>
          <w:pgSz w:w="11910" w:h="16840"/>
          <w:pgMar w:header="566" w:footer="979" w:top="1360" w:bottom="1160" w:left="0" w:right="0"/>
        </w:sectPr>
      </w:pPr>
    </w:p>
    <w:p>
      <w:pPr>
        <w:pStyle w:val="BodyText"/>
        <w:spacing w:line="309" w:lineRule="auto" w:before="81"/>
        <w:ind w:right="1131" w:firstLine="360"/>
        <w:jc w:val="both"/>
      </w:pPr>
      <w:r>
        <w:rPr>
          <w:spacing w:val="-2"/>
        </w:rPr>
        <w:t>刘斌先生，本公司人力资源总监，</w:t>
      </w:r>
      <w:r>
        <w:rPr>
          <w:rFonts w:ascii="Times New Roman" w:hAnsi="Times New Roman" w:cs="Times New Roman" w:eastAsia="Times New Roman" w:hint="default"/>
          <w:spacing w:val="-2"/>
        </w:rPr>
        <w:t>1979</w:t>
      </w:r>
      <w:r>
        <w:rPr>
          <w:spacing w:val="-2"/>
        </w:rPr>
        <w:t>年出生，研究生学历，国家二级培训师，中国国籍，无永久境外居留权。曾担任</w:t>
      </w:r>
      <w:r>
        <w:rPr/>
        <w:t> </w:t>
      </w:r>
      <w:r>
        <w:rPr>
          <w:spacing w:val="-2"/>
        </w:rPr>
        <w:t>富士康企业集团（深圳）人力资源高级主管，深圳康普信息科技有限公司总经理助理及人力资源经理，深圳益华时代管理咨</w:t>
      </w:r>
      <w:r>
        <w:rPr>
          <w:spacing w:val="-66"/>
        </w:rPr>
        <w:t> </w:t>
      </w:r>
      <w:r>
        <w:rPr>
          <w:spacing w:val="-66"/>
        </w:rPr>
      </w:r>
      <w:r>
        <w:rPr/>
        <w:t>询公司高级咨询师及项目经理等职务。现任本公司人力资源总监职务。</w:t>
      </w:r>
    </w:p>
    <w:p>
      <w:pPr>
        <w:pStyle w:val="BodyText"/>
        <w:spacing w:line="240" w:lineRule="auto" w:before="64"/>
        <w:ind w:left="1419" w:right="0"/>
        <w:jc w:val="left"/>
      </w:pPr>
      <w:r>
        <w:rPr/>
        <w:t>截至本报告出具日，公司董事、监事、高级管理人员均未发生过受到证券监管机构处罚的情况。</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BodyText"/>
        <w:spacing w:line="240" w:lineRule="auto"/>
        <w:ind w:right="0"/>
        <w:jc w:val="left"/>
      </w:pPr>
      <w:r>
        <w:rPr/>
        <w:t>在股东单位任职情况</w:t>
      </w:r>
    </w:p>
    <w:p>
      <w:pPr>
        <w:pStyle w:val="BodyText"/>
        <w:spacing w:line="340" w:lineRule="auto" w:before="116"/>
        <w:ind w:left="1133"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在其他单位任职情况</w:t>
      </w:r>
    </w:p>
    <w:p>
      <w:pPr>
        <w:pStyle w:val="BodyText"/>
        <w:spacing w:line="240" w:lineRule="auto" w:before="40"/>
        <w:ind w:left="11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739" w:type="dxa"/>
        <w:tblLayout w:type="fixed"/>
        <w:tblCellMar>
          <w:top w:w="0" w:type="dxa"/>
          <w:left w:w="0" w:type="dxa"/>
          <w:bottom w:w="0" w:type="dxa"/>
          <w:right w:w="0" w:type="dxa"/>
        </w:tblCellMar>
        <w:tblLook w:val="01E0"/>
      </w:tblPr>
      <w:tblGrid>
        <w:gridCol w:w="851"/>
        <w:gridCol w:w="2694"/>
        <w:gridCol w:w="1985"/>
        <w:gridCol w:w="2153"/>
        <w:gridCol w:w="1360"/>
        <w:gridCol w:w="1376"/>
      </w:tblGrid>
      <w:tr>
        <w:trPr>
          <w:trHeight w:val="713"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0" w:right="59" w:hanging="180"/>
              <w:jc w:val="left"/>
              <w:rPr>
                <w:rFonts w:ascii="宋体" w:hAnsi="宋体" w:cs="宋体" w:eastAsia="宋体" w:hint="default"/>
                <w:sz w:val="18"/>
                <w:szCs w:val="18"/>
              </w:rPr>
            </w:pPr>
            <w:r>
              <w:rPr>
                <w:rFonts w:ascii="宋体" w:hAnsi="宋体" w:cs="宋体" w:eastAsia="宋体" w:hint="default"/>
                <w:sz w:val="18"/>
                <w:szCs w:val="18"/>
              </w:rPr>
              <w:t>任职人员 姓名</w:t>
            </w:r>
          </w:p>
        </w:tc>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01"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在其他单位担任的职务</w:t>
            </w:r>
          </w:p>
        </w:tc>
        <w:tc>
          <w:tcPr>
            <w:tcW w:w="21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31"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付永全</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沈阳荣科全濠科技有限公司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付永全</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辽宁荣科金融服务有限公司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付永全</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北京荣科爱信科技有限公司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付艳杰</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铁岭市雅森木业有限公司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崔万涛</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辽宁恒际建筑集团公司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高级项目经理</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崔万涛</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辽宁荣科金融服务有限公司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崔万田</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辽宁大学经济学院</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教授、博士生导师</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崔万田</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上海米健信息技术有限公司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崔万田</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营口沿海银行股份有限公司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冯丽</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沈阳荣科全濠科技有限公司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冯丽</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上海米健信息技术有限公司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林木西</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辽宁大学经济学院</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林木西</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沈阳机床股份有限公司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林木西</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辽宁奥克化学股份有限公司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林木西</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39"/>
              <w:jc w:val="left"/>
              <w:rPr>
                <w:rFonts w:ascii="宋体" w:hAnsi="宋体" w:cs="宋体" w:eastAsia="宋体" w:hint="default"/>
                <w:sz w:val="18"/>
                <w:szCs w:val="18"/>
              </w:rPr>
            </w:pPr>
            <w:r>
              <w:rPr>
                <w:rFonts w:ascii="宋体" w:hAnsi="宋体" w:cs="宋体" w:eastAsia="宋体" w:hint="default"/>
                <w:sz w:val="18"/>
                <w:szCs w:val="18"/>
              </w:rPr>
              <w:t>中兴</w:t>
            </w:r>
            <w:r>
              <w:rPr>
                <w:rFonts w:ascii="Times New Roman" w:hAnsi="Times New Roman" w:cs="Times New Roman" w:eastAsia="Times New Roman" w:hint="default"/>
                <w:sz w:val="18"/>
                <w:szCs w:val="18"/>
              </w:rPr>
              <w:t>-</w:t>
            </w:r>
            <w:r>
              <w:rPr>
                <w:rFonts w:ascii="宋体" w:hAnsi="宋体" w:cs="宋体" w:eastAsia="宋体" w:hint="default"/>
                <w:sz w:val="18"/>
                <w:szCs w:val="18"/>
              </w:rPr>
              <w:t>沈阳商业大厦</w:t>
            </w:r>
            <w:r>
              <w:rPr>
                <w:rFonts w:ascii="Times New Roman" w:hAnsi="Times New Roman" w:cs="Times New Roman" w:eastAsia="Times New Roman" w:hint="default"/>
                <w:sz w:val="18"/>
                <w:szCs w:val="18"/>
              </w:rPr>
              <w:t>(</w:t>
            </w:r>
            <w:r>
              <w:rPr>
                <w:rFonts w:ascii="宋体" w:hAnsi="宋体" w:cs="宋体" w:eastAsia="宋体" w:hint="default"/>
                <w:sz w:val="18"/>
                <w:szCs w:val="18"/>
              </w:rPr>
              <w:t>集团</w:t>
            </w:r>
            <w:r>
              <w:rPr>
                <w:rFonts w:ascii="Times New Roman" w:hAnsi="Times New Roman" w:cs="Times New Roman" w:eastAsia="Times New Roman" w:hint="default"/>
                <w:sz w:val="18"/>
                <w:szCs w:val="18"/>
              </w:rPr>
              <w:t>)</w:t>
            </w:r>
            <w:r>
              <w:rPr>
                <w:rFonts w:ascii="宋体" w:hAnsi="宋体" w:cs="宋体" w:eastAsia="宋体" w:hint="default"/>
                <w:sz w:val="18"/>
                <w:szCs w:val="18"/>
              </w:rPr>
              <w:t>股份有 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宋廷锋</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赫基国际集团</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高级副总裁</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宋廷锋</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41"/>
              <w:jc w:val="left"/>
              <w:rPr>
                <w:rFonts w:ascii="宋体" w:hAnsi="宋体" w:cs="宋体" w:eastAsia="宋体" w:hint="default"/>
                <w:sz w:val="18"/>
                <w:szCs w:val="18"/>
              </w:rPr>
            </w:pPr>
            <w:r>
              <w:rPr>
                <w:rFonts w:ascii="宋体" w:hAnsi="宋体" w:cs="宋体" w:eastAsia="宋体" w:hint="default"/>
                <w:sz w:val="18"/>
                <w:szCs w:val="18"/>
              </w:rPr>
              <w:t>沈阳新松机器人自动化股份有限 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杨根兴</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上海市软件行业协会</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副会长兼秘书长</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杨根兴</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上海计算机软件技术开发中心</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顾问</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杨根兴</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华东理工大学</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博士生导师</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杨根兴</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上海软件园管理办公室</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副主任</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杨根兴</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41"/>
              <w:jc w:val="left"/>
              <w:rPr>
                <w:rFonts w:ascii="宋体" w:hAnsi="宋体" w:cs="宋体" w:eastAsia="宋体" w:hint="default"/>
                <w:sz w:val="18"/>
                <w:szCs w:val="18"/>
              </w:rPr>
            </w:pPr>
            <w:r>
              <w:rPr>
                <w:rFonts w:ascii="宋体" w:hAnsi="宋体" w:cs="宋体" w:eastAsia="宋体" w:hint="default"/>
                <w:sz w:val="18"/>
                <w:szCs w:val="18"/>
              </w:rPr>
              <w:t>上海市计算机软件评测重点实验 室学术委员会</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主任</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566" w:footer="979" w:top="1360" w:bottom="1160" w:left="0" w:right="0"/>
        </w:sectPr>
      </w:pPr>
    </w:p>
    <w:p>
      <w:pPr>
        <w:spacing w:line="240" w:lineRule="auto" w:before="6"/>
        <w:rPr>
          <w:rFonts w:ascii="宋体" w:hAnsi="宋体" w:cs="宋体" w:eastAsia="宋体" w:hint="default"/>
          <w:sz w:val="5"/>
          <w:szCs w:val="5"/>
        </w:rPr>
      </w:pPr>
    </w:p>
    <w:tbl>
      <w:tblPr>
        <w:tblW w:w="0" w:type="auto"/>
        <w:jc w:val="left"/>
        <w:tblInd w:w="739" w:type="dxa"/>
        <w:tblLayout w:type="fixed"/>
        <w:tblCellMar>
          <w:top w:w="0" w:type="dxa"/>
          <w:left w:w="0" w:type="dxa"/>
          <w:bottom w:w="0" w:type="dxa"/>
          <w:right w:w="0" w:type="dxa"/>
        </w:tblCellMar>
        <w:tblLook w:val="01E0"/>
      </w:tblPr>
      <w:tblGrid>
        <w:gridCol w:w="839"/>
        <w:gridCol w:w="2706"/>
        <w:gridCol w:w="1985"/>
        <w:gridCol w:w="2153"/>
        <w:gridCol w:w="1360"/>
        <w:gridCol w:w="1376"/>
      </w:tblGrid>
      <w:tr>
        <w:trPr>
          <w:trHeight w:val="402" w:hRule="exact"/>
        </w:trPr>
        <w:tc>
          <w:tcPr>
            <w:tcW w:w="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杨根兴</w:t>
            </w:r>
          </w:p>
        </w:tc>
        <w:tc>
          <w:tcPr>
            <w:tcW w:w="2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上海泛微网络科技股份有限公司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6"/>
              <w:jc w:val="both"/>
              <w:rPr>
                <w:rFonts w:ascii="宋体" w:hAnsi="宋体" w:cs="宋体" w:eastAsia="宋体" w:hint="default"/>
                <w:sz w:val="18"/>
                <w:szCs w:val="18"/>
              </w:rPr>
            </w:pPr>
            <w:r>
              <w:rPr>
                <w:rFonts w:ascii="宋体" w:hAnsi="宋体" w:cs="宋体" w:eastAsia="宋体" w:hint="default"/>
                <w:sz w:val="18"/>
                <w:szCs w:val="18"/>
              </w:rPr>
              <w:t>在其他单 位任职情 况的说明</w:t>
            </w:r>
          </w:p>
        </w:tc>
        <w:tc>
          <w:tcPr>
            <w:tcW w:w="9580"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0"/>
        <w:jc w:val="left"/>
      </w:pPr>
      <w:r>
        <w:rPr/>
        <w:t>公司现任及报告期内离任董事、监事和高级管理人员近三年证券监管机构处罚的情况</w:t>
      </w:r>
    </w:p>
    <w:p>
      <w:pPr>
        <w:pStyle w:val="BodyText"/>
        <w:spacing w:line="240" w:lineRule="auto" w:before="117"/>
        <w:ind w:left="11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董事、监事、高级管理人员报酬情况" w:id="122"/>
      <w:bookmarkEnd w:id="122"/>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3" w:right="0"/>
        <w:jc w:val="left"/>
      </w:pPr>
      <w:r>
        <w:rPr/>
        <w:t>董事、监事、高级管理人员报酬的决策程序、确定依据、实际支付情况</w:t>
      </w:r>
    </w:p>
    <w:p>
      <w:pPr>
        <w:spacing w:line="240" w:lineRule="auto" w:before="13"/>
        <w:rPr>
          <w:rFonts w:ascii="宋体" w:hAnsi="宋体" w:cs="宋体" w:eastAsia="宋体" w:hint="default"/>
          <w:sz w:val="7"/>
          <w:szCs w:val="7"/>
        </w:rPr>
      </w:pPr>
    </w:p>
    <w:tbl>
      <w:tblPr>
        <w:tblW w:w="0" w:type="auto"/>
        <w:jc w:val="left"/>
        <w:tblInd w:w="276" w:type="dxa"/>
        <w:tblLayout w:type="fixed"/>
        <w:tblCellMar>
          <w:top w:w="0" w:type="dxa"/>
          <w:left w:w="0" w:type="dxa"/>
          <w:bottom w:w="0" w:type="dxa"/>
          <w:right w:w="0" w:type="dxa"/>
        </w:tblCellMar>
        <w:tblLook w:val="01E0"/>
      </w:tblPr>
      <w:tblGrid>
        <w:gridCol w:w="1985"/>
        <w:gridCol w:w="9428"/>
      </w:tblGrid>
      <w:tr>
        <w:trPr>
          <w:trHeight w:val="1051" w:hRule="exact"/>
        </w:trPr>
        <w:tc>
          <w:tcPr>
            <w:tcW w:w="19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62"/>
              <w:ind w:left="2" w:right="2"/>
              <w:jc w:val="left"/>
              <w:rPr>
                <w:rFonts w:ascii="宋体" w:hAnsi="宋体" w:cs="宋体" w:eastAsia="宋体" w:hint="default"/>
                <w:sz w:val="18"/>
                <w:szCs w:val="18"/>
              </w:rPr>
            </w:pPr>
            <w:r>
              <w:rPr>
                <w:rFonts w:ascii="宋体" w:hAnsi="宋体" w:cs="宋体" w:eastAsia="宋体" w:hint="default"/>
                <w:spacing w:val="-2"/>
                <w:sz w:val="18"/>
                <w:szCs w:val="18"/>
              </w:rPr>
              <w:t>董事、监事、高级管理人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员报酬的决策程序</w:t>
            </w:r>
          </w:p>
        </w:tc>
        <w:tc>
          <w:tcPr>
            <w:tcW w:w="942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49"/>
              <w:jc w:val="both"/>
              <w:rPr>
                <w:rFonts w:ascii="宋体" w:hAnsi="宋体" w:cs="宋体" w:eastAsia="宋体" w:hint="default"/>
                <w:sz w:val="18"/>
                <w:szCs w:val="18"/>
              </w:rPr>
            </w:pPr>
            <w:r>
              <w:rPr>
                <w:rFonts w:ascii="宋体" w:hAnsi="宋体" w:cs="宋体" w:eastAsia="宋体" w:hint="default"/>
                <w:sz w:val="18"/>
                <w:szCs w:val="18"/>
              </w:rPr>
              <w:t>公司董事、监事的报酬由董事会薪酬委员会制定并提请股东大会审议通过，公司高级管理人员的报酬由董事会薪酬委员 会制定并提请公司董事会审议通过。公司对董事、监事不发放津贴，独立董事津贴由董事会薪酬委员会制定并提请股东 大会审议通过。</w:t>
            </w:r>
          </w:p>
        </w:tc>
      </w:tr>
      <w:tr>
        <w:trPr>
          <w:trHeight w:val="739" w:hRule="exact"/>
        </w:trPr>
        <w:tc>
          <w:tcPr>
            <w:tcW w:w="19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62"/>
              <w:ind w:left="2" w:right="2"/>
              <w:jc w:val="left"/>
              <w:rPr>
                <w:rFonts w:ascii="宋体" w:hAnsi="宋体" w:cs="宋体" w:eastAsia="宋体" w:hint="default"/>
                <w:sz w:val="18"/>
                <w:szCs w:val="18"/>
              </w:rPr>
            </w:pPr>
            <w:r>
              <w:rPr>
                <w:rFonts w:ascii="宋体" w:hAnsi="宋体" w:cs="宋体" w:eastAsia="宋体" w:hint="default"/>
                <w:spacing w:val="-2"/>
                <w:sz w:val="18"/>
                <w:szCs w:val="18"/>
              </w:rPr>
              <w:t>董事、监事、高级管理人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员报酬确定依据</w:t>
            </w:r>
          </w:p>
        </w:tc>
        <w:tc>
          <w:tcPr>
            <w:tcW w:w="942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49"/>
              <w:jc w:val="left"/>
              <w:rPr>
                <w:rFonts w:ascii="宋体" w:hAnsi="宋体" w:cs="宋体" w:eastAsia="宋体" w:hint="default"/>
                <w:sz w:val="18"/>
                <w:szCs w:val="18"/>
              </w:rPr>
            </w:pPr>
            <w:r>
              <w:rPr>
                <w:rFonts w:ascii="宋体" w:hAnsi="宋体" w:cs="宋体" w:eastAsia="宋体" w:hint="default"/>
                <w:sz w:val="18"/>
                <w:szCs w:val="18"/>
              </w:rPr>
              <w:t>根据各位董事、监事、高级管理人员所担任的职务和承担的责任，对其进行绩效考核，按照绩效考核结果支付相应的报 酬。</w:t>
            </w:r>
          </w:p>
        </w:tc>
      </w:tr>
      <w:tr>
        <w:trPr>
          <w:trHeight w:val="739" w:hRule="exact"/>
        </w:trPr>
        <w:tc>
          <w:tcPr>
            <w:tcW w:w="19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62"/>
              <w:ind w:left="2" w:right="2"/>
              <w:jc w:val="left"/>
              <w:rPr>
                <w:rFonts w:ascii="宋体" w:hAnsi="宋体" w:cs="宋体" w:eastAsia="宋体" w:hint="default"/>
                <w:sz w:val="18"/>
                <w:szCs w:val="18"/>
              </w:rPr>
            </w:pPr>
            <w:r>
              <w:rPr>
                <w:rFonts w:ascii="宋体" w:hAnsi="宋体" w:cs="宋体" w:eastAsia="宋体" w:hint="default"/>
                <w:spacing w:val="-2"/>
                <w:sz w:val="18"/>
                <w:szCs w:val="18"/>
              </w:rPr>
              <w:t>董事、监事和高级管理人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员报酬的实际支付情况</w:t>
            </w:r>
          </w:p>
        </w:tc>
        <w:tc>
          <w:tcPr>
            <w:tcW w:w="942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49"/>
              <w:jc w:val="left"/>
              <w:rPr>
                <w:rFonts w:ascii="宋体" w:hAnsi="宋体" w:cs="宋体" w:eastAsia="宋体" w:hint="default"/>
                <w:sz w:val="18"/>
                <w:szCs w:val="18"/>
              </w:rPr>
            </w:pPr>
            <w:r>
              <w:rPr>
                <w:rFonts w:ascii="宋体" w:hAnsi="宋体" w:cs="宋体" w:eastAsia="宋体" w:hint="default"/>
                <w:sz w:val="18"/>
                <w:szCs w:val="18"/>
              </w:rPr>
              <w:t>报告期内，按照绩效考核的标准，结合公司实际经营情况，各位董事、监事和高级管理人员从公司取得报酬的合计金额 为</w:t>
            </w:r>
            <w:r>
              <w:rPr>
                <w:rFonts w:ascii="Times New Roman" w:hAnsi="Times New Roman" w:cs="Times New Roman" w:eastAsia="Times New Roman" w:hint="default"/>
                <w:sz w:val="18"/>
                <w:szCs w:val="18"/>
              </w:rPr>
              <w:t>415</w:t>
            </w:r>
            <w:r>
              <w:rPr>
                <w:rFonts w:ascii="宋体" w:hAnsi="宋体" w:cs="宋体" w:eastAsia="宋体" w:hint="default"/>
                <w:sz w:val="18"/>
                <w:szCs w:val="18"/>
              </w:rPr>
              <w:t>万元。</w:t>
            </w:r>
          </w:p>
        </w:tc>
      </w:tr>
    </w:tbl>
    <w:p>
      <w:pPr>
        <w:spacing w:line="240" w:lineRule="auto" w:before="5"/>
        <w:rPr>
          <w:rFonts w:ascii="宋体" w:hAnsi="宋体" w:cs="宋体" w:eastAsia="宋体" w:hint="default"/>
          <w:sz w:val="24"/>
          <w:szCs w:val="24"/>
        </w:rPr>
      </w:pPr>
    </w:p>
    <w:p>
      <w:pPr>
        <w:pStyle w:val="BodyText"/>
        <w:spacing w:line="240" w:lineRule="auto" w:before="44"/>
        <w:ind w:right="0"/>
        <w:jc w:val="left"/>
      </w:pPr>
      <w:r>
        <w:rPr/>
        <w:t>公司报告期内董事、监事和高级管理人员报酬情况</w:t>
      </w:r>
    </w:p>
    <w:p>
      <w:pPr>
        <w:pStyle w:val="BodyText"/>
        <w:spacing w:line="240" w:lineRule="auto" w:before="117"/>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70"/>
        <w:gridCol w:w="3027"/>
        <w:gridCol w:w="708"/>
        <w:gridCol w:w="708"/>
        <w:gridCol w:w="1026"/>
        <w:gridCol w:w="1367"/>
        <w:gridCol w:w="1367"/>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3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1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7"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付永全</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付艳杰</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hAnsi="宋体" w:cs="宋体" w:eastAsia="宋体" w:hint="default"/>
                <w:sz w:val="18"/>
                <w:szCs w:val="18"/>
              </w:rPr>
              <w:t>女</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崔万涛</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崔万田</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冯丽</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董事、董事会秘书、财务总监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hAnsi="宋体" w:cs="宋体" w:eastAsia="宋体" w:hint="default"/>
                <w:sz w:val="18"/>
                <w:szCs w:val="18"/>
              </w:rPr>
              <w:t>女</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尹春福</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董事、销售总监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林木西</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宋廷锋</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杨根兴</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67</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余力兴</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艾川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郭薇</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hAnsi="宋体" w:cs="宋体" w:eastAsia="宋体" w:hint="default"/>
                <w:sz w:val="18"/>
                <w:szCs w:val="18"/>
              </w:rPr>
              <w:t>女</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杨兴礼</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软件技术总监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刘斌</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人力资源总监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1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415</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1910" w:h="16840"/>
          <w:pgMar w:header="566" w:footer="979" w:top="1360" w:bottom="1160" w:left="0" w:right="0"/>
        </w:sectPr>
      </w:pPr>
    </w:p>
    <w:p>
      <w:pPr>
        <w:pStyle w:val="BodyText"/>
        <w:spacing w:line="240" w:lineRule="auto" w:before="82"/>
        <w:ind w:right="0"/>
        <w:jc w:val="left"/>
      </w:pPr>
      <w:r>
        <w:rPr/>
        <w:t>公司董事、监事、高级管理人员报告期内被授予的股权激励情况</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五、公司员工情况" w:id="123"/>
      <w:bookmarkEnd w:id="123"/>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员工数量、专业构成及教育程度" w:id="124"/>
      <w:bookmarkEnd w:id="124"/>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4762"/>
        <w:gridCol w:w="4796"/>
      </w:tblGrid>
      <w:tr>
        <w:trPr>
          <w:trHeight w:val="403"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362</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467</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467</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6" w:type="dxa"/>
            <w:tcBorders>
              <w:top w:val="single" w:sz="4" w:space="0" w:color="000000"/>
              <w:left w:val="single" w:sz="13" w:space="0" w:color="D2D2D2"/>
              <w:bottom w:val="single" w:sz="4" w:space="0" w:color="000000"/>
              <w:right w:val="single" w:sz="4" w:space="0" w:color="000000"/>
            </w:tcBorders>
          </w:tcPr>
          <w:p>
            <w:pPr/>
          </w:p>
        </w:tc>
      </w:tr>
      <w:tr>
        <w:trPr>
          <w:trHeight w:val="39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588"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332</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w:t>
            </w:r>
          </w:p>
        </w:tc>
      </w:tr>
      <w:tr>
        <w:trPr>
          <w:trHeight w:val="408"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467</w:t>
            </w:r>
          </w:p>
        </w:tc>
      </w:tr>
      <w:tr>
        <w:trPr>
          <w:trHeight w:val="39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 w:right="0"/>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1"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硕士以上（含硕士）</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293</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中专及以下</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w:t>
            </w:r>
          </w:p>
        </w:tc>
      </w:tr>
      <w:tr>
        <w:trPr>
          <w:trHeight w:val="403"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467</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薪酬政策" w:id="125"/>
      <w:bookmarkEnd w:id="125"/>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360"/>
        <w:jc w:val="both"/>
      </w:pPr>
      <w:r>
        <w:rPr>
          <w:spacing w:val="-2"/>
        </w:rPr>
        <w:t>公司实行员工的薪资收入与岗位责任、工作绩效密切结合的薪酬政策，力求实现薪酬管理与分配的制度化，规范化。并</w:t>
      </w:r>
      <w:r>
        <w:rPr/>
        <w:t> </w:t>
      </w:r>
      <w:r>
        <w:rPr>
          <w:spacing w:val="-2"/>
        </w:rPr>
        <w:t>根据实际情况，对所有岗位进行分类，针对员工不同的专业方向分别进行岗位定级，每个级别对应相应的薪级。同时人力资</w:t>
      </w:r>
      <w:r>
        <w:rPr>
          <w:spacing w:val="-66"/>
        </w:rPr>
        <w:t> </w:t>
      </w:r>
      <w:r>
        <w:rPr>
          <w:spacing w:val="-66"/>
        </w:rPr>
      </w:r>
      <w:r>
        <w:rPr/>
        <w:t>源部通过各种途径进行薪酬调查，以保证工资水平对外具有竞争力。</w:t>
      </w:r>
    </w:p>
    <w:p>
      <w:pPr>
        <w:spacing w:line="240" w:lineRule="auto" w:before="7"/>
        <w:rPr>
          <w:rFonts w:ascii="宋体" w:hAnsi="宋体" w:cs="宋体" w:eastAsia="宋体" w:hint="default"/>
          <w:sz w:val="22"/>
          <w:szCs w:val="22"/>
        </w:rPr>
      </w:pPr>
    </w:p>
    <w:p>
      <w:pPr>
        <w:pStyle w:val="Heading3"/>
        <w:spacing w:line="240" w:lineRule="auto"/>
        <w:ind w:left="1133" w:right="0"/>
        <w:jc w:val="left"/>
        <w:rPr>
          <w:b w:val="0"/>
          <w:bCs w:val="0"/>
        </w:rPr>
      </w:pPr>
      <w:bookmarkStart w:name="3、培训计划" w:id="126"/>
      <w:bookmarkEnd w:id="126"/>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133" w:right="1130" w:firstLine="360"/>
        <w:jc w:val="both"/>
      </w:pPr>
      <w:r>
        <w:rPr>
          <w:spacing w:val="-2"/>
        </w:rPr>
        <w:t>根据公司发展需求及员工学习需求调研结果安排，公司在保证员工外部培训需求的基础上，还组织内部讲师进行相关课</w:t>
      </w:r>
      <w:r>
        <w:rPr/>
        <w:t> </w:t>
      </w:r>
      <w:r>
        <w:rPr>
          <w:spacing w:val="-2"/>
        </w:rPr>
        <w:t>程的开发以及课程评审。评审通过后，根据课程内容规划不同员工群体及等级的培训计划报公司审批。每个月安排不同培训</w:t>
      </w:r>
      <w:r>
        <w:rPr>
          <w:spacing w:val="-66"/>
        </w:rPr>
        <w:t> </w:t>
      </w:r>
      <w:r>
        <w:rPr>
          <w:spacing w:val="-66"/>
        </w:rPr>
      </w:r>
      <w:r>
        <w:rPr>
          <w:spacing w:val="-2"/>
        </w:rPr>
        <w:t>课程及参训群体授课。同时，为方便员工多渠道、随时随地学习的需求，将培训由课堂面授延伸至在线学习及微信端微课学</w:t>
      </w:r>
      <w:r>
        <w:rPr>
          <w:spacing w:val="-66"/>
        </w:rPr>
        <w:t> </w:t>
      </w:r>
      <w:r>
        <w:rPr>
          <w:spacing w:val="-66"/>
        </w:rPr>
      </w:r>
      <w:r>
        <w:rPr/>
        <w:t>习。</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年度培训计划实际完成率</w:t>
      </w:r>
      <w:r>
        <w:rPr>
          <w:spacing w:val="-46"/>
        </w:rPr>
        <w:t> </w:t>
      </w:r>
      <w:r>
        <w:rPr>
          <w:rFonts w:ascii="Times New Roman" w:hAnsi="Times New Roman" w:cs="Times New Roman" w:eastAsia="Times New Roman" w:hint="default"/>
        </w:rPr>
        <w:t>97%</w:t>
      </w:r>
      <w:r>
        <w:rPr/>
        <w:t>以上，课程满意度</w:t>
      </w:r>
      <w:r>
        <w:rPr>
          <w:spacing w:val="-46"/>
        </w:rPr>
        <w:t> </w:t>
      </w:r>
      <w:r>
        <w:rPr>
          <w:rFonts w:ascii="Times New Roman" w:hAnsi="Times New Roman" w:cs="Times New Roman" w:eastAsia="Times New Roman" w:hint="default"/>
        </w:rPr>
        <w:t>95.6%</w:t>
      </w:r>
      <w:r>
        <w:rPr/>
        <w:t>以上。</w:t>
      </w:r>
    </w:p>
    <w:p>
      <w:pPr>
        <w:spacing w:after="0" w:line="319" w:lineRule="auto"/>
        <w:jc w:val="both"/>
        <w:sectPr>
          <w:pgSz w:w="11910" w:h="16840"/>
          <w:pgMar w:header="566" w:footer="979" w:top="1360" w:bottom="1160" w:left="0" w:right="0"/>
        </w:sectPr>
      </w:pPr>
    </w:p>
    <w:p>
      <w:pPr>
        <w:pStyle w:val="Heading3"/>
        <w:spacing w:line="240" w:lineRule="auto" w:before="56"/>
        <w:ind w:right="0"/>
        <w:jc w:val="left"/>
        <w:rPr>
          <w:b w:val="0"/>
          <w:bCs w:val="0"/>
        </w:rPr>
      </w:pPr>
      <w:bookmarkStart w:name="4、劳务外包情况" w:id="127"/>
      <w:bookmarkEnd w:id="127"/>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566" w:footer="979" w:top="1360" w:bottom="1160" w:left="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1"/>
        <w:spacing w:line="240" w:lineRule="auto"/>
        <w:ind w:right="1411"/>
        <w:jc w:val="center"/>
        <w:rPr>
          <w:b w:val="0"/>
          <w:bCs w:val="0"/>
        </w:rPr>
      </w:pPr>
      <w:bookmarkStart w:name="_TOC_250002" w:id="128"/>
      <w:bookmarkStart w:name="第九节 公司治理" w:id="129"/>
      <w:r>
        <w:rPr>
          <w:b w:val="0"/>
          <w:bCs w:val="0"/>
        </w:rPr>
      </w:r>
      <w:r>
        <w:rPr/>
        <w:t>第九节</w:t>
      </w:r>
      <w:r>
        <w:rPr>
          <w:spacing w:val="-5"/>
        </w:rPr>
        <w:t> </w:t>
      </w:r>
      <w:r>
        <w:rPr/>
        <w:t>公司治理</w:t>
      </w:r>
      <w:bookmarkEnd w:id="128"/>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30"/>
      <w:bookmarkEnd w:id="130"/>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1133" w:right="1033" w:firstLine="360"/>
        <w:jc w:val="left"/>
      </w:pPr>
      <w:r>
        <w:rPr>
          <w:spacing w:val="-2"/>
        </w:rPr>
        <w:t>报告期内，公司严格按照《公司法》、《证券法》、《深圳证券交易所创业板股票上市规则》、《深圳证券交易所创业</w:t>
      </w:r>
      <w:r>
        <w:rPr/>
        <w:t> 板上市公司规范运作指引》等相关法律、法规、规范性文件的要求，努力完善公司治理结构，建立健全公司内部控制制度， </w:t>
      </w:r>
      <w:r>
        <w:rPr>
          <w:spacing w:val="-2"/>
        </w:rPr>
        <w:t>促进公司规范运作，不断提高公司治理水平。同时，公司严格执行《公司章程》、《股东大会议事规则》、《董事会议事规</w:t>
      </w:r>
      <w:r>
        <w:rPr>
          <w:spacing w:val="-69"/>
        </w:rPr>
        <w:t> </w:t>
      </w:r>
      <w:r>
        <w:rPr>
          <w:spacing w:val="-69"/>
        </w:rPr>
      </w:r>
      <w:r>
        <w:rPr>
          <w:spacing w:val="-2"/>
        </w:rPr>
        <w:t>则》、《监事会议事规则》等规章制度，公司治理的实际状况符合国家相关法律、法规和监管部门的规范性文件要求，符合</w:t>
      </w:r>
      <w:r>
        <w:rPr>
          <w:spacing w:val="-70"/>
        </w:rPr>
        <w:t> </w:t>
      </w:r>
      <w:r>
        <w:rPr>
          <w:spacing w:val="-70"/>
        </w:rPr>
      </w:r>
      <w:r>
        <w:rPr/>
        <w:t>公司实际经营情况。</w:t>
      </w:r>
    </w:p>
    <w:p>
      <w:pPr>
        <w:pStyle w:val="BodyText"/>
        <w:spacing w:line="240" w:lineRule="auto" w:before="59"/>
        <w:ind w:left="1133" w:right="0"/>
        <w:jc w:val="left"/>
      </w:pPr>
      <w:r>
        <w:rPr/>
        <w:t>公司治理的实际状况与中国证监会发布的有关上市公司治理的规范性文件是否存在重大差异</w:t>
      </w:r>
    </w:p>
    <w:p>
      <w:pPr>
        <w:pStyle w:val="BodyText"/>
        <w:spacing w:line="338" w:lineRule="auto" w:before="117"/>
        <w:ind w:left="1133" w:right="35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二、公司相对于控股股东在业务、人员、资产、机构、财务等方面的独立情况" w:id="131"/>
      <w:bookmarkEnd w:id="131"/>
      <w:r>
        <w:rPr>
          <w:b w:val="0"/>
          <w:bCs w:val="0"/>
        </w:rPr>
      </w: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133" w:right="0"/>
        <w:jc w:val="left"/>
      </w:pPr>
      <w:r>
        <w:rPr/>
        <w:t>公司在业务、人员、资产、机构、财务等方面独立于控股股东。</w:t>
      </w:r>
    </w:p>
    <w:p>
      <w:pPr>
        <w:spacing w:line="240" w:lineRule="auto" w:before="2"/>
        <w:rPr>
          <w:rFonts w:ascii="宋体" w:hAnsi="宋体" w:cs="宋体" w:eastAsia="宋体" w:hint="default"/>
          <w:sz w:val="25"/>
          <w:szCs w:val="25"/>
        </w:rPr>
      </w:pPr>
    </w:p>
    <w:p>
      <w:pPr>
        <w:pStyle w:val="Heading2"/>
        <w:spacing w:line="240" w:lineRule="auto"/>
        <w:ind w:left="1134" w:right="0"/>
        <w:jc w:val="left"/>
        <w:rPr>
          <w:b w:val="0"/>
          <w:bCs w:val="0"/>
        </w:rPr>
      </w:pPr>
      <w:bookmarkStart w:name="三、同业竞争情况" w:id="132"/>
      <w:bookmarkEnd w:id="132"/>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四、报告期内召开的年度股东大会和临时股东大会的有关情况" w:id="133"/>
      <w:bookmarkEnd w:id="133"/>
      <w:r>
        <w:rPr>
          <w:b w:val="0"/>
          <w:bCs w:val="0"/>
        </w:rPr>
      </w:r>
      <w:r>
        <w:rPr/>
        <w:t>四、报告期内召开的年度股东大会和临时股东大会的有关情况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本报告期股东大会情况" w:id="134"/>
      <w:bookmarkEnd w:id="134"/>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35" w:type="dxa"/>
        <w:tblLayout w:type="fixed"/>
        <w:tblCellMar>
          <w:top w:w="0" w:type="dxa"/>
          <w:left w:w="0" w:type="dxa"/>
          <w:bottom w:w="0" w:type="dxa"/>
          <w:right w:w="0" w:type="dxa"/>
        </w:tblCellMar>
        <w:tblLook w:val="01E0"/>
      </w:tblPr>
      <w:tblGrid>
        <w:gridCol w:w="1562"/>
        <w:gridCol w:w="1276"/>
        <w:gridCol w:w="1134"/>
        <w:gridCol w:w="1559"/>
        <w:gridCol w:w="1560"/>
        <w:gridCol w:w="4537"/>
      </w:tblGrid>
      <w:tr>
        <w:trPr>
          <w:trHeight w:val="714" w:hRule="exact"/>
        </w:trPr>
        <w:tc>
          <w:tcPr>
            <w:tcW w:w="1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81" w:right="110" w:hanging="270"/>
              <w:jc w:val="left"/>
              <w:rPr>
                <w:rFonts w:ascii="宋体" w:hAnsi="宋体" w:cs="宋体" w:eastAsia="宋体" w:hint="default"/>
                <w:sz w:val="18"/>
                <w:szCs w:val="18"/>
              </w:rPr>
            </w:pPr>
            <w:r>
              <w:rPr>
                <w:rFonts w:ascii="宋体" w:hAnsi="宋体" w:cs="宋体" w:eastAsia="宋体" w:hint="default"/>
                <w:sz w:val="18"/>
                <w:szCs w:val="18"/>
              </w:rPr>
              <w:t>投资者参与 比例</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4" w:hRule="exact"/>
        </w:trPr>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80"/>
              <w:jc w:val="left"/>
              <w:rPr>
                <w:rFonts w:ascii="Times New Roman" w:hAnsi="Times New Roman" w:cs="Times New Roman" w:eastAsia="Times New Roman" w:hint="default"/>
                <w:sz w:val="18"/>
                <w:szCs w:val="18"/>
              </w:rPr>
            </w:pPr>
            <w:hyperlink r:id="rId31">
              <w:r>
                <w:rPr>
                  <w:rFonts w:ascii="Times New Roman"/>
                  <w:spacing w:val="-1"/>
                  <w:sz w:val="18"/>
                </w:rPr>
                <w:t>http://www.cninfo.com.cn/cninfo-new/disclosure/szse_gem/b</w:t>
              </w:r>
            </w:hyperlink>
            <w:r>
              <w:rPr>
                <w:rFonts w:ascii="Times New Roman"/>
                <w:spacing w:val="-10"/>
                <w:sz w:val="18"/>
              </w:rPr>
              <w:t> </w:t>
            </w:r>
            <w:r>
              <w:rPr>
                <w:rFonts w:ascii="Times New Roman"/>
                <w:spacing w:val="-10"/>
                <w:sz w:val="18"/>
              </w:rPr>
            </w:r>
            <w:r>
              <w:rPr>
                <w:rFonts w:ascii="Times New Roman"/>
                <w:sz w:val="18"/>
              </w:rPr>
              <w:t>ulletin_detail/true/1200865583?announceTime=2015-04-18</w:t>
            </w:r>
          </w:p>
        </w:tc>
      </w:tr>
      <w:tr>
        <w:trPr>
          <w:trHeight w:val="714" w:hRule="exact"/>
        </w:trPr>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年度第一次临 时股东大会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80"/>
              <w:jc w:val="left"/>
              <w:rPr>
                <w:rFonts w:ascii="Times New Roman" w:hAnsi="Times New Roman" w:cs="Times New Roman" w:eastAsia="Times New Roman" w:hint="default"/>
                <w:sz w:val="18"/>
                <w:szCs w:val="18"/>
              </w:rPr>
            </w:pPr>
            <w:hyperlink r:id="rId31">
              <w:r>
                <w:rPr>
                  <w:rFonts w:ascii="Times New Roman"/>
                  <w:spacing w:val="-1"/>
                  <w:sz w:val="18"/>
                </w:rPr>
                <w:t>http://www.cninfo.com.cn/cninfo-new/disclosure/szse_gem/b</w:t>
              </w:r>
            </w:hyperlink>
            <w:r>
              <w:rPr>
                <w:rFonts w:ascii="Times New Roman"/>
                <w:spacing w:val="-10"/>
                <w:sz w:val="18"/>
              </w:rPr>
              <w:t> </w:t>
            </w:r>
            <w:r>
              <w:rPr>
                <w:rFonts w:ascii="Times New Roman"/>
                <w:spacing w:val="-10"/>
                <w:sz w:val="18"/>
              </w:rPr>
            </w:r>
            <w:r>
              <w:rPr>
                <w:rFonts w:ascii="Times New Roman"/>
                <w:sz w:val="18"/>
              </w:rPr>
              <w:t>ulletin_detail/true/1201578262?announceTime=2015-09-10</w:t>
            </w:r>
          </w:p>
        </w:tc>
      </w:tr>
      <w:tr>
        <w:trPr>
          <w:trHeight w:val="714" w:hRule="exact"/>
        </w:trPr>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年度第二次临 时股东大会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80"/>
              <w:jc w:val="left"/>
              <w:rPr>
                <w:rFonts w:ascii="Times New Roman" w:hAnsi="Times New Roman" w:cs="Times New Roman" w:eastAsia="Times New Roman" w:hint="default"/>
                <w:sz w:val="18"/>
                <w:szCs w:val="18"/>
              </w:rPr>
            </w:pPr>
            <w:hyperlink r:id="rId31">
              <w:r>
                <w:rPr>
                  <w:rFonts w:ascii="Times New Roman"/>
                  <w:spacing w:val="-1"/>
                  <w:sz w:val="18"/>
                </w:rPr>
                <w:t>http://www.cninfo.com.cn/cninfo-new/disclosure/szse_gem/b</w:t>
              </w:r>
            </w:hyperlink>
            <w:r>
              <w:rPr>
                <w:rFonts w:ascii="Times New Roman"/>
                <w:spacing w:val="-10"/>
                <w:sz w:val="18"/>
              </w:rPr>
              <w:t> </w:t>
            </w:r>
            <w:r>
              <w:rPr>
                <w:rFonts w:ascii="Times New Roman"/>
                <w:spacing w:val="-10"/>
                <w:sz w:val="18"/>
              </w:rPr>
            </w:r>
            <w:r>
              <w:rPr>
                <w:rFonts w:ascii="Times New Roman"/>
                <w:sz w:val="18"/>
              </w:rPr>
              <w:t>ulletin_detail/true/1201713823?announceTime=2015-10-22</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表决权恢复的优先股股东请求召开临时股东大会" w:id="135"/>
      <w:bookmarkEnd w:id="135"/>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566" w:footer="979" w:top="1360" w:bottom="1160" w:left="0" w:right="0"/>
        </w:sectPr>
      </w:pPr>
    </w:p>
    <w:p>
      <w:pPr>
        <w:spacing w:line="240" w:lineRule="auto" w:before="8"/>
        <w:rPr>
          <w:rFonts w:ascii="宋体" w:hAnsi="宋体" w:cs="宋体" w:eastAsia="宋体" w:hint="default"/>
          <w:sz w:val="23"/>
          <w:szCs w:val="23"/>
        </w:rPr>
      </w:pPr>
      <w:r>
        <w:rPr/>
        <w:pict>
          <v:group style="position:absolute;margin-left:54.84pt;margin-top:28.299988pt;width:485.7pt;height:40.15pt;mso-position-horizontal-relative:page;mso-position-vertical-relative:page;z-index:-614200" coordorigin="1097,566" coordsize="9714,803">
            <v:group style="position:absolute;left:1104;top:1112;width:9700;height:2" coordorigin="1104,1112" coordsize="9700,2">
              <v:shape style="position:absolute;left:1104;top:1112;width:9700;height:2" coordorigin="1104,1112" coordsize="9700,0" path="m1104,1112l10804,1112e" filled="false" stroked="true" strokeweight=".72pt" strokecolor="#000000">
                <v:path arrowok="t"/>
              </v:shape>
              <v:shape style="position:absolute;left:1140;top:566;width:2160;height:803" type="#_x0000_t75" stroked="false">
                <v:imagedata r:id="rId7" o:title=""/>
              </v:shape>
            </v:group>
            <w10:wrap type="none"/>
          </v:group>
        </w:pict>
      </w:r>
    </w:p>
    <w:p>
      <w:pPr>
        <w:pStyle w:val="Heading2"/>
        <w:spacing w:line="240" w:lineRule="auto" w:before="26"/>
        <w:ind w:left="1134" w:right="0"/>
        <w:jc w:val="left"/>
        <w:rPr>
          <w:b w:val="0"/>
          <w:bCs w:val="0"/>
        </w:rPr>
      </w:pPr>
      <w:bookmarkStart w:name="五、报告期内独立董事履行职责的情况" w:id="136"/>
      <w:bookmarkEnd w:id="136"/>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独立董事出席董事会及股东大会的情况" w:id="137"/>
      <w:bookmarkEnd w:id="137"/>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738" w:type="dxa"/>
        <w:tblLayout w:type="fixed"/>
        <w:tblCellMar>
          <w:top w:w="0" w:type="dxa"/>
          <w:left w:w="0" w:type="dxa"/>
          <w:bottom w:w="0" w:type="dxa"/>
          <w:right w:w="0" w:type="dxa"/>
        </w:tblCellMar>
        <w:tblLook w:val="01E0"/>
      </w:tblPr>
      <w:tblGrid>
        <w:gridCol w:w="1419"/>
        <w:gridCol w:w="1560"/>
        <w:gridCol w:w="1701"/>
        <w:gridCol w:w="1702"/>
        <w:gridCol w:w="1391"/>
        <w:gridCol w:w="1324"/>
        <w:gridCol w:w="1325"/>
      </w:tblGrid>
      <w:tr>
        <w:trPr>
          <w:trHeight w:val="402" w:hRule="exact"/>
        </w:trPr>
        <w:tc>
          <w:tcPr>
            <w:tcW w:w="1042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13" w:right="54" w:hanging="360"/>
              <w:jc w:val="left"/>
              <w:rPr>
                <w:rFonts w:ascii="宋体" w:hAnsi="宋体" w:cs="宋体" w:eastAsia="宋体" w:hint="default"/>
                <w:sz w:val="18"/>
                <w:szCs w:val="18"/>
              </w:rPr>
            </w:pPr>
            <w:r>
              <w:rPr>
                <w:rFonts w:ascii="宋体" w:hAnsi="宋体" w:cs="宋体" w:eastAsia="宋体" w:hint="default"/>
                <w:sz w:val="18"/>
                <w:szCs w:val="18"/>
              </w:rPr>
              <w:t>本报告期应参加董 事会次数</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35"/>
              <w:jc w:val="right"/>
              <w:rPr>
                <w:rFonts w:ascii="宋体" w:hAnsi="宋体" w:cs="宋体" w:eastAsia="宋体" w:hint="default"/>
                <w:sz w:val="18"/>
                <w:szCs w:val="18"/>
              </w:rPr>
            </w:pPr>
            <w:r>
              <w:rPr>
                <w:rFonts w:ascii="宋体" w:hAnsi="宋体" w:cs="宋体" w:eastAsia="宋体" w:hint="default"/>
                <w:sz w:val="18"/>
                <w:szCs w:val="18"/>
              </w:rPr>
              <w:t>以通讯方式参加次数</w:t>
            </w:r>
          </w:p>
        </w:tc>
        <w:tc>
          <w:tcPr>
            <w:tcW w:w="1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7"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林木西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宋廷锋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杨根兴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744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bl>
    <w:p>
      <w:pPr>
        <w:pStyle w:val="BodyText"/>
        <w:spacing w:line="360" w:lineRule="auto" w:before="51"/>
        <w:ind w:right="5712"/>
        <w:jc w:val="left"/>
      </w:pPr>
      <w:r>
        <w:rPr/>
        <w:t>连续两次未亲自出席董事会的说明 报告期内，公司独立董事无连续两次未亲自出席董事会的情况。</w:t>
      </w:r>
    </w:p>
    <w:p>
      <w:pPr>
        <w:spacing w:line="240" w:lineRule="auto" w:before="11"/>
        <w:rPr>
          <w:rFonts w:ascii="宋体" w:hAnsi="宋体" w:cs="宋体" w:eastAsia="宋体" w:hint="default"/>
          <w:sz w:val="19"/>
          <w:szCs w:val="19"/>
        </w:rPr>
      </w:pPr>
    </w:p>
    <w:p>
      <w:pPr>
        <w:pStyle w:val="Heading3"/>
        <w:spacing w:line="240" w:lineRule="auto"/>
        <w:ind w:right="0"/>
        <w:jc w:val="both"/>
        <w:rPr>
          <w:b w:val="0"/>
          <w:bCs w:val="0"/>
        </w:rPr>
      </w:pPr>
      <w:bookmarkStart w:name="2、独立董事对公司有关事项提出异议的情况" w:id="138"/>
      <w:bookmarkEnd w:id="138"/>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独立董事对公司有关事项是否提出异议</w:t>
      </w:r>
    </w:p>
    <w:p>
      <w:pPr>
        <w:pStyle w:val="BodyText"/>
        <w:spacing w:line="338" w:lineRule="auto" w:before="117"/>
        <w:ind w:left="1133"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2"/>
        <w:rPr>
          <w:rFonts w:ascii="宋体" w:hAnsi="宋体" w:cs="宋体" w:eastAsia="宋体" w:hint="default"/>
          <w:sz w:val="21"/>
          <w:szCs w:val="21"/>
        </w:rPr>
      </w:pPr>
    </w:p>
    <w:p>
      <w:pPr>
        <w:pStyle w:val="Heading3"/>
        <w:spacing w:line="240" w:lineRule="auto"/>
        <w:ind w:left="1133" w:right="0"/>
        <w:jc w:val="both"/>
        <w:rPr>
          <w:b w:val="0"/>
          <w:bCs w:val="0"/>
        </w:rPr>
      </w:pPr>
      <w:bookmarkStart w:name="3、独立董事履行职责的其他说明" w:id="139"/>
      <w:bookmarkEnd w:id="139"/>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3" w:right="0"/>
        <w:jc w:val="both"/>
      </w:pPr>
      <w:r>
        <w:rPr/>
        <w:t>独立董事对公司有关建议是否被采纳</w:t>
      </w:r>
    </w:p>
    <w:p>
      <w:pPr>
        <w:pStyle w:val="BodyText"/>
        <w:spacing w:line="340" w:lineRule="auto" w:before="116"/>
        <w:ind w:left="1133" w:right="67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4" w:lineRule="auto" w:before="39"/>
        <w:ind w:left="1133" w:right="1131"/>
        <w:jc w:val="both"/>
      </w:pPr>
      <w:r>
        <w:rPr/>
        <w:t>报告期内，公司独立董事勤勉尽责，严格按照</w:t>
      </w:r>
      <w:r>
        <w:rPr>
          <w:spacing w:val="21"/>
        </w:rPr>
        <w:t> </w:t>
      </w:r>
      <w:r>
        <w:rPr>
          <w:spacing w:val="-11"/>
        </w:rPr>
        <w:t>《公司法》、《深圳证券交易所创业板股票上市规则》、《深圳证券交易所创业</w:t>
      </w:r>
      <w:r>
        <w:rPr>
          <w:spacing w:val="-87"/>
        </w:rPr>
        <w:t> </w:t>
      </w:r>
      <w:r>
        <w:rPr>
          <w:spacing w:val="-87"/>
        </w:rPr>
      </w:r>
      <w:r>
        <w:rPr>
          <w:spacing w:val="-5"/>
        </w:rPr>
        <w:t>板上市公司规范运作指引》、《关于在上市公司建立独立董事的指导意见》等有关法律法规以及公司《独立董事工作制度》的</w:t>
      </w:r>
      <w:r>
        <w:rPr>
          <w:spacing w:val="-79"/>
        </w:rPr>
        <w:t> </w:t>
      </w:r>
      <w:r>
        <w:rPr>
          <w:spacing w:val="-79"/>
        </w:rPr>
      </w:r>
      <w:r>
        <w:rPr/>
        <w:t>相关规定和要求</w:t>
      </w:r>
      <w:r>
        <w:rPr>
          <w:rFonts w:ascii="Times New Roman" w:hAnsi="Times New Roman" w:cs="Times New Roman" w:eastAsia="Times New Roman" w:hint="default"/>
        </w:rPr>
        <w:t>,</w:t>
      </w:r>
      <w:r>
        <w:rPr>
          <w:rFonts w:ascii="Times New Roman" w:hAnsi="Times New Roman" w:cs="Times New Roman" w:eastAsia="Times New Roman" w:hint="default"/>
          <w:spacing w:val="38"/>
        </w:rPr>
        <w:t> </w:t>
      </w:r>
      <w:r>
        <w:rPr/>
        <w:t>积极关注公司运作</w:t>
      </w:r>
      <w:r>
        <w:rPr>
          <w:rFonts w:ascii="Times New Roman" w:hAnsi="Times New Roman" w:cs="Times New Roman" w:eastAsia="Times New Roman" w:hint="default"/>
        </w:rPr>
        <w:t>,</w:t>
      </w:r>
      <w:r>
        <w:rPr/>
        <w:t>认真审议各项议案</w:t>
      </w:r>
      <w:r>
        <w:rPr>
          <w:rFonts w:ascii="Times New Roman" w:hAnsi="Times New Roman" w:cs="Times New Roman" w:eastAsia="Times New Roman" w:hint="default"/>
        </w:rPr>
        <w:t>,</w:t>
      </w:r>
      <w:r>
        <w:rPr/>
        <w:t>客观地发表自己的观点</w:t>
      </w:r>
      <w:r>
        <w:rPr>
          <w:rFonts w:ascii="Times New Roman" w:hAnsi="Times New Roman" w:cs="Times New Roman" w:eastAsia="Times New Roman" w:hint="default"/>
        </w:rPr>
        <w:t>,</w:t>
      </w:r>
      <w:r>
        <w:rPr/>
        <w:t>在公司管理体系建设、内部控制完善、重大 </w:t>
      </w:r>
      <w:r>
        <w:rPr>
          <w:spacing w:val="-2"/>
        </w:rPr>
        <w:t>投资决策等方面提出了诸多意见和建议，对公司财务状况和生产经营情况进行了有效监督，维护了全体股东特别是公司中小</w:t>
      </w:r>
      <w:r>
        <w:rPr>
          <w:spacing w:val="-64"/>
        </w:rPr>
        <w:t> </w:t>
      </w:r>
      <w:r>
        <w:rPr>
          <w:spacing w:val="-64"/>
        </w:rPr>
      </w:r>
      <w:r>
        <w:rPr/>
        <w:t>股东的合法权益。</w:t>
      </w:r>
    </w:p>
    <w:p>
      <w:pPr>
        <w:spacing w:line="240" w:lineRule="auto" w:before="9"/>
        <w:rPr>
          <w:rFonts w:ascii="宋体" w:hAnsi="宋体" w:cs="宋体" w:eastAsia="宋体" w:hint="default"/>
          <w:sz w:val="20"/>
          <w:szCs w:val="20"/>
        </w:rPr>
      </w:pPr>
    </w:p>
    <w:p>
      <w:pPr>
        <w:pStyle w:val="Heading2"/>
        <w:spacing w:line="240" w:lineRule="auto"/>
        <w:ind w:right="0"/>
        <w:jc w:val="both"/>
        <w:rPr>
          <w:b w:val="0"/>
          <w:bCs w:val="0"/>
        </w:rPr>
      </w:pPr>
      <w:bookmarkStart w:name="六、董事会下设专门委员会在报告期内履行职责情况" w:id="140"/>
      <w:bookmarkEnd w:id="140"/>
      <w:r>
        <w:rPr>
          <w:b w:val="0"/>
          <w:bCs w:val="0"/>
        </w:rPr>
      </w:r>
      <w:r>
        <w:rPr/>
        <w:t>六、董事会下设专门委员会在报告期内履行职责情况</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493" w:right="1118"/>
        <w:jc w:val="left"/>
      </w:pPr>
      <w:r>
        <w:rPr>
          <w:rFonts w:ascii="Times New Roman" w:hAnsi="Times New Roman" w:cs="Times New Roman" w:eastAsia="Times New Roman" w:hint="default"/>
        </w:rPr>
        <w:t>1</w:t>
      </w:r>
      <w:r>
        <w:rPr/>
        <w:t>、审计委员会 </w:t>
      </w:r>
      <w:r>
        <w:rPr>
          <w:spacing w:val="-2"/>
        </w:rPr>
        <w:t>报告期内，公司审计委员会按照《审计委员会议事规则》的相关规定，重点对公司定期报告、募集资金使用情况及公司</w:t>
      </w:r>
    </w:p>
    <w:p>
      <w:pPr>
        <w:pStyle w:val="BodyText"/>
        <w:spacing w:line="240" w:lineRule="auto" w:before="31"/>
        <w:ind w:left="1133" w:right="0"/>
        <w:jc w:val="both"/>
      </w:pPr>
      <w:r>
        <w:rPr/>
        <w:t>内部控制的制度建设及实施情况进行了监督和审核。</w:t>
      </w:r>
    </w:p>
    <w:p>
      <w:pPr>
        <w:pStyle w:val="BodyText"/>
        <w:spacing w:line="300" w:lineRule="auto" w:before="76"/>
        <w:ind w:left="1493" w:right="1118"/>
        <w:jc w:val="left"/>
      </w:pPr>
      <w:r>
        <w:rPr>
          <w:rFonts w:ascii="Times New Roman" w:hAnsi="Times New Roman" w:cs="Times New Roman" w:eastAsia="Times New Roman" w:hint="default"/>
        </w:rPr>
        <w:t>2</w:t>
      </w:r>
      <w:r>
        <w:rPr/>
        <w:t>、战略委员会 </w:t>
      </w:r>
      <w:r>
        <w:rPr>
          <w:spacing w:val="-2"/>
        </w:rPr>
        <w:t>报告期内，公司战略委员会按照《战略委员会议事规则》的相关规定，积极研究公司长期发展战略规划，对公司收购上</w:t>
      </w:r>
    </w:p>
    <w:p>
      <w:pPr>
        <w:pStyle w:val="BodyText"/>
        <w:spacing w:line="240" w:lineRule="auto" w:before="32"/>
        <w:ind w:left="1133" w:right="0"/>
        <w:jc w:val="both"/>
      </w:pPr>
      <w:r>
        <w:rPr/>
        <w:t>海米健事宜进行了充分的探讨和商榷，确定了公司未来发展战略及</w:t>
      </w:r>
      <w:r>
        <w:rPr>
          <w:rFonts w:ascii="Times New Roman" w:hAnsi="Times New Roman" w:cs="Times New Roman" w:eastAsia="Times New Roman" w:hint="default"/>
        </w:rPr>
        <w:t>2015</w:t>
      </w:r>
      <w:r>
        <w:rPr/>
        <w:t>年经营计划。</w:t>
      </w:r>
    </w:p>
    <w:p>
      <w:pPr>
        <w:pStyle w:val="BodyText"/>
        <w:spacing w:line="300" w:lineRule="auto" w:before="63"/>
        <w:ind w:left="1494" w:right="0"/>
        <w:jc w:val="left"/>
      </w:pPr>
      <w:r>
        <w:rPr>
          <w:rFonts w:ascii="Times New Roman" w:hAnsi="Times New Roman" w:cs="Times New Roman" w:eastAsia="Times New Roman" w:hint="default"/>
        </w:rPr>
        <w:t>3</w:t>
      </w:r>
      <w:r>
        <w:rPr/>
        <w:t>、薪酬与考核委员会 </w:t>
      </w:r>
      <w:r>
        <w:rPr>
          <w:spacing w:val="-2"/>
        </w:rPr>
        <w:t>报告期内，公司战略委员会按照《薪酬与考核委员会议事规则》的相关规定，审议了公司董事、监事、高级管理人员年</w:t>
      </w:r>
    </w:p>
    <w:p>
      <w:pPr>
        <w:pStyle w:val="BodyText"/>
        <w:spacing w:line="240" w:lineRule="auto" w:before="31"/>
        <w:ind w:right="0"/>
        <w:jc w:val="both"/>
      </w:pPr>
      <w:r>
        <w:rPr/>
        <w:t>度薪酬分配方案，听取了高级管理人员的年度工作汇报。</w:t>
      </w:r>
    </w:p>
    <w:p>
      <w:pPr>
        <w:spacing w:after="0" w:line="240" w:lineRule="auto"/>
        <w:jc w:val="both"/>
        <w:sectPr>
          <w:headerReference w:type="default" r:id="rId32"/>
          <w:pgSz w:w="11910" w:h="16840"/>
          <w:pgMar w:header="867" w:footer="979" w:top="1060" w:bottom="1160" w:left="0" w:right="0"/>
        </w:sectPr>
      </w:pPr>
    </w:p>
    <w:p>
      <w:pPr>
        <w:spacing w:line="240" w:lineRule="auto" w:before="12"/>
        <w:rPr>
          <w:rFonts w:ascii="宋体" w:hAnsi="宋体" w:cs="宋体" w:eastAsia="宋体" w:hint="default"/>
          <w:sz w:val="25"/>
          <w:szCs w:val="25"/>
        </w:rPr>
      </w:pPr>
      <w:r>
        <w:rPr/>
        <w:pict>
          <v:group style="position:absolute;margin-left:54.84pt;margin-top:28.299988pt;width:485.7pt;height:40.15pt;mso-position-horizontal-relative:page;mso-position-vertical-relative:page;z-index:1864" coordorigin="1097,566" coordsize="9714,803">
            <v:group style="position:absolute;left:1104;top:1112;width:9700;height:2" coordorigin="1104,1112" coordsize="9700,2">
              <v:shape style="position:absolute;left:1104;top:1112;width:9700;height:2" coordorigin="1104,1112" coordsize="9700,0" path="m1104,1112l10804,1112e" filled="false" stroked="true" strokeweight=".72pt" strokecolor="#000000">
                <v:path arrowok="t"/>
              </v:shape>
              <v:shape style="position:absolute;left:1140;top:566;width:2160;height:803" type="#_x0000_t75" stroked="false">
                <v:imagedata r:id="rId7" o:title=""/>
              </v:shape>
            </v:group>
            <w10:wrap type="none"/>
          </v:group>
        </w:pict>
      </w:r>
    </w:p>
    <w:p>
      <w:pPr>
        <w:pStyle w:val="BodyText"/>
        <w:spacing w:line="300" w:lineRule="auto" w:before="44"/>
        <w:ind w:left="1493" w:right="1213"/>
        <w:jc w:val="left"/>
        <w:rPr>
          <w:rFonts w:ascii="Times New Roman" w:hAnsi="Times New Roman" w:cs="Times New Roman" w:eastAsia="Times New Roman" w:hint="default"/>
        </w:rPr>
      </w:pPr>
      <w:r>
        <w:rPr>
          <w:rFonts w:ascii="Times New Roman" w:hAnsi="Times New Roman" w:cs="Times New Roman" w:eastAsia="Times New Roman" w:hint="default"/>
        </w:rPr>
        <w:t>4</w:t>
      </w:r>
      <w:r>
        <w:rPr/>
        <w:t>、提名委员会 报告期内，公司战略委员会按照《提名委员会议事规则》的相关规定，积极关注各位董事的履职情况，审议了《</w:t>
      </w:r>
      <w:r>
        <w:rPr>
          <w:rFonts w:ascii="Times New Roman" w:hAnsi="Times New Roman" w:cs="Times New Roman" w:eastAsia="Times New Roman" w:hint="default"/>
        </w:rPr>
        <w:t>2014</w:t>
      </w:r>
    </w:p>
    <w:p>
      <w:pPr>
        <w:pStyle w:val="BodyText"/>
        <w:spacing w:line="240" w:lineRule="auto" w:before="13"/>
        <w:ind w:left="1133" w:right="0"/>
        <w:jc w:val="left"/>
      </w:pPr>
      <w:r>
        <w:rPr/>
        <w:t>年度董事会工作报告》。</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七、监事会工作情况" w:id="141"/>
      <w:bookmarkEnd w:id="141"/>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0"/>
        <w:jc w:val="left"/>
      </w:pPr>
      <w:r>
        <w:rPr/>
        <w:t>监事会在报告期内的监督活动是否发现公司存在风险</w:t>
      </w:r>
    </w:p>
    <w:p>
      <w:pPr>
        <w:pStyle w:val="BodyText"/>
        <w:spacing w:line="340" w:lineRule="auto" w:before="116"/>
        <w:ind w:left="1133" w:right="73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八、高级管理人员的考评及激励情况" w:id="142"/>
      <w:bookmarkEnd w:id="142"/>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3" w:right="0"/>
        <w:jc w:val="left"/>
      </w:pPr>
      <w:r>
        <w:rPr>
          <w:spacing w:val="-2"/>
        </w:rPr>
        <w:t>公司建立了完善的管理人员绩效考评管理体系，明确了公司管理人员的考核、奖励机制，最大限度地调动了管理者工作的积</w:t>
      </w:r>
      <w:r>
        <w:rPr>
          <w:spacing w:val="-66"/>
        </w:rPr>
        <w:t> </w:t>
      </w:r>
      <w:r>
        <w:rPr>
          <w:spacing w:val="-66"/>
        </w:rPr>
      </w:r>
      <w:r>
        <w:rPr/>
        <w:t>极性和主动性。</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九、内部控制评价报告" w:id="143"/>
      <w:bookmarkEnd w:id="143"/>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报告期内发现的内部控制重大缺陷的具体情况" w:id="144"/>
      <w:bookmarkEnd w:id="144"/>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2、内控自我评价报告" w:id="145"/>
      <w:bookmarkEnd w:id="145"/>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1"/>
        <w:rPr>
          <w:rFonts w:ascii="宋体" w:hAnsi="宋体" w:cs="宋体" w:eastAsia="宋体" w:hint="default"/>
          <w:b/>
          <w:bCs/>
          <w:sz w:val="25"/>
          <w:szCs w:val="25"/>
        </w:rPr>
      </w:pPr>
    </w:p>
    <w:tbl>
      <w:tblPr>
        <w:tblW w:w="0" w:type="auto"/>
        <w:jc w:val="left"/>
        <w:tblInd w:w="667" w:type="dxa"/>
        <w:tblLayout w:type="fixed"/>
        <w:tblCellMar>
          <w:top w:w="0" w:type="dxa"/>
          <w:left w:w="0" w:type="dxa"/>
          <w:bottom w:w="0" w:type="dxa"/>
          <w:right w:w="0" w:type="dxa"/>
        </w:tblCellMar>
        <w:tblLook w:val="01E0"/>
      </w:tblPr>
      <w:tblGrid>
        <w:gridCol w:w="2694"/>
        <w:gridCol w:w="2541"/>
        <w:gridCol w:w="1571"/>
        <w:gridCol w:w="3756"/>
      </w:tblGrid>
      <w:tr>
        <w:trPr>
          <w:trHeight w:val="402" w:hRule="exact"/>
        </w:trPr>
        <w:tc>
          <w:tcPr>
            <w:tcW w:w="52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5327"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52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5327"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详见公司于巨潮资讯网披露的《</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年度内部控制自我评价报告》</w:t>
            </w:r>
          </w:p>
        </w:tc>
      </w:tr>
      <w:tr>
        <w:trPr>
          <w:trHeight w:val="402" w:hRule="exact"/>
        </w:trPr>
        <w:tc>
          <w:tcPr>
            <w:tcW w:w="52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纳入评价范围单位资产总额占公司合并财务报表资产总额的比例</w:t>
            </w:r>
          </w:p>
        </w:tc>
        <w:tc>
          <w:tcPr>
            <w:tcW w:w="5327"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98.49%</w:t>
            </w:r>
          </w:p>
        </w:tc>
      </w:tr>
      <w:tr>
        <w:trPr>
          <w:trHeight w:val="407" w:hRule="exact"/>
        </w:trPr>
        <w:tc>
          <w:tcPr>
            <w:tcW w:w="52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纳入评价范围单位营业收入占公司合并财务报表营业收入的比例</w:t>
            </w:r>
          </w:p>
        </w:tc>
        <w:tc>
          <w:tcPr>
            <w:tcW w:w="5327"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98.77%</w:t>
            </w:r>
          </w:p>
        </w:tc>
      </w:tr>
      <w:tr>
        <w:trPr>
          <w:trHeight w:val="392" w:hRule="exact"/>
        </w:trPr>
        <w:tc>
          <w:tcPr>
            <w:tcW w:w="1056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411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7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921" w:hRule="exact"/>
        </w:trPr>
        <w:tc>
          <w:tcPr>
            <w:tcW w:w="2694"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2" w:type="dxa"/>
            <w:gridSpan w:val="2"/>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重大缺陷：</w:t>
            </w:r>
          </w:p>
          <w:p>
            <w:pPr>
              <w:pStyle w:val="TableParagraph"/>
              <w:spacing w:line="240" w:lineRule="auto" w:before="117"/>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、董事、监事和高级管理人员存在舞弊行为；</w:t>
            </w:r>
          </w:p>
          <w:p>
            <w:pPr>
              <w:pStyle w:val="TableParagraph"/>
              <w:spacing w:line="240" w:lineRule="auto" w:before="102"/>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、公司更正已公布的财务报告；</w:t>
            </w:r>
          </w:p>
          <w:p>
            <w:pPr>
              <w:pStyle w:val="TableParagraph"/>
              <w:spacing w:line="302" w:lineRule="auto" w:before="102"/>
              <w:ind w:left="16"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、外部审计发现当期财务报告存在重大错报，公司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内部控制在运行过程中未能发现该错报；</w:t>
            </w:r>
          </w:p>
          <w:p>
            <w:pPr>
              <w:pStyle w:val="TableParagraph"/>
              <w:spacing w:line="352" w:lineRule="auto" w:before="69"/>
              <w:ind w:left="16"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、其他可能对公司内控目标产生重大影响的情形。 重要缺陷： 各种可能对公司内控目标产生严重影响的情形。 一般缺陷：</w:t>
            </w:r>
          </w:p>
          <w:p>
            <w:pPr>
              <w:pStyle w:val="TableParagraph"/>
              <w:spacing w:line="319" w:lineRule="auto" w:before="30"/>
              <w:ind w:left="16" w:right="22"/>
              <w:jc w:val="left"/>
              <w:rPr>
                <w:rFonts w:ascii="宋体" w:hAnsi="宋体" w:cs="宋体" w:eastAsia="宋体" w:hint="default"/>
                <w:sz w:val="18"/>
                <w:szCs w:val="18"/>
              </w:rPr>
            </w:pPr>
            <w:r>
              <w:rPr>
                <w:rFonts w:ascii="宋体" w:hAnsi="宋体" w:cs="宋体" w:eastAsia="宋体" w:hint="default"/>
                <w:spacing w:val="-4"/>
                <w:sz w:val="18"/>
                <w:szCs w:val="18"/>
              </w:rPr>
              <w:t>重大缺陷与重要缺陷包括情形以外的、各种可能对公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司公司内控目标产生影响的情形。</w:t>
            </w:r>
          </w:p>
        </w:tc>
        <w:tc>
          <w:tcPr>
            <w:tcW w:w="3756"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重大缺陷：</w:t>
            </w:r>
          </w:p>
          <w:p>
            <w:pPr>
              <w:pStyle w:val="TableParagraph"/>
              <w:spacing w:line="240" w:lineRule="auto" w:before="11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、重大决策程序缺失；</w:t>
            </w:r>
          </w:p>
          <w:p>
            <w:pPr>
              <w:pStyle w:val="TableParagraph"/>
              <w:spacing w:line="240" w:lineRule="auto" w:before="10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、违反国家法律、法规或规范性文件；</w:t>
            </w:r>
          </w:p>
          <w:p>
            <w:pPr>
              <w:pStyle w:val="TableParagraph"/>
              <w:spacing w:line="240" w:lineRule="auto" w:before="10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、重要管理方面缺乏制度控制或系统性失效；</w:t>
            </w:r>
          </w:p>
          <w:p>
            <w:pPr>
              <w:pStyle w:val="TableParagraph"/>
              <w:spacing w:line="240" w:lineRule="auto" w:before="10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、中高层管理人员或核心岗位人员流失严重；</w:t>
            </w:r>
          </w:p>
          <w:p>
            <w:pPr>
              <w:pStyle w:val="TableParagraph"/>
              <w:spacing w:line="240" w:lineRule="auto" w:before="10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、重大或重要缺陷未得到整改；</w:t>
            </w:r>
          </w:p>
          <w:p>
            <w:pPr>
              <w:pStyle w:val="TableParagraph"/>
              <w:spacing w:line="240" w:lineRule="auto" w:before="10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、媒体出现负面信息、产生重大影响；</w:t>
            </w:r>
          </w:p>
          <w:p>
            <w:pPr>
              <w:pStyle w:val="TableParagraph"/>
              <w:spacing w:line="302" w:lineRule="auto" w:before="10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、其他可能对公司内控目标产生重大影响的情</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形。</w:t>
            </w:r>
          </w:p>
          <w:p>
            <w:pPr>
              <w:pStyle w:val="TableParagraph"/>
              <w:spacing w:line="240" w:lineRule="auto" w:before="69"/>
              <w:ind w:left="22" w:right="0"/>
              <w:jc w:val="left"/>
              <w:rPr>
                <w:rFonts w:ascii="宋体" w:hAnsi="宋体" w:cs="宋体" w:eastAsia="宋体" w:hint="default"/>
                <w:sz w:val="18"/>
                <w:szCs w:val="18"/>
              </w:rPr>
            </w:pPr>
            <w:r>
              <w:rPr>
                <w:rFonts w:ascii="宋体" w:hAnsi="宋体" w:cs="宋体" w:eastAsia="宋体" w:hint="default"/>
                <w:sz w:val="18"/>
                <w:szCs w:val="18"/>
              </w:rPr>
              <w:t>重要缺陷：</w:t>
            </w:r>
          </w:p>
          <w:p>
            <w:pPr>
              <w:pStyle w:val="TableParagraph"/>
              <w:spacing w:line="240" w:lineRule="auto" w:before="11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、重大决策程序不完善；</w:t>
            </w:r>
          </w:p>
          <w:p>
            <w:pPr>
              <w:pStyle w:val="TableParagraph"/>
              <w:spacing w:line="240" w:lineRule="auto" w:before="10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、违反公司管理制度且造成严重损失；</w:t>
            </w:r>
          </w:p>
        </w:tc>
      </w:tr>
      <w:tr>
        <w:trPr>
          <w:trHeight w:val="392" w:hRule="exact"/>
        </w:trPr>
        <w:tc>
          <w:tcPr>
            <w:tcW w:w="26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4112" w:type="dxa"/>
            <w:gridSpan w:val="2"/>
            <w:vMerge/>
            <w:tcBorders>
              <w:left w:val="single" w:sz="9" w:space="0" w:color="D2D2D2"/>
              <w:right w:val="single" w:sz="4" w:space="0" w:color="000000"/>
            </w:tcBorders>
          </w:tcPr>
          <w:p>
            <w:pPr/>
          </w:p>
        </w:tc>
        <w:tc>
          <w:tcPr>
            <w:tcW w:w="3756" w:type="dxa"/>
            <w:vMerge/>
            <w:tcBorders>
              <w:left w:val="single" w:sz="4" w:space="0" w:color="000000"/>
              <w:right w:val="single" w:sz="4" w:space="0" w:color="000000"/>
            </w:tcBorders>
          </w:tcPr>
          <w:p>
            <w:pPr/>
          </w:p>
        </w:tc>
      </w:tr>
      <w:tr>
        <w:trPr>
          <w:trHeight w:val="1922" w:hRule="exact"/>
        </w:trPr>
        <w:tc>
          <w:tcPr>
            <w:tcW w:w="2694" w:type="dxa"/>
            <w:tcBorders>
              <w:top w:val="nil" w:sz="6" w:space="0" w:color="auto"/>
              <w:left w:val="single" w:sz="4" w:space="0" w:color="000000"/>
              <w:bottom w:val="single" w:sz="4" w:space="0" w:color="000000"/>
              <w:right w:val="single" w:sz="4" w:space="0" w:color="000000"/>
            </w:tcBorders>
            <w:shd w:val="clear" w:color="auto" w:fill="D2D2D2"/>
          </w:tcPr>
          <w:p>
            <w:pPr/>
          </w:p>
        </w:tc>
        <w:tc>
          <w:tcPr>
            <w:tcW w:w="4112" w:type="dxa"/>
            <w:gridSpan w:val="2"/>
            <w:vMerge/>
            <w:tcBorders>
              <w:left w:val="single" w:sz="9" w:space="0" w:color="D2D2D2"/>
              <w:bottom w:val="single" w:sz="4" w:space="0" w:color="000000"/>
              <w:right w:val="single" w:sz="4" w:space="0" w:color="000000"/>
            </w:tcBorders>
          </w:tcPr>
          <w:p>
            <w:pPr/>
          </w:p>
        </w:tc>
        <w:tc>
          <w:tcPr>
            <w:tcW w:w="3756" w:type="dxa"/>
            <w:vMerge/>
            <w:tcBorders>
              <w:left w:val="single" w:sz="4" w:space="0" w:color="000000"/>
              <w:bottom w:val="single" w:sz="4" w:space="0" w:color="000000"/>
              <w:right w:val="single" w:sz="4" w:space="0" w:color="000000"/>
            </w:tcBorders>
          </w:tcPr>
          <w:p>
            <w:pPr/>
          </w:p>
        </w:tc>
      </w:tr>
    </w:tbl>
    <w:p>
      <w:pPr>
        <w:spacing w:after="0"/>
        <w:sectPr>
          <w:pgSz w:w="11910" w:h="16840"/>
          <w:pgMar w:header="867" w:footer="979" w:top="1060" w:bottom="1160" w:left="0" w:right="0"/>
        </w:sectPr>
      </w:pPr>
    </w:p>
    <w:tbl>
      <w:tblPr>
        <w:tblW w:w="0" w:type="auto"/>
        <w:jc w:val="left"/>
        <w:tblInd w:w="667" w:type="dxa"/>
        <w:tblLayout w:type="fixed"/>
        <w:tblCellMar>
          <w:top w:w="0" w:type="dxa"/>
          <w:left w:w="0" w:type="dxa"/>
          <w:bottom w:w="0" w:type="dxa"/>
          <w:right w:w="0" w:type="dxa"/>
        </w:tblCellMar>
        <w:tblLook w:val="01E0"/>
      </w:tblPr>
      <w:tblGrid>
        <w:gridCol w:w="2694"/>
        <w:gridCol w:w="4112"/>
        <w:gridCol w:w="3756"/>
      </w:tblGrid>
      <w:tr>
        <w:trPr>
          <w:trHeight w:val="3099"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112" w:type="dxa"/>
            <w:tcBorders>
              <w:top w:val="single" w:sz="4" w:space="0" w:color="000000"/>
              <w:left w:val="single" w:sz="4" w:space="0" w:color="000000"/>
              <w:bottom w:val="single" w:sz="4" w:space="0" w:color="000000"/>
              <w:right w:val="single" w:sz="4" w:space="0" w:color="000000"/>
            </w:tcBorders>
          </w:tcPr>
          <w:p>
            <w:pP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、重要管理方面的制度不完善或存在缺陷；</w:t>
            </w:r>
          </w:p>
          <w:p>
            <w:pPr>
              <w:pStyle w:val="TableParagraph"/>
              <w:spacing w:line="240" w:lineRule="auto" w:before="10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、关键岗位人员流失严重；</w:t>
            </w:r>
          </w:p>
          <w:p>
            <w:pPr>
              <w:pStyle w:val="TableParagraph"/>
              <w:spacing w:line="240" w:lineRule="auto" w:before="10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、重要或一般缺陷未得到整改；</w:t>
            </w:r>
          </w:p>
          <w:p>
            <w:pPr>
              <w:pStyle w:val="TableParagraph"/>
              <w:spacing w:line="240" w:lineRule="auto" w:before="10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、媒体出现负面信息，产生重要影响；</w:t>
            </w:r>
          </w:p>
          <w:p>
            <w:pPr>
              <w:pStyle w:val="TableParagraph"/>
              <w:spacing w:line="302" w:lineRule="auto" w:before="103"/>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、其他可能对公司内控目标产生严重影响的情</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形。</w:t>
            </w:r>
          </w:p>
          <w:p>
            <w:pPr>
              <w:pStyle w:val="TableParagraph"/>
              <w:spacing w:line="338" w:lineRule="auto" w:before="69"/>
              <w:ind w:left="22" w:right="22"/>
              <w:jc w:val="left"/>
              <w:rPr>
                <w:rFonts w:ascii="宋体" w:hAnsi="宋体" w:cs="宋体" w:eastAsia="宋体" w:hint="default"/>
                <w:sz w:val="18"/>
                <w:szCs w:val="18"/>
              </w:rPr>
            </w:pPr>
            <w:r>
              <w:rPr>
                <w:rFonts w:ascii="宋体" w:hAnsi="宋体" w:cs="宋体" w:eastAsia="宋体" w:hint="default"/>
                <w:sz w:val="18"/>
                <w:szCs w:val="18"/>
              </w:rPr>
              <w:t>一般缺陷： </w:t>
            </w:r>
            <w:r>
              <w:rPr>
                <w:rFonts w:ascii="宋体" w:hAnsi="宋体" w:cs="宋体" w:eastAsia="宋体" w:hint="default"/>
                <w:spacing w:val="-4"/>
                <w:sz w:val="18"/>
                <w:szCs w:val="18"/>
              </w:rPr>
              <w:t>重大缺陷与重要缺陷包括情形以外的、各种可能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对公司公司内控目标产生影响的情形。</w:t>
            </w:r>
          </w:p>
        </w:tc>
      </w:tr>
      <w:tr>
        <w:trPr>
          <w:trHeight w:val="4274"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78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重大缺陷：</w:t>
            </w:r>
          </w:p>
          <w:p>
            <w:pPr>
              <w:pStyle w:val="TableParagraph"/>
              <w:spacing w:line="240" w:lineRule="auto" w:before="11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、缺陷影响＞当年合并财务报表利润总额的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p>
            <w:pPr>
              <w:pStyle w:val="TableParagraph"/>
              <w:spacing w:line="338" w:lineRule="auto" w:before="102"/>
              <w:ind w:left="22" w:right="403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、缺陷影响＞当年合并财务报表总资产的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 以上述两者孰低确定重要性水平。</w:t>
            </w:r>
          </w:p>
          <w:p>
            <w:pPr>
              <w:pStyle w:val="TableParagraph"/>
              <w:spacing w:line="240" w:lineRule="auto" w:before="43"/>
              <w:ind w:left="22" w:right="0"/>
              <w:jc w:val="left"/>
              <w:rPr>
                <w:rFonts w:ascii="宋体" w:hAnsi="宋体" w:cs="宋体" w:eastAsia="宋体" w:hint="default"/>
                <w:sz w:val="18"/>
                <w:szCs w:val="18"/>
              </w:rPr>
            </w:pPr>
            <w:r>
              <w:rPr>
                <w:rFonts w:ascii="宋体" w:hAnsi="宋体" w:cs="宋体" w:eastAsia="宋体" w:hint="default"/>
                <w:sz w:val="18"/>
                <w:szCs w:val="18"/>
              </w:rPr>
              <w:t>重要缺陷：</w:t>
            </w:r>
          </w:p>
          <w:p>
            <w:pPr>
              <w:pStyle w:val="TableParagraph"/>
              <w:spacing w:line="240" w:lineRule="auto" w:before="11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、当年合并财务报表利润总额的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＜缺陷影响≤当年合并财务报表利润总额的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w:t>
            </w:r>
          </w:p>
          <w:p>
            <w:pPr>
              <w:pStyle w:val="TableParagraph"/>
              <w:spacing w:line="340" w:lineRule="auto" w:before="102"/>
              <w:ind w:left="22" w:right="118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、当年合并财务报表总资产的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＜缺陷影响≤当年合并财务报表总资产的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 以上述两者孰低确定重要性水平。</w:t>
            </w:r>
          </w:p>
          <w:p>
            <w:pPr>
              <w:pStyle w:val="TableParagraph"/>
              <w:spacing w:line="240" w:lineRule="auto" w:before="40"/>
              <w:ind w:left="22" w:right="0"/>
              <w:jc w:val="left"/>
              <w:rPr>
                <w:rFonts w:ascii="宋体" w:hAnsi="宋体" w:cs="宋体" w:eastAsia="宋体" w:hint="default"/>
                <w:sz w:val="18"/>
                <w:szCs w:val="18"/>
              </w:rPr>
            </w:pPr>
            <w:r>
              <w:rPr>
                <w:rFonts w:ascii="宋体" w:hAnsi="宋体" w:cs="宋体" w:eastAsia="宋体" w:hint="default"/>
                <w:sz w:val="18"/>
                <w:szCs w:val="18"/>
              </w:rPr>
              <w:t>一般缺陷：</w:t>
            </w:r>
          </w:p>
          <w:p>
            <w:pPr>
              <w:pStyle w:val="TableParagraph"/>
              <w:spacing w:line="240" w:lineRule="auto" w:before="11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、缺陷影响≤当年合并财务报表利润总额的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w:t>
            </w:r>
          </w:p>
          <w:p>
            <w:pPr>
              <w:pStyle w:val="TableParagraph"/>
              <w:spacing w:line="338" w:lineRule="auto" w:before="103"/>
              <w:ind w:left="22" w:right="381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、缺陷影响≤当年合并财务报表总资产的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 以上述两者孰低确定重要性水平。</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78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78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78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78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十、内部控制审计报告或鉴证报告" w:id="146"/>
      <w:bookmarkEnd w:id="146"/>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0"/>
        <w:jc w:val="left"/>
      </w:pPr>
      <w:r>
        <w:rPr/>
        <w:t>不适用</w:t>
      </w:r>
    </w:p>
    <w:p>
      <w:pPr>
        <w:spacing w:after="0" w:line="240" w:lineRule="auto"/>
        <w:jc w:val="left"/>
        <w:sectPr>
          <w:headerReference w:type="default" r:id="rId33"/>
          <w:pgSz w:w="11910" w:h="16840"/>
          <w:pgMar w:header="566" w:footer="979" w:top="1440" w:bottom="1160" w:left="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1"/>
        <w:spacing w:line="240" w:lineRule="auto"/>
        <w:ind w:right="1411"/>
        <w:jc w:val="center"/>
        <w:rPr>
          <w:b w:val="0"/>
          <w:bCs w:val="0"/>
        </w:rPr>
      </w:pPr>
      <w:bookmarkStart w:name="_TOC_250001" w:id="147"/>
      <w:bookmarkStart w:name="第十节 财务报告" w:id="148"/>
      <w:r>
        <w:rPr>
          <w:b w:val="0"/>
          <w:bCs w:val="0"/>
        </w:rPr>
      </w:r>
      <w:r>
        <w:rPr/>
        <w:t>第十节</w:t>
      </w:r>
      <w:r>
        <w:rPr>
          <w:spacing w:val="-5"/>
        </w:rPr>
        <w:t> </w:t>
      </w:r>
      <w:r>
        <w:rPr/>
        <w:t>财务报告</w:t>
      </w:r>
      <w:bookmarkEnd w:id="147"/>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49"/>
      <w:bookmarkEnd w:id="149"/>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华普天健会计师事务所（特殊普通合伙）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会审字</w:t>
            </w:r>
            <w:r>
              <w:rPr>
                <w:rFonts w:ascii="Times New Roman" w:hAnsi="Times New Roman" w:cs="Times New Roman" w:eastAsia="Times New Roman" w:hint="default"/>
                <w:sz w:val="18"/>
                <w:szCs w:val="18"/>
              </w:rPr>
              <w:t>[2016] 1795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宫国超、王逸飞、佟海光</w:t>
            </w:r>
          </w:p>
        </w:tc>
      </w:tr>
    </w:tbl>
    <w:p>
      <w:pPr>
        <w:pStyle w:val="BodyText"/>
        <w:spacing w:line="240" w:lineRule="auto" w:before="51"/>
        <w:ind w:left="1412" w:right="1411"/>
        <w:jc w:val="center"/>
      </w:pPr>
      <w:r>
        <w:rPr/>
        <w:t>审计报告正文</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spacing w:before="35"/>
        <w:ind w:left="0" w:right="1129" w:firstLine="0"/>
        <w:jc w:val="right"/>
        <w:rPr>
          <w:rFonts w:ascii="宋体" w:hAnsi="宋体" w:cs="宋体" w:eastAsia="宋体" w:hint="default"/>
          <w:sz w:val="21"/>
          <w:szCs w:val="21"/>
        </w:rPr>
      </w:pPr>
      <w:r>
        <w:rPr>
          <w:rFonts w:ascii="宋体" w:hAnsi="宋体" w:cs="宋体" w:eastAsia="宋体" w:hint="default"/>
          <w:sz w:val="21"/>
          <w:szCs w:val="21"/>
        </w:rPr>
        <w:t>会审字</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Times New Roman" w:hAnsi="Times New Roman" w:cs="Times New Roman" w:eastAsia="Times New Roman" w:hint="default"/>
          <w:sz w:val="21"/>
          <w:szCs w:val="21"/>
        </w:rPr>
        <w:t>1795</w:t>
      </w:r>
      <w:r>
        <w:rPr>
          <w:rFonts w:ascii="宋体" w:hAnsi="宋体" w:cs="宋体" w:eastAsia="宋体" w:hint="default"/>
          <w:sz w:val="21"/>
          <w:szCs w:val="21"/>
        </w:rPr>
        <w:t>号</w:t>
      </w:r>
    </w:p>
    <w:p>
      <w:pPr>
        <w:spacing w:line="240" w:lineRule="auto" w:before="0"/>
        <w:rPr>
          <w:rFonts w:ascii="宋体" w:hAnsi="宋体" w:cs="宋体" w:eastAsia="宋体" w:hint="default"/>
          <w:sz w:val="20"/>
          <w:szCs w:val="20"/>
        </w:rPr>
      </w:pPr>
    </w:p>
    <w:p>
      <w:pPr>
        <w:spacing w:before="156"/>
        <w:ind w:left="1411" w:right="1411" w:firstLine="0"/>
        <w:jc w:val="center"/>
        <w:rPr>
          <w:rFonts w:ascii="宋体" w:hAnsi="宋体" w:cs="宋体" w:eastAsia="宋体" w:hint="default"/>
          <w:sz w:val="30"/>
          <w:szCs w:val="30"/>
        </w:rPr>
      </w:pPr>
      <w:r>
        <w:rPr>
          <w:rFonts w:ascii="宋体" w:hAnsi="宋体" w:cs="宋体" w:eastAsia="宋体" w:hint="default"/>
          <w:b/>
          <w:bCs/>
          <w:sz w:val="30"/>
          <w:szCs w:val="30"/>
        </w:rPr>
        <w:t>审 计 报</w:t>
      </w:r>
      <w:r>
        <w:rPr>
          <w:rFonts w:ascii="宋体" w:hAnsi="宋体" w:cs="宋体" w:eastAsia="宋体" w:hint="default"/>
          <w:b/>
          <w:bCs/>
          <w:spacing w:val="-72"/>
          <w:sz w:val="30"/>
          <w:szCs w:val="30"/>
        </w:rPr>
        <w:t> </w:t>
      </w:r>
      <w:r>
        <w:rPr>
          <w:rFonts w:ascii="宋体" w:hAnsi="宋体" w:cs="宋体" w:eastAsia="宋体" w:hint="default"/>
          <w:b/>
          <w:bCs/>
          <w:sz w:val="30"/>
          <w:szCs w:val="30"/>
        </w:rPr>
        <w:t>告</w:t>
      </w:r>
      <w:r>
        <w:rPr>
          <w:rFonts w:ascii="宋体" w:hAnsi="宋体" w:cs="宋体" w:eastAsia="宋体" w:hint="default"/>
          <w:sz w:val="30"/>
          <w:szCs w:val="3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8"/>
          <w:szCs w:val="28"/>
        </w:rPr>
      </w:pPr>
    </w:p>
    <w:p>
      <w:pPr>
        <w:pStyle w:val="Heading3"/>
        <w:spacing w:line="240" w:lineRule="auto" w:before="35"/>
        <w:ind w:right="0"/>
        <w:jc w:val="left"/>
        <w:rPr>
          <w:b w:val="0"/>
          <w:bCs w:val="0"/>
        </w:rPr>
      </w:pPr>
      <w:r>
        <w:rPr/>
        <w:t>荣科科技股份有限公司全体股东：</w:t>
      </w:r>
      <w:r>
        <w:rPr>
          <w:b w:val="0"/>
          <w:bCs w:val="0"/>
        </w:rPr>
      </w:r>
    </w:p>
    <w:p>
      <w:pPr>
        <w:spacing w:line="240" w:lineRule="auto" w:before="9"/>
        <w:rPr>
          <w:rFonts w:ascii="宋体" w:hAnsi="宋体" w:cs="宋体" w:eastAsia="宋体" w:hint="default"/>
          <w:b/>
          <w:bCs/>
          <w:sz w:val="16"/>
          <w:szCs w:val="16"/>
        </w:rPr>
      </w:pPr>
    </w:p>
    <w:p>
      <w:pPr>
        <w:pStyle w:val="BodyText"/>
        <w:spacing w:line="316" w:lineRule="auto"/>
        <w:ind w:left="1133" w:right="1131" w:firstLine="360"/>
        <w:jc w:val="both"/>
      </w:pPr>
      <w:r>
        <w:rPr>
          <w:spacing w:val="-2"/>
        </w:rPr>
        <w:t>我们审计了后附的荣科科技股份有限公司（以下简称荣科科技公司）财务报表，包括</w:t>
      </w:r>
      <w:r>
        <w:rPr>
          <w:rFonts w:ascii="宋体" w:hAnsi="宋体" w:cs="宋体" w:eastAsia="宋体" w:hint="default"/>
          <w:spacing w:val="-2"/>
        </w:rPr>
        <w:t>2015</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日的合并及母公司资</w:t>
      </w:r>
      <w:r>
        <w:rPr/>
        <w:t> </w:t>
      </w:r>
      <w:r>
        <w:rPr>
          <w:spacing w:val="-2"/>
        </w:rPr>
        <w:t>产负债表，</w:t>
      </w:r>
      <w:r>
        <w:rPr>
          <w:rFonts w:ascii="宋体" w:hAnsi="宋体" w:cs="宋体" w:eastAsia="宋体" w:hint="default"/>
          <w:spacing w:val="-2"/>
        </w:rPr>
        <w:t>2015</w:t>
      </w:r>
      <w:r>
        <w:rPr>
          <w:spacing w:val="-2"/>
        </w:rPr>
        <w:t>年度的合并及母公司利润表、合并及母公司现金流量表、合并及母公司所有者权益变动表，以及财务报表附</w:t>
      </w:r>
      <w:r>
        <w:rPr>
          <w:spacing w:val="-61"/>
        </w:rPr>
        <w:t> </w:t>
      </w:r>
      <w:r>
        <w:rPr>
          <w:spacing w:val="-61"/>
        </w:rPr>
      </w:r>
      <w:r>
        <w:rPr/>
        <w:t>注。</w:t>
      </w:r>
    </w:p>
    <w:p>
      <w:pPr>
        <w:pStyle w:val="Heading3"/>
        <w:spacing w:line="240" w:lineRule="auto" w:before="149"/>
        <w:ind w:right="0"/>
        <w:jc w:val="left"/>
        <w:rPr>
          <w:b w:val="0"/>
          <w:bCs w:val="0"/>
        </w:rPr>
      </w:pPr>
      <w:r>
        <w:rPr/>
        <w:t>一、管理层对财务报表的责任</w:t>
      </w:r>
      <w:r>
        <w:rPr>
          <w:b w:val="0"/>
          <w:bCs w:val="0"/>
        </w:rPr>
      </w:r>
    </w:p>
    <w:p>
      <w:pPr>
        <w:spacing w:line="240" w:lineRule="auto" w:before="9"/>
        <w:rPr>
          <w:rFonts w:ascii="宋体" w:hAnsi="宋体" w:cs="宋体" w:eastAsia="宋体" w:hint="default"/>
          <w:b/>
          <w:bCs/>
          <w:sz w:val="16"/>
          <w:szCs w:val="16"/>
        </w:rPr>
      </w:pPr>
    </w:p>
    <w:p>
      <w:pPr>
        <w:pStyle w:val="BodyText"/>
        <w:spacing w:line="316" w:lineRule="auto"/>
        <w:ind w:left="1133" w:right="1041" w:firstLine="360"/>
        <w:jc w:val="both"/>
      </w:pPr>
      <w:r>
        <w:rPr>
          <w:spacing w:val="-2"/>
        </w:rPr>
        <w:t>编制和公允列报财务报表是荣科科技公司管理层的责任，这种责任包括：（</w:t>
      </w:r>
      <w:r>
        <w:rPr>
          <w:rFonts w:ascii="宋体" w:hAnsi="宋体" w:cs="宋体" w:eastAsia="宋体" w:hint="default"/>
          <w:spacing w:val="-2"/>
        </w:rPr>
        <w:t>1</w:t>
      </w:r>
      <w:r>
        <w:rPr>
          <w:spacing w:val="-2"/>
        </w:rPr>
        <w:t>）按照企业会计准则的规定编制财务报表，</w:t>
      </w:r>
      <w:r>
        <w:rPr/>
        <w:t> 并使其实现公允反映；（</w:t>
      </w:r>
      <w:r>
        <w:rPr>
          <w:rFonts w:ascii="宋体" w:hAnsi="宋体" w:cs="宋体" w:eastAsia="宋体" w:hint="default"/>
        </w:rPr>
        <w:t>2</w:t>
      </w:r>
      <w:r>
        <w:rPr/>
        <w:t>）设计、执行和维护必要的内部控制，以使财务报表不存在由于舞弊或错误导致的重大错报。</w:t>
      </w:r>
    </w:p>
    <w:p>
      <w:pPr>
        <w:pStyle w:val="Heading3"/>
        <w:spacing w:line="240" w:lineRule="auto" w:before="149"/>
        <w:ind w:left="1133" w:right="0"/>
        <w:jc w:val="left"/>
        <w:rPr>
          <w:b w:val="0"/>
          <w:bCs w:val="0"/>
        </w:rPr>
      </w:pPr>
      <w:r>
        <w:rPr/>
        <w:t>二、注册会计师的责任</w:t>
      </w:r>
      <w:r>
        <w:rPr>
          <w:b w:val="0"/>
          <w:bCs w:val="0"/>
        </w:rPr>
      </w:r>
    </w:p>
    <w:p>
      <w:pPr>
        <w:spacing w:line="240" w:lineRule="auto" w:before="9"/>
        <w:rPr>
          <w:rFonts w:ascii="宋体" w:hAnsi="宋体" w:cs="宋体" w:eastAsia="宋体" w:hint="default"/>
          <w:b/>
          <w:bCs/>
          <w:sz w:val="16"/>
          <w:szCs w:val="16"/>
        </w:rPr>
      </w:pPr>
    </w:p>
    <w:p>
      <w:pPr>
        <w:pStyle w:val="BodyText"/>
        <w:spacing w:line="316" w:lineRule="auto"/>
        <w:ind w:left="1133" w:right="1131" w:firstLine="360"/>
        <w:jc w:val="both"/>
      </w:pPr>
      <w:r>
        <w:rPr>
          <w:spacing w:val="-2"/>
        </w:rPr>
        <w:t>我们的责任是在执行审计工作的基础上对财务报表发表审计意见。我们按照中国注册会计师审计准则的规定执行了审计</w:t>
      </w:r>
      <w:r>
        <w:rPr/>
        <w:t> </w:t>
      </w:r>
      <w:r>
        <w:rPr>
          <w:spacing w:val="-2"/>
        </w:rPr>
        <w:t>工作。中国注册会计师审计准则要求我们遵守中国注册会计师职业道德守则，计划和执行审计工作以对财务报表是否不存在</w:t>
      </w:r>
      <w:r>
        <w:rPr>
          <w:spacing w:val="-64"/>
        </w:rPr>
        <w:t> </w:t>
      </w:r>
      <w:r>
        <w:rPr>
          <w:spacing w:val="-64"/>
        </w:rPr>
      </w:r>
      <w:r>
        <w:rPr/>
        <w:t>重大错报获取合理保证。</w:t>
      </w:r>
    </w:p>
    <w:p>
      <w:pPr>
        <w:pStyle w:val="BodyText"/>
        <w:spacing w:line="316" w:lineRule="auto" w:before="19"/>
        <w:ind w:left="1133" w:right="1033" w:firstLine="360"/>
        <w:jc w:val="left"/>
      </w:pPr>
      <w:r>
        <w:rPr/>
        <w:t>审计工作涉及实施审计程序，以获取有关财务报表金额和披露的审计证据。选择的审计程序取决于注册会计师的判断， </w:t>
      </w:r>
      <w:r>
        <w:rPr>
          <w:spacing w:val="-2"/>
        </w:rPr>
        <w:t>包括对由于舞弊或错误导致的财务报表重大错报风险的评估。在进行风险评估时，注册会计师考虑与合并财务报表编制和公</w:t>
      </w:r>
      <w:r>
        <w:rPr>
          <w:spacing w:val="-64"/>
        </w:rPr>
        <w:t> </w:t>
      </w:r>
      <w:r>
        <w:rPr>
          <w:spacing w:val="-64"/>
        </w:rPr>
      </w:r>
      <w:r>
        <w:rPr/>
        <w:t>允列报相关的内部控制，以设计恰当的审计程序</w:t>
      </w:r>
      <w:r>
        <w:rPr>
          <w:rFonts w:ascii="宋体" w:hAnsi="宋体" w:cs="宋体" w:eastAsia="宋体" w:hint="default"/>
        </w:rPr>
        <w:t>,</w:t>
      </w:r>
      <w:r>
        <w:rPr/>
        <w:t>但目的并非对内部控制的有效性发表意见。审计工作还包括评价管理层选 用会计政策的恰当性和作出会计估计的合理性，以及评价财务报表的总体列报。</w:t>
      </w:r>
    </w:p>
    <w:p>
      <w:pPr>
        <w:pStyle w:val="BodyText"/>
        <w:spacing w:line="240" w:lineRule="auto" w:before="19"/>
        <w:ind w:left="1493" w:right="0"/>
        <w:jc w:val="left"/>
      </w:pPr>
      <w:r>
        <w:rPr/>
        <w:t>我们相信，我们获取的审计证据是充分、适当的，为发表审计意见提供了基础。</w:t>
      </w:r>
    </w:p>
    <w:p>
      <w:pPr>
        <w:spacing w:line="240" w:lineRule="auto" w:before="11"/>
        <w:rPr>
          <w:rFonts w:ascii="宋体" w:hAnsi="宋体" w:cs="宋体" w:eastAsia="宋体" w:hint="default"/>
          <w:sz w:val="15"/>
          <w:szCs w:val="15"/>
        </w:rPr>
      </w:pPr>
    </w:p>
    <w:p>
      <w:pPr>
        <w:pStyle w:val="Heading3"/>
        <w:spacing w:line="240" w:lineRule="auto"/>
        <w:ind w:left="1133" w:right="0"/>
        <w:jc w:val="left"/>
        <w:rPr>
          <w:b w:val="0"/>
          <w:bCs w:val="0"/>
        </w:rPr>
      </w:pPr>
      <w:r>
        <w:rPr/>
        <w:t>三、审计意见</w:t>
      </w:r>
      <w:r>
        <w:rPr>
          <w:b w:val="0"/>
          <w:bCs w:val="0"/>
        </w:rPr>
      </w:r>
    </w:p>
    <w:p>
      <w:pPr>
        <w:spacing w:line="240" w:lineRule="auto" w:before="9"/>
        <w:rPr>
          <w:rFonts w:ascii="宋体" w:hAnsi="宋体" w:cs="宋体" w:eastAsia="宋体" w:hint="default"/>
          <w:b/>
          <w:bCs/>
          <w:sz w:val="16"/>
          <w:szCs w:val="16"/>
        </w:rPr>
      </w:pPr>
    </w:p>
    <w:p>
      <w:pPr>
        <w:pStyle w:val="BodyText"/>
        <w:spacing w:line="316" w:lineRule="auto"/>
        <w:ind w:left="1133" w:right="1229" w:firstLine="360"/>
        <w:jc w:val="both"/>
      </w:pPr>
      <w:r>
        <w:rPr/>
        <w:t>我们认为，荣科科技公司财务报表在所有重大方面按照企业会计准则的规定编制，公允反映了荣科科技公司</w:t>
      </w:r>
      <w:r>
        <w:rPr>
          <w:rFonts w:ascii="宋体" w:hAnsi="宋体" w:cs="宋体" w:eastAsia="宋体" w:hint="default"/>
        </w:rPr>
        <w:t>2015</w:t>
      </w:r>
      <w:r>
        <w:rPr/>
        <w:t>年</w:t>
      </w:r>
      <w:r>
        <w:rPr>
          <w:rFonts w:ascii="宋体" w:hAnsi="宋体" w:cs="宋体" w:eastAsia="宋体" w:hint="default"/>
        </w:rPr>
        <w:t>12 </w:t>
      </w:r>
      <w:r>
        <w:rPr/>
        <w:t>月</w:t>
      </w:r>
      <w:r>
        <w:rPr>
          <w:rFonts w:ascii="宋体" w:hAnsi="宋体" w:cs="宋体" w:eastAsia="宋体" w:hint="default"/>
        </w:rPr>
        <w:t>31</w:t>
      </w:r>
      <w:r>
        <w:rPr/>
        <w:t>日的合并及母公司财务状况以及</w:t>
      </w:r>
      <w:r>
        <w:rPr>
          <w:rFonts w:ascii="宋体" w:hAnsi="宋体" w:cs="宋体" w:eastAsia="宋体" w:hint="default"/>
        </w:rPr>
        <w:t>2015</w:t>
      </w:r>
      <w:r>
        <w:rPr/>
        <w:t>年度的合并及母公司经营成果和现金流量。</w:t>
      </w:r>
    </w:p>
    <w:p>
      <w:pPr>
        <w:spacing w:after="0" w:line="316" w:lineRule="auto"/>
        <w:jc w:val="both"/>
        <w:sectPr>
          <w:pgSz w:w="11910" w:h="16840"/>
          <w:pgMar w:header="566" w:footer="979" w:top="1360" w:bottom="1160" w:left="0" w:right="0"/>
        </w:sectPr>
      </w:pPr>
    </w:p>
    <w:p>
      <w:pPr>
        <w:spacing w:line="240" w:lineRule="auto" w:before="9"/>
        <w:rPr>
          <w:rFonts w:ascii="宋体" w:hAnsi="宋体" w:cs="宋体" w:eastAsia="宋体" w:hint="default"/>
          <w:sz w:val="26"/>
          <w:szCs w:val="26"/>
        </w:rPr>
      </w:pPr>
    </w:p>
    <w:p>
      <w:pPr>
        <w:pStyle w:val="BodyText"/>
        <w:tabs>
          <w:tab w:pos="6714" w:val="left" w:leader="none"/>
        </w:tabs>
        <w:spacing w:line="240" w:lineRule="auto" w:before="44"/>
        <w:ind w:right="0"/>
        <w:jc w:val="left"/>
      </w:pPr>
      <w:r>
        <w:rPr/>
        <w:t>华普天健会计师事务所</w:t>
        <w:tab/>
        <w:t>中国注册会计师：宫国超</w:t>
      </w:r>
    </w:p>
    <w:p>
      <w:pPr>
        <w:spacing w:line="240" w:lineRule="auto" w:before="0"/>
        <w:rPr>
          <w:rFonts w:ascii="宋体" w:hAnsi="宋体" w:cs="宋体" w:eastAsia="宋体" w:hint="default"/>
          <w:sz w:val="18"/>
          <w:szCs w:val="18"/>
        </w:rPr>
      </w:pPr>
    </w:p>
    <w:p>
      <w:pPr>
        <w:pStyle w:val="BodyText"/>
        <w:tabs>
          <w:tab w:pos="6714" w:val="left" w:leader="none"/>
        </w:tabs>
        <w:spacing w:line="240" w:lineRule="auto" w:before="153"/>
        <w:ind w:left="1133" w:right="0"/>
        <w:jc w:val="left"/>
      </w:pPr>
      <w:r>
        <w:rPr/>
        <w:t>（特殊普通合伙）</w:t>
        <w:tab/>
        <w:t>中国注册会计师：王逸飞</w:t>
      </w:r>
    </w:p>
    <w:p>
      <w:pPr>
        <w:spacing w:line="240" w:lineRule="auto" w:before="0"/>
        <w:rPr>
          <w:rFonts w:ascii="宋体" w:hAnsi="宋体" w:cs="宋体" w:eastAsia="宋体" w:hint="default"/>
          <w:sz w:val="18"/>
          <w:szCs w:val="18"/>
        </w:rPr>
      </w:pPr>
    </w:p>
    <w:p>
      <w:pPr>
        <w:pStyle w:val="BodyText"/>
        <w:tabs>
          <w:tab w:pos="6714" w:val="left" w:leader="none"/>
        </w:tabs>
        <w:spacing w:line="240" w:lineRule="auto" w:before="153"/>
        <w:ind w:left="1133" w:right="0"/>
        <w:jc w:val="left"/>
      </w:pPr>
      <w:r>
        <w:rPr/>
        <w:t>中国·北京</w:t>
        <w:tab/>
        <w:t>中国注册会计师：佟海光</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7"/>
          <w:szCs w:val="17"/>
        </w:rPr>
      </w:pPr>
    </w:p>
    <w:p>
      <w:pPr>
        <w:pStyle w:val="BodyText"/>
        <w:spacing w:line="240" w:lineRule="auto"/>
        <w:ind w:left="6714" w:right="0"/>
        <w:jc w:val="left"/>
      </w:pPr>
      <w:r>
        <w:rPr/>
        <w:t>二〇一六年三月二十九日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2"/>
          <w:szCs w:val="12"/>
        </w:rPr>
      </w:pPr>
    </w:p>
    <w:p>
      <w:pPr>
        <w:pStyle w:val="Heading2"/>
        <w:spacing w:line="240" w:lineRule="auto"/>
        <w:ind w:right="0"/>
        <w:jc w:val="left"/>
        <w:rPr>
          <w:b w:val="0"/>
          <w:bCs w:val="0"/>
        </w:rPr>
      </w:pPr>
      <w:bookmarkStart w:name="二、财务报表" w:id="150"/>
      <w:bookmarkEnd w:id="150"/>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left="1133" w:right="0"/>
        <w:jc w:val="left"/>
        <w:rPr>
          <w:b w:val="0"/>
          <w:bCs w:val="0"/>
        </w:rPr>
      </w:pPr>
      <w:bookmarkStart w:name="1、合并资产负债表" w:id="151"/>
      <w:bookmarkEnd w:id="151"/>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566" w:footer="979" w:top="1360" w:bottom="1160" w:left="0" w:right="0"/>
        </w:sectPr>
      </w:pPr>
    </w:p>
    <w:p>
      <w:pPr>
        <w:pStyle w:val="BodyText"/>
        <w:spacing w:line="240" w:lineRule="auto" w:before="44"/>
        <w:ind w:left="1133" w:right="-19"/>
        <w:jc w:val="left"/>
      </w:pPr>
      <w:r>
        <w:rPr/>
        <w:t>编制单位：荣科科技股份有限公司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left="1133" w:right="-16"/>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单位：元</w:t>
      </w:r>
    </w:p>
    <w:p>
      <w:pPr>
        <w:spacing w:after="0" w:line="240" w:lineRule="auto"/>
        <w:jc w:val="center"/>
        <w:sectPr>
          <w:type w:val="continuous"/>
          <w:pgSz w:w="11910" w:h="16840"/>
          <w:pgMar w:top="1060" w:bottom="1160" w:left="0" w:right="0"/>
          <w:cols w:num="3" w:equalWidth="0">
            <w:col w:w="3835" w:space="243"/>
            <w:col w:w="2619" w:space="2223"/>
            <w:col w:w="2990"/>
          </w:cols>
        </w:sectPr>
      </w:pPr>
    </w:p>
    <w:p>
      <w:pPr>
        <w:spacing w:line="240" w:lineRule="auto" w:before="13"/>
        <w:rPr>
          <w:rFonts w:ascii="宋体" w:hAnsi="宋体" w:cs="宋体" w:eastAsia="宋体" w:hint="default"/>
          <w:sz w:val="7"/>
          <w:szCs w:val="7"/>
        </w:rPr>
      </w:pPr>
    </w:p>
    <w:tbl>
      <w:tblPr>
        <w:tblW w:w="0" w:type="auto"/>
        <w:jc w:val="left"/>
        <w:tblInd w:w="678" w:type="dxa"/>
        <w:tblLayout w:type="fixed"/>
        <w:tblCellMar>
          <w:top w:w="0" w:type="dxa"/>
          <w:left w:w="0" w:type="dxa"/>
          <w:bottom w:w="0" w:type="dxa"/>
          <w:right w:w="0" w:type="dxa"/>
        </w:tblCellMar>
        <w:tblLook w:val="01E0"/>
      </w:tblPr>
      <w:tblGrid>
        <w:gridCol w:w="4515"/>
        <w:gridCol w:w="3131"/>
        <w:gridCol w:w="2905"/>
      </w:tblGrid>
      <w:tr>
        <w:trPr>
          <w:trHeight w:val="402" w:hRule="exact"/>
        </w:trPr>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13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0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316,392,913.37</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138,315,564.52</w:t>
            </w:r>
          </w:p>
        </w:tc>
      </w:tr>
      <w:tr>
        <w:trPr>
          <w:trHeight w:val="402" w:hRule="exact"/>
        </w:trPr>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31" w:type="dxa"/>
            <w:tcBorders>
              <w:top w:val="single" w:sz="4" w:space="0" w:color="000000"/>
              <w:left w:val="single" w:sz="13" w:space="0" w:color="D2D2D2"/>
              <w:bottom w:val="single" w:sz="4" w:space="0" w:color="000000"/>
              <w:right w:val="single" w:sz="4" w:space="0" w:color="000000"/>
            </w:tcBorders>
          </w:tcPr>
          <w:p>
            <w:pP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1,289,000.00</w:t>
            </w:r>
          </w:p>
        </w:tc>
      </w:tr>
      <w:tr>
        <w:trPr>
          <w:trHeight w:val="402" w:hRule="exact"/>
        </w:trPr>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417,936,814.75</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325,485,103.90</w:t>
            </w:r>
          </w:p>
        </w:tc>
      </w:tr>
      <w:tr>
        <w:trPr>
          <w:trHeight w:val="402" w:hRule="exact"/>
        </w:trPr>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1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7,877,792.13</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9,553,467.23</w:t>
            </w:r>
          </w:p>
        </w:tc>
      </w:tr>
      <w:tr>
        <w:trPr>
          <w:trHeight w:val="402" w:hRule="exact"/>
        </w:trPr>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11,371,573.58</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16,707,125.37</w:t>
            </w:r>
          </w:p>
        </w:tc>
      </w:tr>
      <w:tr>
        <w:trPr>
          <w:trHeight w:val="402" w:hRule="exact"/>
        </w:trPr>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1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47,609,043.58</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41,295,267.47</w:t>
            </w:r>
          </w:p>
        </w:tc>
      </w:tr>
      <w:tr>
        <w:trPr>
          <w:trHeight w:val="402" w:hRule="exact"/>
        </w:trPr>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1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1,245,545.32</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1,540,215.17</w:t>
            </w:r>
          </w:p>
        </w:tc>
      </w:tr>
      <w:tr>
        <w:trPr>
          <w:trHeight w:val="402" w:hRule="exact"/>
        </w:trPr>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1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802,433,682.73</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534,185,743.66</w:t>
            </w:r>
          </w:p>
        </w:tc>
      </w:tr>
      <w:tr>
        <w:trPr>
          <w:trHeight w:val="402" w:hRule="exact"/>
        </w:trPr>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13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0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66,972,956.58</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87,539,220.42</w:t>
            </w:r>
          </w:p>
        </w:tc>
      </w:tr>
      <w:tr>
        <w:trPr>
          <w:trHeight w:val="402" w:hRule="exact"/>
        </w:trPr>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1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30,075,558.32</w:t>
            </w:r>
          </w:p>
        </w:tc>
        <w:tc>
          <w:tcPr>
            <w:tcW w:w="29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1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24,503,027.42</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18,812,744.12</w:t>
            </w:r>
          </w:p>
        </w:tc>
      </w:tr>
      <w:tr>
        <w:trPr>
          <w:trHeight w:val="402" w:hRule="exact"/>
        </w:trPr>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1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3,796,464.20</w:t>
            </w:r>
          </w:p>
        </w:tc>
        <w:tc>
          <w:tcPr>
            <w:tcW w:w="29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1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134,741,437.03</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8,616,399.34</w:t>
            </w:r>
          </w:p>
        </w:tc>
      </w:tr>
      <w:tr>
        <w:trPr>
          <w:trHeight w:val="402" w:hRule="exact"/>
        </w:trPr>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1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1,979,771.70</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2,144,860.00</w:t>
            </w:r>
          </w:p>
        </w:tc>
      </w:tr>
      <w:tr>
        <w:trPr>
          <w:trHeight w:val="402" w:hRule="exact"/>
        </w:trPr>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1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5,621,854.55</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3,041,962.17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tbl>
      <w:tblPr>
        <w:tblW w:w="0" w:type="auto"/>
        <w:jc w:val="left"/>
        <w:tblInd w:w="678" w:type="dxa"/>
        <w:tblLayout w:type="fixed"/>
        <w:tblCellMar>
          <w:top w:w="0" w:type="dxa"/>
          <w:left w:w="0" w:type="dxa"/>
          <w:bottom w:w="0" w:type="dxa"/>
          <w:right w:w="0" w:type="dxa"/>
        </w:tblCellMar>
        <w:tblLook w:val="01E0"/>
      </w:tblPr>
      <w:tblGrid>
        <w:gridCol w:w="4515"/>
        <w:gridCol w:w="3131"/>
        <w:gridCol w:w="2905"/>
      </w:tblGrid>
      <w:tr>
        <w:trPr>
          <w:trHeight w:val="402" w:hRule="exact"/>
        </w:trPr>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1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267,691,069.80</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120,155,186.05</w:t>
            </w:r>
          </w:p>
        </w:tc>
      </w:tr>
      <w:tr>
        <w:trPr>
          <w:trHeight w:val="402" w:hRule="exact"/>
        </w:trPr>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1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3"/>
              <w:jc w:val="right"/>
              <w:rPr>
                <w:rFonts w:ascii="Times New Roman" w:hAnsi="Times New Roman" w:cs="Times New Roman" w:eastAsia="Times New Roman" w:hint="default"/>
                <w:sz w:val="18"/>
                <w:szCs w:val="18"/>
              </w:rPr>
            </w:pPr>
            <w:r>
              <w:rPr>
                <w:rFonts w:ascii="Times New Roman"/>
                <w:spacing w:val="-1"/>
                <w:sz w:val="18"/>
              </w:rPr>
              <w:t>1,070,124,752.53</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654,340,929.71</w:t>
            </w:r>
          </w:p>
        </w:tc>
      </w:tr>
      <w:tr>
        <w:trPr>
          <w:trHeight w:val="402" w:hRule="exact"/>
        </w:trPr>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13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0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1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18"/>
                <w:szCs w:val="18"/>
              </w:rPr>
            </w:pPr>
            <w:r>
              <w:rPr>
                <w:rFonts w:ascii="Times New Roman"/>
                <w:spacing w:val="-1"/>
                <w:sz w:val="18"/>
              </w:rPr>
              <w:t>12,841,079.40</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18"/>
                <w:szCs w:val="18"/>
              </w:rPr>
            </w:pPr>
            <w:r>
              <w:rPr>
                <w:rFonts w:ascii="Times New Roman"/>
                <w:spacing w:val="-1"/>
                <w:sz w:val="18"/>
              </w:rPr>
              <w:t>113,833,893.68</w:t>
            </w:r>
          </w:p>
        </w:tc>
      </w:tr>
      <w:tr>
        <w:trPr>
          <w:trHeight w:val="402" w:hRule="exact"/>
        </w:trPr>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1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26,730,489.00</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21,004,366.00</w:t>
            </w:r>
          </w:p>
        </w:tc>
      </w:tr>
      <w:tr>
        <w:trPr>
          <w:trHeight w:val="402" w:hRule="exact"/>
        </w:trPr>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104,240,710.92</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48,534,473.06</w:t>
            </w:r>
          </w:p>
        </w:tc>
      </w:tr>
      <w:tr>
        <w:trPr>
          <w:trHeight w:val="402" w:hRule="exact"/>
        </w:trPr>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1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10,362,481.07</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5,613,369.48</w:t>
            </w:r>
          </w:p>
        </w:tc>
      </w:tr>
      <w:tr>
        <w:trPr>
          <w:trHeight w:val="402" w:hRule="exact"/>
        </w:trPr>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1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4,212,822.22</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3,172,695.53</w:t>
            </w:r>
          </w:p>
        </w:tc>
      </w:tr>
      <w:tr>
        <w:trPr>
          <w:trHeight w:val="402" w:hRule="exact"/>
        </w:trPr>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1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18,424,013.27</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14,418,226.56</w:t>
            </w:r>
          </w:p>
        </w:tc>
      </w:tr>
      <w:tr>
        <w:trPr>
          <w:trHeight w:val="402" w:hRule="exact"/>
        </w:trPr>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11,198,337.19</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2,629,148.23</w:t>
            </w:r>
          </w:p>
        </w:tc>
      </w:tr>
      <w:tr>
        <w:trPr>
          <w:trHeight w:val="402" w:hRule="exact"/>
        </w:trPr>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1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1,530,000.00</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2,100,000.00</w:t>
            </w:r>
          </w:p>
        </w:tc>
      </w:tr>
      <w:tr>
        <w:trPr>
          <w:trHeight w:val="402" w:hRule="exact"/>
        </w:trPr>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1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189,539,933.07</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211,306,172.54</w:t>
            </w:r>
          </w:p>
        </w:tc>
      </w:tr>
      <w:tr>
        <w:trPr>
          <w:trHeight w:val="402" w:hRule="exact"/>
        </w:trPr>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13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0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1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4,910,000.00</w:t>
            </w:r>
          </w:p>
        </w:tc>
        <w:tc>
          <w:tcPr>
            <w:tcW w:w="29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1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z w:val="18"/>
              </w:rPr>
              <w:t>910,054.05</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z w:val="18"/>
              </w:rPr>
              <w:t>452,198.32</w:t>
            </w:r>
          </w:p>
        </w:tc>
      </w:tr>
      <w:tr>
        <w:trPr>
          <w:trHeight w:val="402" w:hRule="exact"/>
        </w:trPr>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1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5,820,054.05</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z w:val="18"/>
              </w:rPr>
              <w:t>452,198.32</w:t>
            </w:r>
          </w:p>
        </w:tc>
      </w:tr>
      <w:tr>
        <w:trPr>
          <w:trHeight w:val="402" w:hRule="exact"/>
        </w:trPr>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1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195,359,987.12</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211,758,370.86</w:t>
            </w:r>
          </w:p>
        </w:tc>
      </w:tr>
      <w:tr>
        <w:trPr>
          <w:trHeight w:val="402" w:hRule="exact"/>
        </w:trPr>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13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0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1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321,429,652.00</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136,000,000.00</w:t>
            </w:r>
          </w:p>
        </w:tc>
      </w:tr>
      <w:tr>
        <w:trPr>
          <w:trHeight w:val="402" w:hRule="exact"/>
        </w:trPr>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1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295,413,056.23</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96,985,081.42</w:t>
            </w:r>
          </w:p>
        </w:tc>
      </w:tr>
      <w:tr>
        <w:trPr>
          <w:trHeight w:val="402" w:hRule="exact"/>
        </w:trPr>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1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z w:val="18"/>
              </w:rPr>
              <w:t>446,451.03</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w w:val="95"/>
                <w:sz w:val="18"/>
              </w:rPr>
              <w:t>-24,990.77</w:t>
            </w:r>
            <w:r>
              <w:rPr>
                <w:rFonts w:ascii="Times New Roman"/>
                <w:sz w:val="18"/>
              </w:rPr>
            </w:r>
          </w:p>
        </w:tc>
      </w:tr>
      <w:tr>
        <w:trPr>
          <w:trHeight w:val="402" w:hRule="exact"/>
        </w:trPr>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1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28,084,991.27</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23,619,512.45</w:t>
            </w:r>
          </w:p>
        </w:tc>
      </w:tr>
      <w:tr>
        <w:trPr>
          <w:trHeight w:val="402" w:hRule="exact"/>
        </w:trPr>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1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209,943,407.49</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176,013,432.43</w:t>
            </w:r>
          </w:p>
        </w:tc>
      </w:tr>
      <w:tr>
        <w:trPr>
          <w:trHeight w:val="402" w:hRule="exact"/>
        </w:trPr>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1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855,317,558.02</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432,593,035.53</w:t>
            </w:r>
          </w:p>
        </w:tc>
      </w:tr>
      <w:tr>
        <w:trPr>
          <w:trHeight w:val="402" w:hRule="exact"/>
        </w:trPr>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1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19,447,207.39</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9,989,523.32</w:t>
            </w:r>
          </w:p>
        </w:tc>
      </w:tr>
      <w:tr>
        <w:trPr>
          <w:trHeight w:val="402" w:hRule="exact"/>
        </w:trPr>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1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874,764,765.41</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442,582,558.85</w:t>
            </w:r>
          </w:p>
        </w:tc>
      </w:tr>
      <w:tr>
        <w:trPr>
          <w:trHeight w:val="402" w:hRule="exact"/>
        </w:trPr>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1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3"/>
              <w:jc w:val="right"/>
              <w:rPr>
                <w:rFonts w:ascii="Times New Roman" w:hAnsi="Times New Roman" w:cs="Times New Roman" w:eastAsia="Times New Roman" w:hint="default"/>
                <w:sz w:val="18"/>
                <w:szCs w:val="18"/>
              </w:rPr>
            </w:pPr>
            <w:r>
              <w:rPr>
                <w:rFonts w:ascii="Times New Roman"/>
                <w:spacing w:val="-1"/>
                <w:sz w:val="18"/>
              </w:rPr>
              <w:t>1,070,124,752.53</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654,340,929.71</w:t>
            </w:r>
          </w:p>
        </w:tc>
      </w:tr>
    </w:tbl>
    <w:p>
      <w:pPr>
        <w:spacing w:line="240" w:lineRule="auto" w:before="9"/>
        <w:rPr>
          <w:rFonts w:ascii="宋体" w:hAnsi="宋体" w:cs="宋体" w:eastAsia="宋体" w:hint="default"/>
          <w:sz w:val="19"/>
          <w:szCs w:val="19"/>
        </w:rPr>
      </w:pPr>
    </w:p>
    <w:p>
      <w:pPr>
        <w:pStyle w:val="BodyText"/>
        <w:tabs>
          <w:tab w:pos="3510" w:val="left" w:leader="none"/>
          <w:tab w:pos="7561" w:val="left" w:leader="none"/>
        </w:tabs>
        <w:spacing w:line="240" w:lineRule="auto" w:before="44"/>
        <w:ind w:left="0" w:right="1229"/>
        <w:jc w:val="right"/>
      </w:pPr>
      <w:r>
        <w:rPr/>
        <w:t>法定代表人：付永全</w:t>
        <w:tab/>
        <w:t>主管会计工作负责人：冯丽</w:t>
        <w:tab/>
        <w:t>会计机构负责人：朱迎秋</w:t>
      </w:r>
    </w:p>
    <w:p>
      <w:pPr>
        <w:spacing w:line="240" w:lineRule="auto" w:before="11"/>
        <w:rPr>
          <w:rFonts w:ascii="宋体" w:hAnsi="宋体" w:cs="宋体" w:eastAsia="宋体" w:hint="default"/>
          <w:sz w:val="26"/>
          <w:szCs w:val="26"/>
        </w:rPr>
      </w:pPr>
    </w:p>
    <w:p>
      <w:pPr>
        <w:pStyle w:val="Heading3"/>
        <w:spacing w:line="240" w:lineRule="auto"/>
        <w:ind w:left="1133" w:right="0"/>
        <w:jc w:val="left"/>
        <w:rPr>
          <w:b w:val="0"/>
          <w:bCs w:val="0"/>
        </w:rPr>
      </w:pPr>
      <w:bookmarkStart w:name="2、母公司资产负债表" w:id="152"/>
      <w:bookmarkEnd w:id="152"/>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678" w:type="dxa"/>
        <w:tblLayout w:type="fixed"/>
        <w:tblCellMar>
          <w:top w:w="0" w:type="dxa"/>
          <w:left w:w="0" w:type="dxa"/>
          <w:bottom w:w="0" w:type="dxa"/>
          <w:right w:w="0" w:type="dxa"/>
        </w:tblCellMar>
        <w:tblLook w:val="01E0"/>
      </w:tblPr>
      <w:tblGrid>
        <w:gridCol w:w="4526"/>
        <w:gridCol w:w="3120"/>
        <w:gridCol w:w="2893"/>
      </w:tblGrid>
      <w:tr>
        <w:trPr>
          <w:trHeight w:val="402" w:hRule="exact"/>
        </w:trPr>
        <w:tc>
          <w:tcPr>
            <w:tcW w:w="4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4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89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49" w:right="0"/>
              <w:jc w:val="left"/>
              <w:rPr>
                <w:rFonts w:ascii="Times New Roman" w:hAnsi="Times New Roman" w:cs="Times New Roman" w:eastAsia="Times New Roman" w:hint="default"/>
                <w:sz w:val="18"/>
                <w:szCs w:val="18"/>
              </w:rPr>
            </w:pPr>
            <w:r>
              <w:rPr>
                <w:rFonts w:ascii="Times New Roman"/>
                <w:sz w:val="18"/>
              </w:rPr>
              <w:t>289,517,517.99</w:t>
            </w:r>
          </w:p>
        </w:tc>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53" w:right="0"/>
              <w:jc w:val="left"/>
              <w:rPr>
                <w:rFonts w:ascii="Times New Roman" w:hAnsi="Times New Roman" w:cs="Times New Roman" w:eastAsia="Times New Roman" w:hint="default"/>
                <w:sz w:val="18"/>
                <w:szCs w:val="18"/>
              </w:rPr>
            </w:pPr>
            <w:r>
              <w:rPr>
                <w:rFonts w:ascii="Times New Roman"/>
                <w:sz w:val="18"/>
              </w:rPr>
              <w:t>117,876,123.93</w:t>
            </w:r>
          </w:p>
        </w:tc>
      </w:tr>
    </w:tbl>
    <w:p>
      <w:pPr>
        <w:spacing w:after="0" w:line="240" w:lineRule="auto"/>
        <w:jc w:val="left"/>
        <w:rPr>
          <w:rFonts w:ascii="Times New Roman" w:hAnsi="Times New Roman" w:cs="Times New Roman" w:eastAsia="Times New Roman" w:hint="default"/>
          <w:sz w:val="18"/>
          <w:szCs w:val="18"/>
        </w:rPr>
        <w:sectPr>
          <w:pgSz w:w="11910" w:h="16840"/>
          <w:pgMar w:header="566" w:footer="979" w:top="1440" w:bottom="1160" w:left="0" w:right="0"/>
        </w:sectPr>
      </w:pPr>
    </w:p>
    <w:tbl>
      <w:tblPr>
        <w:tblW w:w="0" w:type="auto"/>
        <w:jc w:val="left"/>
        <w:tblInd w:w="678" w:type="dxa"/>
        <w:tblLayout w:type="fixed"/>
        <w:tblCellMar>
          <w:top w:w="0" w:type="dxa"/>
          <w:left w:w="0" w:type="dxa"/>
          <w:bottom w:w="0" w:type="dxa"/>
          <w:right w:w="0" w:type="dxa"/>
        </w:tblCellMar>
        <w:tblLook w:val="01E0"/>
      </w:tblPr>
      <w:tblGrid>
        <w:gridCol w:w="4515"/>
        <w:gridCol w:w="3131"/>
        <w:gridCol w:w="2905"/>
      </w:tblGrid>
      <w:tr>
        <w:trPr>
          <w:trHeight w:val="402" w:hRule="exact"/>
        </w:trPr>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31" w:type="dxa"/>
            <w:tcBorders>
              <w:top w:val="single" w:sz="4" w:space="0" w:color="000000"/>
              <w:left w:val="single" w:sz="13" w:space="0" w:color="D2D2D2"/>
              <w:bottom w:val="single" w:sz="4" w:space="0" w:color="000000"/>
              <w:right w:val="single" w:sz="4" w:space="0" w:color="000000"/>
            </w:tcBorders>
          </w:tcPr>
          <w:p>
            <w:pP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1,289,000.00</w:t>
            </w:r>
          </w:p>
        </w:tc>
      </w:tr>
      <w:tr>
        <w:trPr>
          <w:trHeight w:val="402" w:hRule="exact"/>
        </w:trPr>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388,552,068.75</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311,056,895.06</w:t>
            </w:r>
          </w:p>
        </w:tc>
      </w:tr>
      <w:tr>
        <w:trPr>
          <w:trHeight w:val="402" w:hRule="exact"/>
        </w:trPr>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1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5,256,429.37</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8,866,151.41</w:t>
            </w:r>
          </w:p>
        </w:tc>
      </w:tr>
      <w:tr>
        <w:trPr>
          <w:trHeight w:val="402" w:hRule="exact"/>
        </w:trPr>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18"/>
                <w:szCs w:val="18"/>
              </w:rPr>
            </w:pPr>
            <w:r>
              <w:rPr>
                <w:rFonts w:ascii="Times New Roman"/>
                <w:spacing w:val="-1"/>
                <w:sz w:val="18"/>
              </w:rPr>
              <w:t>10,009,888.20</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18"/>
                <w:szCs w:val="18"/>
              </w:rPr>
            </w:pPr>
            <w:r>
              <w:rPr>
                <w:rFonts w:ascii="Times New Roman"/>
                <w:spacing w:val="-1"/>
                <w:sz w:val="18"/>
              </w:rPr>
              <w:t>12,045,961.20</w:t>
            </w:r>
          </w:p>
        </w:tc>
      </w:tr>
      <w:tr>
        <w:trPr>
          <w:trHeight w:val="402" w:hRule="exact"/>
        </w:trPr>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1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47,498,859.03</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40,244,739.08</w:t>
            </w:r>
          </w:p>
        </w:tc>
      </w:tr>
      <w:tr>
        <w:trPr>
          <w:trHeight w:val="402" w:hRule="exact"/>
        </w:trPr>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1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z w:val="18"/>
              </w:rPr>
              <w:t>16,588.15</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z w:val="18"/>
              </w:rPr>
              <w:t>16,239.43</w:t>
            </w:r>
          </w:p>
        </w:tc>
      </w:tr>
      <w:tr>
        <w:trPr>
          <w:trHeight w:val="402" w:hRule="exact"/>
        </w:trPr>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1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740,851,351.49</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2"/>
                <w:sz w:val="18"/>
              </w:rPr>
              <w:t>491,395,110.11</w:t>
            </w:r>
          </w:p>
        </w:tc>
      </w:tr>
      <w:tr>
        <w:trPr>
          <w:trHeight w:val="402" w:hRule="exact"/>
        </w:trPr>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13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0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1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206,618,996.08</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79,118,996.08</w:t>
            </w:r>
          </w:p>
        </w:tc>
      </w:tr>
      <w:tr>
        <w:trPr>
          <w:trHeight w:val="402" w:hRule="exact"/>
        </w:trPr>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22,845,964.83</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40,618,082.67</w:t>
            </w:r>
          </w:p>
        </w:tc>
      </w:tr>
      <w:tr>
        <w:trPr>
          <w:trHeight w:val="402" w:hRule="exact"/>
        </w:trPr>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1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30,075,558.32</w:t>
            </w:r>
          </w:p>
        </w:tc>
        <w:tc>
          <w:tcPr>
            <w:tcW w:w="29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1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19,527,419.28</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16,961,624.24</w:t>
            </w:r>
          </w:p>
        </w:tc>
      </w:tr>
      <w:tr>
        <w:trPr>
          <w:trHeight w:val="402" w:hRule="exact"/>
        </w:trPr>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1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1,979,771.70</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2,144,860.00</w:t>
            </w:r>
          </w:p>
        </w:tc>
      </w:tr>
      <w:tr>
        <w:trPr>
          <w:trHeight w:val="402" w:hRule="exact"/>
        </w:trPr>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1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5,234,071.49</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2,901,130.43</w:t>
            </w:r>
          </w:p>
        </w:tc>
      </w:tr>
      <w:tr>
        <w:trPr>
          <w:trHeight w:val="402" w:hRule="exact"/>
        </w:trPr>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1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286,281,781.70</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141,744,693.42</w:t>
            </w:r>
          </w:p>
        </w:tc>
      </w:tr>
      <w:tr>
        <w:trPr>
          <w:trHeight w:val="402" w:hRule="exact"/>
        </w:trPr>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1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3"/>
              <w:jc w:val="right"/>
              <w:rPr>
                <w:rFonts w:ascii="Times New Roman" w:hAnsi="Times New Roman" w:cs="Times New Roman" w:eastAsia="Times New Roman" w:hint="default"/>
                <w:sz w:val="18"/>
                <w:szCs w:val="18"/>
              </w:rPr>
            </w:pPr>
            <w:r>
              <w:rPr>
                <w:rFonts w:ascii="Times New Roman"/>
                <w:spacing w:val="-1"/>
                <w:sz w:val="18"/>
              </w:rPr>
              <w:t>1,027,133,133.19</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633,139,803.53</w:t>
            </w:r>
          </w:p>
        </w:tc>
      </w:tr>
      <w:tr>
        <w:trPr>
          <w:trHeight w:val="402" w:hRule="exact"/>
        </w:trPr>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13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0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1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18"/>
                <w:szCs w:val="18"/>
              </w:rPr>
            </w:pPr>
            <w:r>
              <w:rPr>
                <w:rFonts w:ascii="Times New Roman"/>
                <w:spacing w:val="-1"/>
                <w:sz w:val="18"/>
              </w:rPr>
              <w:t>12,841,079.40</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18"/>
                <w:szCs w:val="18"/>
              </w:rPr>
            </w:pPr>
            <w:r>
              <w:rPr>
                <w:rFonts w:ascii="Times New Roman"/>
                <w:spacing w:val="-1"/>
                <w:sz w:val="18"/>
              </w:rPr>
              <w:t>105,833,893.68</w:t>
            </w:r>
          </w:p>
        </w:tc>
      </w:tr>
      <w:tr>
        <w:trPr>
          <w:trHeight w:val="402" w:hRule="exact"/>
        </w:trPr>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1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26,730,489.00</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21,004,366.00</w:t>
            </w:r>
          </w:p>
        </w:tc>
      </w:tr>
      <w:tr>
        <w:trPr>
          <w:trHeight w:val="402" w:hRule="exact"/>
        </w:trPr>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97,948,771.77</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43,840,625.07</w:t>
            </w:r>
          </w:p>
        </w:tc>
      </w:tr>
      <w:tr>
        <w:trPr>
          <w:trHeight w:val="402" w:hRule="exact"/>
        </w:trPr>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1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9,035,895.01</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5,551,047.54</w:t>
            </w:r>
          </w:p>
        </w:tc>
      </w:tr>
      <w:tr>
        <w:trPr>
          <w:trHeight w:val="402" w:hRule="exact"/>
        </w:trPr>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1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2,899,876.63</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2,877,033.23</w:t>
            </w:r>
          </w:p>
        </w:tc>
      </w:tr>
      <w:tr>
        <w:trPr>
          <w:trHeight w:val="402" w:hRule="exact"/>
        </w:trPr>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1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12,538,375.96</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14,055,578.99</w:t>
            </w:r>
          </w:p>
        </w:tc>
      </w:tr>
      <w:tr>
        <w:trPr>
          <w:trHeight w:val="402" w:hRule="exact"/>
        </w:trPr>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9,456,679.51</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3,377,708.08</w:t>
            </w:r>
          </w:p>
        </w:tc>
      </w:tr>
      <w:tr>
        <w:trPr>
          <w:trHeight w:val="402" w:hRule="exact"/>
        </w:trPr>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131" w:type="dxa"/>
            <w:tcBorders>
              <w:top w:val="single" w:sz="4" w:space="0" w:color="000000"/>
              <w:left w:val="single" w:sz="13" w:space="0" w:color="D2D2D2"/>
              <w:bottom w:val="single" w:sz="4" w:space="0" w:color="000000"/>
              <w:right w:val="single" w:sz="4" w:space="0" w:color="000000"/>
            </w:tcBorders>
          </w:tcPr>
          <w:p>
            <w:pP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2,100,000.00</w:t>
            </w:r>
          </w:p>
        </w:tc>
      </w:tr>
      <w:tr>
        <w:trPr>
          <w:trHeight w:val="402" w:hRule="exact"/>
        </w:trPr>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1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171,451,167.28</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198,640,252.59</w:t>
            </w:r>
          </w:p>
        </w:tc>
      </w:tr>
      <w:tr>
        <w:trPr>
          <w:trHeight w:val="402" w:hRule="exact"/>
        </w:trPr>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13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0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1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4,910,000.00</w:t>
            </w:r>
          </w:p>
        </w:tc>
        <w:tc>
          <w:tcPr>
            <w:tcW w:w="29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1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4,910,000.00</w:t>
            </w:r>
          </w:p>
        </w:tc>
        <w:tc>
          <w:tcPr>
            <w:tcW w:w="29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1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176,361,167.28</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198,640,252.59</w:t>
            </w:r>
          </w:p>
        </w:tc>
      </w:tr>
      <w:tr>
        <w:trPr>
          <w:trHeight w:val="402" w:hRule="exact"/>
        </w:trPr>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13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0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1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18"/>
                <w:szCs w:val="18"/>
              </w:rPr>
            </w:pPr>
            <w:r>
              <w:rPr>
                <w:rFonts w:ascii="Times New Roman"/>
                <w:spacing w:val="-1"/>
                <w:sz w:val="18"/>
              </w:rPr>
              <w:t>321,429,652.00</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18"/>
                <w:szCs w:val="18"/>
              </w:rPr>
            </w:pPr>
            <w:r>
              <w:rPr>
                <w:rFonts w:ascii="Times New Roman"/>
                <w:spacing w:val="-1"/>
                <w:sz w:val="18"/>
              </w:rPr>
              <w:t>136,000,000.00</w:t>
            </w:r>
          </w:p>
        </w:tc>
      </w:tr>
      <w:tr>
        <w:trPr>
          <w:trHeight w:val="402" w:hRule="exact"/>
        </w:trPr>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1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295,412,401.12</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96,984,426.31</w:t>
            </w:r>
          </w:p>
        </w:tc>
      </w:tr>
      <w:tr>
        <w:trPr>
          <w:trHeight w:val="402" w:hRule="exact"/>
        </w:trPr>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1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28,084,991.27</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23,619,512.45</w:t>
            </w:r>
          </w:p>
        </w:tc>
      </w:tr>
    </w:tbl>
    <w:p>
      <w:pPr>
        <w:spacing w:after="0" w:line="240" w:lineRule="auto"/>
        <w:jc w:val="right"/>
        <w:rPr>
          <w:rFonts w:ascii="Times New Roman" w:hAnsi="Times New Roman" w:cs="Times New Roman" w:eastAsia="Times New Roman" w:hint="default"/>
          <w:sz w:val="18"/>
          <w:szCs w:val="18"/>
        </w:rPr>
        <w:sectPr>
          <w:pgSz w:w="11910" w:h="16840"/>
          <w:pgMar w:header="566" w:footer="979" w:top="1440" w:bottom="1160" w:left="0" w:right="0"/>
        </w:sectPr>
      </w:pPr>
    </w:p>
    <w:p>
      <w:pPr>
        <w:spacing w:line="240" w:lineRule="auto" w:before="6"/>
        <w:rPr>
          <w:rFonts w:ascii="宋体" w:hAnsi="宋体" w:cs="宋体" w:eastAsia="宋体" w:hint="default"/>
          <w:sz w:val="5"/>
          <w:szCs w:val="5"/>
        </w:rPr>
      </w:pPr>
    </w:p>
    <w:tbl>
      <w:tblPr>
        <w:tblW w:w="0" w:type="auto"/>
        <w:jc w:val="left"/>
        <w:tblInd w:w="667" w:type="dxa"/>
        <w:tblLayout w:type="fixed"/>
        <w:tblCellMar>
          <w:top w:w="0" w:type="dxa"/>
          <w:left w:w="0" w:type="dxa"/>
          <w:bottom w:w="0" w:type="dxa"/>
          <w:right w:w="0" w:type="dxa"/>
        </w:tblCellMar>
        <w:tblLook w:val="01E0"/>
      </w:tblPr>
      <w:tblGrid>
        <w:gridCol w:w="4538"/>
        <w:gridCol w:w="3119"/>
        <w:gridCol w:w="2905"/>
      </w:tblGrid>
      <w:tr>
        <w:trPr>
          <w:trHeight w:val="402" w:hRule="exact"/>
        </w:trPr>
        <w:tc>
          <w:tcPr>
            <w:tcW w:w="4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205,844,921.52</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177,895,612.18</w:t>
            </w:r>
          </w:p>
        </w:tc>
      </w:tr>
      <w:tr>
        <w:trPr>
          <w:trHeight w:val="402" w:hRule="exact"/>
        </w:trPr>
        <w:tc>
          <w:tcPr>
            <w:tcW w:w="4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850,771,965.91</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434,499,550.94</w:t>
            </w:r>
          </w:p>
        </w:tc>
      </w:tr>
      <w:tr>
        <w:trPr>
          <w:trHeight w:val="402" w:hRule="exact"/>
        </w:trPr>
        <w:tc>
          <w:tcPr>
            <w:tcW w:w="4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1,027,133,133.19</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633,139,803.53</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合并利润表" w:id="153"/>
      <w:bookmarkEnd w:id="153"/>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679" w:type="dxa"/>
        <w:tblLayout w:type="fixed"/>
        <w:tblCellMar>
          <w:top w:w="0" w:type="dxa"/>
          <w:left w:w="0" w:type="dxa"/>
          <w:bottom w:w="0" w:type="dxa"/>
          <w:right w:w="0" w:type="dxa"/>
        </w:tblCellMar>
        <w:tblLook w:val="01E0"/>
      </w:tblPr>
      <w:tblGrid>
        <w:gridCol w:w="4050"/>
        <w:gridCol w:w="3222"/>
        <w:gridCol w:w="3278"/>
      </w:tblGrid>
      <w:tr>
        <w:trPr>
          <w:trHeight w:val="402" w:hRule="exact"/>
        </w:trPr>
        <w:tc>
          <w:tcPr>
            <w:tcW w:w="4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541,872,970.24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411,919,507.99</w:t>
            </w:r>
          </w:p>
        </w:tc>
      </w:tr>
      <w:tr>
        <w:trPr>
          <w:trHeight w:val="402" w:hRule="exact"/>
        </w:trPr>
        <w:tc>
          <w:tcPr>
            <w:tcW w:w="4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541,872,970.24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411,919,507.99</w:t>
            </w:r>
          </w:p>
        </w:tc>
      </w:tr>
      <w:tr>
        <w:trPr>
          <w:trHeight w:val="402" w:hRule="exact"/>
        </w:trPr>
        <w:tc>
          <w:tcPr>
            <w:tcW w:w="4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485,370,224.61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355,823,620.31</w:t>
            </w:r>
          </w:p>
        </w:tc>
      </w:tr>
      <w:tr>
        <w:trPr>
          <w:trHeight w:val="402" w:hRule="exact"/>
        </w:trPr>
        <w:tc>
          <w:tcPr>
            <w:tcW w:w="4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372,664,253.22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269,067,589.14</w:t>
            </w:r>
          </w:p>
        </w:tc>
      </w:tr>
      <w:tr>
        <w:trPr>
          <w:trHeight w:val="402" w:hRule="exact"/>
        </w:trPr>
        <w:tc>
          <w:tcPr>
            <w:tcW w:w="4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3,118,701.18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2,011,593.87</w:t>
            </w:r>
          </w:p>
        </w:tc>
      </w:tr>
      <w:tr>
        <w:trPr>
          <w:trHeight w:val="402" w:hRule="exact"/>
        </w:trPr>
        <w:tc>
          <w:tcPr>
            <w:tcW w:w="4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19,238,252.15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16,010,435.77</w:t>
            </w:r>
          </w:p>
        </w:tc>
      </w:tr>
      <w:tr>
        <w:trPr>
          <w:trHeight w:val="402" w:hRule="exact"/>
        </w:trPr>
        <w:tc>
          <w:tcPr>
            <w:tcW w:w="4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72,498,871.57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56,637,221.37</w:t>
            </w:r>
          </w:p>
        </w:tc>
      </w:tr>
      <w:tr>
        <w:trPr>
          <w:trHeight w:val="402" w:hRule="exact"/>
        </w:trPr>
        <w:tc>
          <w:tcPr>
            <w:tcW w:w="4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3,713,194.68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4,463,581.14</w:t>
            </w:r>
          </w:p>
        </w:tc>
      </w:tr>
      <w:tr>
        <w:trPr>
          <w:trHeight w:val="402" w:hRule="exact"/>
        </w:trPr>
        <w:tc>
          <w:tcPr>
            <w:tcW w:w="4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14,136,951.81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7,633,199.02</w:t>
            </w:r>
          </w:p>
        </w:tc>
      </w:tr>
      <w:tr>
        <w:trPr>
          <w:trHeight w:val="402" w:hRule="exact"/>
        </w:trPr>
        <w:tc>
          <w:tcPr>
            <w:tcW w:w="4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56,502,745.63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56,095,887.68</w:t>
            </w:r>
          </w:p>
        </w:tc>
      </w:tr>
      <w:tr>
        <w:trPr>
          <w:trHeight w:val="402" w:hRule="exact"/>
        </w:trPr>
        <w:tc>
          <w:tcPr>
            <w:tcW w:w="4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7,624,017.01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7,101,373.61</w:t>
            </w:r>
          </w:p>
        </w:tc>
      </w:tr>
      <w:tr>
        <w:trPr>
          <w:trHeight w:val="402" w:hRule="exact"/>
        </w:trPr>
        <w:tc>
          <w:tcPr>
            <w:tcW w:w="4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246,081.93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187,330.45</w:t>
            </w:r>
          </w:p>
        </w:tc>
      </w:tr>
      <w:tr>
        <w:trPr>
          <w:trHeight w:val="402" w:hRule="exact"/>
        </w:trPr>
        <w:tc>
          <w:tcPr>
            <w:tcW w:w="4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2,611.62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32,445.64</w:t>
            </w:r>
          </w:p>
        </w:tc>
      </w:tr>
      <w:tr>
        <w:trPr>
          <w:trHeight w:val="402" w:hRule="exact"/>
        </w:trPr>
        <w:tc>
          <w:tcPr>
            <w:tcW w:w="4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1,353.25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32,368.97</w:t>
            </w:r>
          </w:p>
        </w:tc>
      </w:tr>
      <w:tr>
        <w:trPr>
          <w:trHeight w:val="402" w:hRule="exact"/>
        </w:trPr>
        <w:tc>
          <w:tcPr>
            <w:tcW w:w="4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64,124,151.02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63,164,815.65</w:t>
            </w:r>
          </w:p>
        </w:tc>
      </w:tr>
      <w:tr>
        <w:trPr>
          <w:trHeight w:val="402" w:hRule="exact"/>
        </w:trPr>
        <w:tc>
          <w:tcPr>
            <w:tcW w:w="4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5,851,328.03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4,912,524.43</w:t>
            </w:r>
          </w:p>
        </w:tc>
      </w:tr>
      <w:tr>
        <w:trPr>
          <w:trHeight w:val="402" w:hRule="exact"/>
        </w:trPr>
        <w:tc>
          <w:tcPr>
            <w:tcW w:w="4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58,272,822.99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58,252,291.22</w:t>
            </w:r>
          </w:p>
        </w:tc>
      </w:tr>
      <w:tr>
        <w:trPr>
          <w:trHeight w:val="402" w:hRule="exact"/>
        </w:trPr>
        <w:tc>
          <w:tcPr>
            <w:tcW w:w="4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50,635,453.88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56,946,829.11</w:t>
            </w:r>
          </w:p>
        </w:tc>
      </w:tr>
      <w:tr>
        <w:trPr>
          <w:trHeight w:val="402" w:hRule="exact"/>
        </w:trPr>
        <w:tc>
          <w:tcPr>
            <w:tcW w:w="4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7,637,369.11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1,305,462.11</w:t>
            </w:r>
          </w:p>
        </w:tc>
      </w:tr>
      <w:tr>
        <w:trPr>
          <w:trHeight w:val="402" w:hRule="exact"/>
        </w:trPr>
        <w:tc>
          <w:tcPr>
            <w:tcW w:w="4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926,758.01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43,612.24</w:t>
            </w:r>
          </w:p>
        </w:tc>
      </w:tr>
      <w:tr>
        <w:trPr>
          <w:trHeight w:val="402" w:hRule="exact"/>
        </w:trPr>
        <w:tc>
          <w:tcPr>
            <w:tcW w:w="4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47"/>
              <w:jc w:val="righ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471,441.80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22,185.55</w:t>
            </w:r>
          </w:p>
        </w:tc>
      </w:tr>
      <w:tr>
        <w:trPr>
          <w:trHeight w:val="402" w:hRule="exact"/>
        </w:trPr>
        <w:tc>
          <w:tcPr>
            <w:tcW w:w="4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47"/>
              <w:jc w:val="right"/>
              <w:rPr>
                <w:rFonts w:ascii="宋体" w:hAnsi="宋体" w:cs="宋体" w:eastAsia="宋体" w:hint="default"/>
                <w:sz w:val="18"/>
                <w:szCs w:val="18"/>
              </w:rPr>
            </w:pPr>
            <w:r>
              <w:rPr>
                <w:rFonts w:ascii="宋体" w:hAnsi="宋体" w:cs="宋体" w:eastAsia="宋体" w:hint="default"/>
                <w:sz w:val="18"/>
                <w:szCs w:val="18"/>
              </w:rPr>
              <w:t>（一）以后将重分类进损益的其他综合收益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471,441.80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22,185.55</w:t>
            </w:r>
          </w:p>
        </w:tc>
      </w:tr>
      <w:tr>
        <w:trPr>
          <w:trHeight w:val="402" w:hRule="exact"/>
        </w:trPr>
        <w:tc>
          <w:tcPr>
            <w:tcW w:w="4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471,441.80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22,185.55</w:t>
            </w:r>
          </w:p>
        </w:tc>
      </w:tr>
      <w:tr>
        <w:trPr>
          <w:trHeight w:val="402" w:hRule="exact"/>
        </w:trPr>
        <w:tc>
          <w:tcPr>
            <w:tcW w:w="4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455,316.21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21,426.69</w:t>
            </w:r>
          </w:p>
        </w:tc>
      </w:tr>
      <w:tr>
        <w:trPr>
          <w:trHeight w:val="402" w:hRule="exact"/>
        </w:trPr>
        <w:tc>
          <w:tcPr>
            <w:tcW w:w="4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59,199,581.00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58,295,903.46</w:t>
            </w:r>
          </w:p>
        </w:tc>
      </w:tr>
      <w:tr>
        <w:trPr>
          <w:trHeight w:val="402" w:hRule="exact"/>
        </w:trPr>
        <w:tc>
          <w:tcPr>
            <w:tcW w:w="4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51,106,895.68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56,969,014.66</w:t>
            </w:r>
          </w:p>
        </w:tc>
      </w:tr>
      <w:tr>
        <w:trPr>
          <w:trHeight w:val="402" w:hRule="exact"/>
        </w:trPr>
        <w:tc>
          <w:tcPr>
            <w:tcW w:w="4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8,092,685.32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1,326,888.80</w:t>
            </w:r>
          </w:p>
        </w:tc>
      </w:tr>
    </w:tbl>
    <w:p>
      <w:pPr>
        <w:spacing w:after="0" w:line="240" w:lineRule="auto"/>
        <w:jc w:val="right"/>
        <w:rPr>
          <w:rFonts w:ascii="Times New Roman" w:hAnsi="Times New Roman" w:cs="Times New Roman" w:eastAsia="Times New Roman" w:hint="default"/>
          <w:sz w:val="18"/>
          <w:szCs w:val="18"/>
        </w:rPr>
        <w:sectPr>
          <w:pgSz w:w="11910" w:h="16840"/>
          <w:pgMar w:header="566" w:footer="979" w:top="1360" w:bottom="1160" w:left="0" w:right="0"/>
        </w:sectPr>
      </w:pPr>
    </w:p>
    <w:p>
      <w:pPr>
        <w:spacing w:line="240" w:lineRule="auto" w:before="6"/>
        <w:rPr>
          <w:rFonts w:ascii="宋体" w:hAnsi="宋体" w:cs="宋体" w:eastAsia="宋体" w:hint="default"/>
          <w:sz w:val="5"/>
          <w:szCs w:val="5"/>
        </w:rPr>
      </w:pPr>
    </w:p>
    <w:tbl>
      <w:tblPr>
        <w:tblW w:w="0" w:type="auto"/>
        <w:jc w:val="left"/>
        <w:tblInd w:w="679" w:type="dxa"/>
        <w:tblLayout w:type="fixed"/>
        <w:tblCellMar>
          <w:top w:w="0" w:type="dxa"/>
          <w:left w:w="0" w:type="dxa"/>
          <w:bottom w:w="0" w:type="dxa"/>
          <w:right w:w="0" w:type="dxa"/>
        </w:tblCellMar>
        <w:tblLook w:val="01E0"/>
      </w:tblPr>
      <w:tblGrid>
        <w:gridCol w:w="4050"/>
        <w:gridCol w:w="3222"/>
        <w:gridCol w:w="3278"/>
      </w:tblGrid>
      <w:tr>
        <w:trPr>
          <w:trHeight w:val="402" w:hRule="exact"/>
        </w:trPr>
        <w:tc>
          <w:tcPr>
            <w:tcW w:w="4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47"/>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0.1707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0.2094</w:t>
            </w:r>
          </w:p>
        </w:tc>
      </w:tr>
      <w:tr>
        <w:trPr>
          <w:trHeight w:val="402" w:hRule="exact"/>
        </w:trPr>
        <w:tc>
          <w:tcPr>
            <w:tcW w:w="4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47"/>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0.1707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0.2094</w:t>
            </w:r>
          </w:p>
        </w:tc>
      </w:tr>
    </w:tbl>
    <w:p>
      <w:pPr>
        <w:spacing w:line="240" w:lineRule="auto" w:before="6"/>
        <w:rPr>
          <w:rFonts w:ascii="宋体" w:hAnsi="宋体" w:cs="宋体" w:eastAsia="宋体" w:hint="default"/>
          <w:sz w:val="20"/>
          <w:szCs w:val="20"/>
        </w:rPr>
      </w:pPr>
    </w:p>
    <w:p>
      <w:pPr>
        <w:pStyle w:val="BodyText"/>
        <w:tabs>
          <w:tab w:pos="3510" w:val="left" w:leader="none"/>
          <w:tab w:pos="7561" w:val="left" w:leader="none"/>
        </w:tabs>
        <w:spacing w:line="240" w:lineRule="auto" w:before="44"/>
        <w:ind w:left="0" w:right="1229"/>
        <w:jc w:val="right"/>
      </w:pPr>
      <w:r>
        <w:rPr/>
        <w:t>法定代表人：付永全</w:t>
        <w:tab/>
        <w:t>主管会计工作负责人：冯丽</w:t>
        <w:tab/>
        <w:t>会计机构负责人：朱迎秋</w:t>
      </w:r>
    </w:p>
    <w:p>
      <w:pPr>
        <w:spacing w:line="240" w:lineRule="auto" w:before="11"/>
        <w:rPr>
          <w:rFonts w:ascii="宋体" w:hAnsi="宋体" w:cs="宋体" w:eastAsia="宋体" w:hint="default"/>
          <w:sz w:val="26"/>
          <w:szCs w:val="26"/>
        </w:rPr>
      </w:pPr>
    </w:p>
    <w:p>
      <w:pPr>
        <w:pStyle w:val="Heading3"/>
        <w:spacing w:line="240" w:lineRule="auto"/>
        <w:ind w:left="1133" w:right="0"/>
        <w:jc w:val="left"/>
        <w:rPr>
          <w:b w:val="0"/>
          <w:bCs w:val="0"/>
        </w:rPr>
      </w:pPr>
      <w:bookmarkStart w:name="4、母公司利润表" w:id="154"/>
      <w:bookmarkEnd w:id="154"/>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678" w:type="dxa"/>
        <w:tblLayout w:type="fixed"/>
        <w:tblCellMar>
          <w:top w:w="0" w:type="dxa"/>
          <w:left w:w="0" w:type="dxa"/>
          <w:bottom w:w="0" w:type="dxa"/>
          <w:right w:w="0" w:type="dxa"/>
        </w:tblCellMar>
        <w:tblLook w:val="01E0"/>
      </w:tblPr>
      <w:tblGrid>
        <w:gridCol w:w="3938"/>
        <w:gridCol w:w="3312"/>
        <w:gridCol w:w="3302"/>
      </w:tblGrid>
      <w:tr>
        <w:trPr>
          <w:trHeight w:val="402" w:hRule="exact"/>
        </w:trPr>
        <w:tc>
          <w:tcPr>
            <w:tcW w:w="3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502,208,811.44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388,438,342.82</w:t>
            </w:r>
          </w:p>
        </w:tc>
      </w:tr>
      <w:tr>
        <w:trPr>
          <w:trHeight w:val="402" w:hRule="exact"/>
        </w:trPr>
        <w:tc>
          <w:tcPr>
            <w:tcW w:w="3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359,676,909.89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255,999,796.15</w:t>
            </w:r>
          </w:p>
        </w:tc>
      </w:tr>
      <w:tr>
        <w:trPr>
          <w:trHeight w:val="402" w:hRule="exact"/>
        </w:trPr>
        <w:tc>
          <w:tcPr>
            <w:tcW w:w="3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2,328,691.82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1,886,752.82</w:t>
            </w:r>
          </w:p>
        </w:tc>
      </w:tr>
      <w:tr>
        <w:trPr>
          <w:trHeight w:val="402" w:hRule="exact"/>
        </w:trPr>
        <w:tc>
          <w:tcPr>
            <w:tcW w:w="3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16,451,263.24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14,404,860.01</w:t>
            </w:r>
          </w:p>
        </w:tc>
      </w:tr>
      <w:tr>
        <w:trPr>
          <w:trHeight w:val="402" w:hRule="exact"/>
        </w:trPr>
        <w:tc>
          <w:tcPr>
            <w:tcW w:w="3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64,382,510.09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51,095,592.26</w:t>
            </w:r>
          </w:p>
        </w:tc>
      </w:tr>
      <w:tr>
        <w:trPr>
          <w:trHeight w:val="402" w:hRule="exact"/>
        </w:trPr>
        <w:tc>
          <w:tcPr>
            <w:tcW w:w="3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3,590,930.89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4,038,465.15</w:t>
            </w:r>
          </w:p>
        </w:tc>
      </w:tr>
      <w:tr>
        <w:trPr>
          <w:trHeight w:val="402" w:hRule="exact"/>
        </w:trPr>
        <w:tc>
          <w:tcPr>
            <w:tcW w:w="3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12,742,940.37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7,198,442.09</w:t>
            </w:r>
          </w:p>
        </w:tc>
      </w:tr>
      <w:tr>
        <w:trPr>
          <w:trHeight w:val="402" w:hRule="exact"/>
        </w:trPr>
        <w:tc>
          <w:tcPr>
            <w:tcW w:w="3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43,035,565.14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53,814,434.34</w:t>
            </w:r>
          </w:p>
        </w:tc>
      </w:tr>
      <w:tr>
        <w:trPr>
          <w:trHeight w:val="402" w:hRule="exact"/>
        </w:trPr>
        <w:tc>
          <w:tcPr>
            <w:tcW w:w="3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7,623,413.15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6,379,373.61</w:t>
            </w:r>
          </w:p>
        </w:tc>
      </w:tr>
      <w:tr>
        <w:trPr>
          <w:trHeight w:val="402" w:hRule="exact"/>
        </w:trPr>
        <w:tc>
          <w:tcPr>
            <w:tcW w:w="3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246,081.93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187,330.45</w:t>
            </w:r>
          </w:p>
        </w:tc>
      </w:tr>
      <w:tr>
        <w:trPr>
          <w:trHeight w:val="402" w:hRule="exact"/>
        </w:trPr>
        <w:tc>
          <w:tcPr>
            <w:tcW w:w="3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2,611.62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32,445.64</w:t>
            </w:r>
          </w:p>
        </w:tc>
      </w:tr>
      <w:tr>
        <w:trPr>
          <w:trHeight w:val="402" w:hRule="exact"/>
        </w:trPr>
        <w:tc>
          <w:tcPr>
            <w:tcW w:w="3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1,353.25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32,368.97</w:t>
            </w:r>
          </w:p>
        </w:tc>
      </w:tr>
      <w:tr>
        <w:trPr>
          <w:trHeight w:val="402" w:hRule="exact"/>
        </w:trPr>
        <w:tc>
          <w:tcPr>
            <w:tcW w:w="3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50,656,366.67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60,161,362.31</w:t>
            </w:r>
          </w:p>
        </w:tc>
      </w:tr>
      <w:tr>
        <w:trPr>
          <w:trHeight w:val="402" w:hRule="exact"/>
        </w:trPr>
        <w:tc>
          <w:tcPr>
            <w:tcW w:w="3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6,001,578.51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5,616,006.48</w:t>
            </w:r>
          </w:p>
        </w:tc>
      </w:tr>
      <w:tr>
        <w:trPr>
          <w:trHeight w:val="402" w:hRule="exact"/>
        </w:trPr>
        <w:tc>
          <w:tcPr>
            <w:tcW w:w="3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44,654,788.16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54,545,355.83</w:t>
            </w:r>
          </w:p>
        </w:tc>
      </w:tr>
      <w:tr>
        <w:trPr>
          <w:trHeight w:val="402" w:hRule="exact"/>
        </w:trPr>
        <w:tc>
          <w:tcPr>
            <w:tcW w:w="3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（一）以后将重分类进损益的其他综合收益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44,654,788.16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54,545,355.83</w:t>
            </w:r>
          </w:p>
        </w:tc>
      </w:tr>
      <w:tr>
        <w:trPr>
          <w:trHeight w:val="402" w:hRule="exact"/>
        </w:trPr>
        <w:tc>
          <w:tcPr>
            <w:tcW w:w="3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0.1505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0.2005</w:t>
            </w:r>
          </w:p>
        </w:tc>
      </w:tr>
      <w:tr>
        <w:trPr>
          <w:trHeight w:val="402" w:hRule="exact"/>
        </w:trPr>
        <w:tc>
          <w:tcPr>
            <w:tcW w:w="3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0.1505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0.2005</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5、合并现金流量表" w:id="155"/>
      <w:bookmarkEnd w:id="155"/>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after="0" w:line="240" w:lineRule="auto"/>
        <w:jc w:val="right"/>
        <w:sectPr>
          <w:pgSz w:w="11910" w:h="16840"/>
          <w:pgMar w:header="566" w:footer="979" w:top="1360" w:bottom="1160" w:left="0" w:right="0"/>
        </w:sectPr>
      </w:pPr>
    </w:p>
    <w:tbl>
      <w:tblPr>
        <w:tblW w:w="0" w:type="auto"/>
        <w:jc w:val="left"/>
        <w:tblInd w:w="678" w:type="dxa"/>
        <w:tblLayout w:type="fixed"/>
        <w:tblCellMar>
          <w:top w:w="0" w:type="dxa"/>
          <w:left w:w="0" w:type="dxa"/>
          <w:bottom w:w="0" w:type="dxa"/>
          <w:right w:w="0" w:type="dxa"/>
        </w:tblCellMar>
        <w:tblLook w:val="01E0"/>
      </w:tblPr>
      <w:tblGrid>
        <w:gridCol w:w="4940"/>
        <w:gridCol w:w="2989"/>
        <w:gridCol w:w="2622"/>
      </w:tblGrid>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9"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85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9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514,093,249.48</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383,521,953.84</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9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18"/>
                <w:szCs w:val="18"/>
              </w:rPr>
            </w:pPr>
            <w:r>
              <w:rPr>
                <w:rFonts w:ascii="Times New Roman"/>
                <w:spacing w:val="-1"/>
                <w:sz w:val="18"/>
              </w:rPr>
              <w:t>2,140,059.05</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18"/>
                <w:szCs w:val="18"/>
              </w:rPr>
            </w:pPr>
            <w:r>
              <w:rPr>
                <w:rFonts w:ascii="Times New Roman"/>
                <w:spacing w:val="-1"/>
                <w:sz w:val="18"/>
              </w:rPr>
              <w:t>4,935,860.45</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9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12,407,411.78</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4,785,558.22</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9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528,640,720.31</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393,243,372.51</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9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348,040,832.95</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298,162,561.56</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9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62,650,444.70</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54,295,285.24</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9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34,636,920.31</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24,534,992.48</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9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30,338,860.40</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43,259,982.99</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9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475,667,058.36</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420,252,822.27</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9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52,973,661.95</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-27,009,449.76</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9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z w:val="18"/>
              </w:rPr>
              <w:t>412,861.00</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z w:val="18"/>
              </w:rPr>
              <w:t>28,934.79</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9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z w:val="18"/>
              </w:rPr>
              <w:t>412,861.00</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z w:val="18"/>
              </w:rPr>
              <w:t>28,934.79</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9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22,698,331.07</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35,277,891.57</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989"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z w:val="18"/>
              </w:rPr>
              <w:t>977,352.73</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1"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9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18"/>
                <w:szCs w:val="18"/>
              </w:rPr>
            </w:pPr>
            <w:r>
              <w:rPr>
                <w:rFonts w:ascii="Times New Roman"/>
                <w:spacing w:val="-1"/>
                <w:sz w:val="18"/>
              </w:rPr>
              <w:t>118,307,854.24</w:t>
            </w: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9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141,006,185.31</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36,255,244.30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9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-140,593,324.31</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-36,226,309.51</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9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384,999,954.28</w:t>
            </w: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9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101,064,717.24</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113,833,893.68</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9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1,619,149.64</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1,300,000.00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9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487,683,821.16</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115,133,893.68</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9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202,148,100.45</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68,000,000.00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9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17,384,252.94</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15,794,387.66</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9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2,468,456.94</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1,578,330.00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9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222,000,810.33</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85,372,717.66</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9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265,683,010.83</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29,761,176.02</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1"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9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z w:val="18"/>
              </w:rPr>
              <w:t>307,020.55</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z w:val="18"/>
              </w:rPr>
              <w:t>41,914.20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9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18"/>
                <w:szCs w:val="18"/>
              </w:rPr>
            </w:pPr>
            <w:r>
              <w:rPr>
                <w:rFonts w:ascii="Times New Roman"/>
                <w:spacing w:val="-1"/>
                <w:sz w:val="18"/>
              </w:rPr>
              <w:t>178,370,369.02</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18"/>
                <w:szCs w:val="18"/>
              </w:rPr>
            </w:pPr>
            <w:r>
              <w:rPr>
                <w:rFonts w:ascii="Times New Roman"/>
                <w:spacing w:val="-1"/>
                <w:sz w:val="18"/>
              </w:rPr>
              <w:t>-33,432,669.05</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9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136,696,414.88</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170,129,083.93</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9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315,066,783.90</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136,696,414.88</w:t>
            </w:r>
          </w:p>
        </w:tc>
      </w:tr>
    </w:tbl>
    <w:p>
      <w:pPr>
        <w:spacing w:after="0" w:line="240" w:lineRule="auto"/>
        <w:jc w:val="right"/>
        <w:rPr>
          <w:rFonts w:ascii="Times New Roman" w:hAnsi="Times New Roman" w:cs="Times New Roman" w:eastAsia="Times New Roman" w:hint="default"/>
          <w:sz w:val="18"/>
          <w:szCs w:val="18"/>
        </w:rPr>
        <w:sectPr>
          <w:pgSz w:w="11910" w:h="16840"/>
          <w:pgMar w:header="566" w:footer="979" w:top="1440" w:bottom="1160" w:left="0" w:right="0"/>
        </w:sectPr>
      </w:pPr>
    </w:p>
    <w:p>
      <w:pPr>
        <w:pStyle w:val="Heading3"/>
        <w:spacing w:line="240" w:lineRule="auto" w:before="57"/>
        <w:ind w:right="0"/>
        <w:jc w:val="left"/>
        <w:rPr>
          <w:b w:val="0"/>
          <w:bCs w:val="0"/>
        </w:rPr>
      </w:pPr>
      <w:bookmarkStart w:name="6、母公司现金流量表" w:id="156"/>
      <w:bookmarkEnd w:id="156"/>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678" w:type="dxa"/>
        <w:tblLayout w:type="fixed"/>
        <w:tblCellMar>
          <w:top w:w="0" w:type="dxa"/>
          <w:left w:w="0" w:type="dxa"/>
          <w:bottom w:w="0" w:type="dxa"/>
          <w:right w:w="0" w:type="dxa"/>
        </w:tblCellMar>
        <w:tblLook w:val="01E0"/>
      </w:tblPr>
      <w:tblGrid>
        <w:gridCol w:w="4940"/>
        <w:gridCol w:w="2989"/>
        <w:gridCol w:w="2622"/>
      </w:tblGrid>
      <w:tr>
        <w:trPr>
          <w:trHeight w:val="403"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5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9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484,329,381.48</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363,024,238.59</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9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2,140,059.05</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4,935,860.45</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9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9,824,192.44</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4,172,646.11</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9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496,293,632.97</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372,132,745.15</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9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344,776,860.74</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284,349,989.98</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9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49,675,892.75</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43,734,833.40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9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32,117,484.40</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23,858,017.50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9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31,520,677.93</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32,406,103.83</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9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458,090,915.82</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384,348,944.71</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9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38,202,717.15</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-12,216,199.56</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9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412,861.00</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28,934.79</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9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412,861.00</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28,934.79</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9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21,740,777.20</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33,024,986.90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989"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4,540,944.58</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9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118,999,966.00</w:t>
            </w: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9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140,740,743.20</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37,565,931.48</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9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-140,327,882.20</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-37,536,996.69</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9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384,999,954.28</w:t>
            </w: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9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101,064,717.24</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105,833,893.68</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9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1,619,149.64</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1,300,000.00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9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487,683,821.16</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107,133,893.68</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9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194,148,100.45</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9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16,998,252.94</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15,242,387.66</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9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2,468,456.94</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1,578,330.00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9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213,614,810.33</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76,820,717.66</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9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274,069,010.83</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30,313,176.02</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9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-9,431.55</w:t>
            </w:r>
            <w:r>
              <w:rPr>
                <w:rFonts w:ascii="Times New Roman"/>
                <w:sz w:val="18"/>
              </w:rPr>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-1,706.73</w:t>
            </w:r>
            <w:r>
              <w:rPr>
                <w:rFonts w:ascii="Times New Roman"/>
                <w:sz w:val="18"/>
              </w:rPr>
            </w:r>
          </w:p>
        </w:tc>
      </w:tr>
      <w:tr>
        <w:trPr>
          <w:trHeight w:val="403"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9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171,934,414.23</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-19,441,726.96</w:t>
            </w:r>
          </w:p>
        </w:tc>
      </w:tr>
    </w:tbl>
    <w:p>
      <w:pPr>
        <w:spacing w:after="0" w:line="240" w:lineRule="auto"/>
        <w:jc w:val="right"/>
        <w:rPr>
          <w:rFonts w:ascii="Times New Roman" w:hAnsi="Times New Roman" w:cs="Times New Roman" w:eastAsia="Times New Roman" w:hint="default"/>
          <w:sz w:val="18"/>
          <w:szCs w:val="18"/>
        </w:rPr>
        <w:sectPr>
          <w:pgSz w:w="11910" w:h="16840"/>
          <w:pgMar w:header="566" w:footer="979" w:top="1360" w:bottom="1160" w:left="0" w:right="0"/>
        </w:sectPr>
      </w:pPr>
    </w:p>
    <w:p>
      <w:pPr>
        <w:spacing w:line="240" w:lineRule="auto" w:before="6"/>
        <w:rPr>
          <w:rFonts w:ascii="宋体" w:hAnsi="宋体" w:cs="宋体" w:eastAsia="宋体" w:hint="default"/>
          <w:sz w:val="5"/>
          <w:szCs w:val="5"/>
        </w:rPr>
      </w:pPr>
    </w:p>
    <w:tbl>
      <w:tblPr>
        <w:tblW w:w="0" w:type="auto"/>
        <w:jc w:val="left"/>
        <w:tblInd w:w="667" w:type="dxa"/>
        <w:tblLayout w:type="fixed"/>
        <w:tblCellMar>
          <w:top w:w="0" w:type="dxa"/>
          <w:left w:w="0" w:type="dxa"/>
          <w:bottom w:w="0" w:type="dxa"/>
          <w:right w:w="0" w:type="dxa"/>
        </w:tblCellMar>
        <w:tblLook w:val="01E0"/>
      </w:tblPr>
      <w:tblGrid>
        <w:gridCol w:w="4963"/>
        <w:gridCol w:w="2978"/>
        <w:gridCol w:w="2622"/>
      </w:tblGrid>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116,256,974.29</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135,698,701.25</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288,191,388.52</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116,256,974.29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合并所有者权益变动表" w:id="157"/>
      <w:bookmarkEnd w:id="157"/>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627" w:type="dxa"/>
        <w:tblLayout w:type="fixed"/>
        <w:tblCellMar>
          <w:top w:w="0" w:type="dxa"/>
          <w:left w:w="0" w:type="dxa"/>
          <w:bottom w:w="0" w:type="dxa"/>
          <w:right w:w="0" w:type="dxa"/>
        </w:tblCellMar>
        <w:tblLook w:val="01E0"/>
      </w:tblPr>
      <w:tblGrid>
        <w:gridCol w:w="1467"/>
        <w:gridCol w:w="1342"/>
        <w:gridCol w:w="1400"/>
        <w:gridCol w:w="1115"/>
        <w:gridCol w:w="1262"/>
        <w:gridCol w:w="1342"/>
        <w:gridCol w:w="1250"/>
        <w:gridCol w:w="1454"/>
      </w:tblGrid>
      <w:tr>
        <w:trPr>
          <w:trHeight w:val="322" w:hRule="exact"/>
        </w:trPr>
        <w:tc>
          <w:tcPr>
            <w:tcW w:w="14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166" w:type="dxa"/>
            <w:gridSpan w:val="7"/>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22" w:hRule="exact"/>
        </w:trPr>
        <w:tc>
          <w:tcPr>
            <w:tcW w:w="1467" w:type="dxa"/>
            <w:vMerge/>
            <w:tcBorders>
              <w:left w:val="single" w:sz="4" w:space="0" w:color="000000"/>
              <w:right w:val="single" w:sz="4" w:space="0" w:color="000000"/>
            </w:tcBorders>
            <w:shd w:val="clear" w:color="auto" w:fill="D2D2D2"/>
          </w:tcPr>
          <w:p>
            <w:pPr/>
          </w:p>
        </w:tc>
        <w:tc>
          <w:tcPr>
            <w:tcW w:w="646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530" w:right="168"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4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632" w:right="180" w:hanging="450"/>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634" w:hRule="exact"/>
        </w:trPr>
        <w:tc>
          <w:tcPr>
            <w:tcW w:w="1467" w:type="dxa"/>
            <w:vMerge/>
            <w:tcBorders>
              <w:left w:val="single" w:sz="4" w:space="0" w:color="000000"/>
              <w:bottom w:val="single" w:sz="4" w:space="0" w:color="000000"/>
              <w:right w:val="single" w:sz="4" w:space="0" w:color="000000"/>
            </w:tcBorders>
            <w:shd w:val="clear" w:color="auto" w:fill="D2D2D2"/>
          </w:tcPr>
          <w:p>
            <w:pP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3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372" w:right="19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1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50" w:type="dxa"/>
            <w:vMerge/>
            <w:tcBorders>
              <w:left w:val="single" w:sz="4" w:space="0" w:color="000000"/>
              <w:bottom w:val="single" w:sz="4" w:space="0" w:color="000000"/>
              <w:right w:val="single" w:sz="4" w:space="0" w:color="000000"/>
            </w:tcBorders>
            <w:shd w:val="clear" w:color="auto" w:fill="D2D2D2"/>
          </w:tcPr>
          <w:p>
            <w:pPr/>
          </w:p>
        </w:tc>
        <w:tc>
          <w:tcPr>
            <w:tcW w:w="1454" w:type="dxa"/>
            <w:vMerge/>
            <w:tcBorders>
              <w:left w:val="single" w:sz="4" w:space="0" w:color="000000"/>
              <w:bottom w:val="single" w:sz="4" w:space="0" w:color="000000"/>
              <w:right w:val="single" w:sz="4" w:space="0" w:color="000000"/>
            </w:tcBorders>
            <w:shd w:val="clear" w:color="auto" w:fill="D2D2D2"/>
          </w:tcPr>
          <w:p>
            <w:pPr/>
          </w:p>
        </w:tc>
      </w:tr>
      <w:tr>
        <w:trPr>
          <w:trHeight w:val="638" w:hRule="exact"/>
        </w:trPr>
        <w:tc>
          <w:tcPr>
            <w:tcW w:w="1467" w:type="dxa"/>
            <w:tcBorders>
              <w:top w:val="single" w:sz="4" w:space="0" w:color="000000"/>
              <w:left w:val="single" w:sz="8" w:space="0" w:color="000000"/>
              <w:bottom w:val="single" w:sz="8" w:space="0" w:color="000000"/>
              <w:right w:val="single" w:sz="8" w:space="0" w:color="000000"/>
            </w:tcBorders>
            <w:shd w:val="clear" w:color="auto" w:fill="D2D2D2"/>
          </w:tcPr>
          <w:p>
            <w:pPr>
              <w:pStyle w:val="TableParagraph"/>
              <w:spacing w:line="316" w:lineRule="auto" w:before="10"/>
              <w:ind w:left="98" w:right="96"/>
              <w:jc w:val="left"/>
              <w:rPr>
                <w:rFonts w:ascii="宋体" w:hAnsi="宋体" w:cs="宋体" w:eastAsia="宋体" w:hint="default"/>
                <w:sz w:val="18"/>
                <w:szCs w:val="18"/>
              </w:rPr>
            </w:pPr>
            <w:r>
              <w:rPr>
                <w:rFonts w:ascii="宋体" w:hAnsi="宋体" w:cs="宋体" w:eastAsia="宋体" w:hint="default"/>
                <w:sz w:val="18"/>
                <w:szCs w:val="18"/>
              </w:rPr>
              <w:t>一、上年期末余 额</w:t>
            </w:r>
          </w:p>
        </w:tc>
        <w:tc>
          <w:tcPr>
            <w:tcW w:w="1342"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136,000,000.00</w:t>
            </w:r>
          </w:p>
        </w:tc>
        <w:tc>
          <w:tcPr>
            <w:tcW w:w="1400"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96,985,081.42</w:t>
            </w:r>
          </w:p>
        </w:tc>
        <w:tc>
          <w:tcPr>
            <w:tcW w:w="1115"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7" w:right="0"/>
              <w:jc w:val="center"/>
              <w:rPr>
                <w:rFonts w:ascii="Times New Roman" w:hAnsi="Times New Roman" w:cs="Times New Roman" w:eastAsia="Times New Roman" w:hint="default"/>
                <w:sz w:val="18"/>
                <w:szCs w:val="18"/>
              </w:rPr>
            </w:pPr>
            <w:r>
              <w:rPr>
                <w:rFonts w:ascii="Times New Roman"/>
                <w:sz w:val="18"/>
              </w:rPr>
              <w:t>-24,990.77</w:t>
            </w:r>
          </w:p>
        </w:tc>
        <w:tc>
          <w:tcPr>
            <w:tcW w:w="1262"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23,619,512.45</w:t>
            </w:r>
          </w:p>
        </w:tc>
        <w:tc>
          <w:tcPr>
            <w:tcW w:w="1342"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176,013,432.43</w:t>
            </w:r>
          </w:p>
        </w:tc>
        <w:tc>
          <w:tcPr>
            <w:tcW w:w="1250"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9,989,523.32</w:t>
            </w:r>
          </w:p>
        </w:tc>
        <w:tc>
          <w:tcPr>
            <w:tcW w:w="1454"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442,582,558.85</w:t>
            </w:r>
          </w:p>
        </w:tc>
      </w:tr>
      <w:tr>
        <w:trPr>
          <w:trHeight w:val="644" w:hRule="exact"/>
        </w:trPr>
        <w:tc>
          <w:tcPr>
            <w:tcW w:w="1467"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316" w:lineRule="auto" w:before="11"/>
              <w:ind w:left="98" w:right="96"/>
              <w:jc w:val="left"/>
              <w:rPr>
                <w:rFonts w:ascii="宋体" w:hAnsi="宋体" w:cs="宋体" w:eastAsia="宋体" w:hint="default"/>
                <w:sz w:val="18"/>
                <w:szCs w:val="18"/>
              </w:rPr>
            </w:pPr>
            <w:r>
              <w:rPr>
                <w:rFonts w:ascii="宋体" w:hAnsi="宋体" w:cs="宋体" w:eastAsia="宋体" w:hint="default"/>
                <w:sz w:val="18"/>
                <w:szCs w:val="18"/>
              </w:rPr>
              <w:t>二、本年期初余 额</w:t>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136,000,000.00</w:t>
            </w:r>
          </w:p>
        </w:tc>
        <w:tc>
          <w:tcPr>
            <w:tcW w:w="14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96,985,081.42</w:t>
            </w:r>
          </w:p>
        </w:tc>
        <w:tc>
          <w:tcPr>
            <w:tcW w:w="11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7" w:right="0"/>
              <w:jc w:val="center"/>
              <w:rPr>
                <w:rFonts w:ascii="Times New Roman" w:hAnsi="Times New Roman" w:cs="Times New Roman" w:eastAsia="Times New Roman" w:hint="default"/>
                <w:sz w:val="18"/>
                <w:szCs w:val="18"/>
              </w:rPr>
            </w:pPr>
            <w:r>
              <w:rPr>
                <w:rFonts w:ascii="Times New Roman"/>
                <w:sz w:val="18"/>
              </w:rPr>
              <w:t>-24,990.77</w:t>
            </w:r>
          </w:p>
        </w:tc>
        <w:tc>
          <w:tcPr>
            <w:tcW w:w="1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23,619,512.45</w:t>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176,013,432.43</w:t>
            </w:r>
          </w:p>
        </w:tc>
        <w:tc>
          <w:tcPr>
            <w:tcW w:w="12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9,989,523.32</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442,582,558.85</w:t>
            </w:r>
          </w:p>
        </w:tc>
      </w:tr>
      <w:tr>
        <w:trPr>
          <w:trHeight w:val="965" w:hRule="exact"/>
        </w:trPr>
        <w:tc>
          <w:tcPr>
            <w:tcW w:w="1467"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316" w:lineRule="auto" w:before="15"/>
              <w:ind w:left="98" w:right="96"/>
              <w:jc w:val="both"/>
              <w:rPr>
                <w:rFonts w:ascii="宋体" w:hAnsi="宋体" w:cs="宋体" w:eastAsia="宋体" w:hint="default"/>
                <w:sz w:val="18"/>
                <w:szCs w:val="18"/>
              </w:rPr>
            </w:pPr>
            <w:r>
              <w:rPr>
                <w:rFonts w:ascii="宋体" w:hAnsi="宋体" w:cs="宋体" w:eastAsia="宋体" w:hint="default"/>
                <w:sz w:val="18"/>
                <w:szCs w:val="18"/>
              </w:rPr>
              <w:t>三、本期增减变 动金额（减少以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95"/>
              <w:jc w:val="right"/>
              <w:rPr>
                <w:rFonts w:ascii="Times New Roman" w:hAnsi="Times New Roman" w:cs="Times New Roman" w:eastAsia="Times New Roman" w:hint="default"/>
                <w:sz w:val="18"/>
                <w:szCs w:val="18"/>
              </w:rPr>
            </w:pPr>
            <w:r>
              <w:rPr>
                <w:rFonts w:ascii="Times New Roman"/>
                <w:spacing w:val="-1"/>
                <w:sz w:val="18"/>
              </w:rPr>
              <w:t>185,429,652.00</w:t>
            </w:r>
          </w:p>
        </w:tc>
        <w:tc>
          <w:tcPr>
            <w:tcW w:w="14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94"/>
              <w:jc w:val="right"/>
              <w:rPr>
                <w:rFonts w:ascii="Times New Roman" w:hAnsi="Times New Roman" w:cs="Times New Roman" w:eastAsia="Times New Roman" w:hint="default"/>
                <w:sz w:val="18"/>
                <w:szCs w:val="18"/>
              </w:rPr>
            </w:pPr>
            <w:r>
              <w:rPr>
                <w:rFonts w:ascii="Times New Roman"/>
                <w:spacing w:val="-1"/>
                <w:sz w:val="18"/>
              </w:rPr>
              <w:t>198,427,974.81</w:t>
            </w:r>
          </w:p>
        </w:tc>
        <w:tc>
          <w:tcPr>
            <w:tcW w:w="11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87" w:right="0"/>
              <w:jc w:val="center"/>
              <w:rPr>
                <w:rFonts w:ascii="Times New Roman" w:hAnsi="Times New Roman" w:cs="Times New Roman" w:eastAsia="Times New Roman" w:hint="default"/>
                <w:sz w:val="18"/>
                <w:szCs w:val="18"/>
              </w:rPr>
            </w:pPr>
            <w:r>
              <w:rPr>
                <w:rFonts w:ascii="Times New Roman"/>
                <w:sz w:val="18"/>
              </w:rPr>
              <w:t>471,441.80</w:t>
            </w:r>
          </w:p>
        </w:tc>
        <w:tc>
          <w:tcPr>
            <w:tcW w:w="1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94"/>
              <w:jc w:val="right"/>
              <w:rPr>
                <w:rFonts w:ascii="Times New Roman" w:hAnsi="Times New Roman" w:cs="Times New Roman" w:eastAsia="Times New Roman" w:hint="default"/>
                <w:sz w:val="18"/>
                <w:szCs w:val="18"/>
              </w:rPr>
            </w:pPr>
            <w:r>
              <w:rPr>
                <w:rFonts w:ascii="Times New Roman"/>
                <w:spacing w:val="-1"/>
                <w:sz w:val="18"/>
              </w:rPr>
              <w:t>4,465,478.82</w:t>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96"/>
              <w:jc w:val="right"/>
              <w:rPr>
                <w:rFonts w:ascii="Times New Roman" w:hAnsi="Times New Roman" w:cs="Times New Roman" w:eastAsia="Times New Roman" w:hint="default"/>
                <w:sz w:val="18"/>
                <w:szCs w:val="18"/>
              </w:rPr>
            </w:pPr>
            <w:r>
              <w:rPr>
                <w:rFonts w:ascii="Times New Roman"/>
                <w:spacing w:val="-1"/>
                <w:sz w:val="18"/>
              </w:rPr>
              <w:t>33,929,975.06</w:t>
            </w:r>
          </w:p>
        </w:tc>
        <w:tc>
          <w:tcPr>
            <w:tcW w:w="12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94"/>
              <w:jc w:val="right"/>
              <w:rPr>
                <w:rFonts w:ascii="Times New Roman" w:hAnsi="Times New Roman" w:cs="Times New Roman" w:eastAsia="Times New Roman" w:hint="default"/>
                <w:sz w:val="18"/>
                <w:szCs w:val="18"/>
              </w:rPr>
            </w:pPr>
            <w:r>
              <w:rPr>
                <w:rFonts w:ascii="Times New Roman"/>
                <w:spacing w:val="-1"/>
                <w:sz w:val="18"/>
              </w:rPr>
              <w:t>9,457,684.07</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95"/>
              <w:jc w:val="right"/>
              <w:rPr>
                <w:rFonts w:ascii="Times New Roman" w:hAnsi="Times New Roman" w:cs="Times New Roman" w:eastAsia="Times New Roman" w:hint="default"/>
                <w:sz w:val="18"/>
                <w:szCs w:val="18"/>
              </w:rPr>
            </w:pPr>
            <w:r>
              <w:rPr>
                <w:rFonts w:ascii="Times New Roman"/>
                <w:spacing w:val="-1"/>
                <w:sz w:val="18"/>
              </w:rPr>
              <w:t>432,182,206.56</w:t>
            </w:r>
          </w:p>
        </w:tc>
      </w:tr>
      <w:tr>
        <w:trPr>
          <w:trHeight w:val="644" w:hRule="exact"/>
        </w:trPr>
        <w:tc>
          <w:tcPr>
            <w:tcW w:w="1467"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316" w:lineRule="auto" w:before="11"/>
              <w:ind w:left="98" w:right="96"/>
              <w:jc w:val="left"/>
              <w:rPr>
                <w:rFonts w:ascii="宋体" w:hAnsi="宋体" w:cs="宋体" w:eastAsia="宋体" w:hint="default"/>
                <w:sz w:val="18"/>
                <w:szCs w:val="18"/>
              </w:rPr>
            </w:pPr>
            <w:r>
              <w:rPr>
                <w:rFonts w:ascii="宋体" w:hAnsi="宋体" w:cs="宋体" w:eastAsia="宋体" w:hint="default"/>
                <w:sz w:val="18"/>
                <w:szCs w:val="18"/>
              </w:rPr>
              <w:t>（一）综合收益 总额</w:t>
            </w:r>
          </w:p>
        </w:tc>
        <w:tc>
          <w:tcPr>
            <w:tcW w:w="1342" w:type="dxa"/>
            <w:tcBorders>
              <w:top w:val="single" w:sz="8" w:space="0" w:color="000000"/>
              <w:left w:val="single" w:sz="8" w:space="0" w:color="000000"/>
              <w:bottom w:val="single" w:sz="8" w:space="0" w:color="000000"/>
              <w:right w:val="single" w:sz="8" w:space="0" w:color="000000"/>
            </w:tcBorders>
          </w:tcPr>
          <w:p>
            <w:pPr/>
          </w:p>
        </w:tc>
        <w:tc>
          <w:tcPr>
            <w:tcW w:w="1400" w:type="dxa"/>
            <w:tcBorders>
              <w:top w:val="single" w:sz="8" w:space="0" w:color="000000"/>
              <w:left w:val="single" w:sz="8" w:space="0" w:color="000000"/>
              <w:bottom w:val="single" w:sz="8" w:space="0" w:color="000000"/>
              <w:right w:val="single" w:sz="8" w:space="0" w:color="000000"/>
            </w:tcBorders>
          </w:tcPr>
          <w:p>
            <w:pPr/>
          </w:p>
        </w:tc>
        <w:tc>
          <w:tcPr>
            <w:tcW w:w="11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7" w:right="0"/>
              <w:jc w:val="center"/>
              <w:rPr>
                <w:rFonts w:ascii="Times New Roman" w:hAnsi="Times New Roman" w:cs="Times New Roman" w:eastAsia="Times New Roman" w:hint="default"/>
                <w:sz w:val="18"/>
                <w:szCs w:val="18"/>
              </w:rPr>
            </w:pPr>
            <w:r>
              <w:rPr>
                <w:rFonts w:ascii="Times New Roman"/>
                <w:sz w:val="18"/>
              </w:rPr>
              <w:t>471,441.80</w:t>
            </w:r>
          </w:p>
        </w:tc>
        <w:tc>
          <w:tcPr>
            <w:tcW w:w="1262" w:type="dxa"/>
            <w:tcBorders>
              <w:top w:val="single" w:sz="8" w:space="0" w:color="000000"/>
              <w:left w:val="single" w:sz="8" w:space="0" w:color="000000"/>
              <w:bottom w:val="single" w:sz="8" w:space="0" w:color="000000"/>
              <w:right w:val="single" w:sz="8" w:space="0" w:color="000000"/>
            </w:tcBorders>
          </w:tcPr>
          <w:p>
            <w:pP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50,635,453.88</w:t>
            </w:r>
          </w:p>
        </w:tc>
        <w:tc>
          <w:tcPr>
            <w:tcW w:w="12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8,092,685.32</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59,199,581.00</w:t>
            </w:r>
          </w:p>
        </w:tc>
      </w:tr>
      <w:tr>
        <w:trPr>
          <w:trHeight w:val="711" w:hRule="exact"/>
        </w:trPr>
        <w:tc>
          <w:tcPr>
            <w:tcW w:w="1467"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319" w:lineRule="auto" w:before="44"/>
              <w:ind w:left="98" w:right="96"/>
              <w:jc w:val="left"/>
              <w:rPr>
                <w:rFonts w:ascii="宋体" w:hAnsi="宋体" w:cs="宋体" w:eastAsia="宋体" w:hint="default"/>
                <w:sz w:val="18"/>
                <w:szCs w:val="18"/>
              </w:rPr>
            </w:pPr>
            <w:r>
              <w:rPr>
                <w:rFonts w:ascii="宋体" w:hAnsi="宋体" w:cs="宋体" w:eastAsia="宋体" w:hint="default"/>
                <w:sz w:val="18"/>
                <w:szCs w:val="18"/>
              </w:rPr>
              <w:t>（二）所有者投 入和减少资本</w:t>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24,714,826.00</w:t>
            </w:r>
          </w:p>
        </w:tc>
        <w:tc>
          <w:tcPr>
            <w:tcW w:w="14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359,142,800.81</w:t>
            </w:r>
          </w:p>
        </w:tc>
        <w:tc>
          <w:tcPr>
            <w:tcW w:w="1115" w:type="dxa"/>
            <w:tcBorders>
              <w:top w:val="single" w:sz="8" w:space="0" w:color="000000"/>
              <w:left w:val="single" w:sz="8" w:space="0" w:color="000000"/>
              <w:bottom w:val="single" w:sz="8" w:space="0" w:color="000000"/>
              <w:right w:val="single" w:sz="8" w:space="0" w:color="000000"/>
            </w:tcBorders>
          </w:tcPr>
          <w:p>
            <w:pPr/>
          </w:p>
        </w:tc>
        <w:tc>
          <w:tcPr>
            <w:tcW w:w="1262" w:type="dxa"/>
            <w:tcBorders>
              <w:top w:val="single" w:sz="8" w:space="0" w:color="000000"/>
              <w:left w:val="single" w:sz="8" w:space="0" w:color="000000"/>
              <w:bottom w:val="single" w:sz="8" w:space="0" w:color="000000"/>
              <w:right w:val="single" w:sz="8" w:space="0" w:color="000000"/>
            </w:tcBorders>
          </w:tcPr>
          <w:p>
            <w:pPr/>
          </w:p>
        </w:tc>
        <w:tc>
          <w:tcPr>
            <w:tcW w:w="1342" w:type="dxa"/>
            <w:tcBorders>
              <w:top w:val="single" w:sz="8" w:space="0" w:color="000000"/>
              <w:left w:val="single" w:sz="8" w:space="0" w:color="000000"/>
              <w:bottom w:val="single" w:sz="8" w:space="0" w:color="000000"/>
              <w:right w:val="single" w:sz="8" w:space="0" w:color="000000"/>
            </w:tcBorders>
          </w:tcPr>
          <w:p>
            <w:pPr/>
          </w:p>
        </w:tc>
        <w:tc>
          <w:tcPr>
            <w:tcW w:w="12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1,364,998.75</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385,222,625.56</w:t>
            </w:r>
          </w:p>
        </w:tc>
      </w:tr>
      <w:tr>
        <w:trPr>
          <w:trHeight w:val="643" w:hRule="exact"/>
        </w:trPr>
        <w:tc>
          <w:tcPr>
            <w:tcW w:w="1467"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300" w:lineRule="auto" w:before="10"/>
              <w:ind w:left="98" w:right="17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 普通股</w:t>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24,714,826.00</w:t>
            </w:r>
          </w:p>
        </w:tc>
        <w:tc>
          <w:tcPr>
            <w:tcW w:w="14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359,142,800.81</w:t>
            </w:r>
          </w:p>
        </w:tc>
        <w:tc>
          <w:tcPr>
            <w:tcW w:w="1115" w:type="dxa"/>
            <w:tcBorders>
              <w:top w:val="single" w:sz="8" w:space="0" w:color="000000"/>
              <w:left w:val="single" w:sz="8" w:space="0" w:color="000000"/>
              <w:bottom w:val="single" w:sz="8" w:space="0" w:color="000000"/>
              <w:right w:val="single" w:sz="8" w:space="0" w:color="000000"/>
            </w:tcBorders>
          </w:tcPr>
          <w:p>
            <w:pPr/>
          </w:p>
        </w:tc>
        <w:tc>
          <w:tcPr>
            <w:tcW w:w="1262" w:type="dxa"/>
            <w:tcBorders>
              <w:top w:val="single" w:sz="8" w:space="0" w:color="000000"/>
              <w:left w:val="single" w:sz="8" w:space="0" w:color="000000"/>
              <w:bottom w:val="single" w:sz="8" w:space="0" w:color="000000"/>
              <w:right w:val="single" w:sz="8" w:space="0" w:color="000000"/>
            </w:tcBorders>
          </w:tcPr>
          <w:p>
            <w:pPr/>
          </w:p>
        </w:tc>
        <w:tc>
          <w:tcPr>
            <w:tcW w:w="1342" w:type="dxa"/>
            <w:tcBorders>
              <w:top w:val="single" w:sz="8" w:space="0" w:color="000000"/>
              <w:left w:val="single" w:sz="8" w:space="0" w:color="000000"/>
              <w:bottom w:val="single" w:sz="8" w:space="0" w:color="000000"/>
              <w:right w:val="single" w:sz="8" w:space="0" w:color="000000"/>
            </w:tcBorders>
          </w:tcPr>
          <w:p>
            <w:pPr/>
          </w:p>
        </w:tc>
        <w:tc>
          <w:tcPr>
            <w:tcW w:w="125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383,857,626.81</w:t>
            </w:r>
          </w:p>
        </w:tc>
      </w:tr>
      <w:tr>
        <w:trPr>
          <w:trHeight w:val="332" w:hRule="exact"/>
        </w:trPr>
        <w:tc>
          <w:tcPr>
            <w:tcW w:w="1467"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1"/>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tc>
        <w:tc>
          <w:tcPr>
            <w:tcW w:w="1342" w:type="dxa"/>
            <w:tcBorders>
              <w:top w:val="single" w:sz="8" w:space="0" w:color="000000"/>
              <w:left w:val="single" w:sz="8" w:space="0" w:color="000000"/>
              <w:bottom w:val="single" w:sz="8" w:space="0" w:color="000000"/>
              <w:right w:val="single" w:sz="8" w:space="0" w:color="000000"/>
            </w:tcBorders>
          </w:tcPr>
          <w:p>
            <w:pPr/>
          </w:p>
        </w:tc>
        <w:tc>
          <w:tcPr>
            <w:tcW w:w="1400" w:type="dxa"/>
            <w:tcBorders>
              <w:top w:val="single" w:sz="8" w:space="0" w:color="000000"/>
              <w:left w:val="single" w:sz="8" w:space="0" w:color="000000"/>
              <w:bottom w:val="single" w:sz="8" w:space="0" w:color="000000"/>
              <w:right w:val="single" w:sz="8" w:space="0" w:color="000000"/>
            </w:tcBorders>
          </w:tcPr>
          <w:p>
            <w:pPr/>
          </w:p>
        </w:tc>
        <w:tc>
          <w:tcPr>
            <w:tcW w:w="1115" w:type="dxa"/>
            <w:tcBorders>
              <w:top w:val="single" w:sz="8" w:space="0" w:color="000000"/>
              <w:left w:val="single" w:sz="8" w:space="0" w:color="000000"/>
              <w:bottom w:val="single" w:sz="8" w:space="0" w:color="000000"/>
              <w:right w:val="single" w:sz="8" w:space="0" w:color="000000"/>
            </w:tcBorders>
          </w:tcPr>
          <w:p>
            <w:pPr/>
          </w:p>
        </w:tc>
        <w:tc>
          <w:tcPr>
            <w:tcW w:w="1262" w:type="dxa"/>
            <w:tcBorders>
              <w:top w:val="single" w:sz="8" w:space="0" w:color="000000"/>
              <w:left w:val="single" w:sz="8" w:space="0" w:color="000000"/>
              <w:bottom w:val="single" w:sz="8" w:space="0" w:color="000000"/>
              <w:right w:val="single" w:sz="8" w:space="0" w:color="000000"/>
            </w:tcBorders>
          </w:tcPr>
          <w:p>
            <w:pPr/>
          </w:p>
        </w:tc>
        <w:tc>
          <w:tcPr>
            <w:tcW w:w="1342" w:type="dxa"/>
            <w:tcBorders>
              <w:top w:val="single" w:sz="8" w:space="0" w:color="000000"/>
              <w:left w:val="single" w:sz="8" w:space="0" w:color="000000"/>
              <w:bottom w:val="single" w:sz="8" w:space="0" w:color="000000"/>
              <w:right w:val="single" w:sz="8" w:space="0" w:color="000000"/>
            </w:tcBorders>
          </w:tcPr>
          <w:p>
            <w:pPr/>
          </w:p>
        </w:tc>
        <w:tc>
          <w:tcPr>
            <w:tcW w:w="12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4"/>
              <w:jc w:val="right"/>
              <w:rPr>
                <w:rFonts w:ascii="Times New Roman" w:hAnsi="Times New Roman" w:cs="Times New Roman" w:eastAsia="Times New Roman" w:hint="default"/>
                <w:sz w:val="18"/>
                <w:szCs w:val="18"/>
              </w:rPr>
            </w:pPr>
            <w:r>
              <w:rPr>
                <w:rFonts w:ascii="Times New Roman"/>
                <w:spacing w:val="-1"/>
                <w:sz w:val="18"/>
              </w:rPr>
              <w:t>1,364,998.75</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spacing w:val="-1"/>
                <w:sz w:val="18"/>
              </w:rPr>
              <w:t>1,364,998.75</w:t>
            </w:r>
          </w:p>
        </w:tc>
      </w:tr>
      <w:tr>
        <w:trPr>
          <w:trHeight w:val="485" w:hRule="exact"/>
        </w:trPr>
        <w:tc>
          <w:tcPr>
            <w:tcW w:w="1467"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342" w:type="dxa"/>
            <w:tcBorders>
              <w:top w:val="single" w:sz="8" w:space="0" w:color="000000"/>
              <w:left w:val="single" w:sz="8" w:space="0" w:color="000000"/>
              <w:bottom w:val="single" w:sz="8" w:space="0" w:color="000000"/>
              <w:right w:val="single" w:sz="8" w:space="0" w:color="000000"/>
            </w:tcBorders>
          </w:tcPr>
          <w:p>
            <w:pPr/>
          </w:p>
        </w:tc>
        <w:tc>
          <w:tcPr>
            <w:tcW w:w="1400" w:type="dxa"/>
            <w:tcBorders>
              <w:top w:val="single" w:sz="8" w:space="0" w:color="000000"/>
              <w:left w:val="single" w:sz="8" w:space="0" w:color="000000"/>
              <w:bottom w:val="single" w:sz="8" w:space="0" w:color="000000"/>
              <w:right w:val="single" w:sz="8" w:space="0" w:color="000000"/>
            </w:tcBorders>
          </w:tcPr>
          <w:p>
            <w:pPr/>
          </w:p>
        </w:tc>
        <w:tc>
          <w:tcPr>
            <w:tcW w:w="1115" w:type="dxa"/>
            <w:tcBorders>
              <w:top w:val="single" w:sz="8" w:space="0" w:color="000000"/>
              <w:left w:val="single" w:sz="8" w:space="0" w:color="000000"/>
              <w:bottom w:val="single" w:sz="8" w:space="0" w:color="000000"/>
              <w:right w:val="single" w:sz="8" w:space="0" w:color="000000"/>
            </w:tcBorders>
          </w:tcPr>
          <w:p>
            <w:pPr/>
          </w:p>
        </w:tc>
        <w:tc>
          <w:tcPr>
            <w:tcW w:w="1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4"/>
              <w:jc w:val="right"/>
              <w:rPr>
                <w:rFonts w:ascii="Times New Roman" w:hAnsi="Times New Roman" w:cs="Times New Roman" w:eastAsia="Times New Roman" w:hint="default"/>
                <w:sz w:val="18"/>
                <w:szCs w:val="18"/>
              </w:rPr>
            </w:pPr>
            <w:r>
              <w:rPr>
                <w:rFonts w:ascii="Times New Roman"/>
                <w:spacing w:val="-1"/>
                <w:sz w:val="18"/>
              </w:rPr>
              <w:t>4,465,478.82</w:t>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6"/>
              <w:jc w:val="right"/>
              <w:rPr>
                <w:rFonts w:ascii="Times New Roman" w:hAnsi="Times New Roman" w:cs="Times New Roman" w:eastAsia="Times New Roman" w:hint="default"/>
                <w:sz w:val="18"/>
                <w:szCs w:val="18"/>
              </w:rPr>
            </w:pPr>
            <w:r>
              <w:rPr>
                <w:rFonts w:ascii="Times New Roman"/>
                <w:spacing w:val="-1"/>
                <w:sz w:val="18"/>
              </w:rPr>
              <w:t>-16,705,478.82</w:t>
            </w:r>
          </w:p>
        </w:tc>
        <w:tc>
          <w:tcPr>
            <w:tcW w:w="125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5"/>
              <w:jc w:val="right"/>
              <w:rPr>
                <w:rFonts w:ascii="Times New Roman" w:hAnsi="Times New Roman" w:cs="Times New Roman" w:eastAsia="Times New Roman" w:hint="default"/>
                <w:sz w:val="18"/>
                <w:szCs w:val="18"/>
              </w:rPr>
            </w:pPr>
            <w:r>
              <w:rPr>
                <w:rFonts w:ascii="Times New Roman"/>
                <w:spacing w:val="-1"/>
                <w:sz w:val="18"/>
              </w:rPr>
              <w:t>-12,240,000.00</w:t>
            </w:r>
          </w:p>
        </w:tc>
      </w:tr>
      <w:tr>
        <w:trPr>
          <w:trHeight w:val="644" w:hRule="exact"/>
        </w:trPr>
        <w:tc>
          <w:tcPr>
            <w:tcW w:w="1467"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300" w:lineRule="auto" w:before="11"/>
              <w:ind w:left="98" w:right="17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1342" w:type="dxa"/>
            <w:tcBorders>
              <w:top w:val="single" w:sz="8" w:space="0" w:color="000000"/>
              <w:left w:val="single" w:sz="8" w:space="0" w:color="000000"/>
              <w:bottom w:val="single" w:sz="8" w:space="0" w:color="000000"/>
              <w:right w:val="single" w:sz="8" w:space="0" w:color="000000"/>
            </w:tcBorders>
          </w:tcPr>
          <w:p>
            <w:pPr/>
          </w:p>
        </w:tc>
        <w:tc>
          <w:tcPr>
            <w:tcW w:w="1400" w:type="dxa"/>
            <w:tcBorders>
              <w:top w:val="single" w:sz="8" w:space="0" w:color="000000"/>
              <w:left w:val="single" w:sz="8" w:space="0" w:color="000000"/>
              <w:bottom w:val="single" w:sz="8" w:space="0" w:color="000000"/>
              <w:right w:val="single" w:sz="8" w:space="0" w:color="000000"/>
            </w:tcBorders>
          </w:tcPr>
          <w:p>
            <w:pPr/>
          </w:p>
        </w:tc>
        <w:tc>
          <w:tcPr>
            <w:tcW w:w="1115" w:type="dxa"/>
            <w:tcBorders>
              <w:top w:val="single" w:sz="8" w:space="0" w:color="000000"/>
              <w:left w:val="single" w:sz="8" w:space="0" w:color="000000"/>
              <w:bottom w:val="single" w:sz="8" w:space="0" w:color="000000"/>
              <w:right w:val="single" w:sz="8" w:space="0" w:color="000000"/>
            </w:tcBorders>
          </w:tcPr>
          <w:p>
            <w:pPr/>
          </w:p>
        </w:tc>
        <w:tc>
          <w:tcPr>
            <w:tcW w:w="1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4,465,478.82</w:t>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-4,465,478.82</w:t>
            </w:r>
          </w:p>
        </w:tc>
        <w:tc>
          <w:tcPr>
            <w:tcW w:w="125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
        </w:tc>
      </w:tr>
      <w:tr>
        <w:trPr>
          <w:trHeight w:val="725" w:hRule="exact"/>
        </w:trPr>
        <w:tc>
          <w:tcPr>
            <w:tcW w:w="1467"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300" w:lineRule="auto" w:before="51"/>
              <w:ind w:left="98" w:right="96"/>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．对所有者（或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股东）的分配</w:t>
            </w:r>
          </w:p>
        </w:tc>
        <w:tc>
          <w:tcPr>
            <w:tcW w:w="1342" w:type="dxa"/>
            <w:tcBorders>
              <w:top w:val="single" w:sz="8" w:space="0" w:color="000000"/>
              <w:left w:val="single" w:sz="8" w:space="0" w:color="000000"/>
              <w:bottom w:val="single" w:sz="8" w:space="0" w:color="000000"/>
              <w:right w:val="single" w:sz="8" w:space="0" w:color="000000"/>
            </w:tcBorders>
          </w:tcPr>
          <w:p>
            <w:pPr/>
          </w:p>
        </w:tc>
        <w:tc>
          <w:tcPr>
            <w:tcW w:w="1400" w:type="dxa"/>
            <w:tcBorders>
              <w:top w:val="single" w:sz="8" w:space="0" w:color="000000"/>
              <w:left w:val="single" w:sz="8" w:space="0" w:color="000000"/>
              <w:bottom w:val="single" w:sz="8" w:space="0" w:color="000000"/>
              <w:right w:val="single" w:sz="8" w:space="0" w:color="000000"/>
            </w:tcBorders>
          </w:tcPr>
          <w:p>
            <w:pPr/>
          </w:p>
        </w:tc>
        <w:tc>
          <w:tcPr>
            <w:tcW w:w="1115" w:type="dxa"/>
            <w:tcBorders>
              <w:top w:val="single" w:sz="8" w:space="0" w:color="000000"/>
              <w:left w:val="single" w:sz="8" w:space="0" w:color="000000"/>
              <w:bottom w:val="single" w:sz="8" w:space="0" w:color="000000"/>
              <w:right w:val="single" w:sz="8" w:space="0" w:color="000000"/>
            </w:tcBorders>
          </w:tcPr>
          <w:p>
            <w:pPr/>
          </w:p>
        </w:tc>
        <w:tc>
          <w:tcPr>
            <w:tcW w:w="1262" w:type="dxa"/>
            <w:tcBorders>
              <w:top w:val="single" w:sz="8" w:space="0" w:color="000000"/>
              <w:left w:val="single" w:sz="8" w:space="0" w:color="000000"/>
              <w:bottom w:val="single" w:sz="8" w:space="0" w:color="000000"/>
              <w:right w:val="single" w:sz="8" w:space="0" w:color="000000"/>
            </w:tcBorders>
          </w:tcPr>
          <w:p>
            <w:pP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-12,240,000.00</w:t>
            </w:r>
          </w:p>
        </w:tc>
        <w:tc>
          <w:tcPr>
            <w:tcW w:w="125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-12,240,000.00</w:t>
            </w:r>
          </w:p>
        </w:tc>
      </w:tr>
      <w:tr>
        <w:trPr>
          <w:trHeight w:val="710" w:hRule="exact"/>
        </w:trPr>
        <w:tc>
          <w:tcPr>
            <w:tcW w:w="1467"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316" w:lineRule="auto" w:before="44"/>
              <w:ind w:left="98" w:right="96"/>
              <w:jc w:val="left"/>
              <w:rPr>
                <w:rFonts w:ascii="宋体" w:hAnsi="宋体" w:cs="宋体" w:eastAsia="宋体" w:hint="default"/>
                <w:sz w:val="18"/>
                <w:szCs w:val="18"/>
              </w:rPr>
            </w:pPr>
            <w:r>
              <w:rPr>
                <w:rFonts w:ascii="宋体" w:hAnsi="宋体" w:cs="宋体" w:eastAsia="宋体" w:hint="default"/>
                <w:sz w:val="18"/>
                <w:szCs w:val="18"/>
              </w:rPr>
              <w:t>（四）所有者权 益内部结转</w:t>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160,714,826.00</w:t>
            </w:r>
          </w:p>
        </w:tc>
        <w:tc>
          <w:tcPr>
            <w:tcW w:w="14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-160,714,826.00</w:t>
            </w:r>
          </w:p>
        </w:tc>
        <w:tc>
          <w:tcPr>
            <w:tcW w:w="1115" w:type="dxa"/>
            <w:tcBorders>
              <w:top w:val="single" w:sz="8" w:space="0" w:color="000000"/>
              <w:left w:val="single" w:sz="8" w:space="0" w:color="000000"/>
              <w:bottom w:val="single" w:sz="8" w:space="0" w:color="000000"/>
              <w:right w:val="single" w:sz="8" w:space="0" w:color="000000"/>
            </w:tcBorders>
          </w:tcPr>
          <w:p>
            <w:pPr/>
          </w:p>
        </w:tc>
        <w:tc>
          <w:tcPr>
            <w:tcW w:w="1262" w:type="dxa"/>
            <w:tcBorders>
              <w:top w:val="single" w:sz="8" w:space="0" w:color="000000"/>
              <w:left w:val="single" w:sz="8" w:space="0" w:color="000000"/>
              <w:bottom w:val="single" w:sz="8" w:space="0" w:color="000000"/>
              <w:right w:val="single" w:sz="8" w:space="0" w:color="000000"/>
            </w:tcBorders>
          </w:tcPr>
          <w:p>
            <w:pPr/>
          </w:p>
        </w:tc>
        <w:tc>
          <w:tcPr>
            <w:tcW w:w="1342" w:type="dxa"/>
            <w:tcBorders>
              <w:top w:val="single" w:sz="8" w:space="0" w:color="000000"/>
              <w:left w:val="single" w:sz="8" w:space="0" w:color="000000"/>
              <w:bottom w:val="single" w:sz="8" w:space="0" w:color="000000"/>
              <w:right w:val="single" w:sz="8" w:space="0" w:color="000000"/>
            </w:tcBorders>
          </w:tcPr>
          <w:p>
            <w:pPr/>
          </w:p>
        </w:tc>
        <w:tc>
          <w:tcPr>
            <w:tcW w:w="125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
        </w:tc>
      </w:tr>
      <w:tr>
        <w:trPr>
          <w:trHeight w:val="955" w:hRule="exact"/>
        </w:trPr>
        <w:tc>
          <w:tcPr>
            <w:tcW w:w="1467"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309" w:lineRule="auto" w:before="10"/>
              <w:ind w:left="98" w:right="17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5"/>
              <w:jc w:val="right"/>
              <w:rPr>
                <w:rFonts w:ascii="Times New Roman" w:hAnsi="Times New Roman" w:cs="Times New Roman" w:eastAsia="Times New Roman" w:hint="default"/>
                <w:sz w:val="18"/>
                <w:szCs w:val="18"/>
              </w:rPr>
            </w:pPr>
            <w:r>
              <w:rPr>
                <w:rFonts w:ascii="Times New Roman"/>
                <w:spacing w:val="-1"/>
                <w:sz w:val="18"/>
              </w:rPr>
              <w:t>160,714,826.00</w:t>
            </w:r>
          </w:p>
        </w:tc>
        <w:tc>
          <w:tcPr>
            <w:tcW w:w="14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4"/>
              <w:jc w:val="right"/>
              <w:rPr>
                <w:rFonts w:ascii="Times New Roman" w:hAnsi="Times New Roman" w:cs="Times New Roman" w:eastAsia="Times New Roman" w:hint="default"/>
                <w:sz w:val="18"/>
                <w:szCs w:val="18"/>
              </w:rPr>
            </w:pPr>
            <w:r>
              <w:rPr>
                <w:rFonts w:ascii="Times New Roman"/>
                <w:spacing w:val="-1"/>
                <w:sz w:val="18"/>
              </w:rPr>
              <w:t>-160,714,826.00</w:t>
            </w:r>
          </w:p>
        </w:tc>
        <w:tc>
          <w:tcPr>
            <w:tcW w:w="1115" w:type="dxa"/>
            <w:tcBorders>
              <w:top w:val="single" w:sz="8" w:space="0" w:color="000000"/>
              <w:left w:val="single" w:sz="8" w:space="0" w:color="000000"/>
              <w:bottom w:val="single" w:sz="8" w:space="0" w:color="000000"/>
              <w:right w:val="single" w:sz="8" w:space="0" w:color="000000"/>
            </w:tcBorders>
          </w:tcPr>
          <w:p>
            <w:pPr/>
          </w:p>
        </w:tc>
        <w:tc>
          <w:tcPr>
            <w:tcW w:w="1262" w:type="dxa"/>
            <w:tcBorders>
              <w:top w:val="single" w:sz="8" w:space="0" w:color="000000"/>
              <w:left w:val="single" w:sz="8" w:space="0" w:color="000000"/>
              <w:bottom w:val="single" w:sz="8" w:space="0" w:color="000000"/>
              <w:right w:val="single" w:sz="8" w:space="0" w:color="000000"/>
            </w:tcBorders>
          </w:tcPr>
          <w:p>
            <w:pPr/>
          </w:p>
        </w:tc>
        <w:tc>
          <w:tcPr>
            <w:tcW w:w="1342" w:type="dxa"/>
            <w:tcBorders>
              <w:top w:val="single" w:sz="8" w:space="0" w:color="000000"/>
              <w:left w:val="single" w:sz="8" w:space="0" w:color="000000"/>
              <w:bottom w:val="single" w:sz="8" w:space="0" w:color="000000"/>
              <w:right w:val="single" w:sz="8" w:space="0" w:color="000000"/>
            </w:tcBorders>
          </w:tcPr>
          <w:p>
            <w:pPr/>
          </w:p>
        </w:tc>
        <w:tc>
          <w:tcPr>
            <w:tcW w:w="125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
        </w:tc>
      </w:tr>
      <w:tr>
        <w:trPr>
          <w:trHeight w:val="644" w:hRule="exact"/>
        </w:trPr>
        <w:tc>
          <w:tcPr>
            <w:tcW w:w="1467"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316" w:lineRule="auto" w:before="11"/>
              <w:ind w:left="98" w:right="96"/>
              <w:jc w:val="left"/>
              <w:rPr>
                <w:rFonts w:ascii="宋体" w:hAnsi="宋体" w:cs="宋体" w:eastAsia="宋体" w:hint="default"/>
                <w:sz w:val="18"/>
                <w:szCs w:val="18"/>
              </w:rPr>
            </w:pPr>
            <w:r>
              <w:rPr>
                <w:rFonts w:ascii="宋体" w:hAnsi="宋体" w:cs="宋体" w:eastAsia="宋体" w:hint="default"/>
                <w:sz w:val="18"/>
                <w:szCs w:val="18"/>
              </w:rPr>
              <w:t>四、本期期末余 额</w:t>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321,429,652.00</w:t>
            </w:r>
          </w:p>
        </w:tc>
        <w:tc>
          <w:tcPr>
            <w:tcW w:w="14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295,413,056.23</w:t>
            </w:r>
          </w:p>
        </w:tc>
        <w:tc>
          <w:tcPr>
            <w:tcW w:w="11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7" w:right="0"/>
              <w:jc w:val="center"/>
              <w:rPr>
                <w:rFonts w:ascii="Times New Roman" w:hAnsi="Times New Roman" w:cs="Times New Roman" w:eastAsia="Times New Roman" w:hint="default"/>
                <w:sz w:val="18"/>
                <w:szCs w:val="18"/>
              </w:rPr>
            </w:pPr>
            <w:r>
              <w:rPr>
                <w:rFonts w:ascii="Times New Roman"/>
                <w:sz w:val="18"/>
              </w:rPr>
              <w:t>446,451.03</w:t>
            </w:r>
          </w:p>
        </w:tc>
        <w:tc>
          <w:tcPr>
            <w:tcW w:w="1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28,084,991.27</w:t>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209,943,407.49</w:t>
            </w:r>
          </w:p>
        </w:tc>
        <w:tc>
          <w:tcPr>
            <w:tcW w:w="12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19,447,207.39</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874,764,765.41</w:t>
            </w:r>
          </w:p>
        </w:tc>
      </w:tr>
    </w:tbl>
    <w:p>
      <w:pPr>
        <w:spacing w:line="240" w:lineRule="auto" w:before="7"/>
        <w:rPr>
          <w:rFonts w:ascii="宋体" w:hAnsi="宋体" w:cs="宋体" w:eastAsia="宋体" w:hint="default"/>
          <w:sz w:val="27"/>
          <w:szCs w:val="27"/>
        </w:rPr>
      </w:pPr>
    </w:p>
    <w:p>
      <w:pPr>
        <w:pStyle w:val="BodyText"/>
        <w:spacing w:line="240" w:lineRule="auto" w:before="44"/>
        <w:ind w:left="1133"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627" w:type="dxa"/>
        <w:tblLayout w:type="fixed"/>
        <w:tblCellMar>
          <w:top w:w="0" w:type="dxa"/>
          <w:left w:w="0" w:type="dxa"/>
          <w:bottom w:w="0" w:type="dxa"/>
          <w:right w:w="0" w:type="dxa"/>
        </w:tblCellMar>
        <w:tblLook w:val="01E0"/>
      </w:tblPr>
      <w:tblGrid>
        <w:gridCol w:w="1480"/>
        <w:gridCol w:w="9153"/>
      </w:tblGrid>
      <w:tr>
        <w:trPr>
          <w:trHeight w:val="332" w:hRule="exact"/>
        </w:trPr>
        <w:tc>
          <w:tcPr>
            <w:tcW w:w="1480"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9153"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上期</w:t>
            </w:r>
          </w:p>
        </w:tc>
      </w:tr>
    </w:tbl>
    <w:p>
      <w:pPr>
        <w:spacing w:after="0" w:line="240" w:lineRule="auto"/>
        <w:jc w:val="center"/>
        <w:rPr>
          <w:rFonts w:ascii="宋体" w:hAnsi="宋体" w:cs="宋体" w:eastAsia="宋体" w:hint="default"/>
          <w:sz w:val="18"/>
          <w:szCs w:val="18"/>
        </w:rPr>
        <w:sectPr>
          <w:pgSz w:w="11910" w:h="16840"/>
          <w:pgMar w:header="566" w:footer="979" w:top="1360" w:bottom="1160" w:left="0" w:right="0"/>
        </w:sectPr>
      </w:pPr>
    </w:p>
    <w:p>
      <w:pPr>
        <w:spacing w:line="240" w:lineRule="auto" w:before="6"/>
        <w:rPr>
          <w:rFonts w:ascii="宋体" w:hAnsi="宋体" w:cs="宋体" w:eastAsia="宋体" w:hint="default"/>
          <w:sz w:val="5"/>
          <w:szCs w:val="5"/>
        </w:rPr>
      </w:pPr>
    </w:p>
    <w:tbl>
      <w:tblPr>
        <w:tblW w:w="0" w:type="auto"/>
        <w:jc w:val="left"/>
        <w:tblInd w:w="627" w:type="dxa"/>
        <w:tblLayout w:type="fixed"/>
        <w:tblCellMar>
          <w:top w:w="0" w:type="dxa"/>
          <w:left w:w="0" w:type="dxa"/>
          <w:bottom w:w="0" w:type="dxa"/>
          <w:right w:w="0" w:type="dxa"/>
        </w:tblCellMar>
        <w:tblLook w:val="01E0"/>
      </w:tblPr>
      <w:tblGrid>
        <w:gridCol w:w="1480"/>
        <w:gridCol w:w="1342"/>
        <w:gridCol w:w="1273"/>
        <w:gridCol w:w="1248"/>
        <w:gridCol w:w="1273"/>
        <w:gridCol w:w="1342"/>
        <w:gridCol w:w="1265"/>
        <w:gridCol w:w="1410"/>
      </w:tblGrid>
      <w:tr>
        <w:trPr>
          <w:trHeight w:val="322" w:hRule="exact"/>
        </w:trPr>
        <w:tc>
          <w:tcPr>
            <w:tcW w:w="1480" w:type="dxa"/>
            <w:tcBorders>
              <w:top w:val="single" w:sz="8" w:space="0" w:color="000000"/>
              <w:left w:val="single" w:sz="8" w:space="0" w:color="000000"/>
              <w:bottom w:val="nil" w:sz="6" w:space="0" w:color="auto"/>
              <w:right w:val="single" w:sz="8" w:space="0" w:color="000000"/>
            </w:tcBorders>
            <w:shd w:val="clear" w:color="auto" w:fill="D2D2D2"/>
          </w:tcPr>
          <w:p>
            <w:pPr/>
          </w:p>
        </w:tc>
        <w:tc>
          <w:tcPr>
            <w:tcW w:w="6478" w:type="dxa"/>
            <w:gridSpan w:val="5"/>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65" w:type="dxa"/>
            <w:vMerge w:val="restart"/>
            <w:tcBorders>
              <w:top w:val="nil" w:sz="6" w:space="0" w:color="auto"/>
              <w:left w:val="single" w:sz="8" w:space="0" w:color="000000"/>
              <w:right w:val="single" w:sz="8" w:space="0" w:color="000000"/>
            </w:tcBorders>
            <w:shd w:val="clear" w:color="auto" w:fill="D2D2D2"/>
          </w:tcPr>
          <w:p>
            <w:pPr>
              <w:pStyle w:val="TableParagraph"/>
              <w:spacing w:line="240" w:lineRule="auto" w:before="13"/>
              <w:ind w:right="0"/>
              <w:jc w:val="left"/>
              <w:rPr>
                <w:rFonts w:ascii="宋体" w:hAnsi="宋体" w:cs="宋体" w:eastAsia="宋体" w:hint="default"/>
                <w:sz w:val="14"/>
                <w:szCs w:val="14"/>
              </w:rPr>
            </w:pPr>
          </w:p>
          <w:p>
            <w:pPr>
              <w:pStyle w:val="TableParagraph"/>
              <w:spacing w:line="316" w:lineRule="auto"/>
              <w:ind w:left="532" w:right="170"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410" w:type="dxa"/>
            <w:vMerge w:val="restart"/>
            <w:tcBorders>
              <w:top w:val="nil" w:sz="6" w:space="0" w:color="auto"/>
              <w:left w:val="single" w:sz="8" w:space="0" w:color="000000"/>
              <w:right w:val="single" w:sz="8" w:space="0" w:color="000000"/>
            </w:tcBorders>
            <w:shd w:val="clear" w:color="auto" w:fill="D2D2D2"/>
          </w:tcPr>
          <w:p>
            <w:pPr>
              <w:pStyle w:val="TableParagraph"/>
              <w:spacing w:line="240" w:lineRule="auto" w:before="13"/>
              <w:ind w:right="0"/>
              <w:jc w:val="left"/>
              <w:rPr>
                <w:rFonts w:ascii="宋体" w:hAnsi="宋体" w:cs="宋体" w:eastAsia="宋体" w:hint="default"/>
                <w:sz w:val="14"/>
                <w:szCs w:val="14"/>
              </w:rPr>
            </w:pPr>
          </w:p>
          <w:p>
            <w:pPr>
              <w:pStyle w:val="TableParagraph"/>
              <w:spacing w:line="316" w:lineRule="auto"/>
              <w:ind w:left="604" w:right="155" w:hanging="450"/>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673" w:hRule="exact"/>
        </w:trPr>
        <w:tc>
          <w:tcPr>
            <w:tcW w:w="1480" w:type="dxa"/>
            <w:tcBorders>
              <w:top w:val="nil" w:sz="6" w:space="0" w:color="auto"/>
              <w:left w:val="single" w:sz="8" w:space="0" w:color="000000"/>
              <w:bottom w:val="single" w:sz="8" w:space="0" w:color="000000"/>
              <w:right w:val="single" w:sz="8" w:space="0" w:color="000000"/>
            </w:tcBorders>
            <w:shd w:val="clear" w:color="auto" w:fill="D2D2D2"/>
          </w:tcPr>
          <w:p>
            <w:pPr/>
          </w:p>
        </w:tc>
        <w:tc>
          <w:tcPr>
            <w:tcW w:w="134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273"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资本公积</w:t>
            </w:r>
          </w:p>
        </w:tc>
        <w:tc>
          <w:tcPr>
            <w:tcW w:w="1248"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316" w:lineRule="auto" w:before="31"/>
              <w:ind w:left="523" w:right="163"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1273"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34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未分配利润</w:t>
            </w:r>
          </w:p>
        </w:tc>
        <w:tc>
          <w:tcPr>
            <w:tcW w:w="1265" w:type="dxa"/>
            <w:vMerge/>
            <w:tcBorders>
              <w:left w:val="single" w:sz="8" w:space="0" w:color="000000"/>
              <w:bottom w:val="single" w:sz="8" w:space="0" w:color="000000"/>
              <w:right w:val="single" w:sz="8" w:space="0" w:color="000000"/>
            </w:tcBorders>
            <w:shd w:val="clear" w:color="auto" w:fill="D2D2D2"/>
          </w:tcPr>
          <w:p>
            <w:pPr/>
          </w:p>
        </w:tc>
        <w:tc>
          <w:tcPr>
            <w:tcW w:w="1410" w:type="dxa"/>
            <w:vMerge/>
            <w:tcBorders>
              <w:left w:val="single" w:sz="8" w:space="0" w:color="000000"/>
              <w:bottom w:val="single" w:sz="8" w:space="0" w:color="000000"/>
              <w:right w:val="single" w:sz="8" w:space="0" w:color="000000"/>
            </w:tcBorders>
            <w:shd w:val="clear" w:color="auto" w:fill="D2D2D2"/>
          </w:tcPr>
          <w:p>
            <w:pPr/>
          </w:p>
        </w:tc>
      </w:tr>
      <w:tr>
        <w:trPr>
          <w:trHeight w:val="645" w:hRule="exact"/>
        </w:trPr>
        <w:tc>
          <w:tcPr>
            <w:tcW w:w="1480"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319" w:lineRule="auto" w:before="11"/>
              <w:ind w:left="98" w:right="100"/>
              <w:jc w:val="left"/>
              <w:rPr>
                <w:rFonts w:ascii="宋体" w:hAnsi="宋体" w:cs="宋体" w:eastAsia="宋体" w:hint="default"/>
                <w:sz w:val="18"/>
                <w:szCs w:val="18"/>
              </w:rPr>
            </w:pPr>
            <w:r>
              <w:rPr>
                <w:rFonts w:ascii="宋体" w:hAnsi="宋体" w:cs="宋体" w:eastAsia="宋体" w:hint="default"/>
                <w:sz w:val="18"/>
                <w:szCs w:val="18"/>
              </w:rPr>
              <w:t>一、上年期末余 额</w:t>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136,000,000.00</w:t>
            </w:r>
          </w:p>
        </w:tc>
        <w:tc>
          <w:tcPr>
            <w:tcW w:w="12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center"/>
              <w:rPr>
                <w:rFonts w:ascii="Times New Roman" w:hAnsi="Times New Roman" w:cs="Times New Roman" w:eastAsia="Times New Roman" w:hint="default"/>
                <w:sz w:val="18"/>
                <w:szCs w:val="18"/>
              </w:rPr>
            </w:pPr>
            <w:r>
              <w:rPr>
                <w:rFonts w:ascii="Times New Roman"/>
                <w:sz w:val="18"/>
              </w:rPr>
              <w:t>96,985,081.42</w:t>
            </w:r>
          </w:p>
        </w:tc>
        <w:tc>
          <w:tcPr>
            <w:tcW w:w="12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95"/>
                <w:sz w:val="18"/>
              </w:rPr>
              <w:t>-47,176.32</w:t>
            </w:r>
            <w:r>
              <w:rPr>
                <w:rFonts w:ascii="Times New Roman"/>
                <w:sz w:val="18"/>
              </w:rPr>
            </w:r>
          </w:p>
        </w:tc>
        <w:tc>
          <w:tcPr>
            <w:tcW w:w="12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18,164,976.87</w:t>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135,401,138.90</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8,662,634.52</w:t>
            </w:r>
          </w:p>
        </w:tc>
        <w:tc>
          <w:tcPr>
            <w:tcW w:w="1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395,166,655.39</w:t>
            </w:r>
          </w:p>
        </w:tc>
      </w:tr>
      <w:tr>
        <w:trPr>
          <w:trHeight w:val="643" w:hRule="exact"/>
        </w:trPr>
        <w:tc>
          <w:tcPr>
            <w:tcW w:w="1480"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316" w:lineRule="auto" w:before="10"/>
              <w:ind w:left="98" w:right="100"/>
              <w:jc w:val="left"/>
              <w:rPr>
                <w:rFonts w:ascii="宋体" w:hAnsi="宋体" w:cs="宋体" w:eastAsia="宋体" w:hint="default"/>
                <w:sz w:val="18"/>
                <w:szCs w:val="18"/>
              </w:rPr>
            </w:pPr>
            <w:r>
              <w:rPr>
                <w:rFonts w:ascii="宋体" w:hAnsi="宋体" w:cs="宋体" w:eastAsia="宋体" w:hint="default"/>
                <w:sz w:val="18"/>
                <w:szCs w:val="18"/>
              </w:rPr>
              <w:t>二、本年期初余 额</w:t>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136,000,000.00</w:t>
            </w:r>
          </w:p>
        </w:tc>
        <w:tc>
          <w:tcPr>
            <w:tcW w:w="12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center"/>
              <w:rPr>
                <w:rFonts w:ascii="Times New Roman" w:hAnsi="Times New Roman" w:cs="Times New Roman" w:eastAsia="Times New Roman" w:hint="default"/>
                <w:sz w:val="18"/>
                <w:szCs w:val="18"/>
              </w:rPr>
            </w:pPr>
            <w:r>
              <w:rPr>
                <w:rFonts w:ascii="Times New Roman"/>
                <w:sz w:val="18"/>
              </w:rPr>
              <w:t>96,985,081.42</w:t>
            </w:r>
          </w:p>
        </w:tc>
        <w:tc>
          <w:tcPr>
            <w:tcW w:w="12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95"/>
                <w:sz w:val="18"/>
              </w:rPr>
              <w:t>-47,176.32</w:t>
            </w:r>
            <w:r>
              <w:rPr>
                <w:rFonts w:ascii="Times New Roman"/>
                <w:sz w:val="18"/>
              </w:rPr>
            </w:r>
          </w:p>
        </w:tc>
        <w:tc>
          <w:tcPr>
            <w:tcW w:w="12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18,164,976.87</w:t>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135,401,138.90</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8,662,634.52</w:t>
            </w:r>
          </w:p>
        </w:tc>
        <w:tc>
          <w:tcPr>
            <w:tcW w:w="1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395,166,655.39</w:t>
            </w:r>
          </w:p>
        </w:tc>
      </w:tr>
      <w:tr>
        <w:trPr>
          <w:trHeight w:val="956" w:hRule="exact"/>
        </w:trPr>
        <w:tc>
          <w:tcPr>
            <w:tcW w:w="1480"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316" w:lineRule="auto" w:before="11"/>
              <w:ind w:left="98" w:right="100"/>
              <w:jc w:val="both"/>
              <w:rPr>
                <w:rFonts w:ascii="宋体" w:hAnsi="宋体" w:cs="宋体" w:eastAsia="宋体" w:hint="default"/>
                <w:sz w:val="18"/>
                <w:szCs w:val="18"/>
              </w:rPr>
            </w:pPr>
            <w:r>
              <w:rPr>
                <w:rFonts w:ascii="宋体" w:hAnsi="宋体" w:cs="宋体" w:eastAsia="宋体" w:hint="default"/>
                <w:sz w:val="18"/>
                <w:szCs w:val="18"/>
              </w:rPr>
              <w:t>三、本期增减变 动金额（减少以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342" w:type="dxa"/>
            <w:tcBorders>
              <w:top w:val="single" w:sz="8" w:space="0" w:color="000000"/>
              <w:left w:val="single" w:sz="8" w:space="0" w:color="000000"/>
              <w:bottom w:val="single" w:sz="8" w:space="0" w:color="000000"/>
              <w:right w:val="single" w:sz="8" w:space="0" w:color="000000"/>
            </w:tcBorders>
          </w:tcPr>
          <w:p>
            <w:pPr/>
          </w:p>
        </w:tc>
        <w:tc>
          <w:tcPr>
            <w:tcW w:w="1273" w:type="dxa"/>
            <w:tcBorders>
              <w:top w:val="single" w:sz="8" w:space="0" w:color="000000"/>
              <w:left w:val="single" w:sz="8" w:space="0" w:color="000000"/>
              <w:bottom w:val="single" w:sz="8" w:space="0" w:color="000000"/>
              <w:right w:val="single" w:sz="8" w:space="0" w:color="000000"/>
            </w:tcBorders>
          </w:tcPr>
          <w:p>
            <w:pPr/>
          </w:p>
        </w:tc>
        <w:tc>
          <w:tcPr>
            <w:tcW w:w="12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95"/>
              <w:jc w:val="right"/>
              <w:rPr>
                <w:rFonts w:ascii="Times New Roman" w:hAnsi="Times New Roman" w:cs="Times New Roman" w:eastAsia="Times New Roman" w:hint="default"/>
                <w:sz w:val="18"/>
                <w:szCs w:val="18"/>
              </w:rPr>
            </w:pPr>
            <w:r>
              <w:rPr>
                <w:rFonts w:ascii="Times New Roman"/>
                <w:sz w:val="18"/>
              </w:rPr>
              <w:t>22,185.55</w:t>
            </w:r>
          </w:p>
        </w:tc>
        <w:tc>
          <w:tcPr>
            <w:tcW w:w="12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95"/>
              <w:jc w:val="right"/>
              <w:rPr>
                <w:rFonts w:ascii="Times New Roman" w:hAnsi="Times New Roman" w:cs="Times New Roman" w:eastAsia="Times New Roman" w:hint="default"/>
                <w:sz w:val="18"/>
                <w:szCs w:val="18"/>
              </w:rPr>
            </w:pPr>
            <w:r>
              <w:rPr>
                <w:rFonts w:ascii="Times New Roman"/>
                <w:spacing w:val="-1"/>
                <w:sz w:val="18"/>
              </w:rPr>
              <w:t>5,454,535.58</w:t>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1" w:right="0"/>
              <w:jc w:val="center"/>
              <w:rPr>
                <w:rFonts w:ascii="Times New Roman" w:hAnsi="Times New Roman" w:cs="Times New Roman" w:eastAsia="Times New Roman" w:hint="default"/>
                <w:sz w:val="18"/>
                <w:szCs w:val="18"/>
              </w:rPr>
            </w:pPr>
            <w:r>
              <w:rPr>
                <w:rFonts w:ascii="Times New Roman"/>
                <w:sz w:val="18"/>
              </w:rPr>
              <w:t>40,612,293.53</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95"/>
              <w:jc w:val="right"/>
              <w:rPr>
                <w:rFonts w:ascii="Times New Roman" w:hAnsi="Times New Roman" w:cs="Times New Roman" w:eastAsia="Times New Roman" w:hint="default"/>
                <w:sz w:val="18"/>
                <w:szCs w:val="18"/>
              </w:rPr>
            </w:pPr>
            <w:r>
              <w:rPr>
                <w:rFonts w:ascii="Times New Roman"/>
                <w:spacing w:val="-1"/>
                <w:sz w:val="18"/>
              </w:rPr>
              <w:t>1,326,888.80</w:t>
            </w:r>
          </w:p>
        </w:tc>
        <w:tc>
          <w:tcPr>
            <w:tcW w:w="1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95"/>
              <w:jc w:val="right"/>
              <w:rPr>
                <w:rFonts w:ascii="Times New Roman" w:hAnsi="Times New Roman" w:cs="Times New Roman" w:eastAsia="Times New Roman" w:hint="default"/>
                <w:sz w:val="18"/>
                <w:szCs w:val="18"/>
              </w:rPr>
            </w:pPr>
            <w:r>
              <w:rPr>
                <w:rFonts w:ascii="Times New Roman"/>
                <w:spacing w:val="-1"/>
                <w:sz w:val="18"/>
              </w:rPr>
              <w:t>47,415,903.46</w:t>
            </w:r>
          </w:p>
        </w:tc>
      </w:tr>
      <w:tr>
        <w:trPr>
          <w:trHeight w:val="644" w:hRule="exact"/>
        </w:trPr>
        <w:tc>
          <w:tcPr>
            <w:tcW w:w="1480"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316" w:lineRule="auto" w:before="11"/>
              <w:ind w:left="98" w:right="100"/>
              <w:jc w:val="left"/>
              <w:rPr>
                <w:rFonts w:ascii="宋体" w:hAnsi="宋体" w:cs="宋体" w:eastAsia="宋体" w:hint="default"/>
                <w:sz w:val="18"/>
                <w:szCs w:val="18"/>
              </w:rPr>
            </w:pPr>
            <w:r>
              <w:rPr>
                <w:rFonts w:ascii="宋体" w:hAnsi="宋体" w:cs="宋体" w:eastAsia="宋体" w:hint="default"/>
                <w:sz w:val="18"/>
                <w:szCs w:val="18"/>
              </w:rPr>
              <w:t>（一）综合收益 总额</w:t>
            </w:r>
          </w:p>
        </w:tc>
        <w:tc>
          <w:tcPr>
            <w:tcW w:w="1342" w:type="dxa"/>
            <w:tcBorders>
              <w:top w:val="single" w:sz="8" w:space="0" w:color="000000"/>
              <w:left w:val="single" w:sz="8" w:space="0" w:color="000000"/>
              <w:bottom w:val="single" w:sz="8" w:space="0" w:color="000000"/>
              <w:right w:val="single" w:sz="8" w:space="0" w:color="000000"/>
            </w:tcBorders>
          </w:tcPr>
          <w:p>
            <w:pPr/>
          </w:p>
        </w:tc>
        <w:tc>
          <w:tcPr>
            <w:tcW w:w="1273" w:type="dxa"/>
            <w:tcBorders>
              <w:top w:val="single" w:sz="8" w:space="0" w:color="000000"/>
              <w:left w:val="single" w:sz="8" w:space="0" w:color="000000"/>
              <w:bottom w:val="single" w:sz="8" w:space="0" w:color="000000"/>
              <w:right w:val="single" w:sz="8" w:space="0" w:color="000000"/>
            </w:tcBorders>
          </w:tcPr>
          <w:p>
            <w:pPr/>
          </w:p>
        </w:tc>
        <w:tc>
          <w:tcPr>
            <w:tcW w:w="12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22,185.55</w:t>
            </w:r>
          </w:p>
        </w:tc>
        <w:tc>
          <w:tcPr>
            <w:tcW w:w="1273" w:type="dxa"/>
            <w:tcBorders>
              <w:top w:val="single" w:sz="8" w:space="0" w:color="000000"/>
              <w:left w:val="single" w:sz="8" w:space="0" w:color="000000"/>
              <w:bottom w:val="single" w:sz="8" w:space="0" w:color="000000"/>
              <w:right w:val="single" w:sz="8" w:space="0" w:color="000000"/>
            </w:tcBorders>
          </w:tcPr>
          <w:p>
            <w:pP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56,946,829.11</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1,326,888.80</w:t>
            </w:r>
          </w:p>
        </w:tc>
        <w:tc>
          <w:tcPr>
            <w:tcW w:w="1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58,295,903.46</w:t>
            </w:r>
          </w:p>
        </w:tc>
      </w:tr>
      <w:tr>
        <w:trPr>
          <w:trHeight w:val="331" w:hRule="exact"/>
        </w:trPr>
        <w:tc>
          <w:tcPr>
            <w:tcW w:w="1480"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0"/>
              <w:ind w:right="3"/>
              <w:jc w:val="center"/>
              <w:rPr>
                <w:rFonts w:ascii="宋体" w:hAnsi="宋体" w:cs="宋体" w:eastAsia="宋体" w:hint="default"/>
                <w:sz w:val="18"/>
                <w:szCs w:val="18"/>
              </w:rPr>
            </w:pPr>
            <w:r>
              <w:rPr>
                <w:rFonts w:ascii="宋体" w:hAnsi="宋体" w:cs="宋体" w:eastAsia="宋体" w:hint="default"/>
                <w:sz w:val="18"/>
                <w:szCs w:val="18"/>
              </w:rPr>
              <w:t>（二）利润分配</w:t>
            </w:r>
          </w:p>
        </w:tc>
        <w:tc>
          <w:tcPr>
            <w:tcW w:w="1342" w:type="dxa"/>
            <w:tcBorders>
              <w:top w:val="single" w:sz="8" w:space="0" w:color="000000"/>
              <w:left w:val="single" w:sz="8" w:space="0" w:color="000000"/>
              <w:bottom w:val="single" w:sz="8" w:space="0" w:color="000000"/>
              <w:right w:val="single" w:sz="8" w:space="0" w:color="000000"/>
            </w:tcBorders>
          </w:tcPr>
          <w:p>
            <w:pPr/>
          </w:p>
        </w:tc>
        <w:tc>
          <w:tcPr>
            <w:tcW w:w="1273" w:type="dxa"/>
            <w:tcBorders>
              <w:top w:val="single" w:sz="8" w:space="0" w:color="000000"/>
              <w:left w:val="single" w:sz="8" w:space="0" w:color="000000"/>
              <w:bottom w:val="single" w:sz="8" w:space="0" w:color="000000"/>
              <w:right w:val="single" w:sz="8" w:space="0" w:color="000000"/>
            </w:tcBorders>
          </w:tcPr>
          <w:p>
            <w:pPr/>
          </w:p>
        </w:tc>
        <w:tc>
          <w:tcPr>
            <w:tcW w:w="1248" w:type="dxa"/>
            <w:tcBorders>
              <w:top w:val="single" w:sz="8" w:space="0" w:color="000000"/>
              <w:left w:val="single" w:sz="8" w:space="0" w:color="000000"/>
              <w:bottom w:val="single" w:sz="8" w:space="0" w:color="000000"/>
              <w:right w:val="single" w:sz="8" w:space="0" w:color="000000"/>
            </w:tcBorders>
          </w:tcPr>
          <w:p>
            <w:pPr/>
          </w:p>
        </w:tc>
        <w:tc>
          <w:tcPr>
            <w:tcW w:w="12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5"/>
              <w:jc w:val="right"/>
              <w:rPr>
                <w:rFonts w:ascii="Times New Roman" w:hAnsi="Times New Roman" w:cs="Times New Roman" w:eastAsia="Times New Roman" w:hint="default"/>
                <w:sz w:val="18"/>
                <w:szCs w:val="18"/>
              </w:rPr>
            </w:pPr>
            <w:r>
              <w:rPr>
                <w:rFonts w:ascii="Times New Roman"/>
                <w:spacing w:val="-1"/>
                <w:sz w:val="18"/>
              </w:rPr>
              <w:t>5,454,535.58</w:t>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31" w:right="0"/>
              <w:jc w:val="center"/>
              <w:rPr>
                <w:rFonts w:ascii="Times New Roman" w:hAnsi="Times New Roman" w:cs="Times New Roman" w:eastAsia="Times New Roman" w:hint="default"/>
                <w:sz w:val="18"/>
                <w:szCs w:val="18"/>
              </w:rPr>
            </w:pPr>
            <w:r>
              <w:rPr>
                <w:rFonts w:ascii="Times New Roman"/>
                <w:sz w:val="18"/>
              </w:rPr>
              <w:t>-16,334,535.58</w:t>
            </w:r>
          </w:p>
        </w:tc>
        <w:tc>
          <w:tcPr>
            <w:tcW w:w="1265" w:type="dxa"/>
            <w:tcBorders>
              <w:top w:val="single" w:sz="8" w:space="0" w:color="000000"/>
              <w:left w:val="single" w:sz="8" w:space="0" w:color="000000"/>
              <w:bottom w:val="single" w:sz="8" w:space="0" w:color="000000"/>
              <w:right w:val="single" w:sz="8" w:space="0" w:color="000000"/>
            </w:tcBorders>
          </w:tcPr>
          <w:p>
            <w:pPr/>
          </w:p>
        </w:tc>
        <w:tc>
          <w:tcPr>
            <w:tcW w:w="1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5"/>
              <w:jc w:val="right"/>
              <w:rPr>
                <w:rFonts w:ascii="Times New Roman" w:hAnsi="Times New Roman" w:cs="Times New Roman" w:eastAsia="Times New Roman" w:hint="default"/>
                <w:sz w:val="18"/>
                <w:szCs w:val="18"/>
              </w:rPr>
            </w:pPr>
            <w:r>
              <w:rPr>
                <w:rFonts w:ascii="Times New Roman"/>
                <w:spacing w:val="-1"/>
                <w:sz w:val="18"/>
              </w:rPr>
              <w:t>-10,880,000.00</w:t>
            </w:r>
          </w:p>
        </w:tc>
      </w:tr>
      <w:tr>
        <w:trPr>
          <w:trHeight w:val="332" w:hRule="exact"/>
        </w:trPr>
        <w:tc>
          <w:tcPr>
            <w:tcW w:w="1480"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pacing w:val="-87"/>
                <w:sz w:val="18"/>
                <w:szCs w:val="18"/>
              </w:rPr>
              <w:t>．</w:t>
            </w:r>
            <w:r>
              <w:rPr>
                <w:rFonts w:ascii="宋体" w:hAnsi="宋体" w:cs="宋体" w:eastAsia="宋体" w:hint="default"/>
                <w:sz w:val="18"/>
                <w:szCs w:val="18"/>
              </w:rPr>
              <w:t>提取盈余公积</w:t>
            </w:r>
          </w:p>
        </w:tc>
        <w:tc>
          <w:tcPr>
            <w:tcW w:w="1342" w:type="dxa"/>
            <w:tcBorders>
              <w:top w:val="single" w:sz="8" w:space="0" w:color="000000"/>
              <w:left w:val="single" w:sz="8" w:space="0" w:color="000000"/>
              <w:bottom w:val="single" w:sz="8" w:space="0" w:color="000000"/>
              <w:right w:val="single" w:sz="8" w:space="0" w:color="000000"/>
            </w:tcBorders>
          </w:tcPr>
          <w:p>
            <w:pPr/>
          </w:p>
        </w:tc>
        <w:tc>
          <w:tcPr>
            <w:tcW w:w="1273" w:type="dxa"/>
            <w:tcBorders>
              <w:top w:val="single" w:sz="8" w:space="0" w:color="000000"/>
              <w:left w:val="single" w:sz="8" w:space="0" w:color="000000"/>
              <w:bottom w:val="single" w:sz="8" w:space="0" w:color="000000"/>
              <w:right w:val="single" w:sz="8" w:space="0" w:color="000000"/>
            </w:tcBorders>
          </w:tcPr>
          <w:p>
            <w:pPr/>
          </w:p>
        </w:tc>
        <w:tc>
          <w:tcPr>
            <w:tcW w:w="1248" w:type="dxa"/>
            <w:tcBorders>
              <w:top w:val="single" w:sz="8" w:space="0" w:color="000000"/>
              <w:left w:val="single" w:sz="8" w:space="0" w:color="000000"/>
              <w:bottom w:val="single" w:sz="8" w:space="0" w:color="000000"/>
              <w:right w:val="single" w:sz="8" w:space="0" w:color="000000"/>
            </w:tcBorders>
          </w:tcPr>
          <w:p>
            <w:pPr/>
          </w:p>
        </w:tc>
        <w:tc>
          <w:tcPr>
            <w:tcW w:w="12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spacing w:val="-1"/>
                <w:sz w:val="18"/>
              </w:rPr>
              <w:t>5,454,535.58</w:t>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121" w:right="0"/>
              <w:jc w:val="center"/>
              <w:rPr>
                <w:rFonts w:ascii="Times New Roman" w:hAnsi="Times New Roman" w:cs="Times New Roman" w:eastAsia="Times New Roman" w:hint="default"/>
                <w:sz w:val="18"/>
                <w:szCs w:val="18"/>
              </w:rPr>
            </w:pPr>
            <w:r>
              <w:rPr>
                <w:rFonts w:ascii="Times New Roman"/>
                <w:sz w:val="18"/>
              </w:rPr>
              <w:t>-5,454,535.58</w:t>
            </w:r>
          </w:p>
        </w:tc>
        <w:tc>
          <w:tcPr>
            <w:tcW w:w="1265" w:type="dxa"/>
            <w:tcBorders>
              <w:top w:val="single" w:sz="8" w:space="0" w:color="000000"/>
              <w:left w:val="single" w:sz="8" w:space="0" w:color="000000"/>
              <w:bottom w:val="single" w:sz="8" w:space="0" w:color="000000"/>
              <w:right w:val="single" w:sz="8" w:space="0" w:color="000000"/>
            </w:tcBorders>
          </w:tcPr>
          <w:p>
            <w:pPr/>
          </w:p>
        </w:tc>
        <w:tc>
          <w:tcPr>
            <w:tcW w:w="1410" w:type="dxa"/>
            <w:tcBorders>
              <w:top w:val="single" w:sz="8" w:space="0" w:color="000000"/>
              <w:left w:val="single" w:sz="8" w:space="0" w:color="000000"/>
              <w:bottom w:val="single" w:sz="8" w:space="0" w:color="000000"/>
              <w:right w:val="single" w:sz="8" w:space="0" w:color="000000"/>
            </w:tcBorders>
          </w:tcPr>
          <w:p>
            <w:pPr/>
          </w:p>
        </w:tc>
      </w:tr>
      <w:tr>
        <w:trPr>
          <w:trHeight w:val="644" w:hRule="exact"/>
        </w:trPr>
        <w:tc>
          <w:tcPr>
            <w:tcW w:w="1480"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300" w:lineRule="auto" w:before="11"/>
              <w:ind w:left="98" w:right="96"/>
              <w:jc w:val="left"/>
              <w:rPr>
                <w:rFonts w:ascii="宋体" w:hAnsi="宋体" w:cs="宋体" w:eastAsia="宋体" w:hint="default"/>
                <w:sz w:val="18"/>
                <w:szCs w:val="18"/>
              </w:rPr>
            </w:pPr>
            <w:r>
              <w:rPr>
                <w:rFonts w:ascii="Times New Roman" w:hAnsi="Times New Roman" w:cs="Times New Roman" w:eastAsia="Times New Roman" w:hint="default"/>
                <w:spacing w:val="-11"/>
                <w:sz w:val="18"/>
                <w:szCs w:val="18"/>
              </w:rPr>
              <w:t>2</w:t>
            </w:r>
            <w:r>
              <w:rPr>
                <w:rFonts w:ascii="宋体" w:hAnsi="宋体" w:cs="宋体" w:eastAsia="宋体" w:hint="default"/>
                <w:spacing w:val="-11"/>
                <w:sz w:val="18"/>
                <w:szCs w:val="18"/>
              </w:rPr>
              <w:t>．对所有者（或</w:t>
            </w:r>
            <w:r>
              <w:rPr>
                <w:rFonts w:ascii="宋体" w:hAnsi="宋体" w:cs="宋体" w:eastAsia="宋体" w:hint="default"/>
                <w:sz w:val="18"/>
                <w:szCs w:val="18"/>
              </w:rPr>
              <w:t> 股东）的分配</w:t>
            </w:r>
          </w:p>
        </w:tc>
        <w:tc>
          <w:tcPr>
            <w:tcW w:w="1342" w:type="dxa"/>
            <w:tcBorders>
              <w:top w:val="single" w:sz="8" w:space="0" w:color="000000"/>
              <w:left w:val="single" w:sz="8" w:space="0" w:color="000000"/>
              <w:bottom w:val="single" w:sz="8" w:space="0" w:color="000000"/>
              <w:right w:val="single" w:sz="8" w:space="0" w:color="000000"/>
            </w:tcBorders>
          </w:tcPr>
          <w:p>
            <w:pPr/>
          </w:p>
        </w:tc>
        <w:tc>
          <w:tcPr>
            <w:tcW w:w="1273" w:type="dxa"/>
            <w:tcBorders>
              <w:top w:val="single" w:sz="8" w:space="0" w:color="000000"/>
              <w:left w:val="single" w:sz="8" w:space="0" w:color="000000"/>
              <w:bottom w:val="single" w:sz="8" w:space="0" w:color="000000"/>
              <w:right w:val="single" w:sz="8" w:space="0" w:color="000000"/>
            </w:tcBorders>
          </w:tcPr>
          <w:p>
            <w:pPr/>
          </w:p>
        </w:tc>
        <w:tc>
          <w:tcPr>
            <w:tcW w:w="1248" w:type="dxa"/>
            <w:tcBorders>
              <w:top w:val="single" w:sz="8" w:space="0" w:color="000000"/>
              <w:left w:val="single" w:sz="8" w:space="0" w:color="000000"/>
              <w:bottom w:val="single" w:sz="8" w:space="0" w:color="000000"/>
              <w:right w:val="single" w:sz="8" w:space="0" w:color="000000"/>
            </w:tcBorders>
          </w:tcPr>
          <w:p>
            <w:pPr/>
          </w:p>
        </w:tc>
        <w:tc>
          <w:tcPr>
            <w:tcW w:w="1273" w:type="dxa"/>
            <w:tcBorders>
              <w:top w:val="single" w:sz="8" w:space="0" w:color="000000"/>
              <w:left w:val="single" w:sz="8" w:space="0" w:color="000000"/>
              <w:bottom w:val="single" w:sz="8" w:space="0" w:color="000000"/>
              <w:right w:val="single" w:sz="8" w:space="0" w:color="000000"/>
            </w:tcBorders>
          </w:tcPr>
          <w:p>
            <w:pP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-10,880,000.00</w:t>
            </w:r>
          </w:p>
        </w:tc>
        <w:tc>
          <w:tcPr>
            <w:tcW w:w="1265" w:type="dxa"/>
            <w:tcBorders>
              <w:top w:val="single" w:sz="8" w:space="0" w:color="000000"/>
              <w:left w:val="single" w:sz="8" w:space="0" w:color="000000"/>
              <w:bottom w:val="single" w:sz="8" w:space="0" w:color="000000"/>
              <w:right w:val="single" w:sz="8" w:space="0" w:color="000000"/>
            </w:tcBorders>
          </w:tcPr>
          <w:p>
            <w:pPr/>
          </w:p>
        </w:tc>
        <w:tc>
          <w:tcPr>
            <w:tcW w:w="1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-10,880,000.00</w:t>
            </w:r>
          </w:p>
        </w:tc>
      </w:tr>
      <w:tr>
        <w:trPr>
          <w:trHeight w:val="643" w:hRule="exact"/>
        </w:trPr>
        <w:tc>
          <w:tcPr>
            <w:tcW w:w="1480"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316" w:lineRule="auto" w:before="10"/>
              <w:ind w:left="98" w:right="100"/>
              <w:jc w:val="left"/>
              <w:rPr>
                <w:rFonts w:ascii="宋体" w:hAnsi="宋体" w:cs="宋体" w:eastAsia="宋体" w:hint="default"/>
                <w:sz w:val="18"/>
                <w:szCs w:val="18"/>
              </w:rPr>
            </w:pPr>
            <w:r>
              <w:rPr>
                <w:rFonts w:ascii="宋体" w:hAnsi="宋体" w:cs="宋体" w:eastAsia="宋体" w:hint="default"/>
                <w:sz w:val="18"/>
                <w:szCs w:val="18"/>
              </w:rPr>
              <w:t>四、本期期末余 额</w:t>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136,000,000.00</w:t>
            </w:r>
          </w:p>
        </w:tc>
        <w:tc>
          <w:tcPr>
            <w:tcW w:w="12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center"/>
              <w:rPr>
                <w:rFonts w:ascii="Times New Roman" w:hAnsi="Times New Roman" w:cs="Times New Roman" w:eastAsia="Times New Roman" w:hint="default"/>
                <w:sz w:val="18"/>
                <w:szCs w:val="18"/>
              </w:rPr>
            </w:pPr>
            <w:r>
              <w:rPr>
                <w:rFonts w:ascii="Times New Roman"/>
                <w:sz w:val="18"/>
              </w:rPr>
              <w:t>96,985,081.42</w:t>
            </w:r>
          </w:p>
        </w:tc>
        <w:tc>
          <w:tcPr>
            <w:tcW w:w="12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95"/>
                <w:sz w:val="18"/>
              </w:rPr>
              <w:t>-24,990.77</w:t>
            </w:r>
            <w:r>
              <w:rPr>
                <w:rFonts w:ascii="Times New Roman"/>
                <w:sz w:val="18"/>
              </w:rPr>
            </w:r>
          </w:p>
        </w:tc>
        <w:tc>
          <w:tcPr>
            <w:tcW w:w="12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23,619,512.45</w:t>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176,013,432.43</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9,989,523.32</w:t>
            </w:r>
          </w:p>
        </w:tc>
        <w:tc>
          <w:tcPr>
            <w:tcW w:w="1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442,582,558.85</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3"/>
        <w:spacing w:line="240" w:lineRule="auto" w:before="35"/>
        <w:ind w:left="1133" w:right="0"/>
        <w:jc w:val="left"/>
        <w:rPr>
          <w:b w:val="0"/>
          <w:bCs w:val="0"/>
        </w:rPr>
      </w:pPr>
      <w:bookmarkStart w:name="8、母公司所有者权益变动表" w:id="158"/>
      <w:bookmarkEnd w:id="158"/>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3" w:right="0"/>
        <w:jc w:val="left"/>
      </w:pPr>
      <w:r>
        <w:rPr/>
        <w:t>本期金额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697" w:type="dxa"/>
        <w:tblLayout w:type="fixed"/>
        <w:tblCellMar>
          <w:top w:w="0" w:type="dxa"/>
          <w:left w:w="0" w:type="dxa"/>
          <w:bottom w:w="0" w:type="dxa"/>
          <w:right w:w="0" w:type="dxa"/>
        </w:tblCellMar>
        <w:tblLook w:val="01E0"/>
      </w:tblPr>
      <w:tblGrid>
        <w:gridCol w:w="3563"/>
        <w:gridCol w:w="1342"/>
        <w:gridCol w:w="1400"/>
        <w:gridCol w:w="1252"/>
        <w:gridCol w:w="1340"/>
        <w:gridCol w:w="1595"/>
      </w:tblGrid>
      <w:tr>
        <w:trPr>
          <w:trHeight w:val="322" w:hRule="exact"/>
        </w:trPr>
        <w:tc>
          <w:tcPr>
            <w:tcW w:w="3563" w:type="dxa"/>
            <w:vMerge w:val="restart"/>
            <w:tcBorders>
              <w:top w:val="single" w:sz="8" w:space="0" w:color="000000"/>
              <w:left w:val="single" w:sz="8" w:space="0" w:color="000000"/>
              <w:right w:val="single" w:sz="8"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30" w:type="dxa"/>
            <w:gridSpan w:val="5"/>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673" w:hRule="exact"/>
        </w:trPr>
        <w:tc>
          <w:tcPr>
            <w:tcW w:w="3563" w:type="dxa"/>
            <w:vMerge/>
            <w:tcBorders>
              <w:left w:val="single" w:sz="8" w:space="0" w:color="000000"/>
              <w:bottom w:val="single" w:sz="8" w:space="0" w:color="000000"/>
              <w:right w:val="single" w:sz="8" w:space="0" w:color="000000"/>
            </w:tcBorders>
            <w:shd w:val="clear" w:color="auto" w:fill="D2D2D2"/>
          </w:tcPr>
          <w:p>
            <w:pPr/>
          </w:p>
        </w:tc>
        <w:tc>
          <w:tcPr>
            <w:tcW w:w="134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400"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资本公积</w:t>
            </w:r>
          </w:p>
        </w:tc>
        <w:tc>
          <w:tcPr>
            <w:tcW w:w="125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340"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95"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57"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332" w:hRule="exact"/>
        </w:trPr>
        <w:tc>
          <w:tcPr>
            <w:tcW w:w="3563"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136,000,000.00</w:t>
            </w:r>
          </w:p>
        </w:tc>
        <w:tc>
          <w:tcPr>
            <w:tcW w:w="14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152" w:right="0"/>
              <w:jc w:val="center"/>
              <w:rPr>
                <w:rFonts w:ascii="Times New Roman" w:hAnsi="Times New Roman" w:cs="Times New Roman" w:eastAsia="Times New Roman" w:hint="default"/>
                <w:sz w:val="18"/>
                <w:szCs w:val="18"/>
              </w:rPr>
            </w:pPr>
            <w:r>
              <w:rPr>
                <w:rFonts w:ascii="Times New Roman"/>
                <w:sz w:val="18"/>
              </w:rPr>
              <w:t>96,984,426.31</w:t>
            </w:r>
          </w:p>
        </w:tc>
        <w:tc>
          <w:tcPr>
            <w:tcW w:w="12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23,619,512.45</w:t>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4"/>
              <w:jc w:val="right"/>
              <w:rPr>
                <w:rFonts w:ascii="Times New Roman" w:hAnsi="Times New Roman" w:cs="Times New Roman" w:eastAsia="Times New Roman" w:hint="default"/>
                <w:sz w:val="18"/>
                <w:szCs w:val="18"/>
              </w:rPr>
            </w:pPr>
            <w:r>
              <w:rPr>
                <w:rFonts w:ascii="Times New Roman"/>
                <w:spacing w:val="-1"/>
                <w:sz w:val="18"/>
              </w:rPr>
              <w:t>177,895,612.18</w:t>
            </w:r>
          </w:p>
        </w:tc>
        <w:tc>
          <w:tcPr>
            <w:tcW w:w="15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pacing w:val="-1"/>
                <w:sz w:val="18"/>
              </w:rPr>
              <w:t>434,499,550.94</w:t>
            </w:r>
          </w:p>
        </w:tc>
      </w:tr>
      <w:tr>
        <w:trPr>
          <w:trHeight w:val="331" w:hRule="exact"/>
        </w:trPr>
        <w:tc>
          <w:tcPr>
            <w:tcW w:w="3563"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pacing w:val="-1"/>
                <w:sz w:val="18"/>
              </w:rPr>
              <w:t>136,000,000.00</w:t>
            </w:r>
          </w:p>
        </w:tc>
        <w:tc>
          <w:tcPr>
            <w:tcW w:w="14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152" w:right="0"/>
              <w:jc w:val="center"/>
              <w:rPr>
                <w:rFonts w:ascii="Times New Roman" w:hAnsi="Times New Roman" w:cs="Times New Roman" w:eastAsia="Times New Roman" w:hint="default"/>
                <w:sz w:val="18"/>
                <w:szCs w:val="18"/>
              </w:rPr>
            </w:pPr>
            <w:r>
              <w:rPr>
                <w:rFonts w:ascii="Times New Roman"/>
                <w:sz w:val="18"/>
              </w:rPr>
              <w:t>96,984,426.31</w:t>
            </w:r>
          </w:p>
        </w:tc>
        <w:tc>
          <w:tcPr>
            <w:tcW w:w="12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pacing w:val="-1"/>
                <w:sz w:val="18"/>
              </w:rPr>
              <w:t>23,619,512.45</w:t>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177,895,612.18</w:t>
            </w:r>
          </w:p>
        </w:tc>
        <w:tc>
          <w:tcPr>
            <w:tcW w:w="15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spacing w:val="-1"/>
                <w:sz w:val="18"/>
              </w:rPr>
              <w:t>434,499,550.94</w:t>
            </w:r>
          </w:p>
        </w:tc>
      </w:tr>
      <w:tr>
        <w:trPr>
          <w:trHeight w:val="382" w:hRule="exact"/>
        </w:trPr>
        <w:tc>
          <w:tcPr>
            <w:tcW w:w="3563"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35"/>
              <w:ind w:left="98" w:right="0"/>
              <w:jc w:val="left"/>
              <w:rPr>
                <w:rFonts w:ascii="宋体" w:hAnsi="宋体" w:cs="宋体" w:eastAsia="宋体" w:hint="default"/>
                <w:sz w:val="18"/>
                <w:szCs w:val="18"/>
              </w:rPr>
            </w:pPr>
            <w:r>
              <w:rPr>
                <w:rFonts w:ascii="宋体" w:hAnsi="宋体" w:cs="宋体" w:eastAsia="宋体" w:hint="default"/>
                <w:spacing w:val="-7"/>
                <w:sz w:val="18"/>
                <w:szCs w:val="18"/>
              </w:rPr>
              <w:t>三、本期增减变动金额（减少以</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号填列）</w:t>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6"/>
              <w:jc w:val="right"/>
              <w:rPr>
                <w:rFonts w:ascii="Times New Roman" w:hAnsi="Times New Roman" w:cs="Times New Roman" w:eastAsia="Times New Roman" w:hint="default"/>
                <w:sz w:val="18"/>
                <w:szCs w:val="18"/>
              </w:rPr>
            </w:pPr>
            <w:r>
              <w:rPr>
                <w:rFonts w:ascii="Times New Roman"/>
                <w:spacing w:val="-1"/>
                <w:sz w:val="18"/>
              </w:rPr>
              <w:t>185,429,652.00</w:t>
            </w:r>
          </w:p>
        </w:tc>
        <w:tc>
          <w:tcPr>
            <w:tcW w:w="14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left="62" w:right="0"/>
              <w:jc w:val="center"/>
              <w:rPr>
                <w:rFonts w:ascii="Times New Roman" w:hAnsi="Times New Roman" w:cs="Times New Roman" w:eastAsia="Times New Roman" w:hint="default"/>
                <w:sz w:val="18"/>
                <w:szCs w:val="18"/>
              </w:rPr>
            </w:pPr>
            <w:r>
              <w:rPr>
                <w:rFonts w:ascii="Times New Roman"/>
                <w:sz w:val="18"/>
              </w:rPr>
              <w:t>198,427,974.81</w:t>
            </w:r>
          </w:p>
        </w:tc>
        <w:tc>
          <w:tcPr>
            <w:tcW w:w="12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6"/>
              <w:jc w:val="right"/>
              <w:rPr>
                <w:rFonts w:ascii="Times New Roman" w:hAnsi="Times New Roman" w:cs="Times New Roman" w:eastAsia="Times New Roman" w:hint="default"/>
                <w:sz w:val="18"/>
                <w:szCs w:val="18"/>
              </w:rPr>
            </w:pPr>
            <w:r>
              <w:rPr>
                <w:rFonts w:ascii="Times New Roman"/>
                <w:spacing w:val="-1"/>
                <w:sz w:val="18"/>
              </w:rPr>
              <w:t>4,465,478.82</w:t>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4"/>
              <w:jc w:val="right"/>
              <w:rPr>
                <w:rFonts w:ascii="Times New Roman" w:hAnsi="Times New Roman" w:cs="Times New Roman" w:eastAsia="Times New Roman" w:hint="default"/>
                <w:sz w:val="18"/>
                <w:szCs w:val="18"/>
              </w:rPr>
            </w:pPr>
            <w:r>
              <w:rPr>
                <w:rFonts w:ascii="Times New Roman"/>
                <w:spacing w:val="-1"/>
                <w:sz w:val="18"/>
              </w:rPr>
              <w:t>27,949,309.34</w:t>
            </w:r>
          </w:p>
        </w:tc>
        <w:tc>
          <w:tcPr>
            <w:tcW w:w="15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7"/>
              <w:jc w:val="right"/>
              <w:rPr>
                <w:rFonts w:ascii="Times New Roman" w:hAnsi="Times New Roman" w:cs="Times New Roman" w:eastAsia="Times New Roman" w:hint="default"/>
                <w:sz w:val="18"/>
                <w:szCs w:val="18"/>
              </w:rPr>
            </w:pPr>
            <w:r>
              <w:rPr>
                <w:rFonts w:ascii="Times New Roman"/>
                <w:spacing w:val="-1"/>
                <w:sz w:val="18"/>
              </w:rPr>
              <w:t>416,272,414.97</w:t>
            </w:r>
          </w:p>
        </w:tc>
      </w:tr>
      <w:tr>
        <w:trPr>
          <w:trHeight w:val="335" w:hRule="exact"/>
        </w:trPr>
        <w:tc>
          <w:tcPr>
            <w:tcW w:w="3563"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3"/>
              <w:ind w:left="98"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342" w:type="dxa"/>
            <w:tcBorders>
              <w:top w:val="single" w:sz="8" w:space="0" w:color="000000"/>
              <w:left w:val="single" w:sz="8" w:space="0" w:color="000000"/>
              <w:bottom w:val="single" w:sz="8" w:space="0" w:color="000000"/>
              <w:right w:val="single" w:sz="8" w:space="0" w:color="000000"/>
            </w:tcBorders>
          </w:tcPr>
          <w:p>
            <w:pPr/>
          </w:p>
        </w:tc>
        <w:tc>
          <w:tcPr>
            <w:tcW w:w="1400" w:type="dxa"/>
            <w:tcBorders>
              <w:top w:val="single" w:sz="8" w:space="0" w:color="000000"/>
              <w:left w:val="single" w:sz="8" w:space="0" w:color="000000"/>
              <w:bottom w:val="single" w:sz="8" w:space="0" w:color="000000"/>
              <w:right w:val="single" w:sz="8" w:space="0" w:color="000000"/>
            </w:tcBorders>
          </w:tcPr>
          <w:p>
            <w:pPr/>
          </w:p>
        </w:tc>
        <w:tc>
          <w:tcPr>
            <w:tcW w:w="1252" w:type="dxa"/>
            <w:tcBorders>
              <w:top w:val="single" w:sz="8" w:space="0" w:color="000000"/>
              <w:left w:val="single" w:sz="8" w:space="0" w:color="000000"/>
              <w:bottom w:val="single" w:sz="8" w:space="0" w:color="000000"/>
              <w:right w:val="single" w:sz="8" w:space="0" w:color="000000"/>
            </w:tcBorders>
          </w:tcPr>
          <w:p>
            <w:pP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44,654,788.16</w:t>
            </w:r>
          </w:p>
        </w:tc>
        <w:tc>
          <w:tcPr>
            <w:tcW w:w="15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7"/>
              <w:jc w:val="right"/>
              <w:rPr>
                <w:rFonts w:ascii="Times New Roman" w:hAnsi="Times New Roman" w:cs="Times New Roman" w:eastAsia="Times New Roman" w:hint="default"/>
                <w:sz w:val="18"/>
                <w:szCs w:val="18"/>
              </w:rPr>
            </w:pPr>
            <w:r>
              <w:rPr>
                <w:rFonts w:ascii="Times New Roman"/>
                <w:spacing w:val="-1"/>
                <w:sz w:val="18"/>
              </w:rPr>
              <w:t>44,654,788.16</w:t>
            </w:r>
          </w:p>
        </w:tc>
      </w:tr>
      <w:tr>
        <w:trPr>
          <w:trHeight w:val="332" w:hRule="exact"/>
        </w:trPr>
        <w:tc>
          <w:tcPr>
            <w:tcW w:w="3563"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24,714,826.00</w:t>
            </w:r>
          </w:p>
        </w:tc>
        <w:tc>
          <w:tcPr>
            <w:tcW w:w="14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62" w:right="0"/>
              <w:jc w:val="center"/>
              <w:rPr>
                <w:rFonts w:ascii="Times New Roman" w:hAnsi="Times New Roman" w:cs="Times New Roman" w:eastAsia="Times New Roman" w:hint="default"/>
                <w:sz w:val="18"/>
                <w:szCs w:val="18"/>
              </w:rPr>
            </w:pPr>
            <w:r>
              <w:rPr>
                <w:rFonts w:ascii="Times New Roman"/>
                <w:sz w:val="18"/>
              </w:rPr>
              <w:t>359,142,800.81</w:t>
            </w:r>
          </w:p>
        </w:tc>
        <w:tc>
          <w:tcPr>
            <w:tcW w:w="1252" w:type="dxa"/>
            <w:tcBorders>
              <w:top w:val="single" w:sz="8" w:space="0" w:color="000000"/>
              <w:left w:val="single" w:sz="8" w:space="0" w:color="000000"/>
              <w:bottom w:val="single" w:sz="8" w:space="0" w:color="000000"/>
              <w:right w:val="single" w:sz="8" w:space="0" w:color="000000"/>
            </w:tcBorders>
          </w:tcPr>
          <w:p>
            <w:pPr/>
          </w:p>
        </w:tc>
        <w:tc>
          <w:tcPr>
            <w:tcW w:w="1340" w:type="dxa"/>
            <w:tcBorders>
              <w:top w:val="single" w:sz="8" w:space="0" w:color="000000"/>
              <w:left w:val="single" w:sz="8" w:space="0" w:color="000000"/>
              <w:bottom w:val="single" w:sz="8" w:space="0" w:color="000000"/>
              <w:right w:val="single" w:sz="8" w:space="0" w:color="000000"/>
            </w:tcBorders>
          </w:tcPr>
          <w:p>
            <w:pPr/>
          </w:p>
        </w:tc>
        <w:tc>
          <w:tcPr>
            <w:tcW w:w="15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pacing w:val="-1"/>
                <w:sz w:val="18"/>
              </w:rPr>
              <w:t>383,857,626.81</w:t>
            </w:r>
          </w:p>
        </w:tc>
      </w:tr>
      <w:tr>
        <w:trPr>
          <w:trHeight w:val="331" w:hRule="exact"/>
        </w:trPr>
        <w:tc>
          <w:tcPr>
            <w:tcW w:w="3563"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0"/>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pacing w:val="-1"/>
                <w:sz w:val="18"/>
              </w:rPr>
              <w:t>24,714,826.00</w:t>
            </w:r>
          </w:p>
        </w:tc>
        <w:tc>
          <w:tcPr>
            <w:tcW w:w="14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62" w:right="0"/>
              <w:jc w:val="center"/>
              <w:rPr>
                <w:rFonts w:ascii="Times New Roman" w:hAnsi="Times New Roman" w:cs="Times New Roman" w:eastAsia="Times New Roman" w:hint="default"/>
                <w:sz w:val="18"/>
                <w:szCs w:val="18"/>
              </w:rPr>
            </w:pPr>
            <w:r>
              <w:rPr>
                <w:rFonts w:ascii="Times New Roman"/>
                <w:sz w:val="18"/>
              </w:rPr>
              <w:t>359,142,800.81</w:t>
            </w:r>
          </w:p>
        </w:tc>
        <w:tc>
          <w:tcPr>
            <w:tcW w:w="1252" w:type="dxa"/>
            <w:tcBorders>
              <w:top w:val="single" w:sz="8" w:space="0" w:color="000000"/>
              <w:left w:val="single" w:sz="8" w:space="0" w:color="000000"/>
              <w:bottom w:val="single" w:sz="8" w:space="0" w:color="000000"/>
              <w:right w:val="single" w:sz="8" w:space="0" w:color="000000"/>
            </w:tcBorders>
          </w:tcPr>
          <w:p>
            <w:pPr/>
          </w:p>
        </w:tc>
        <w:tc>
          <w:tcPr>
            <w:tcW w:w="1340" w:type="dxa"/>
            <w:tcBorders>
              <w:top w:val="single" w:sz="8" w:space="0" w:color="000000"/>
              <w:left w:val="single" w:sz="8" w:space="0" w:color="000000"/>
              <w:bottom w:val="single" w:sz="8" w:space="0" w:color="000000"/>
              <w:right w:val="single" w:sz="8" w:space="0" w:color="000000"/>
            </w:tcBorders>
          </w:tcPr>
          <w:p>
            <w:pPr/>
          </w:p>
        </w:tc>
        <w:tc>
          <w:tcPr>
            <w:tcW w:w="15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spacing w:val="-1"/>
                <w:sz w:val="18"/>
              </w:rPr>
              <w:t>383,857,626.81</w:t>
            </w:r>
          </w:p>
        </w:tc>
      </w:tr>
      <w:tr>
        <w:trPr>
          <w:trHeight w:val="332" w:hRule="exact"/>
        </w:trPr>
        <w:tc>
          <w:tcPr>
            <w:tcW w:w="3563"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342" w:type="dxa"/>
            <w:tcBorders>
              <w:top w:val="single" w:sz="8" w:space="0" w:color="000000"/>
              <w:left w:val="single" w:sz="8" w:space="0" w:color="000000"/>
              <w:bottom w:val="single" w:sz="8" w:space="0" w:color="000000"/>
              <w:right w:val="single" w:sz="8" w:space="0" w:color="000000"/>
            </w:tcBorders>
          </w:tcPr>
          <w:p>
            <w:pPr/>
          </w:p>
        </w:tc>
        <w:tc>
          <w:tcPr>
            <w:tcW w:w="1400" w:type="dxa"/>
            <w:tcBorders>
              <w:top w:val="single" w:sz="8" w:space="0" w:color="000000"/>
              <w:left w:val="single" w:sz="8" w:space="0" w:color="000000"/>
              <w:bottom w:val="single" w:sz="8" w:space="0" w:color="000000"/>
              <w:right w:val="single" w:sz="8" w:space="0" w:color="000000"/>
            </w:tcBorders>
          </w:tcPr>
          <w:p>
            <w:pPr/>
          </w:p>
        </w:tc>
        <w:tc>
          <w:tcPr>
            <w:tcW w:w="12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4,465,478.82</w:t>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4"/>
              <w:jc w:val="right"/>
              <w:rPr>
                <w:rFonts w:ascii="Times New Roman" w:hAnsi="Times New Roman" w:cs="Times New Roman" w:eastAsia="Times New Roman" w:hint="default"/>
                <w:sz w:val="18"/>
                <w:szCs w:val="18"/>
              </w:rPr>
            </w:pPr>
            <w:r>
              <w:rPr>
                <w:rFonts w:ascii="Times New Roman"/>
                <w:spacing w:val="-1"/>
                <w:sz w:val="18"/>
              </w:rPr>
              <w:t>-16,705,478.82</w:t>
            </w:r>
          </w:p>
        </w:tc>
        <w:tc>
          <w:tcPr>
            <w:tcW w:w="15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-12,240,000.00</w:t>
            </w:r>
          </w:p>
        </w:tc>
      </w:tr>
      <w:tr>
        <w:trPr>
          <w:trHeight w:val="332" w:hRule="exact"/>
        </w:trPr>
        <w:tc>
          <w:tcPr>
            <w:tcW w:w="3563"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1"/>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342" w:type="dxa"/>
            <w:tcBorders>
              <w:top w:val="single" w:sz="8" w:space="0" w:color="000000"/>
              <w:left w:val="single" w:sz="8" w:space="0" w:color="000000"/>
              <w:bottom w:val="single" w:sz="8" w:space="0" w:color="000000"/>
              <w:right w:val="single" w:sz="8" w:space="0" w:color="000000"/>
            </w:tcBorders>
          </w:tcPr>
          <w:p>
            <w:pPr/>
          </w:p>
        </w:tc>
        <w:tc>
          <w:tcPr>
            <w:tcW w:w="1400" w:type="dxa"/>
            <w:tcBorders>
              <w:top w:val="single" w:sz="8" w:space="0" w:color="000000"/>
              <w:left w:val="single" w:sz="8" w:space="0" w:color="000000"/>
              <w:bottom w:val="single" w:sz="8" w:space="0" w:color="000000"/>
              <w:right w:val="single" w:sz="8" w:space="0" w:color="000000"/>
            </w:tcBorders>
          </w:tcPr>
          <w:p>
            <w:pPr/>
          </w:p>
        </w:tc>
        <w:tc>
          <w:tcPr>
            <w:tcW w:w="12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4,465,478.82</w:t>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4"/>
              <w:jc w:val="right"/>
              <w:rPr>
                <w:rFonts w:ascii="Times New Roman" w:hAnsi="Times New Roman" w:cs="Times New Roman" w:eastAsia="Times New Roman" w:hint="default"/>
                <w:sz w:val="18"/>
                <w:szCs w:val="18"/>
              </w:rPr>
            </w:pPr>
            <w:r>
              <w:rPr>
                <w:rFonts w:ascii="Times New Roman"/>
                <w:spacing w:val="-1"/>
                <w:sz w:val="18"/>
              </w:rPr>
              <w:t>-4,465,478.82</w:t>
            </w:r>
          </w:p>
        </w:tc>
        <w:tc>
          <w:tcPr>
            <w:tcW w:w="1595" w:type="dxa"/>
            <w:tcBorders>
              <w:top w:val="single" w:sz="8" w:space="0" w:color="000000"/>
              <w:left w:val="single" w:sz="8" w:space="0" w:color="000000"/>
              <w:bottom w:val="single" w:sz="8" w:space="0" w:color="000000"/>
              <w:right w:val="single" w:sz="8" w:space="0" w:color="000000"/>
            </w:tcBorders>
          </w:tcPr>
          <w:p>
            <w:pPr/>
          </w:p>
        </w:tc>
      </w:tr>
      <w:tr>
        <w:trPr>
          <w:trHeight w:val="331" w:hRule="exact"/>
        </w:trPr>
        <w:tc>
          <w:tcPr>
            <w:tcW w:w="3563"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0"/>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342" w:type="dxa"/>
            <w:tcBorders>
              <w:top w:val="single" w:sz="8" w:space="0" w:color="000000"/>
              <w:left w:val="single" w:sz="8" w:space="0" w:color="000000"/>
              <w:bottom w:val="single" w:sz="8" w:space="0" w:color="000000"/>
              <w:right w:val="single" w:sz="8" w:space="0" w:color="000000"/>
            </w:tcBorders>
          </w:tcPr>
          <w:p>
            <w:pPr/>
          </w:p>
        </w:tc>
        <w:tc>
          <w:tcPr>
            <w:tcW w:w="1400" w:type="dxa"/>
            <w:tcBorders>
              <w:top w:val="single" w:sz="8" w:space="0" w:color="000000"/>
              <w:left w:val="single" w:sz="8" w:space="0" w:color="000000"/>
              <w:bottom w:val="single" w:sz="8" w:space="0" w:color="000000"/>
              <w:right w:val="single" w:sz="8" w:space="0" w:color="000000"/>
            </w:tcBorders>
          </w:tcPr>
          <w:p>
            <w:pPr/>
          </w:p>
        </w:tc>
        <w:tc>
          <w:tcPr>
            <w:tcW w:w="1252" w:type="dxa"/>
            <w:tcBorders>
              <w:top w:val="single" w:sz="8" w:space="0" w:color="000000"/>
              <w:left w:val="single" w:sz="8" w:space="0" w:color="000000"/>
              <w:bottom w:val="single" w:sz="8" w:space="0" w:color="000000"/>
              <w:right w:val="single" w:sz="8" w:space="0" w:color="000000"/>
            </w:tcBorders>
          </w:tcPr>
          <w:p>
            <w:pP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-12,240,000.00</w:t>
            </w:r>
          </w:p>
        </w:tc>
        <w:tc>
          <w:tcPr>
            <w:tcW w:w="15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spacing w:val="-1"/>
                <w:sz w:val="18"/>
              </w:rPr>
              <w:t>-12,240,000.00</w:t>
            </w:r>
          </w:p>
        </w:tc>
      </w:tr>
      <w:tr>
        <w:trPr>
          <w:trHeight w:val="332" w:hRule="exact"/>
        </w:trPr>
        <w:tc>
          <w:tcPr>
            <w:tcW w:w="3563"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160,714,826.00</w:t>
            </w:r>
          </w:p>
        </w:tc>
        <w:tc>
          <w:tcPr>
            <w:tcW w:w="14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2" w:right="0"/>
              <w:jc w:val="center"/>
              <w:rPr>
                <w:rFonts w:ascii="Times New Roman" w:hAnsi="Times New Roman" w:cs="Times New Roman" w:eastAsia="Times New Roman" w:hint="default"/>
                <w:sz w:val="18"/>
                <w:szCs w:val="18"/>
              </w:rPr>
            </w:pPr>
            <w:r>
              <w:rPr>
                <w:rFonts w:ascii="Times New Roman"/>
                <w:sz w:val="18"/>
              </w:rPr>
              <w:t>-160,714,826.00</w:t>
            </w:r>
          </w:p>
        </w:tc>
        <w:tc>
          <w:tcPr>
            <w:tcW w:w="1252" w:type="dxa"/>
            <w:tcBorders>
              <w:top w:val="single" w:sz="8" w:space="0" w:color="000000"/>
              <w:left w:val="single" w:sz="8" w:space="0" w:color="000000"/>
              <w:bottom w:val="single" w:sz="8" w:space="0" w:color="000000"/>
              <w:right w:val="single" w:sz="8" w:space="0" w:color="000000"/>
            </w:tcBorders>
          </w:tcPr>
          <w:p>
            <w:pPr/>
          </w:p>
        </w:tc>
        <w:tc>
          <w:tcPr>
            <w:tcW w:w="1340" w:type="dxa"/>
            <w:tcBorders>
              <w:top w:val="single" w:sz="8" w:space="0" w:color="000000"/>
              <w:left w:val="single" w:sz="8" w:space="0" w:color="000000"/>
              <w:bottom w:val="single" w:sz="8" w:space="0" w:color="000000"/>
              <w:right w:val="single" w:sz="8" w:space="0" w:color="000000"/>
            </w:tcBorders>
          </w:tcPr>
          <w:p>
            <w:pPr/>
          </w:p>
        </w:tc>
        <w:tc>
          <w:tcPr>
            <w:tcW w:w="1595" w:type="dxa"/>
            <w:tcBorders>
              <w:top w:val="single" w:sz="8" w:space="0" w:color="000000"/>
              <w:left w:val="single" w:sz="8" w:space="0" w:color="000000"/>
              <w:bottom w:val="single" w:sz="8" w:space="0" w:color="000000"/>
              <w:right w:val="single" w:sz="8" w:space="0" w:color="000000"/>
            </w:tcBorders>
          </w:tcPr>
          <w:p>
            <w:pPr/>
          </w:p>
        </w:tc>
      </w:tr>
      <w:tr>
        <w:trPr>
          <w:trHeight w:val="332" w:hRule="exact"/>
        </w:trPr>
        <w:tc>
          <w:tcPr>
            <w:tcW w:w="3563"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1"/>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160,714,826.00</w:t>
            </w:r>
          </w:p>
        </w:tc>
        <w:tc>
          <w:tcPr>
            <w:tcW w:w="14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2" w:right="0"/>
              <w:jc w:val="center"/>
              <w:rPr>
                <w:rFonts w:ascii="Times New Roman" w:hAnsi="Times New Roman" w:cs="Times New Roman" w:eastAsia="Times New Roman" w:hint="default"/>
                <w:sz w:val="18"/>
                <w:szCs w:val="18"/>
              </w:rPr>
            </w:pPr>
            <w:r>
              <w:rPr>
                <w:rFonts w:ascii="Times New Roman"/>
                <w:sz w:val="18"/>
              </w:rPr>
              <w:t>-160,714,826.00</w:t>
            </w:r>
          </w:p>
        </w:tc>
        <w:tc>
          <w:tcPr>
            <w:tcW w:w="1252" w:type="dxa"/>
            <w:tcBorders>
              <w:top w:val="single" w:sz="8" w:space="0" w:color="000000"/>
              <w:left w:val="single" w:sz="8" w:space="0" w:color="000000"/>
              <w:bottom w:val="single" w:sz="8" w:space="0" w:color="000000"/>
              <w:right w:val="single" w:sz="8" w:space="0" w:color="000000"/>
            </w:tcBorders>
          </w:tcPr>
          <w:p>
            <w:pPr/>
          </w:p>
        </w:tc>
        <w:tc>
          <w:tcPr>
            <w:tcW w:w="1340" w:type="dxa"/>
            <w:tcBorders>
              <w:top w:val="single" w:sz="8" w:space="0" w:color="000000"/>
              <w:left w:val="single" w:sz="8" w:space="0" w:color="000000"/>
              <w:bottom w:val="single" w:sz="8" w:space="0" w:color="000000"/>
              <w:right w:val="single" w:sz="8" w:space="0" w:color="000000"/>
            </w:tcBorders>
          </w:tcPr>
          <w:p>
            <w:pPr/>
          </w:p>
        </w:tc>
        <w:tc>
          <w:tcPr>
            <w:tcW w:w="1595" w:type="dxa"/>
            <w:tcBorders>
              <w:top w:val="single" w:sz="8" w:space="0" w:color="000000"/>
              <w:left w:val="single" w:sz="8" w:space="0" w:color="000000"/>
              <w:bottom w:val="single" w:sz="8" w:space="0" w:color="000000"/>
              <w:right w:val="single" w:sz="8" w:space="0" w:color="000000"/>
            </w:tcBorders>
          </w:tcPr>
          <w:p>
            <w:pPr/>
          </w:p>
        </w:tc>
      </w:tr>
      <w:tr>
        <w:trPr>
          <w:trHeight w:val="332" w:hRule="exact"/>
        </w:trPr>
        <w:tc>
          <w:tcPr>
            <w:tcW w:w="3563"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pacing w:val="-1"/>
                <w:sz w:val="18"/>
              </w:rPr>
              <w:t>321,429,652.00</w:t>
            </w:r>
          </w:p>
        </w:tc>
        <w:tc>
          <w:tcPr>
            <w:tcW w:w="14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62" w:right="0"/>
              <w:jc w:val="center"/>
              <w:rPr>
                <w:rFonts w:ascii="Times New Roman" w:hAnsi="Times New Roman" w:cs="Times New Roman" w:eastAsia="Times New Roman" w:hint="default"/>
                <w:sz w:val="18"/>
                <w:szCs w:val="18"/>
              </w:rPr>
            </w:pPr>
            <w:r>
              <w:rPr>
                <w:rFonts w:ascii="Times New Roman"/>
                <w:sz w:val="18"/>
              </w:rPr>
              <w:t>295,412,401.12</w:t>
            </w:r>
          </w:p>
        </w:tc>
        <w:tc>
          <w:tcPr>
            <w:tcW w:w="12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5"/>
              <w:jc w:val="right"/>
              <w:rPr>
                <w:rFonts w:ascii="Times New Roman" w:hAnsi="Times New Roman" w:cs="Times New Roman" w:eastAsia="Times New Roman" w:hint="default"/>
                <w:sz w:val="18"/>
                <w:szCs w:val="18"/>
              </w:rPr>
            </w:pPr>
            <w:r>
              <w:rPr>
                <w:rFonts w:ascii="Times New Roman"/>
                <w:spacing w:val="-1"/>
                <w:sz w:val="18"/>
              </w:rPr>
              <w:t>28,084,991.27</w:t>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205,844,921.52</w:t>
            </w:r>
          </w:p>
        </w:tc>
        <w:tc>
          <w:tcPr>
            <w:tcW w:w="15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spacing w:val="-1"/>
                <w:sz w:val="18"/>
              </w:rPr>
              <w:t>850,771,965.91</w:t>
            </w:r>
          </w:p>
        </w:tc>
      </w:tr>
    </w:tbl>
    <w:p>
      <w:pPr>
        <w:spacing w:line="240" w:lineRule="auto" w:before="8"/>
        <w:rPr>
          <w:rFonts w:ascii="宋体" w:hAnsi="宋体" w:cs="宋体" w:eastAsia="宋体" w:hint="default"/>
          <w:sz w:val="27"/>
          <w:szCs w:val="27"/>
        </w:rPr>
      </w:pPr>
    </w:p>
    <w:p>
      <w:pPr>
        <w:pStyle w:val="BodyText"/>
        <w:spacing w:line="240" w:lineRule="auto" w:before="44"/>
        <w:ind w:left="1133" w:right="0"/>
        <w:jc w:val="left"/>
      </w:pPr>
      <w:r>
        <w:rPr/>
        <w:t>上期金额</w:t>
      </w:r>
    </w:p>
    <w:p>
      <w:pPr>
        <w:pStyle w:val="BodyText"/>
        <w:spacing w:line="240" w:lineRule="auto" w:before="116"/>
        <w:ind w:left="0" w:right="1130"/>
        <w:jc w:val="right"/>
      </w:pPr>
      <w:r>
        <w:rPr/>
        <w:t>单位：元</w:t>
      </w:r>
    </w:p>
    <w:p>
      <w:pPr>
        <w:spacing w:after="0" w:line="240" w:lineRule="auto"/>
        <w:jc w:val="right"/>
        <w:sectPr>
          <w:pgSz w:w="11910" w:h="16840"/>
          <w:pgMar w:header="566" w:footer="979" w:top="1360" w:bottom="1160" w:left="0" w:right="0"/>
        </w:sectPr>
      </w:pPr>
    </w:p>
    <w:p>
      <w:pPr>
        <w:spacing w:line="240" w:lineRule="auto" w:before="6"/>
        <w:rPr>
          <w:rFonts w:ascii="宋体" w:hAnsi="宋体" w:cs="宋体" w:eastAsia="宋体" w:hint="default"/>
          <w:sz w:val="5"/>
          <w:szCs w:val="5"/>
        </w:rPr>
      </w:pPr>
    </w:p>
    <w:tbl>
      <w:tblPr>
        <w:tblW w:w="0" w:type="auto"/>
        <w:jc w:val="left"/>
        <w:tblInd w:w="627" w:type="dxa"/>
        <w:tblLayout w:type="fixed"/>
        <w:tblCellMar>
          <w:top w:w="0" w:type="dxa"/>
          <w:left w:w="0" w:type="dxa"/>
          <w:bottom w:w="0" w:type="dxa"/>
          <w:right w:w="0" w:type="dxa"/>
        </w:tblCellMar>
        <w:tblLook w:val="01E0"/>
      </w:tblPr>
      <w:tblGrid>
        <w:gridCol w:w="3687"/>
        <w:gridCol w:w="1418"/>
        <w:gridCol w:w="1277"/>
        <w:gridCol w:w="1276"/>
        <w:gridCol w:w="1417"/>
        <w:gridCol w:w="1559"/>
      </w:tblGrid>
      <w:tr>
        <w:trPr>
          <w:trHeight w:val="332" w:hRule="exact"/>
        </w:trPr>
        <w:tc>
          <w:tcPr>
            <w:tcW w:w="3687" w:type="dxa"/>
            <w:vMerge w:val="restart"/>
            <w:tcBorders>
              <w:top w:val="single" w:sz="8" w:space="0" w:color="000000"/>
              <w:left w:val="single" w:sz="8" w:space="0" w:color="000000"/>
              <w:right w:val="single" w:sz="8"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46" w:type="dxa"/>
            <w:gridSpan w:val="5"/>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664" w:hRule="exact"/>
        </w:trPr>
        <w:tc>
          <w:tcPr>
            <w:tcW w:w="3687" w:type="dxa"/>
            <w:vMerge/>
            <w:tcBorders>
              <w:left w:val="single" w:sz="8" w:space="0" w:color="000000"/>
              <w:bottom w:val="single" w:sz="8" w:space="0" w:color="000000"/>
              <w:right w:val="single" w:sz="8" w:space="0" w:color="000000"/>
            </w:tcBorders>
            <w:shd w:val="clear" w:color="auto" w:fill="D2D2D2"/>
          </w:tcPr>
          <w:p>
            <w:pPr/>
          </w:p>
        </w:tc>
        <w:tc>
          <w:tcPr>
            <w:tcW w:w="1418"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股本</w:t>
            </w:r>
          </w:p>
        </w:tc>
        <w:tc>
          <w:tcPr>
            <w:tcW w:w="1277"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资本公积</w:t>
            </w:r>
          </w:p>
        </w:tc>
        <w:tc>
          <w:tcPr>
            <w:tcW w:w="1276"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17"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48"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59"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38"/>
              <w:jc w:val="righ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85" w:hRule="exact"/>
        </w:trPr>
        <w:tc>
          <w:tcPr>
            <w:tcW w:w="3687"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left="76" w:right="0"/>
              <w:jc w:val="center"/>
              <w:rPr>
                <w:rFonts w:ascii="Times New Roman" w:hAnsi="Times New Roman" w:cs="Times New Roman" w:eastAsia="Times New Roman" w:hint="default"/>
                <w:sz w:val="18"/>
                <w:szCs w:val="18"/>
              </w:rPr>
            </w:pPr>
            <w:r>
              <w:rPr>
                <w:rFonts w:ascii="Times New Roman"/>
                <w:sz w:val="18"/>
              </w:rPr>
              <w:t>136,000,000.00</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left="24" w:right="0"/>
              <w:jc w:val="center"/>
              <w:rPr>
                <w:rFonts w:ascii="Times New Roman" w:hAnsi="Times New Roman" w:cs="Times New Roman" w:eastAsia="Times New Roman" w:hint="default"/>
                <w:sz w:val="18"/>
                <w:szCs w:val="18"/>
              </w:rPr>
            </w:pPr>
            <w:r>
              <w:rPr>
                <w:rFonts w:ascii="Times New Roman"/>
                <w:sz w:val="18"/>
              </w:rPr>
              <w:t>96,984,426.31</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spacing w:val="-1"/>
                <w:sz w:val="18"/>
              </w:rPr>
              <w:t>18,164,976.87</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5"/>
              <w:jc w:val="right"/>
              <w:rPr>
                <w:rFonts w:ascii="Times New Roman" w:hAnsi="Times New Roman" w:cs="Times New Roman" w:eastAsia="Times New Roman" w:hint="default"/>
                <w:sz w:val="18"/>
                <w:szCs w:val="18"/>
              </w:rPr>
            </w:pPr>
            <w:r>
              <w:rPr>
                <w:rFonts w:ascii="Times New Roman"/>
                <w:spacing w:val="-1"/>
                <w:sz w:val="18"/>
              </w:rPr>
              <w:t>139,684,791.93</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5"/>
              <w:jc w:val="right"/>
              <w:rPr>
                <w:rFonts w:ascii="Times New Roman" w:hAnsi="Times New Roman" w:cs="Times New Roman" w:eastAsia="Times New Roman" w:hint="default"/>
                <w:sz w:val="18"/>
                <w:szCs w:val="18"/>
              </w:rPr>
            </w:pPr>
            <w:r>
              <w:rPr>
                <w:rFonts w:ascii="Times New Roman"/>
                <w:spacing w:val="-1"/>
                <w:sz w:val="18"/>
              </w:rPr>
              <w:t>390,834,195.11</w:t>
            </w:r>
          </w:p>
        </w:tc>
      </w:tr>
      <w:tr>
        <w:trPr>
          <w:trHeight w:val="485" w:hRule="exact"/>
        </w:trPr>
        <w:tc>
          <w:tcPr>
            <w:tcW w:w="3687"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8"/>
              <w:ind w:left="98"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8"/>
              <w:ind w:left="76" w:right="0"/>
              <w:jc w:val="center"/>
              <w:rPr>
                <w:rFonts w:ascii="Times New Roman" w:hAnsi="Times New Roman" w:cs="Times New Roman" w:eastAsia="Times New Roman" w:hint="default"/>
                <w:sz w:val="18"/>
                <w:szCs w:val="18"/>
              </w:rPr>
            </w:pPr>
            <w:r>
              <w:rPr>
                <w:rFonts w:ascii="Times New Roman"/>
                <w:sz w:val="18"/>
              </w:rPr>
              <w:t>136,000,000.00</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8"/>
              <w:ind w:left="24" w:right="0"/>
              <w:jc w:val="center"/>
              <w:rPr>
                <w:rFonts w:ascii="Times New Roman" w:hAnsi="Times New Roman" w:cs="Times New Roman" w:eastAsia="Times New Roman" w:hint="default"/>
                <w:sz w:val="18"/>
                <w:szCs w:val="18"/>
              </w:rPr>
            </w:pPr>
            <w:r>
              <w:rPr>
                <w:rFonts w:ascii="Times New Roman"/>
                <w:sz w:val="18"/>
              </w:rPr>
              <w:t>96,984,426.31</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8"/>
              <w:ind w:right="97"/>
              <w:jc w:val="right"/>
              <w:rPr>
                <w:rFonts w:ascii="Times New Roman" w:hAnsi="Times New Roman" w:cs="Times New Roman" w:eastAsia="Times New Roman" w:hint="default"/>
                <w:sz w:val="18"/>
                <w:szCs w:val="18"/>
              </w:rPr>
            </w:pPr>
            <w:r>
              <w:rPr>
                <w:rFonts w:ascii="Times New Roman"/>
                <w:spacing w:val="-1"/>
                <w:sz w:val="18"/>
              </w:rPr>
              <w:t>18,164,976.87</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8"/>
              <w:ind w:right="95"/>
              <w:jc w:val="right"/>
              <w:rPr>
                <w:rFonts w:ascii="Times New Roman" w:hAnsi="Times New Roman" w:cs="Times New Roman" w:eastAsia="Times New Roman" w:hint="default"/>
                <w:sz w:val="18"/>
                <w:szCs w:val="18"/>
              </w:rPr>
            </w:pPr>
            <w:r>
              <w:rPr>
                <w:rFonts w:ascii="Times New Roman"/>
                <w:spacing w:val="-1"/>
                <w:sz w:val="18"/>
              </w:rPr>
              <w:t>139,684,791.93</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8"/>
              <w:ind w:right="95"/>
              <w:jc w:val="right"/>
              <w:rPr>
                <w:rFonts w:ascii="Times New Roman" w:hAnsi="Times New Roman" w:cs="Times New Roman" w:eastAsia="Times New Roman" w:hint="default"/>
                <w:sz w:val="18"/>
                <w:szCs w:val="18"/>
              </w:rPr>
            </w:pPr>
            <w:r>
              <w:rPr>
                <w:rFonts w:ascii="Times New Roman"/>
                <w:spacing w:val="-1"/>
                <w:sz w:val="18"/>
              </w:rPr>
              <w:t>390,834,195.11</w:t>
            </w:r>
          </w:p>
        </w:tc>
      </w:tr>
      <w:tr>
        <w:trPr>
          <w:trHeight w:val="500" w:hRule="exact"/>
        </w:trPr>
        <w:tc>
          <w:tcPr>
            <w:tcW w:w="3687"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95"/>
              <w:ind w:left="98" w:right="0"/>
              <w:jc w:val="left"/>
              <w:rPr>
                <w:rFonts w:ascii="宋体" w:hAnsi="宋体" w:cs="宋体" w:eastAsia="宋体" w:hint="default"/>
                <w:sz w:val="18"/>
                <w:szCs w:val="18"/>
              </w:rPr>
            </w:pPr>
            <w:r>
              <w:rPr>
                <w:rFonts w:ascii="宋体" w:hAnsi="宋体" w:cs="宋体" w:eastAsia="宋体" w:hint="default"/>
                <w:spacing w:val="-1"/>
                <w:sz w:val="18"/>
                <w:szCs w:val="18"/>
              </w:rPr>
              <w:t>三、本期增减变动金额（减少以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1418" w:type="dxa"/>
            <w:tcBorders>
              <w:top w:val="single" w:sz="8" w:space="0" w:color="000000"/>
              <w:left w:val="single" w:sz="8" w:space="0" w:color="000000"/>
              <w:bottom w:val="single" w:sz="8" w:space="0" w:color="000000"/>
              <w:right w:val="single" w:sz="8" w:space="0" w:color="000000"/>
            </w:tcBorders>
          </w:tcPr>
          <w:p>
            <w:pPr/>
          </w:p>
        </w:tc>
        <w:tc>
          <w:tcPr>
            <w:tcW w:w="1277" w:type="dxa"/>
            <w:tcBorders>
              <w:top w:val="single" w:sz="8" w:space="0" w:color="000000"/>
              <w:left w:val="single" w:sz="8" w:space="0" w:color="000000"/>
              <w:bottom w:val="single" w:sz="8" w:space="0" w:color="000000"/>
              <w:right w:val="single" w:sz="8" w:space="0" w:color="000000"/>
            </w:tcBorders>
          </w:tcPr>
          <w:p>
            <w:pP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5"/>
              <w:ind w:right="97"/>
              <w:jc w:val="right"/>
              <w:rPr>
                <w:rFonts w:ascii="Times New Roman" w:hAnsi="Times New Roman" w:cs="Times New Roman" w:eastAsia="Times New Roman" w:hint="default"/>
                <w:sz w:val="18"/>
                <w:szCs w:val="18"/>
              </w:rPr>
            </w:pPr>
            <w:r>
              <w:rPr>
                <w:rFonts w:ascii="Times New Roman"/>
                <w:spacing w:val="-1"/>
                <w:sz w:val="18"/>
              </w:rPr>
              <w:t>5,454,535.58</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5"/>
              <w:ind w:right="95"/>
              <w:jc w:val="right"/>
              <w:rPr>
                <w:rFonts w:ascii="Times New Roman" w:hAnsi="Times New Roman" w:cs="Times New Roman" w:eastAsia="Times New Roman" w:hint="default"/>
                <w:sz w:val="18"/>
                <w:szCs w:val="18"/>
              </w:rPr>
            </w:pPr>
            <w:r>
              <w:rPr>
                <w:rFonts w:ascii="Times New Roman"/>
                <w:spacing w:val="-1"/>
                <w:sz w:val="18"/>
              </w:rPr>
              <w:t>38,210,820.25</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5"/>
              <w:ind w:right="95"/>
              <w:jc w:val="right"/>
              <w:rPr>
                <w:rFonts w:ascii="Times New Roman" w:hAnsi="Times New Roman" w:cs="Times New Roman" w:eastAsia="Times New Roman" w:hint="default"/>
                <w:sz w:val="18"/>
                <w:szCs w:val="18"/>
              </w:rPr>
            </w:pPr>
            <w:r>
              <w:rPr>
                <w:rFonts w:ascii="Times New Roman"/>
                <w:spacing w:val="-1"/>
                <w:sz w:val="18"/>
              </w:rPr>
              <w:t>43,665,355.83</w:t>
            </w:r>
          </w:p>
        </w:tc>
      </w:tr>
      <w:tr>
        <w:trPr>
          <w:trHeight w:val="440" w:hRule="exact"/>
        </w:trPr>
        <w:tc>
          <w:tcPr>
            <w:tcW w:w="3687"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65"/>
              <w:ind w:left="98"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418" w:type="dxa"/>
            <w:tcBorders>
              <w:top w:val="single" w:sz="8" w:space="0" w:color="000000"/>
              <w:left w:val="single" w:sz="8" w:space="0" w:color="000000"/>
              <w:bottom w:val="single" w:sz="8" w:space="0" w:color="000000"/>
              <w:right w:val="single" w:sz="8" w:space="0" w:color="000000"/>
            </w:tcBorders>
          </w:tcPr>
          <w:p>
            <w:pPr/>
          </w:p>
        </w:tc>
        <w:tc>
          <w:tcPr>
            <w:tcW w:w="1277" w:type="dxa"/>
            <w:tcBorders>
              <w:top w:val="single" w:sz="8" w:space="0" w:color="000000"/>
              <w:left w:val="single" w:sz="8" w:space="0" w:color="000000"/>
              <w:bottom w:val="single" w:sz="8" w:space="0" w:color="000000"/>
              <w:right w:val="single" w:sz="8" w:space="0" w:color="000000"/>
            </w:tcBorders>
          </w:tcPr>
          <w:p>
            <w:pPr/>
          </w:p>
        </w:tc>
        <w:tc>
          <w:tcPr>
            <w:tcW w:w="1276" w:type="dxa"/>
            <w:tcBorders>
              <w:top w:val="single" w:sz="8" w:space="0" w:color="000000"/>
              <w:left w:val="single" w:sz="8" w:space="0" w:color="000000"/>
              <w:bottom w:val="single" w:sz="8" w:space="0" w:color="000000"/>
              <w:right w:val="single" w:sz="8" w:space="0" w:color="000000"/>
            </w:tcBorders>
          </w:tcPr>
          <w:p>
            <w:pP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spacing w:val="-1"/>
                <w:sz w:val="18"/>
              </w:rPr>
              <w:t>54,545,355.83</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spacing w:val="-1"/>
                <w:sz w:val="18"/>
              </w:rPr>
              <w:t>54,545,355.83</w:t>
            </w:r>
          </w:p>
        </w:tc>
      </w:tr>
      <w:tr>
        <w:trPr>
          <w:trHeight w:val="485" w:hRule="exact"/>
        </w:trPr>
        <w:tc>
          <w:tcPr>
            <w:tcW w:w="3687"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（二）利润分配</w:t>
            </w:r>
          </w:p>
        </w:tc>
        <w:tc>
          <w:tcPr>
            <w:tcW w:w="1418" w:type="dxa"/>
            <w:tcBorders>
              <w:top w:val="single" w:sz="8" w:space="0" w:color="000000"/>
              <w:left w:val="single" w:sz="8" w:space="0" w:color="000000"/>
              <w:bottom w:val="single" w:sz="8" w:space="0" w:color="000000"/>
              <w:right w:val="single" w:sz="8" w:space="0" w:color="000000"/>
            </w:tcBorders>
          </w:tcPr>
          <w:p>
            <w:pPr/>
          </w:p>
        </w:tc>
        <w:tc>
          <w:tcPr>
            <w:tcW w:w="1277" w:type="dxa"/>
            <w:tcBorders>
              <w:top w:val="single" w:sz="8" w:space="0" w:color="000000"/>
              <w:left w:val="single" w:sz="8" w:space="0" w:color="000000"/>
              <w:bottom w:val="single" w:sz="8" w:space="0" w:color="000000"/>
              <w:right w:val="single" w:sz="8" w:space="0" w:color="000000"/>
            </w:tcBorders>
          </w:tcPr>
          <w:p>
            <w:pP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spacing w:val="-1"/>
                <w:sz w:val="18"/>
              </w:rPr>
              <w:t>5,454,535.58</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5"/>
              <w:jc w:val="right"/>
              <w:rPr>
                <w:rFonts w:ascii="Times New Roman" w:hAnsi="Times New Roman" w:cs="Times New Roman" w:eastAsia="Times New Roman" w:hint="default"/>
                <w:sz w:val="18"/>
                <w:szCs w:val="18"/>
              </w:rPr>
            </w:pPr>
            <w:r>
              <w:rPr>
                <w:rFonts w:ascii="Times New Roman"/>
                <w:spacing w:val="-1"/>
                <w:sz w:val="18"/>
              </w:rPr>
              <w:t>-16,334,535.58</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5"/>
              <w:jc w:val="right"/>
              <w:rPr>
                <w:rFonts w:ascii="Times New Roman" w:hAnsi="Times New Roman" w:cs="Times New Roman" w:eastAsia="Times New Roman" w:hint="default"/>
                <w:sz w:val="18"/>
                <w:szCs w:val="18"/>
              </w:rPr>
            </w:pPr>
            <w:r>
              <w:rPr>
                <w:rFonts w:ascii="Times New Roman"/>
                <w:spacing w:val="-1"/>
                <w:sz w:val="18"/>
              </w:rPr>
              <w:t>-10,880,000.00</w:t>
            </w:r>
          </w:p>
        </w:tc>
      </w:tr>
      <w:tr>
        <w:trPr>
          <w:trHeight w:val="500" w:hRule="exact"/>
        </w:trPr>
        <w:tc>
          <w:tcPr>
            <w:tcW w:w="3687"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95"/>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18" w:type="dxa"/>
            <w:tcBorders>
              <w:top w:val="single" w:sz="8" w:space="0" w:color="000000"/>
              <w:left w:val="single" w:sz="8" w:space="0" w:color="000000"/>
              <w:bottom w:val="single" w:sz="8" w:space="0" w:color="000000"/>
              <w:right w:val="single" w:sz="8" w:space="0" w:color="000000"/>
            </w:tcBorders>
          </w:tcPr>
          <w:p>
            <w:pPr/>
          </w:p>
        </w:tc>
        <w:tc>
          <w:tcPr>
            <w:tcW w:w="1277" w:type="dxa"/>
            <w:tcBorders>
              <w:top w:val="single" w:sz="8" w:space="0" w:color="000000"/>
              <w:left w:val="single" w:sz="8" w:space="0" w:color="000000"/>
              <w:bottom w:val="single" w:sz="8" w:space="0" w:color="000000"/>
              <w:right w:val="single" w:sz="8" w:space="0" w:color="000000"/>
            </w:tcBorders>
          </w:tcPr>
          <w:p>
            <w:pP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5"/>
              <w:ind w:right="97"/>
              <w:jc w:val="right"/>
              <w:rPr>
                <w:rFonts w:ascii="Times New Roman" w:hAnsi="Times New Roman" w:cs="Times New Roman" w:eastAsia="Times New Roman" w:hint="default"/>
                <w:sz w:val="18"/>
                <w:szCs w:val="18"/>
              </w:rPr>
            </w:pPr>
            <w:r>
              <w:rPr>
                <w:rFonts w:ascii="Times New Roman"/>
                <w:spacing w:val="-1"/>
                <w:sz w:val="18"/>
              </w:rPr>
              <w:t>5,454,535.58</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5"/>
              <w:ind w:right="95"/>
              <w:jc w:val="right"/>
              <w:rPr>
                <w:rFonts w:ascii="Times New Roman" w:hAnsi="Times New Roman" w:cs="Times New Roman" w:eastAsia="Times New Roman" w:hint="default"/>
                <w:sz w:val="18"/>
                <w:szCs w:val="18"/>
              </w:rPr>
            </w:pPr>
            <w:r>
              <w:rPr>
                <w:rFonts w:ascii="Times New Roman"/>
                <w:spacing w:val="-1"/>
                <w:sz w:val="18"/>
              </w:rPr>
              <w:t>-5,454,535.58</w:t>
            </w:r>
          </w:p>
        </w:tc>
        <w:tc>
          <w:tcPr>
            <w:tcW w:w="1559" w:type="dxa"/>
            <w:tcBorders>
              <w:top w:val="single" w:sz="8" w:space="0" w:color="000000"/>
              <w:left w:val="single" w:sz="8" w:space="0" w:color="000000"/>
              <w:bottom w:val="single" w:sz="8" w:space="0" w:color="000000"/>
              <w:right w:val="single" w:sz="8" w:space="0" w:color="000000"/>
            </w:tcBorders>
          </w:tcPr>
          <w:p>
            <w:pPr/>
          </w:p>
        </w:tc>
      </w:tr>
      <w:tr>
        <w:trPr>
          <w:trHeight w:val="439" w:hRule="exact"/>
        </w:trPr>
        <w:tc>
          <w:tcPr>
            <w:tcW w:w="3687"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64"/>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418" w:type="dxa"/>
            <w:tcBorders>
              <w:top w:val="single" w:sz="8" w:space="0" w:color="000000"/>
              <w:left w:val="single" w:sz="8" w:space="0" w:color="000000"/>
              <w:bottom w:val="single" w:sz="8" w:space="0" w:color="000000"/>
              <w:right w:val="single" w:sz="8" w:space="0" w:color="000000"/>
            </w:tcBorders>
          </w:tcPr>
          <w:p>
            <w:pPr/>
          </w:p>
        </w:tc>
        <w:tc>
          <w:tcPr>
            <w:tcW w:w="1277" w:type="dxa"/>
            <w:tcBorders>
              <w:top w:val="single" w:sz="8" w:space="0" w:color="000000"/>
              <w:left w:val="single" w:sz="8" w:space="0" w:color="000000"/>
              <w:bottom w:val="single" w:sz="8" w:space="0" w:color="000000"/>
              <w:right w:val="single" w:sz="8" w:space="0" w:color="000000"/>
            </w:tcBorders>
          </w:tcPr>
          <w:p>
            <w:pPr/>
          </w:p>
        </w:tc>
        <w:tc>
          <w:tcPr>
            <w:tcW w:w="1276" w:type="dxa"/>
            <w:tcBorders>
              <w:top w:val="single" w:sz="8" w:space="0" w:color="000000"/>
              <w:left w:val="single" w:sz="8" w:space="0" w:color="000000"/>
              <w:bottom w:val="single" w:sz="8" w:space="0" w:color="000000"/>
              <w:right w:val="single" w:sz="8" w:space="0" w:color="000000"/>
            </w:tcBorders>
          </w:tcPr>
          <w:p>
            <w:pP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right="95"/>
              <w:jc w:val="right"/>
              <w:rPr>
                <w:rFonts w:ascii="Times New Roman" w:hAnsi="Times New Roman" w:cs="Times New Roman" w:eastAsia="Times New Roman" w:hint="default"/>
                <w:sz w:val="18"/>
                <w:szCs w:val="18"/>
              </w:rPr>
            </w:pPr>
            <w:r>
              <w:rPr>
                <w:rFonts w:ascii="Times New Roman"/>
                <w:spacing w:val="-1"/>
                <w:sz w:val="18"/>
              </w:rPr>
              <w:t>-10,880,000.00</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right="95"/>
              <w:jc w:val="right"/>
              <w:rPr>
                <w:rFonts w:ascii="Times New Roman" w:hAnsi="Times New Roman" w:cs="Times New Roman" w:eastAsia="Times New Roman" w:hint="default"/>
                <w:sz w:val="18"/>
                <w:szCs w:val="18"/>
              </w:rPr>
            </w:pPr>
            <w:r>
              <w:rPr>
                <w:rFonts w:ascii="Times New Roman"/>
                <w:spacing w:val="-1"/>
                <w:sz w:val="18"/>
              </w:rPr>
              <w:t>-10,880,000.00</w:t>
            </w:r>
          </w:p>
        </w:tc>
      </w:tr>
      <w:tr>
        <w:trPr>
          <w:trHeight w:val="485" w:hRule="exact"/>
        </w:trPr>
        <w:tc>
          <w:tcPr>
            <w:tcW w:w="3687"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8"/>
              <w:ind w:left="98"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8"/>
              <w:ind w:left="76" w:right="0"/>
              <w:jc w:val="center"/>
              <w:rPr>
                <w:rFonts w:ascii="Times New Roman" w:hAnsi="Times New Roman" w:cs="Times New Roman" w:eastAsia="Times New Roman" w:hint="default"/>
                <w:sz w:val="18"/>
                <w:szCs w:val="18"/>
              </w:rPr>
            </w:pPr>
            <w:r>
              <w:rPr>
                <w:rFonts w:ascii="Times New Roman"/>
                <w:sz w:val="18"/>
              </w:rPr>
              <w:t>136,000,000.00</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8"/>
              <w:ind w:left="24" w:right="0"/>
              <w:jc w:val="center"/>
              <w:rPr>
                <w:rFonts w:ascii="Times New Roman" w:hAnsi="Times New Roman" w:cs="Times New Roman" w:eastAsia="Times New Roman" w:hint="default"/>
                <w:sz w:val="18"/>
                <w:szCs w:val="18"/>
              </w:rPr>
            </w:pPr>
            <w:r>
              <w:rPr>
                <w:rFonts w:ascii="Times New Roman"/>
                <w:sz w:val="18"/>
              </w:rPr>
              <w:t>96,984,426.31</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8"/>
              <w:ind w:right="97"/>
              <w:jc w:val="right"/>
              <w:rPr>
                <w:rFonts w:ascii="Times New Roman" w:hAnsi="Times New Roman" w:cs="Times New Roman" w:eastAsia="Times New Roman" w:hint="default"/>
                <w:sz w:val="18"/>
                <w:szCs w:val="18"/>
              </w:rPr>
            </w:pPr>
            <w:r>
              <w:rPr>
                <w:rFonts w:ascii="Times New Roman"/>
                <w:spacing w:val="-1"/>
                <w:sz w:val="18"/>
              </w:rPr>
              <w:t>23,619,512.45</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8"/>
              <w:ind w:right="95"/>
              <w:jc w:val="right"/>
              <w:rPr>
                <w:rFonts w:ascii="Times New Roman" w:hAnsi="Times New Roman" w:cs="Times New Roman" w:eastAsia="Times New Roman" w:hint="default"/>
                <w:sz w:val="18"/>
                <w:szCs w:val="18"/>
              </w:rPr>
            </w:pPr>
            <w:r>
              <w:rPr>
                <w:rFonts w:ascii="Times New Roman"/>
                <w:spacing w:val="-1"/>
                <w:sz w:val="18"/>
              </w:rPr>
              <w:t>177,895,612.18</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8"/>
              <w:ind w:right="95"/>
              <w:jc w:val="right"/>
              <w:rPr>
                <w:rFonts w:ascii="Times New Roman" w:hAnsi="Times New Roman" w:cs="Times New Roman" w:eastAsia="Times New Roman" w:hint="default"/>
                <w:sz w:val="18"/>
                <w:szCs w:val="18"/>
              </w:rPr>
            </w:pPr>
            <w:r>
              <w:rPr>
                <w:rFonts w:ascii="Times New Roman"/>
                <w:spacing w:val="-1"/>
                <w:sz w:val="18"/>
              </w:rPr>
              <w:t>434,499,550.94</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Heading2"/>
        <w:spacing w:line="240" w:lineRule="auto" w:before="26"/>
        <w:ind w:right="0"/>
        <w:jc w:val="both"/>
        <w:rPr>
          <w:b w:val="0"/>
          <w:bCs w:val="0"/>
        </w:rPr>
      </w:pPr>
      <w:bookmarkStart w:name="三、公司基本情况" w:id="159"/>
      <w:bookmarkEnd w:id="159"/>
      <w:r>
        <w:rPr>
          <w:b w:val="0"/>
          <w:bCs w:val="0"/>
        </w:rPr>
      </w:r>
      <w:r>
        <w:rPr/>
        <w:t>三、公司基本情况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both"/>
        <w:rPr>
          <w:b w:val="0"/>
          <w:bCs w:val="0"/>
        </w:rPr>
      </w:pPr>
      <w:bookmarkStart w:name="（一）公司概况" w:id="160"/>
      <w:bookmarkEnd w:id="160"/>
      <w:r>
        <w:rPr>
          <w:b w:val="0"/>
          <w:bCs w:val="0"/>
        </w:rPr>
      </w:r>
      <w:r>
        <w:rPr/>
        <w:t>（一）公司概况</w:t>
      </w:r>
      <w:r>
        <w:rPr>
          <w:b w:val="0"/>
          <w:bCs w:val="0"/>
        </w:rPr>
      </w:r>
    </w:p>
    <w:p>
      <w:pPr>
        <w:spacing w:line="240" w:lineRule="auto" w:before="9"/>
        <w:rPr>
          <w:rFonts w:ascii="宋体" w:hAnsi="宋体" w:cs="宋体" w:eastAsia="宋体" w:hint="default"/>
          <w:b/>
          <w:bCs/>
          <w:sz w:val="27"/>
          <w:szCs w:val="27"/>
        </w:rPr>
      </w:pPr>
    </w:p>
    <w:p>
      <w:pPr>
        <w:pStyle w:val="BodyText"/>
        <w:spacing w:line="300" w:lineRule="auto"/>
        <w:ind w:left="1494" w:right="0" w:firstLine="120"/>
        <w:jc w:val="left"/>
      </w:pPr>
      <w:r>
        <w:rPr>
          <w:rFonts w:ascii="Times New Roman" w:hAnsi="Times New Roman" w:cs="Times New Roman" w:eastAsia="Times New Roman" w:hint="default"/>
        </w:rPr>
        <w:t>1</w:t>
      </w:r>
      <w:r>
        <w:rPr/>
        <w:t>、公司的历史沿革 </w:t>
      </w:r>
      <w:r>
        <w:rPr>
          <w:spacing w:val="-4"/>
        </w:rPr>
        <w:t>荣科科技股份有限公司（以下简称公司或本公司）系由沈阳荣科科技工程有限公司（以下简称荣科工程公司或有限公司）</w:t>
      </w:r>
    </w:p>
    <w:p>
      <w:pPr>
        <w:pStyle w:val="BodyText"/>
        <w:spacing w:line="300" w:lineRule="auto" w:before="31"/>
        <w:ind w:right="1131"/>
        <w:jc w:val="both"/>
      </w:pPr>
      <w:r>
        <w:rPr>
          <w:spacing w:val="-2"/>
        </w:rPr>
        <w:t>于</w:t>
      </w:r>
      <w:r>
        <w:rPr>
          <w:rFonts w:ascii="Times New Roman" w:hAnsi="Times New Roman" w:cs="Times New Roman" w:eastAsia="Times New Roman" w:hint="default"/>
          <w:spacing w:val="-2"/>
        </w:rPr>
        <w:t>2010</w:t>
      </w:r>
      <w:r>
        <w:rPr>
          <w:spacing w:val="-2"/>
        </w:rPr>
        <w:t>年以整体变更方式设立的股份有限公司。荣科工程公司系由自然人崔万涛、付艳杰共同出资组建的有限责任公司，并</w:t>
      </w:r>
      <w:r>
        <w:rPr>
          <w:spacing w:val="-62"/>
        </w:rPr>
        <w:t> </w:t>
      </w:r>
      <w:r>
        <w:rPr>
          <w:spacing w:val="-62"/>
        </w:rPr>
      </w:r>
      <w:r>
        <w:rPr/>
        <w:t>于</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18</w:t>
      </w:r>
      <w:r>
        <w:rPr/>
        <w:t>日取得沈阳市工商行政管理局核发的</w:t>
      </w:r>
      <w:r>
        <w:rPr>
          <w:rFonts w:ascii="Times New Roman" w:hAnsi="Times New Roman" w:cs="Times New Roman" w:eastAsia="Times New Roman" w:hint="default"/>
        </w:rPr>
        <w:t>2101052102543</w:t>
      </w:r>
      <w:r>
        <w:rPr/>
        <w:t>号《企业法人营业执照》，有限公司设立时的注册资本</w:t>
      </w:r>
      <w:r>
        <w:rPr>
          <w:spacing w:val="-84"/>
        </w:rPr>
        <w:t> </w:t>
      </w:r>
      <w:r>
        <w:rPr>
          <w:spacing w:val="-84"/>
        </w:rPr>
      </w:r>
      <w:r>
        <w:rPr/>
        <w:t>为人民币</w:t>
      </w:r>
      <w:r>
        <w:rPr>
          <w:rFonts w:ascii="Times New Roman" w:hAnsi="Times New Roman" w:cs="Times New Roman" w:eastAsia="Times New Roman" w:hint="default"/>
        </w:rPr>
        <w:t>50</w:t>
      </w:r>
      <w:r>
        <w:rPr/>
        <w:t>万元，自然人崔万涛、付艳杰各自持有荣科工程公司</w:t>
      </w:r>
      <w:r>
        <w:rPr>
          <w:rFonts w:ascii="Times New Roman" w:hAnsi="Times New Roman" w:cs="Times New Roman" w:eastAsia="Times New Roman" w:hint="default"/>
        </w:rPr>
        <w:t>50%</w:t>
      </w:r>
      <w:r>
        <w:rPr/>
        <w:t>股权。</w:t>
      </w:r>
    </w:p>
    <w:p>
      <w:pPr>
        <w:pStyle w:val="BodyText"/>
        <w:spacing w:line="240" w:lineRule="auto" w:before="13"/>
        <w:ind w:left="1493" w:right="0"/>
        <w:jc w:val="left"/>
        <w:rPr>
          <w:rFonts w:ascii="Times New Roman" w:hAnsi="Times New Roman" w:cs="Times New Roman" w:eastAsia="Times New Roman" w:hint="default"/>
        </w:rPr>
      </w:pPr>
      <w:r>
        <w:rPr>
          <w:rFonts w:ascii="Times New Roman" w:hAnsi="Times New Roman" w:cs="Times New Roman" w:eastAsia="Times New Roman" w:hint="default"/>
        </w:rPr>
        <w:t>2006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13</w:t>
      </w:r>
      <w:r>
        <w:rPr/>
        <w:t>日，根据有限公司股东会决议及修改后章程的规定，崔万涛、付艳杰各自以货币资金向有限公司增资</w:t>
      </w:r>
      <w:r>
        <w:rPr>
          <w:rFonts w:ascii="Times New Roman" w:hAnsi="Times New Roman" w:cs="Times New Roman" w:eastAsia="Times New Roman" w:hint="default"/>
        </w:rPr>
        <w:t>225</w:t>
      </w:r>
    </w:p>
    <w:p>
      <w:pPr>
        <w:pStyle w:val="BodyText"/>
        <w:spacing w:line="240" w:lineRule="auto" w:before="63"/>
        <w:ind w:right="0"/>
        <w:jc w:val="both"/>
      </w:pPr>
      <w:r>
        <w:rPr/>
        <w:t>万元（合计</w:t>
      </w:r>
      <w:r>
        <w:rPr>
          <w:rFonts w:ascii="Times New Roman" w:hAnsi="Times New Roman" w:cs="Times New Roman" w:eastAsia="Times New Roman" w:hint="default"/>
        </w:rPr>
        <w:t>450</w:t>
      </w:r>
      <w:r>
        <w:rPr/>
        <w:t>万元）。</w:t>
      </w:r>
    </w:p>
    <w:p>
      <w:pPr>
        <w:pStyle w:val="BodyText"/>
        <w:spacing w:line="240" w:lineRule="auto" w:before="63"/>
        <w:ind w:left="1494" w:right="0"/>
        <w:jc w:val="left"/>
      </w:pPr>
      <w:r>
        <w:rPr>
          <w:rFonts w:ascii="Times New Roman" w:hAnsi="Times New Roman" w:cs="Times New Roman" w:eastAsia="Times New Roman" w:hint="default"/>
        </w:rPr>
        <w:t>2006</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w:t>
      </w:r>
      <w:r>
        <w:rPr/>
        <w:t>日，根据有限公司股东会决议及修改后章程的规定，崔万涛、付艳杰各自以货币资金向有限公司增资</w:t>
      </w:r>
      <w:r>
        <w:rPr>
          <w:rFonts w:ascii="Times New Roman" w:hAnsi="Times New Roman" w:cs="Times New Roman" w:eastAsia="Times New Roman" w:hint="default"/>
        </w:rPr>
        <w:t>5</w:t>
      </w:r>
      <w:r>
        <w:rPr/>
        <w:t>万元</w:t>
      </w:r>
    </w:p>
    <w:p>
      <w:pPr>
        <w:pStyle w:val="BodyText"/>
        <w:spacing w:line="240" w:lineRule="auto" w:before="63"/>
        <w:ind w:left="1133" w:right="0"/>
        <w:jc w:val="both"/>
      </w:pPr>
      <w:r>
        <w:rPr/>
        <w:t>（合计</w:t>
      </w:r>
      <w:r>
        <w:rPr>
          <w:rFonts w:ascii="Times New Roman" w:hAnsi="Times New Roman" w:cs="Times New Roman" w:eastAsia="Times New Roman" w:hint="default"/>
        </w:rPr>
        <w:t>10</w:t>
      </w:r>
      <w:r>
        <w:rPr/>
        <w:t>万元）。</w:t>
      </w:r>
    </w:p>
    <w:p>
      <w:pPr>
        <w:pStyle w:val="BodyText"/>
        <w:spacing w:line="240" w:lineRule="auto" w:before="63"/>
        <w:ind w:left="1493" w:right="0"/>
        <w:jc w:val="left"/>
        <w:rPr>
          <w:rFonts w:ascii="Times New Roman" w:hAnsi="Times New Roman" w:cs="Times New Roman" w:eastAsia="Times New Roman" w:hint="default"/>
        </w:rPr>
      </w:pPr>
      <w:r>
        <w:rPr>
          <w:rFonts w:ascii="Times New Roman" w:hAnsi="Times New Roman" w:cs="Times New Roman" w:eastAsia="Times New Roman" w:hint="default"/>
        </w:rPr>
        <w:t>2007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日，根据有限公司股东会决议及修改后章程的规定，崔万涛、付艳杰各自以货币资金向有限公司增资</w:t>
      </w:r>
      <w:r>
        <w:rPr>
          <w:rFonts w:ascii="Times New Roman" w:hAnsi="Times New Roman" w:cs="Times New Roman" w:eastAsia="Times New Roman" w:hint="default"/>
        </w:rPr>
        <w:t>245</w:t>
      </w:r>
    </w:p>
    <w:p>
      <w:pPr>
        <w:pStyle w:val="BodyText"/>
        <w:spacing w:line="240" w:lineRule="auto" w:before="63"/>
        <w:ind w:left="1133" w:right="0"/>
        <w:jc w:val="both"/>
      </w:pPr>
      <w:r>
        <w:rPr/>
        <w:t>万元（合计</w:t>
      </w:r>
      <w:r>
        <w:rPr>
          <w:rFonts w:ascii="Times New Roman" w:hAnsi="Times New Roman" w:cs="Times New Roman" w:eastAsia="Times New Roman" w:hint="default"/>
        </w:rPr>
        <w:t>490</w:t>
      </w:r>
      <w:r>
        <w:rPr/>
        <w:t>万元）。</w:t>
      </w:r>
    </w:p>
    <w:p>
      <w:pPr>
        <w:pStyle w:val="BodyText"/>
        <w:spacing w:line="240" w:lineRule="auto" w:before="63"/>
        <w:ind w:left="1494" w:right="0"/>
        <w:jc w:val="left"/>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9</w:t>
      </w:r>
      <w:r>
        <w:rPr/>
        <w:t>日，根据有限公司股东会决议及修改后章程的规定，尹春福、杨皓等</w:t>
      </w:r>
      <w:r>
        <w:rPr>
          <w:rFonts w:ascii="Times New Roman" w:hAnsi="Times New Roman" w:cs="Times New Roman" w:eastAsia="Times New Roman" w:hint="default"/>
        </w:rPr>
        <w:t>10</w:t>
      </w:r>
      <w:r>
        <w:rPr/>
        <w:t>名自然人以货币资金向有限公司增资</w:t>
      </w:r>
    </w:p>
    <w:p>
      <w:pPr>
        <w:pStyle w:val="BodyText"/>
        <w:spacing w:line="240" w:lineRule="auto" w:before="63"/>
        <w:ind w:right="0"/>
        <w:jc w:val="both"/>
      </w:pPr>
      <w:r>
        <w:rPr>
          <w:rFonts w:ascii="Times New Roman" w:hAnsi="Times New Roman" w:cs="Times New Roman" w:eastAsia="Times New Roman" w:hint="default"/>
        </w:rPr>
        <w:t>20</w:t>
      </w:r>
      <w:r>
        <w:rPr/>
        <w:t>万元。</w:t>
      </w:r>
    </w:p>
    <w:p>
      <w:pPr>
        <w:pStyle w:val="BodyText"/>
        <w:spacing w:line="300" w:lineRule="auto" w:before="63"/>
        <w:ind w:left="1133" w:right="1131" w:firstLine="360"/>
        <w:jc w:val="both"/>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日，根据有限公司股东会决议及修改后章程的规定，平安财智投资管理有限公司、北京正达联合投资有限 公司、北京恒远恒信科技发展有限公司等三名法人股东向有限公司增资</w:t>
      </w:r>
      <w:r>
        <w:rPr>
          <w:rFonts w:ascii="Times New Roman" w:hAnsi="Times New Roman" w:cs="Times New Roman" w:eastAsia="Times New Roman" w:hint="default"/>
        </w:rPr>
        <w:t>278.81</w:t>
      </w:r>
      <w:r>
        <w:rPr/>
        <w:t>万元，有限公司变更后的注册资本为</w:t>
      </w:r>
      <w:r>
        <w:rPr>
          <w:rFonts w:ascii="Times New Roman" w:hAnsi="Times New Roman" w:cs="Times New Roman" w:eastAsia="Times New Roman" w:hint="default"/>
        </w:rPr>
        <w:t>1,298.81</w:t>
      </w:r>
      <w:r>
        <w:rPr>
          <w:rFonts w:ascii="Times New Roman" w:hAnsi="Times New Roman" w:cs="Times New Roman" w:eastAsia="Times New Roman" w:hint="default"/>
          <w:spacing w:val="-4"/>
        </w:rPr>
        <w:t> </w:t>
      </w:r>
      <w:r>
        <w:rPr>
          <w:rFonts w:ascii="Times New Roman" w:hAnsi="Times New Roman" w:cs="Times New Roman" w:eastAsia="Times New Roman" w:hint="default"/>
          <w:spacing w:val="-4"/>
        </w:rPr>
      </w:r>
      <w:r>
        <w:rPr/>
        <w:t>万元。</w:t>
      </w:r>
    </w:p>
    <w:p>
      <w:pPr>
        <w:pStyle w:val="BodyText"/>
        <w:spacing w:line="300" w:lineRule="auto" w:before="31"/>
        <w:ind w:left="1133" w:right="1131" w:firstLine="360"/>
        <w:jc w:val="both"/>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22</w:t>
      </w:r>
      <w:r>
        <w:rPr/>
        <w:t>日，根据有限公司《关于公司由有限公司变更设立股份公司的决议》、《沈阳荣科科技股份有限公司发起 人协议书》以及公司章程的规定，有限公司以</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日为基准日，以经审计的净资产</w:t>
      </w:r>
      <w:r>
        <w:rPr>
          <w:rFonts w:ascii="Times New Roman" w:hAnsi="Times New Roman" w:cs="Times New Roman" w:eastAsia="Times New Roman" w:hint="default"/>
        </w:rPr>
        <w:t>7,040.36</w:t>
      </w:r>
      <w:r>
        <w:rPr/>
        <w:t>万元折股</w:t>
      </w:r>
      <w:r>
        <w:rPr>
          <w:rFonts w:ascii="Times New Roman" w:hAnsi="Times New Roman" w:cs="Times New Roman" w:eastAsia="Times New Roman" w:hint="default"/>
        </w:rPr>
        <w:t>5,100</w:t>
      </w:r>
      <w:r>
        <w:rPr/>
        <w:t>万股整体</w:t>
      </w:r>
      <w:r>
        <w:rPr>
          <w:spacing w:val="-50"/>
        </w:rPr>
        <w:t> </w:t>
      </w:r>
      <w:r>
        <w:rPr>
          <w:spacing w:val="-50"/>
        </w:rPr>
      </w:r>
      <w:r>
        <w:rPr>
          <w:spacing w:val="-2"/>
        </w:rPr>
        <w:t>改制变更为股份有限公司，公司变更后的名称为荣科科技股份有限公司，并于</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8</w:t>
      </w:r>
      <w:r>
        <w:rPr>
          <w:spacing w:val="-2"/>
        </w:rPr>
        <w:t>日取得沈阳市工商行政管理局核发</w:t>
      </w:r>
      <w:r>
        <w:rPr>
          <w:spacing w:val="-58"/>
        </w:rPr>
        <w:t> </w:t>
      </w:r>
      <w:r>
        <w:rPr/>
        <w:t>的</w:t>
      </w:r>
      <w:r>
        <w:rPr>
          <w:rFonts w:ascii="Times New Roman" w:hAnsi="Times New Roman" w:cs="Times New Roman" w:eastAsia="Times New Roman" w:hint="default"/>
        </w:rPr>
        <w:t>210100000047160</w:t>
      </w:r>
      <w:r>
        <w:rPr/>
        <w:t>号《企业法人营业执照》。</w:t>
      </w:r>
    </w:p>
    <w:p>
      <w:pPr>
        <w:pStyle w:val="BodyText"/>
        <w:spacing w:line="300" w:lineRule="auto" w:before="13"/>
        <w:ind w:left="1133" w:right="1130" w:firstLine="360"/>
        <w:jc w:val="both"/>
      </w:pPr>
      <w:r>
        <w:rPr>
          <w:spacing w:val="-4"/>
        </w:rPr>
        <w:t>经中国证券监督管理委员会证监许可</w:t>
      </w:r>
      <w:r>
        <w:rPr>
          <w:rFonts w:ascii="Times New Roman" w:hAnsi="Times New Roman" w:cs="Times New Roman" w:eastAsia="Times New Roman" w:hint="default"/>
          <w:spacing w:val="-4"/>
        </w:rPr>
        <w:t>[2011]2143</w:t>
      </w:r>
      <w:r>
        <w:rPr>
          <w:spacing w:val="-4"/>
        </w:rPr>
        <w:t>号文件核准，本公司向社会公众公开发行人民币普通股（</w:t>
      </w:r>
      <w:r>
        <w:rPr>
          <w:rFonts w:ascii="Times New Roman" w:hAnsi="Times New Roman" w:cs="Times New Roman" w:eastAsia="Times New Roman" w:hint="default"/>
          <w:spacing w:val="-4"/>
        </w:rPr>
        <w:t>A</w:t>
      </w:r>
      <w:r>
        <w:rPr>
          <w:spacing w:val="-4"/>
        </w:rPr>
        <w:t>股）股票</w:t>
      </w:r>
      <w:r>
        <w:rPr>
          <w:rFonts w:ascii="Times New Roman" w:hAnsi="Times New Roman" w:cs="Times New Roman" w:eastAsia="Times New Roman" w:hint="default"/>
          <w:spacing w:val="-4"/>
        </w:rPr>
        <w:t>1,700</w:t>
      </w:r>
      <w:r>
        <w:rPr>
          <w:rFonts w:ascii="Times New Roman" w:hAnsi="Times New Roman" w:cs="Times New Roman" w:eastAsia="Times New Roman" w:hint="default"/>
        </w:rPr>
        <w:t> </w:t>
      </w:r>
      <w:r>
        <w:rPr/>
        <w:t>万股，每股面值</w:t>
      </w:r>
      <w:r>
        <w:rPr>
          <w:rFonts w:ascii="Times New Roman" w:hAnsi="Times New Roman" w:cs="Times New Roman" w:eastAsia="Times New Roman" w:hint="default"/>
        </w:rPr>
        <w:t>1.00</w:t>
      </w:r>
      <w:r>
        <w:rPr/>
        <w:t>元，公司股票已于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16</w:t>
      </w:r>
      <w:r>
        <w:rPr/>
        <w:t>日在深圳证券交易所挂牌交易。发行后公司股本变更为</w:t>
      </w:r>
      <w:r>
        <w:rPr>
          <w:rFonts w:ascii="Times New Roman" w:hAnsi="Times New Roman" w:cs="Times New Roman" w:eastAsia="Times New Roman" w:hint="default"/>
        </w:rPr>
        <w:t>6,800</w:t>
      </w:r>
      <w:r>
        <w:rPr/>
        <w:t>万股。公司</w:t>
      </w:r>
      <w:r>
        <w:rPr>
          <w:spacing w:val="-85"/>
        </w:rPr>
        <w:t> </w:t>
      </w:r>
      <w:r>
        <w:rPr/>
        <w:t>已于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11</w:t>
      </w:r>
      <w:r>
        <w:rPr/>
        <w:t>日在沈阳市工商行政管理局办理工商变更登记手续。</w:t>
      </w:r>
    </w:p>
    <w:p>
      <w:pPr>
        <w:spacing w:after="0" w:line="300" w:lineRule="auto"/>
        <w:jc w:val="both"/>
        <w:sectPr>
          <w:pgSz w:w="11910" w:h="16840"/>
          <w:pgMar w:header="566" w:footer="979" w:top="1360" w:bottom="1160" w:left="0" w:right="0"/>
        </w:sectPr>
      </w:pPr>
    </w:p>
    <w:p>
      <w:pPr>
        <w:pStyle w:val="BodyText"/>
        <w:spacing w:line="300" w:lineRule="auto" w:before="81"/>
        <w:ind w:left="1133" w:right="0" w:firstLine="360"/>
        <w:jc w:val="left"/>
      </w:pP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13</w:t>
      </w:r>
      <w:r>
        <w:rPr>
          <w:spacing w:val="-1"/>
        </w:rPr>
        <w:t>日，根据公司</w:t>
      </w:r>
      <w:r>
        <w:rPr>
          <w:rFonts w:ascii="Times New Roman" w:hAnsi="Times New Roman" w:cs="Times New Roman" w:eastAsia="Times New Roman" w:hint="default"/>
          <w:spacing w:val="-1"/>
        </w:rPr>
        <w:t>2012</w:t>
      </w:r>
      <w:r>
        <w:rPr>
          <w:spacing w:val="-1"/>
        </w:rPr>
        <w:t>年年度股东大会决议的相关规定，公司以总股本</w:t>
      </w:r>
      <w:r>
        <w:rPr>
          <w:rFonts w:ascii="Times New Roman" w:hAnsi="Times New Roman" w:cs="Times New Roman" w:eastAsia="Times New Roman" w:hint="default"/>
          <w:spacing w:val="-1"/>
        </w:rPr>
        <w:t>6,800</w:t>
      </w:r>
      <w:r>
        <w:rPr>
          <w:spacing w:val="-1"/>
        </w:rPr>
        <w:t>万股为基数，以资本公积向全体股</w:t>
      </w:r>
      <w:r>
        <w:rPr/>
        <w:t> 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股，共计转增</w:t>
      </w:r>
      <w:r>
        <w:rPr>
          <w:rFonts w:ascii="Times New Roman" w:hAnsi="Times New Roman" w:cs="Times New Roman" w:eastAsia="Times New Roman" w:hint="default"/>
        </w:rPr>
        <w:t>6,800</w:t>
      </w:r>
      <w:r>
        <w:rPr/>
        <w:t>万股。</w:t>
      </w:r>
    </w:p>
    <w:p>
      <w:pPr>
        <w:pStyle w:val="BodyText"/>
        <w:spacing w:line="300" w:lineRule="auto" w:before="13"/>
        <w:ind w:left="1133" w:right="1130" w:firstLine="360"/>
        <w:jc w:val="both"/>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24</w:t>
      </w:r>
      <w:r>
        <w:rPr>
          <w:spacing w:val="-2"/>
        </w:rPr>
        <w:t>日，根据公司</w:t>
      </w:r>
      <w:r>
        <w:rPr>
          <w:rFonts w:ascii="Times New Roman" w:hAnsi="Times New Roman" w:cs="Times New Roman" w:eastAsia="Times New Roman" w:hint="default"/>
          <w:spacing w:val="-2"/>
        </w:rPr>
        <w:t>2014</w:t>
      </w:r>
      <w:r>
        <w:rPr>
          <w:rFonts w:ascii="Times New Roman" w:hAnsi="Times New Roman" w:cs="Times New Roman" w:eastAsia="Times New Roman" w:hint="default"/>
          <w:spacing w:val="22"/>
        </w:rPr>
        <w:t> </w:t>
      </w:r>
      <w:r>
        <w:rPr>
          <w:spacing w:val="-2"/>
        </w:rPr>
        <w:t>年度第二次临时股东大会决议，并经中国证券监督管理委员会《关于核准荣科科技股份</w:t>
      </w:r>
      <w:r>
        <w:rPr/>
        <w:t> </w:t>
      </w:r>
      <w:r>
        <w:rPr>
          <w:spacing w:val="-8"/>
        </w:rPr>
        <w:t>有限公司非公开发行股票的批复》（证监许可【</w:t>
      </w:r>
      <w:r>
        <w:rPr>
          <w:rFonts w:ascii="Times New Roman" w:hAnsi="Times New Roman" w:cs="Times New Roman" w:eastAsia="Times New Roman" w:hint="default"/>
          <w:spacing w:val="-8"/>
        </w:rPr>
        <w:t>2015</w:t>
      </w:r>
      <w:r>
        <w:rPr>
          <w:spacing w:val="-8"/>
        </w:rPr>
        <w:t>】</w:t>
      </w:r>
      <w:r>
        <w:rPr>
          <w:rFonts w:ascii="Times New Roman" w:hAnsi="Times New Roman" w:cs="Times New Roman" w:eastAsia="Times New Roman" w:hint="default"/>
          <w:spacing w:val="-8"/>
        </w:rPr>
        <w:t>996</w:t>
      </w:r>
      <w:r>
        <w:rPr>
          <w:rFonts w:ascii="Times New Roman" w:hAnsi="Times New Roman" w:cs="Times New Roman" w:eastAsia="Times New Roman" w:hint="default"/>
        </w:rPr>
        <w:t> </w:t>
      </w:r>
      <w:r>
        <w:rPr>
          <w:spacing w:val="-4"/>
        </w:rPr>
        <w:t>号）的核准，公司向特定投资者非公开发行人民币普通股</w:t>
      </w:r>
      <w:r>
        <w:rPr>
          <w:rFonts w:ascii="Times New Roman" w:hAnsi="Times New Roman" w:cs="Times New Roman" w:eastAsia="Times New Roman" w:hint="default"/>
          <w:spacing w:val="-4"/>
        </w:rPr>
        <w:t>24,714,826</w:t>
      </w:r>
      <w:r>
        <w:rPr>
          <w:rFonts w:ascii="Times New Roman" w:hAnsi="Times New Roman" w:cs="Times New Roman" w:eastAsia="Times New Roman" w:hint="default"/>
          <w:spacing w:val="-32"/>
        </w:rPr>
        <w:t> </w:t>
      </w:r>
      <w:r>
        <w:rPr/>
        <w:t>股，公司股本总额增加至</w:t>
      </w:r>
      <w:r>
        <w:rPr>
          <w:rFonts w:ascii="Times New Roman" w:hAnsi="Times New Roman" w:cs="Times New Roman" w:eastAsia="Times New Roman" w:hint="default"/>
        </w:rPr>
        <w:t>160,714,826.00</w:t>
      </w:r>
      <w:r>
        <w:rPr/>
        <w:t>元。</w:t>
      </w:r>
    </w:p>
    <w:p>
      <w:pPr>
        <w:pStyle w:val="BodyText"/>
        <w:spacing w:line="300" w:lineRule="auto" w:before="13"/>
        <w:ind w:left="1133" w:right="1115" w:firstLine="36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24</w:t>
      </w:r>
      <w:r>
        <w:rPr/>
        <w:t>日，根据公司</w:t>
      </w:r>
      <w:r>
        <w:rPr>
          <w:rFonts w:ascii="Times New Roman" w:hAnsi="Times New Roman" w:cs="Times New Roman" w:eastAsia="Times New Roman" w:hint="default"/>
        </w:rPr>
        <w:t>2015</w:t>
      </w:r>
      <w:r>
        <w:rPr/>
        <w:t>年度第一次临时股东大会决议，公司以截至</w:t>
      </w:r>
      <w:r>
        <w:rPr>
          <w:spacing w:val="-40"/>
        </w:rPr>
        <w:t> </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日的总股本</w:t>
      </w:r>
      <w:r>
        <w:rPr>
          <w:rFonts w:ascii="Times New Roman" w:hAnsi="Times New Roman" w:cs="Times New Roman" w:eastAsia="Times New Roman" w:hint="default"/>
        </w:rPr>
        <w:t>16,071.4826</w:t>
      </w:r>
      <w:r>
        <w:rPr/>
        <w:t>万股为 基数，以资本公积向全体股东每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股，共计转增</w:t>
      </w:r>
      <w:r>
        <w:rPr>
          <w:rFonts w:ascii="Times New Roman" w:hAnsi="Times New Roman" w:cs="Times New Roman" w:eastAsia="Times New Roman" w:hint="default"/>
        </w:rPr>
        <w:t>16,071.4826</w:t>
      </w:r>
      <w:r>
        <w:rPr/>
        <w:t>万股。</w:t>
      </w:r>
    </w:p>
    <w:p>
      <w:pPr>
        <w:pStyle w:val="BodyText"/>
        <w:spacing w:line="240" w:lineRule="auto" w:before="13"/>
        <w:ind w:left="1494" w:right="0"/>
        <w:jc w:val="left"/>
      </w:pP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日止，公司股本为人民币</w:t>
      </w:r>
      <w:r>
        <w:rPr>
          <w:rFonts w:ascii="Times New Roman" w:hAnsi="Times New Roman" w:cs="Times New Roman" w:eastAsia="Times New Roman" w:hint="default"/>
        </w:rPr>
        <w:t>321,429,652.00</w:t>
      </w:r>
      <w:r>
        <w:rPr/>
        <w:t>元。</w:t>
      </w:r>
    </w:p>
    <w:p>
      <w:pPr>
        <w:pStyle w:val="BodyText"/>
        <w:spacing w:line="309" w:lineRule="auto" w:before="63"/>
        <w:ind w:left="1493" w:right="7873"/>
        <w:jc w:val="left"/>
      </w:pPr>
      <w:r>
        <w:rPr>
          <w:rFonts w:ascii="Times New Roman" w:hAnsi="Times New Roman" w:cs="Times New Roman" w:eastAsia="Times New Roman" w:hint="default"/>
        </w:rPr>
        <w:t>2</w:t>
      </w:r>
      <w:r>
        <w:rPr/>
        <w:t>、行业性质 公司属软件和信息技术服务业。 </w:t>
      </w:r>
      <w:r>
        <w:rPr>
          <w:rFonts w:ascii="Times New Roman" w:hAnsi="Times New Roman" w:cs="Times New Roman" w:eastAsia="Times New Roman" w:hint="default"/>
        </w:rPr>
        <w:t>3</w:t>
      </w:r>
      <w:r>
        <w:rPr/>
        <w:t>、主要业务</w:t>
      </w:r>
    </w:p>
    <w:p>
      <w:pPr>
        <w:pStyle w:val="BodyText"/>
        <w:spacing w:line="316" w:lineRule="auto" w:before="5"/>
        <w:ind w:left="1133" w:right="0" w:firstLine="360"/>
        <w:jc w:val="left"/>
      </w:pPr>
      <w:r>
        <w:rPr>
          <w:spacing w:val="-2"/>
        </w:rPr>
        <w:t>公司主要产品及业务：数据中心集成建设与运营维护的第三方服务（以下简称数据中心第三方服务）、重点行业信息化</w:t>
      </w:r>
      <w:r>
        <w:rPr/>
        <w:t> 解决方案以及金融</w:t>
      </w:r>
      <w:r>
        <w:rPr>
          <w:rFonts w:ascii="Times New Roman" w:hAnsi="Times New Roman" w:cs="Times New Roman" w:eastAsia="Times New Roman" w:hint="default"/>
        </w:rPr>
        <w:t>IT</w:t>
      </w:r>
      <w:r>
        <w:rPr/>
        <w:t>外包服务。</w:t>
      </w:r>
    </w:p>
    <w:p>
      <w:pPr>
        <w:pStyle w:val="BodyText"/>
        <w:spacing w:line="300" w:lineRule="auto"/>
        <w:ind w:left="1493" w:right="1118"/>
        <w:jc w:val="left"/>
      </w:pPr>
      <w:r>
        <w:rPr>
          <w:rFonts w:ascii="Times New Roman" w:hAnsi="Times New Roman" w:cs="Times New Roman" w:eastAsia="Times New Roman" w:hint="default"/>
        </w:rPr>
        <w:t>4</w:t>
      </w:r>
      <w:r>
        <w:rPr/>
        <w:t>、经营范围 </w:t>
      </w:r>
      <w:r>
        <w:rPr>
          <w:spacing w:val="-2"/>
        </w:rPr>
        <w:t>公司的经营范围为：第二类增值电信业务中的信息服务业务（不含固定网电话信息服务和互联网信息服务）；计算机软</w:t>
      </w:r>
    </w:p>
    <w:p>
      <w:pPr>
        <w:pStyle w:val="BodyText"/>
        <w:spacing w:line="316" w:lineRule="auto" w:before="31"/>
        <w:ind w:left="1133" w:right="1131"/>
        <w:jc w:val="both"/>
      </w:pPr>
      <w:r>
        <w:rPr>
          <w:spacing w:val="-2"/>
        </w:rPr>
        <w:t>硬件技术、电控工程技术开发；计算机系统集成（持资质证经营）及咨询服务；计算机及辅助设备、通讯器材、机械电子设</w:t>
      </w:r>
      <w:r>
        <w:rPr>
          <w:spacing w:val="-72"/>
        </w:rPr>
        <w:t> </w:t>
      </w:r>
      <w:r>
        <w:rPr>
          <w:spacing w:val="-72"/>
        </w:rPr>
      </w:r>
      <w:r>
        <w:rPr>
          <w:spacing w:val="-2"/>
        </w:rPr>
        <w:t>备销售；建筑智能化工程、防雷电工程、安全技术防范设施工程、弱电工程设计、施工，计算机房装修及综合布线（上述项</w:t>
      </w:r>
      <w:r>
        <w:rPr>
          <w:spacing w:val="-72"/>
        </w:rPr>
        <w:t> </w:t>
      </w:r>
      <w:r>
        <w:rPr>
          <w:spacing w:val="-72"/>
        </w:rPr>
      </w:r>
      <w:r>
        <w:rPr>
          <w:spacing w:val="-2"/>
        </w:rPr>
        <w:t>目持资质证经营）；计算机系统维护，自营和代理各类商品和技术的进出口，但国家限定公司经营或禁止进出口的商品和技</w:t>
      </w:r>
      <w:r>
        <w:rPr>
          <w:spacing w:val="-66"/>
        </w:rPr>
        <w:t> </w:t>
      </w:r>
      <w:r>
        <w:rPr>
          <w:spacing w:val="-66"/>
        </w:rPr>
      </w:r>
      <w:r>
        <w:rPr/>
        <w:t>术除外。</w:t>
      </w:r>
    </w:p>
    <w:p>
      <w:pPr>
        <w:pStyle w:val="BodyText"/>
        <w:spacing w:line="240" w:lineRule="auto" w:before="19"/>
        <w:ind w:left="1494" w:right="0"/>
        <w:jc w:val="left"/>
      </w:pPr>
      <w:r>
        <w:rPr>
          <w:rFonts w:ascii="Times New Roman" w:hAnsi="Times New Roman" w:cs="Times New Roman" w:eastAsia="Times New Roman" w:hint="default"/>
        </w:rPr>
        <w:t>5</w:t>
      </w:r>
      <w:r>
        <w:rPr/>
        <w:t>、公司注册地址：沈阳市和平区和平北大街</w:t>
      </w:r>
      <w:r>
        <w:rPr>
          <w:rFonts w:ascii="Times New Roman" w:hAnsi="Times New Roman" w:cs="Times New Roman" w:eastAsia="Times New Roman" w:hint="default"/>
        </w:rPr>
        <w:t>62</w:t>
      </w:r>
      <w:r>
        <w:rPr/>
        <w:t>号。</w:t>
      </w:r>
    </w:p>
    <w:p>
      <w:pPr>
        <w:pStyle w:val="BodyText"/>
        <w:spacing w:line="240" w:lineRule="auto" w:before="63"/>
        <w:ind w:left="1494" w:right="0"/>
        <w:jc w:val="left"/>
      </w:pPr>
      <w:r>
        <w:rPr>
          <w:rFonts w:ascii="Times New Roman" w:hAnsi="Times New Roman" w:cs="Times New Roman" w:eastAsia="Times New Roman" w:hint="default"/>
        </w:rPr>
        <w:t>6</w:t>
      </w:r>
      <w:r>
        <w:rPr/>
        <w:t>、公司法定代表人：付永全。</w:t>
      </w:r>
    </w:p>
    <w:p>
      <w:pPr>
        <w:pStyle w:val="BodyText"/>
        <w:spacing w:line="240" w:lineRule="auto" w:before="63"/>
        <w:ind w:left="1494" w:right="0"/>
        <w:jc w:val="left"/>
      </w:pPr>
      <w:r>
        <w:rPr>
          <w:rFonts w:ascii="Times New Roman" w:hAnsi="Times New Roman" w:cs="Times New Roman" w:eastAsia="Times New Roman" w:hint="default"/>
        </w:rPr>
        <w:t>7</w:t>
      </w:r>
      <w:r>
        <w:rPr/>
        <w:t>、财务报告批准报出日：本财务报告于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日由公司董事会通过并批准发布。</w:t>
      </w:r>
    </w:p>
    <w:p>
      <w:pPr>
        <w:spacing w:line="240" w:lineRule="auto" w:before="12"/>
        <w:rPr>
          <w:rFonts w:ascii="宋体" w:hAnsi="宋体" w:cs="宋体" w:eastAsia="宋体" w:hint="default"/>
          <w:sz w:val="25"/>
          <w:szCs w:val="25"/>
        </w:rPr>
      </w:pPr>
    </w:p>
    <w:p>
      <w:pPr>
        <w:pStyle w:val="Heading3"/>
        <w:spacing w:line="240" w:lineRule="auto"/>
        <w:ind w:left="1133" w:right="0"/>
        <w:jc w:val="both"/>
        <w:rPr>
          <w:b w:val="0"/>
          <w:bCs w:val="0"/>
        </w:rPr>
      </w:pPr>
      <w:bookmarkStart w:name="（二）合并财务报表范围" w:id="161"/>
      <w:bookmarkEnd w:id="161"/>
      <w:r>
        <w:rPr>
          <w:b w:val="0"/>
          <w:bCs w:val="0"/>
        </w:rPr>
      </w:r>
      <w:r>
        <w:rPr/>
        <w:t>（二）合并财务报表范围</w:t>
      </w:r>
      <w:r>
        <w:rPr>
          <w:b w:val="0"/>
          <w:bCs w:val="0"/>
        </w:rPr>
      </w:r>
    </w:p>
    <w:p>
      <w:pPr>
        <w:spacing w:line="240" w:lineRule="auto" w:before="9"/>
        <w:rPr>
          <w:rFonts w:ascii="宋体" w:hAnsi="宋体" w:cs="宋体" w:eastAsia="宋体" w:hint="default"/>
          <w:b/>
          <w:bCs/>
          <w:sz w:val="27"/>
          <w:szCs w:val="27"/>
        </w:rPr>
      </w:pPr>
    </w:p>
    <w:p>
      <w:pPr>
        <w:pStyle w:val="BodyText"/>
        <w:spacing w:line="240" w:lineRule="auto"/>
        <w:ind w:left="1493" w:right="0"/>
        <w:jc w:val="left"/>
      </w:pPr>
      <w:r>
        <w:rPr>
          <w:rFonts w:ascii="Times New Roman" w:hAnsi="Times New Roman" w:cs="Times New Roman" w:eastAsia="Times New Roman" w:hint="default"/>
        </w:rPr>
        <w:t>1</w:t>
      </w:r>
      <w:r>
        <w:rPr/>
        <w:t>、本公司合并财务报表范围如下：</w:t>
      </w:r>
    </w:p>
    <w:p>
      <w:pPr>
        <w:spacing w:line="240" w:lineRule="auto" w:before="13"/>
        <w:rPr>
          <w:rFonts w:ascii="宋体" w:hAnsi="宋体" w:cs="宋体" w:eastAsia="宋体" w:hint="default"/>
          <w:sz w:val="3"/>
          <w:szCs w:val="3"/>
        </w:rPr>
      </w:pPr>
    </w:p>
    <w:tbl>
      <w:tblPr>
        <w:tblW w:w="0" w:type="auto"/>
        <w:jc w:val="left"/>
        <w:tblInd w:w="905" w:type="dxa"/>
        <w:tblLayout w:type="fixed"/>
        <w:tblCellMar>
          <w:top w:w="0" w:type="dxa"/>
          <w:left w:w="0" w:type="dxa"/>
          <w:bottom w:w="0" w:type="dxa"/>
          <w:right w:w="0" w:type="dxa"/>
        </w:tblCellMar>
        <w:tblLook w:val="01E0"/>
      </w:tblPr>
      <w:tblGrid>
        <w:gridCol w:w="2852"/>
        <w:gridCol w:w="1134"/>
        <w:gridCol w:w="851"/>
        <w:gridCol w:w="992"/>
        <w:gridCol w:w="709"/>
        <w:gridCol w:w="707"/>
        <w:gridCol w:w="2836"/>
      </w:tblGrid>
      <w:tr>
        <w:trPr>
          <w:trHeight w:val="347" w:hRule="exact"/>
        </w:trPr>
        <w:tc>
          <w:tcPr>
            <w:tcW w:w="2852"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1134"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b/>
                <w:bCs/>
                <w:sz w:val="18"/>
                <w:szCs w:val="18"/>
              </w:rPr>
              <w:t>主要经营地</w:t>
            </w:r>
            <w:r>
              <w:rPr>
                <w:rFonts w:ascii="宋体" w:hAnsi="宋体" w:cs="宋体" w:eastAsia="宋体" w:hint="default"/>
                <w:sz w:val="18"/>
                <w:szCs w:val="18"/>
              </w:rPr>
            </w:r>
          </w:p>
        </w:tc>
        <w:tc>
          <w:tcPr>
            <w:tcW w:w="851"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992"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1416"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189"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持股比例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2836"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取得方式</w:t>
            </w:r>
            <w:r>
              <w:rPr>
                <w:rFonts w:ascii="宋体" w:hAnsi="宋体" w:cs="宋体" w:eastAsia="宋体" w:hint="default"/>
                <w:sz w:val="18"/>
                <w:szCs w:val="18"/>
              </w:rPr>
            </w:r>
          </w:p>
        </w:tc>
      </w:tr>
      <w:tr>
        <w:trPr>
          <w:trHeight w:val="347" w:hRule="exact"/>
        </w:trPr>
        <w:tc>
          <w:tcPr>
            <w:tcW w:w="2852" w:type="dxa"/>
            <w:vMerge/>
            <w:tcBorders>
              <w:left w:val="single" w:sz="6" w:space="0" w:color="000000"/>
              <w:bottom w:val="single" w:sz="6" w:space="0" w:color="000000"/>
              <w:right w:val="single" w:sz="6" w:space="0" w:color="000000"/>
            </w:tcBorders>
            <w:shd w:val="clear" w:color="auto" w:fill="D9D9D9"/>
          </w:tcPr>
          <w:p>
            <w:pPr/>
          </w:p>
        </w:tc>
        <w:tc>
          <w:tcPr>
            <w:tcW w:w="1134" w:type="dxa"/>
            <w:vMerge/>
            <w:tcBorders>
              <w:left w:val="single" w:sz="6" w:space="0" w:color="000000"/>
              <w:bottom w:val="single" w:sz="6" w:space="0" w:color="000000"/>
              <w:right w:val="single" w:sz="6" w:space="0" w:color="000000"/>
            </w:tcBorders>
            <w:shd w:val="clear" w:color="auto" w:fill="D9D9D9"/>
          </w:tcPr>
          <w:p>
            <w:pPr/>
          </w:p>
        </w:tc>
        <w:tc>
          <w:tcPr>
            <w:tcW w:w="851" w:type="dxa"/>
            <w:vMerge/>
            <w:tcBorders>
              <w:left w:val="single" w:sz="6" w:space="0" w:color="000000"/>
              <w:bottom w:val="single" w:sz="6" w:space="0" w:color="000000"/>
              <w:right w:val="single" w:sz="6" w:space="0" w:color="000000"/>
            </w:tcBorders>
            <w:shd w:val="clear" w:color="auto" w:fill="D9D9D9"/>
          </w:tcPr>
          <w:p>
            <w:pPr/>
          </w:p>
        </w:tc>
        <w:tc>
          <w:tcPr>
            <w:tcW w:w="992" w:type="dxa"/>
            <w:vMerge/>
            <w:tcBorders>
              <w:left w:val="single" w:sz="6" w:space="0" w:color="000000"/>
              <w:bottom w:val="single" w:sz="6" w:space="0" w:color="000000"/>
              <w:right w:val="single" w:sz="6" w:space="0" w:color="000000"/>
            </w:tcBorders>
            <w:shd w:val="clear" w:color="auto" w:fill="D9D9D9"/>
          </w:tcPr>
          <w:p>
            <w:pPr/>
          </w:p>
        </w:tc>
        <w:tc>
          <w:tcPr>
            <w:tcW w:w="70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b/>
                <w:bCs/>
                <w:sz w:val="18"/>
                <w:szCs w:val="18"/>
              </w:rPr>
              <w:t>直接</w:t>
            </w:r>
            <w:r>
              <w:rPr>
                <w:rFonts w:ascii="宋体" w:hAnsi="宋体" w:cs="宋体" w:eastAsia="宋体" w:hint="default"/>
                <w:sz w:val="18"/>
                <w:szCs w:val="18"/>
              </w:rPr>
            </w:r>
          </w:p>
        </w:tc>
        <w:tc>
          <w:tcPr>
            <w:tcW w:w="70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3" w:right="0"/>
              <w:jc w:val="center"/>
              <w:rPr>
                <w:rFonts w:ascii="宋体" w:hAnsi="宋体" w:cs="宋体" w:eastAsia="宋体" w:hint="default"/>
                <w:sz w:val="18"/>
                <w:szCs w:val="18"/>
              </w:rPr>
            </w:pPr>
            <w:r>
              <w:rPr>
                <w:rFonts w:ascii="宋体" w:hAnsi="宋体" w:cs="宋体" w:eastAsia="宋体" w:hint="default"/>
                <w:b/>
                <w:bCs/>
                <w:sz w:val="18"/>
                <w:szCs w:val="18"/>
              </w:rPr>
              <w:t>间接</w:t>
            </w:r>
            <w:r>
              <w:rPr>
                <w:rFonts w:ascii="宋体" w:hAnsi="宋体" w:cs="宋体" w:eastAsia="宋体" w:hint="default"/>
                <w:sz w:val="18"/>
                <w:szCs w:val="18"/>
              </w:rPr>
            </w:r>
          </w:p>
        </w:tc>
        <w:tc>
          <w:tcPr>
            <w:tcW w:w="2836" w:type="dxa"/>
            <w:vMerge/>
            <w:tcBorders>
              <w:left w:val="single" w:sz="6" w:space="0" w:color="000000"/>
              <w:bottom w:val="single" w:sz="6" w:space="0" w:color="000000"/>
              <w:right w:val="single" w:sz="6" w:space="0" w:color="000000"/>
            </w:tcBorders>
            <w:shd w:val="clear" w:color="auto" w:fill="D9D9D9"/>
          </w:tcPr>
          <w:p>
            <w:pPr/>
          </w:p>
        </w:tc>
      </w:tr>
      <w:tr>
        <w:trPr>
          <w:trHeight w:val="348" w:hRule="exact"/>
        </w:trPr>
        <w:tc>
          <w:tcPr>
            <w:tcW w:w="2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沈阳荣科全濠科技有限公司</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沈阳</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沈阳</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27"/>
              <w:jc w:val="right"/>
              <w:rPr>
                <w:rFonts w:ascii="宋体" w:hAnsi="宋体" w:cs="宋体" w:eastAsia="宋体" w:hint="default"/>
                <w:sz w:val="18"/>
                <w:szCs w:val="18"/>
              </w:rPr>
            </w:pPr>
            <w:r>
              <w:rPr>
                <w:rFonts w:ascii="宋体" w:hAnsi="宋体" w:cs="宋体" w:eastAsia="宋体" w:hint="default"/>
                <w:sz w:val="18"/>
                <w:szCs w:val="18"/>
              </w:rPr>
              <w:t>软件服务</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70.00</w:t>
            </w:r>
          </w:p>
        </w:tc>
        <w:tc>
          <w:tcPr>
            <w:tcW w:w="707" w:type="dxa"/>
            <w:tcBorders>
              <w:top w:val="single" w:sz="6" w:space="0" w:color="000000"/>
              <w:left w:val="single" w:sz="6" w:space="0" w:color="000000"/>
              <w:bottom w:val="single" w:sz="6" w:space="0" w:color="000000"/>
              <w:right w:val="single" w:sz="6" w:space="0" w:color="000000"/>
            </w:tcBorders>
          </w:tcPr>
          <w:p>
            <w:pP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投资</w:t>
            </w:r>
          </w:p>
        </w:tc>
      </w:tr>
      <w:tr>
        <w:trPr>
          <w:trHeight w:val="347" w:hRule="exact"/>
        </w:trPr>
        <w:tc>
          <w:tcPr>
            <w:tcW w:w="2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辽宁荣科金融服务有限公司</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铁岭</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铁岭</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27"/>
              <w:jc w:val="right"/>
              <w:rPr>
                <w:rFonts w:ascii="宋体" w:hAnsi="宋体" w:cs="宋体" w:eastAsia="宋体" w:hint="default"/>
                <w:sz w:val="18"/>
                <w:szCs w:val="18"/>
              </w:rPr>
            </w:pPr>
            <w:r>
              <w:rPr>
                <w:rFonts w:ascii="宋体" w:hAnsi="宋体" w:cs="宋体" w:eastAsia="宋体" w:hint="default"/>
                <w:sz w:val="18"/>
                <w:szCs w:val="18"/>
              </w:rPr>
              <w:t>软件服务</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100.00</w:t>
            </w:r>
          </w:p>
        </w:tc>
        <w:tc>
          <w:tcPr>
            <w:tcW w:w="707" w:type="dxa"/>
            <w:tcBorders>
              <w:top w:val="single" w:sz="6" w:space="0" w:color="000000"/>
              <w:left w:val="single" w:sz="6" w:space="0" w:color="000000"/>
              <w:bottom w:val="single" w:sz="6" w:space="0" w:color="000000"/>
              <w:right w:val="single" w:sz="6" w:space="0" w:color="000000"/>
            </w:tcBorders>
          </w:tcPr>
          <w:p>
            <w:pP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投资</w:t>
            </w:r>
          </w:p>
        </w:tc>
      </w:tr>
      <w:tr>
        <w:trPr>
          <w:trHeight w:val="347" w:hRule="exact"/>
        </w:trPr>
        <w:tc>
          <w:tcPr>
            <w:tcW w:w="2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北京荣科爱信科技有限公司</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27"/>
              <w:jc w:val="right"/>
              <w:rPr>
                <w:rFonts w:ascii="宋体" w:hAnsi="宋体" w:cs="宋体" w:eastAsia="宋体" w:hint="default"/>
                <w:sz w:val="18"/>
                <w:szCs w:val="18"/>
              </w:rPr>
            </w:pPr>
            <w:r>
              <w:rPr>
                <w:rFonts w:ascii="宋体" w:hAnsi="宋体" w:cs="宋体" w:eastAsia="宋体" w:hint="default"/>
                <w:sz w:val="18"/>
                <w:szCs w:val="18"/>
              </w:rPr>
              <w:t>技术服务</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100.00</w:t>
            </w:r>
          </w:p>
        </w:tc>
        <w:tc>
          <w:tcPr>
            <w:tcW w:w="707" w:type="dxa"/>
            <w:tcBorders>
              <w:top w:val="single" w:sz="6" w:space="0" w:color="000000"/>
              <w:left w:val="single" w:sz="6" w:space="0" w:color="000000"/>
              <w:bottom w:val="single" w:sz="6" w:space="0" w:color="000000"/>
              <w:right w:val="single" w:sz="6" w:space="0" w:color="000000"/>
            </w:tcBorders>
          </w:tcPr>
          <w:p>
            <w:pP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投资</w:t>
            </w:r>
          </w:p>
        </w:tc>
      </w:tr>
      <w:tr>
        <w:trPr>
          <w:trHeight w:val="347" w:hRule="exact"/>
        </w:trPr>
        <w:tc>
          <w:tcPr>
            <w:tcW w:w="2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享云科技有限责任公司</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美国</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美国</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27"/>
              <w:jc w:val="right"/>
              <w:rPr>
                <w:rFonts w:ascii="宋体" w:hAnsi="宋体" w:cs="宋体" w:eastAsia="宋体" w:hint="default"/>
                <w:sz w:val="18"/>
                <w:szCs w:val="18"/>
              </w:rPr>
            </w:pPr>
            <w:r>
              <w:rPr>
                <w:rFonts w:ascii="宋体" w:hAnsi="宋体" w:cs="宋体" w:eastAsia="宋体" w:hint="default"/>
                <w:sz w:val="18"/>
                <w:szCs w:val="18"/>
              </w:rPr>
              <w:t>软件服务</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50.87</w:t>
            </w:r>
          </w:p>
        </w:tc>
        <w:tc>
          <w:tcPr>
            <w:tcW w:w="707" w:type="dxa"/>
            <w:tcBorders>
              <w:top w:val="single" w:sz="6" w:space="0" w:color="000000"/>
              <w:left w:val="single" w:sz="6" w:space="0" w:color="000000"/>
              <w:bottom w:val="single" w:sz="6" w:space="0" w:color="000000"/>
              <w:right w:val="single" w:sz="6" w:space="0" w:color="000000"/>
            </w:tcBorders>
          </w:tcPr>
          <w:p>
            <w:pP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收购（非同一控制下的企业合并）</w:t>
            </w:r>
          </w:p>
        </w:tc>
      </w:tr>
      <w:tr>
        <w:trPr>
          <w:trHeight w:val="347" w:hRule="exact"/>
        </w:trPr>
        <w:tc>
          <w:tcPr>
            <w:tcW w:w="2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上海米健信息技术有限公司</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上海</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上海</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27"/>
              <w:jc w:val="right"/>
              <w:rPr>
                <w:rFonts w:ascii="宋体" w:hAnsi="宋体" w:cs="宋体" w:eastAsia="宋体" w:hint="default"/>
                <w:sz w:val="18"/>
                <w:szCs w:val="18"/>
              </w:rPr>
            </w:pPr>
            <w:r>
              <w:rPr>
                <w:rFonts w:ascii="宋体" w:hAnsi="宋体" w:cs="宋体" w:eastAsia="宋体" w:hint="default"/>
                <w:sz w:val="18"/>
                <w:szCs w:val="18"/>
              </w:rPr>
              <w:t>软件服务</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51.00</w:t>
            </w:r>
          </w:p>
        </w:tc>
        <w:tc>
          <w:tcPr>
            <w:tcW w:w="707" w:type="dxa"/>
            <w:tcBorders>
              <w:top w:val="single" w:sz="6" w:space="0" w:color="000000"/>
              <w:left w:val="single" w:sz="6" w:space="0" w:color="000000"/>
              <w:bottom w:val="single" w:sz="6" w:space="0" w:color="000000"/>
              <w:right w:val="single" w:sz="6" w:space="0" w:color="000000"/>
            </w:tcBorders>
          </w:tcPr>
          <w:p>
            <w:pP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收购（非同一控制下的企业合并）</w:t>
            </w:r>
          </w:p>
        </w:tc>
      </w:tr>
      <w:tr>
        <w:trPr>
          <w:trHeight w:val="347" w:hRule="exact"/>
        </w:trPr>
        <w:tc>
          <w:tcPr>
            <w:tcW w:w="2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苏州易健医疗信息技术有限公司</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苏州</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苏州</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27"/>
              <w:jc w:val="right"/>
              <w:rPr>
                <w:rFonts w:ascii="宋体" w:hAnsi="宋体" w:cs="宋体" w:eastAsia="宋体" w:hint="default"/>
                <w:sz w:val="18"/>
                <w:szCs w:val="18"/>
              </w:rPr>
            </w:pPr>
            <w:r>
              <w:rPr>
                <w:rFonts w:ascii="宋体" w:hAnsi="宋体" w:cs="宋体" w:eastAsia="宋体" w:hint="default"/>
                <w:sz w:val="18"/>
                <w:szCs w:val="18"/>
              </w:rPr>
              <w:t>软件服务</w:t>
            </w:r>
          </w:p>
        </w:tc>
        <w:tc>
          <w:tcPr>
            <w:tcW w:w="709" w:type="dxa"/>
            <w:tcBorders>
              <w:top w:val="single" w:sz="6" w:space="0" w:color="000000"/>
              <w:left w:val="single" w:sz="6" w:space="0" w:color="000000"/>
              <w:bottom w:val="single" w:sz="6" w:space="0" w:color="000000"/>
              <w:right w:val="single" w:sz="6" w:space="0" w:color="000000"/>
            </w:tcBorders>
          </w:tcPr>
          <w:p>
            <w:pPr/>
          </w:p>
        </w:tc>
        <w:tc>
          <w:tcPr>
            <w:tcW w:w="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51.00</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收购（非同一控制下的企业合并）</w:t>
            </w:r>
          </w:p>
        </w:tc>
      </w:tr>
      <w:tr>
        <w:trPr>
          <w:trHeight w:val="348" w:hRule="exact"/>
        </w:trPr>
        <w:tc>
          <w:tcPr>
            <w:tcW w:w="2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北京米东信息技术有限公司</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27"/>
              <w:jc w:val="right"/>
              <w:rPr>
                <w:rFonts w:ascii="宋体" w:hAnsi="宋体" w:cs="宋体" w:eastAsia="宋体" w:hint="default"/>
                <w:sz w:val="18"/>
                <w:szCs w:val="18"/>
              </w:rPr>
            </w:pPr>
            <w:r>
              <w:rPr>
                <w:rFonts w:ascii="宋体" w:hAnsi="宋体" w:cs="宋体" w:eastAsia="宋体" w:hint="default"/>
                <w:sz w:val="18"/>
                <w:szCs w:val="18"/>
              </w:rPr>
              <w:t>软件服务</w:t>
            </w:r>
          </w:p>
        </w:tc>
        <w:tc>
          <w:tcPr>
            <w:tcW w:w="709" w:type="dxa"/>
            <w:tcBorders>
              <w:top w:val="single" w:sz="6" w:space="0" w:color="000000"/>
              <w:left w:val="single" w:sz="6" w:space="0" w:color="000000"/>
              <w:bottom w:val="single" w:sz="6" w:space="0" w:color="000000"/>
              <w:right w:val="single" w:sz="6" w:space="0" w:color="000000"/>
            </w:tcBorders>
          </w:tcPr>
          <w:p>
            <w:pPr/>
          </w:p>
        </w:tc>
        <w:tc>
          <w:tcPr>
            <w:tcW w:w="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28.05</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收购（非同一控制下的企业合并）</w:t>
            </w:r>
          </w:p>
        </w:tc>
      </w:tr>
    </w:tbl>
    <w:p>
      <w:pPr>
        <w:pStyle w:val="BodyText"/>
        <w:spacing w:line="309" w:lineRule="auto" w:before="10"/>
        <w:ind w:left="1494" w:right="6522"/>
        <w:jc w:val="left"/>
      </w:pPr>
      <w:r>
        <w:rPr/>
        <w:t>以上子公司具体信息详见本报告第十节、九、</w:t>
      </w:r>
      <w:r>
        <w:rPr>
          <w:rFonts w:ascii="宋体" w:hAnsi="宋体" w:cs="宋体" w:eastAsia="宋体" w:hint="default"/>
        </w:rPr>
        <w:t>1</w:t>
      </w:r>
      <w:r>
        <w:rPr/>
        <w:t>。 </w:t>
      </w:r>
      <w:r>
        <w:rPr>
          <w:rFonts w:ascii="Times New Roman" w:hAnsi="Times New Roman" w:cs="Times New Roman" w:eastAsia="Times New Roman" w:hint="default"/>
        </w:rPr>
        <w:t>2</w:t>
      </w:r>
      <w:r>
        <w:rPr/>
        <w:t>、本公司</w:t>
      </w:r>
      <w:r>
        <w:rPr>
          <w:rFonts w:ascii="宋体" w:hAnsi="宋体" w:cs="宋体" w:eastAsia="宋体" w:hint="default"/>
        </w:rPr>
        <w:t>2015</w:t>
      </w:r>
      <w:r>
        <w:rPr/>
        <w:t>年度合并财务报表范围变化情况 本期新增子公司：</w:t>
      </w:r>
    </w:p>
    <w:tbl>
      <w:tblPr>
        <w:tblW w:w="0" w:type="auto"/>
        <w:jc w:val="left"/>
        <w:tblInd w:w="1550" w:type="dxa"/>
        <w:tblLayout w:type="fixed"/>
        <w:tblCellMar>
          <w:top w:w="0" w:type="dxa"/>
          <w:left w:w="0" w:type="dxa"/>
          <w:bottom w:w="0" w:type="dxa"/>
          <w:right w:w="0" w:type="dxa"/>
        </w:tblCellMar>
        <w:tblLook w:val="01E0"/>
      </w:tblPr>
      <w:tblGrid>
        <w:gridCol w:w="852"/>
        <w:gridCol w:w="3684"/>
        <w:gridCol w:w="4254"/>
      </w:tblGrid>
      <w:tr>
        <w:trPr>
          <w:trHeight w:val="347" w:hRule="exact"/>
        </w:trPr>
        <w:tc>
          <w:tcPr>
            <w:tcW w:w="85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6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子公司全称</w:t>
            </w:r>
            <w:r>
              <w:rPr>
                <w:rFonts w:ascii="宋体" w:hAnsi="宋体" w:cs="宋体" w:eastAsia="宋体" w:hint="default"/>
                <w:sz w:val="18"/>
                <w:szCs w:val="18"/>
              </w:rPr>
            </w:r>
          </w:p>
        </w:tc>
        <w:tc>
          <w:tcPr>
            <w:tcW w:w="425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本期纳入合并范围原因</w:t>
            </w:r>
            <w:r>
              <w:rPr>
                <w:rFonts w:ascii="宋体" w:hAnsi="宋体" w:cs="宋体" w:eastAsia="宋体" w:hint="default"/>
                <w:sz w:val="18"/>
                <w:szCs w:val="18"/>
              </w:rPr>
            </w:r>
          </w:p>
        </w:tc>
      </w:tr>
      <w:tr>
        <w:trPr>
          <w:trHeight w:val="347"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w:t>
            </w:r>
          </w:p>
        </w:tc>
        <w:tc>
          <w:tcPr>
            <w:tcW w:w="3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上海米健信息技术有限公司</w:t>
            </w:r>
          </w:p>
        </w:tc>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收购股权达到控制</w:t>
            </w:r>
          </w:p>
        </w:tc>
      </w:tr>
      <w:tr>
        <w:trPr>
          <w:trHeight w:val="348"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w:t>
            </w:r>
          </w:p>
        </w:tc>
        <w:tc>
          <w:tcPr>
            <w:tcW w:w="3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苏州易健医疗信息技术有限公司</w:t>
            </w:r>
          </w:p>
        </w:tc>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收购股权达到控制</w:t>
            </w:r>
          </w:p>
        </w:tc>
      </w:tr>
      <w:tr>
        <w:trPr>
          <w:trHeight w:val="347"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3</w:t>
            </w:r>
          </w:p>
        </w:tc>
        <w:tc>
          <w:tcPr>
            <w:tcW w:w="3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北京米东信息技术有限公司</w:t>
            </w:r>
          </w:p>
        </w:tc>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收购股权达到控制</w:t>
            </w:r>
          </w:p>
        </w:tc>
      </w:tr>
    </w:tbl>
    <w:p>
      <w:pPr>
        <w:pStyle w:val="BodyText"/>
        <w:spacing w:line="240" w:lineRule="auto" w:before="24"/>
        <w:ind w:left="1494" w:right="0"/>
        <w:jc w:val="left"/>
      </w:pPr>
      <w:r>
        <w:rPr/>
        <w:t>本期新增子公司的具体情况详见本报告第十节、八、</w:t>
      </w:r>
      <w:r>
        <w:rPr>
          <w:rFonts w:ascii="Times New Roman" w:hAnsi="Times New Roman" w:cs="Times New Roman" w:eastAsia="Times New Roman" w:hint="default"/>
        </w:rPr>
        <w:t>1</w:t>
      </w:r>
      <w:r>
        <w:rPr/>
        <w:t>。</w:t>
      </w:r>
    </w:p>
    <w:p>
      <w:pPr>
        <w:spacing w:after="0" w:line="240" w:lineRule="auto"/>
        <w:jc w:val="left"/>
        <w:sectPr>
          <w:pgSz w:w="11910" w:h="16840"/>
          <w:pgMar w:header="566" w:footer="979" w:top="1360" w:bottom="1160" w:left="0" w:right="0"/>
        </w:sectPr>
      </w:pPr>
    </w:p>
    <w:p>
      <w:pPr>
        <w:spacing w:line="240" w:lineRule="auto" w:before="9"/>
        <w:rPr>
          <w:rFonts w:ascii="宋体" w:hAnsi="宋体" w:cs="宋体" w:eastAsia="宋体" w:hint="default"/>
          <w:sz w:val="23"/>
          <w:szCs w:val="23"/>
        </w:rPr>
      </w:pPr>
      <w:r>
        <w:rPr/>
        <w:pict>
          <v:group style="position:absolute;margin-left:54.84pt;margin-top:28.299988pt;width:485.7pt;height:40.15pt;mso-position-horizontal-relative:page;mso-position-vertical-relative:page;z-index:-614152" coordorigin="1097,566" coordsize="9714,803">
            <v:group style="position:absolute;left:1104;top:1112;width:9700;height:2" coordorigin="1104,1112" coordsize="9700,2">
              <v:shape style="position:absolute;left:1104;top:1112;width:9700;height:2" coordorigin="1104,1112" coordsize="9700,0" path="m1104,1112l10804,1112e" filled="false" stroked="true" strokeweight=".72pt" strokecolor="#000000">
                <v:path arrowok="t"/>
              </v:shape>
              <v:shape style="position:absolute;left:1140;top:566;width:2160;height:803" type="#_x0000_t75" stroked="false">
                <v:imagedata r:id="rId7" o:title=""/>
              </v:shape>
            </v:group>
            <w10:wrap type="none"/>
          </v:group>
        </w:pict>
      </w:r>
    </w:p>
    <w:p>
      <w:pPr>
        <w:pStyle w:val="Heading2"/>
        <w:spacing w:line="240" w:lineRule="auto" w:before="26"/>
        <w:ind w:left="1134" w:right="0"/>
        <w:jc w:val="left"/>
        <w:rPr>
          <w:b w:val="0"/>
          <w:bCs w:val="0"/>
        </w:rPr>
      </w:pPr>
      <w:bookmarkStart w:name="四、财务报表的编制基础" w:id="162"/>
      <w:bookmarkEnd w:id="162"/>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编制基础" w:id="163"/>
      <w:bookmarkEnd w:id="163"/>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3" w:right="0" w:firstLine="360"/>
        <w:jc w:val="left"/>
      </w:pPr>
      <w:r>
        <w:rPr>
          <w:spacing w:val="-2"/>
        </w:rPr>
        <w:t>本公司以持续经营为基础，根据实际发生的交易和事项，按照企业会计准则及其应用指南和准则解释的规定进行确认和</w:t>
      </w:r>
      <w:r>
        <w:rPr/>
        <w:t> 计量，在此基础上编制财务报表。</w:t>
      </w:r>
    </w:p>
    <w:p>
      <w:pPr>
        <w:spacing w:line="240" w:lineRule="auto" w:before="7"/>
        <w:rPr>
          <w:rFonts w:ascii="宋体" w:hAnsi="宋体" w:cs="宋体" w:eastAsia="宋体" w:hint="default"/>
          <w:sz w:val="22"/>
          <w:szCs w:val="22"/>
        </w:rPr>
      </w:pPr>
    </w:p>
    <w:p>
      <w:pPr>
        <w:pStyle w:val="Heading3"/>
        <w:spacing w:line="240" w:lineRule="auto"/>
        <w:ind w:left="1133" w:right="0"/>
        <w:jc w:val="left"/>
        <w:rPr>
          <w:b w:val="0"/>
          <w:bCs w:val="0"/>
        </w:rPr>
      </w:pPr>
      <w:bookmarkStart w:name="2、持续经营" w:id="164"/>
      <w:bookmarkEnd w:id="164"/>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pPr>
      <w:r>
        <w:rPr>
          <w:spacing w:val="-2"/>
        </w:rPr>
        <w:t>本公司对自报告期末起</w:t>
      </w:r>
      <w:r>
        <w:rPr>
          <w:rFonts w:ascii="宋体" w:hAnsi="宋体" w:cs="宋体" w:eastAsia="宋体" w:hint="default"/>
          <w:spacing w:val="-2"/>
        </w:rPr>
        <w:t>12</w:t>
      </w:r>
      <w:r>
        <w:rPr>
          <w:spacing w:val="-2"/>
        </w:rPr>
        <w:t>月的持续经营能力进行了评估，未发现影响本公司持续经营能力的事项，本公司以持续经营为</w:t>
      </w:r>
      <w:r>
        <w:rPr/>
        <w:t> 基础编制财务报表是合理的。</w:t>
      </w:r>
    </w:p>
    <w:p>
      <w:pPr>
        <w:spacing w:line="240" w:lineRule="auto" w:before="10"/>
        <w:rPr>
          <w:rFonts w:ascii="宋体" w:hAnsi="宋体" w:cs="宋体" w:eastAsia="宋体" w:hint="default"/>
          <w:sz w:val="20"/>
          <w:szCs w:val="20"/>
        </w:rPr>
      </w:pPr>
    </w:p>
    <w:p>
      <w:pPr>
        <w:pStyle w:val="Heading2"/>
        <w:spacing w:line="240" w:lineRule="auto"/>
        <w:ind w:left="1134" w:right="0"/>
        <w:jc w:val="left"/>
        <w:rPr>
          <w:b w:val="0"/>
          <w:bCs w:val="0"/>
        </w:rPr>
      </w:pPr>
      <w:bookmarkStart w:name="五、重要会计政策及会计估计" w:id="165"/>
      <w:bookmarkEnd w:id="165"/>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624" w:lineRule="auto"/>
        <w:ind w:left="1493" w:right="1393" w:hanging="360"/>
        <w:jc w:val="left"/>
      </w:pPr>
      <w:r>
        <w:rPr/>
        <w:t>具体会计政策和会计估计提示： 本公司下列重要会计政策、会计估计根据企业会计准则制定。未提及的业务按企业会计准则中相关会计政策执行。</w:t>
      </w:r>
    </w:p>
    <w:p>
      <w:pPr>
        <w:pStyle w:val="Heading3"/>
        <w:spacing w:line="240" w:lineRule="auto" w:before="63"/>
        <w:ind w:left="1133" w:right="0"/>
        <w:jc w:val="left"/>
        <w:rPr>
          <w:b w:val="0"/>
          <w:bCs w:val="0"/>
        </w:rPr>
      </w:pPr>
      <w:bookmarkStart w:name="1、遵循企业会计准则的声明" w:id="166"/>
      <w:bookmarkEnd w:id="166"/>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3" w:right="0" w:firstLine="360"/>
        <w:jc w:val="left"/>
      </w:pPr>
      <w:r>
        <w:rPr>
          <w:spacing w:val="-2"/>
        </w:rPr>
        <w:t>本公司所编制的财务报表符合企业会计准则的要求，真实、完整地反映了公司的财务状况、经营成果、所有者权益变动</w:t>
      </w:r>
      <w:r>
        <w:rPr/>
        <w:t> 和现金流量等有关信息。</w:t>
      </w:r>
    </w:p>
    <w:p>
      <w:pPr>
        <w:spacing w:line="240" w:lineRule="auto" w:before="7"/>
        <w:rPr>
          <w:rFonts w:ascii="宋体" w:hAnsi="宋体" w:cs="宋体" w:eastAsia="宋体" w:hint="default"/>
          <w:sz w:val="22"/>
          <w:szCs w:val="22"/>
        </w:rPr>
      </w:pPr>
    </w:p>
    <w:p>
      <w:pPr>
        <w:pStyle w:val="Heading3"/>
        <w:spacing w:line="240" w:lineRule="auto"/>
        <w:ind w:left="1133" w:right="0"/>
        <w:jc w:val="left"/>
        <w:rPr>
          <w:b w:val="0"/>
          <w:bCs w:val="0"/>
        </w:rPr>
      </w:pPr>
      <w:bookmarkStart w:name="2、会计期间" w:id="167"/>
      <w:bookmarkEnd w:id="167"/>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93" w:right="0"/>
        <w:jc w:val="left"/>
      </w:pPr>
      <w:r>
        <w:rPr/>
        <w:t>本公司会计年度自公历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3、营业周期" w:id="168"/>
      <w:bookmarkEnd w:id="168"/>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494" w:right="0"/>
        <w:jc w:val="left"/>
      </w:pPr>
      <w:r>
        <w:rPr/>
        <w:t>本公司正常营业周期为一年。</w:t>
      </w:r>
    </w:p>
    <w:p>
      <w:pPr>
        <w:spacing w:line="240" w:lineRule="auto" w:before="12"/>
        <w:rPr>
          <w:rFonts w:ascii="宋体" w:hAnsi="宋体" w:cs="宋体" w:eastAsia="宋体" w:hint="default"/>
          <w:sz w:val="26"/>
          <w:szCs w:val="26"/>
        </w:rPr>
      </w:pPr>
    </w:p>
    <w:p>
      <w:pPr>
        <w:pStyle w:val="Heading3"/>
        <w:spacing w:line="240" w:lineRule="auto"/>
        <w:ind w:left="1133" w:right="0"/>
        <w:jc w:val="left"/>
        <w:rPr>
          <w:b w:val="0"/>
          <w:bCs w:val="0"/>
        </w:rPr>
      </w:pPr>
      <w:bookmarkStart w:name="4、记账本位币" w:id="169"/>
      <w:bookmarkEnd w:id="169"/>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93" w:right="0"/>
        <w:jc w:val="left"/>
      </w:pPr>
      <w:r>
        <w:rPr/>
        <w:t>本公司的记账本位币为人民币。</w:t>
      </w:r>
    </w:p>
    <w:p>
      <w:pPr>
        <w:spacing w:line="240" w:lineRule="auto" w:before="12"/>
        <w:rPr>
          <w:rFonts w:ascii="宋体" w:hAnsi="宋体" w:cs="宋体" w:eastAsia="宋体" w:hint="default"/>
          <w:sz w:val="26"/>
          <w:szCs w:val="26"/>
        </w:rPr>
      </w:pPr>
    </w:p>
    <w:p>
      <w:pPr>
        <w:pStyle w:val="Heading3"/>
        <w:spacing w:line="240" w:lineRule="auto"/>
        <w:ind w:left="1133" w:right="0"/>
        <w:jc w:val="left"/>
        <w:rPr>
          <w:b w:val="0"/>
          <w:bCs w:val="0"/>
        </w:rPr>
      </w:pPr>
      <w:bookmarkStart w:name="5、同一控制下和非同一控制下企业合并的会计处理方法" w:id="170"/>
      <w:bookmarkEnd w:id="170"/>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133" w:right="0"/>
        <w:jc w:val="left"/>
        <w:rPr>
          <w:b w:val="0"/>
          <w:bCs w:val="0"/>
        </w:rPr>
      </w:pPr>
      <w:r>
        <w:rPr/>
        <w:t>（</w:t>
      </w:r>
      <w:r>
        <w:rPr>
          <w:rFonts w:ascii="Times New Roman" w:hAnsi="Times New Roman" w:cs="Times New Roman" w:eastAsia="Times New Roman" w:hint="default"/>
        </w:rPr>
        <w:t>1</w:t>
      </w:r>
      <w:r>
        <w:rPr/>
        <w:t>）同一控制下的企业合并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133" w:right="0" w:firstLine="360"/>
        <w:jc w:val="left"/>
      </w:pPr>
      <w:r>
        <w:rPr>
          <w:spacing w:val="-4"/>
        </w:rPr>
        <w:t>本公司在企业合并中取得的资产和负债，在合并日按取得被合并方在最终控制方合并财务报表中的账面价值计量。其中，</w:t>
      </w:r>
      <w:r>
        <w:rPr/>
        <w:t> </w:t>
      </w:r>
      <w:r>
        <w:rPr>
          <w:spacing w:val="-2"/>
        </w:rPr>
        <w:t>对于被合并方与本公司在企业合并前采用的会计政策不同的，基于重要性原则统一会计政策，即按照本公司的会计政策对被</w:t>
      </w:r>
      <w:r>
        <w:rPr>
          <w:spacing w:val="-64"/>
        </w:rPr>
        <w:t> </w:t>
      </w:r>
      <w:r>
        <w:rPr>
          <w:spacing w:val="-64"/>
        </w:rPr>
      </w:r>
      <w:r>
        <w:rPr>
          <w:spacing w:val="-2"/>
        </w:rPr>
        <w:t>合并方资产、负债的账面价值进行调整。本公司在企业合并中取得的净资产账面价值与所支付对价的账面价值之间存在差额</w:t>
      </w:r>
      <w:r>
        <w:rPr>
          <w:spacing w:val="-64"/>
        </w:rPr>
        <w:t> </w:t>
      </w:r>
      <w:r>
        <w:rPr>
          <w:spacing w:val="-64"/>
        </w:rPr>
      </w:r>
      <w:r>
        <w:rPr>
          <w:spacing w:val="-2"/>
        </w:rPr>
        <w:t>的，首先调整资本公积（资本溢价或股本溢价），资本公积（资本溢价或股本溢价）的余额不足冲减的，依次冲减盈余公积</w:t>
      </w:r>
      <w:r>
        <w:rPr>
          <w:spacing w:val="-70"/>
        </w:rPr>
        <w:t> </w:t>
      </w:r>
      <w:r>
        <w:rPr>
          <w:spacing w:val="-70"/>
        </w:rPr>
      </w:r>
      <w:r>
        <w:rPr/>
        <w:t>和未分配利润。</w:t>
      </w:r>
    </w:p>
    <w:p>
      <w:pPr>
        <w:spacing w:after="0" w:line="319" w:lineRule="auto"/>
        <w:jc w:val="left"/>
        <w:sectPr>
          <w:headerReference w:type="default" r:id="rId34"/>
          <w:pgSz w:w="11910" w:h="16840"/>
          <w:pgMar w:header="867" w:footer="979" w:top="1060" w:bottom="1160" w:left="0" w:right="0"/>
        </w:sectPr>
      </w:pPr>
    </w:p>
    <w:p>
      <w:pPr>
        <w:spacing w:line="240" w:lineRule="auto" w:before="9"/>
        <w:rPr>
          <w:rFonts w:ascii="宋体" w:hAnsi="宋体" w:cs="宋体" w:eastAsia="宋体" w:hint="default"/>
          <w:sz w:val="24"/>
          <w:szCs w:val="24"/>
        </w:rPr>
      </w:pPr>
      <w:r>
        <w:rPr/>
        <w:pict>
          <v:group style="position:absolute;margin-left:54.84pt;margin-top:28.299988pt;width:485.7pt;height:40.15pt;mso-position-horizontal-relative:page;mso-position-vertical-relative:page;z-index:1912" coordorigin="1097,566" coordsize="9714,803">
            <v:group style="position:absolute;left:1104;top:1112;width:9700;height:2" coordorigin="1104,1112" coordsize="9700,2">
              <v:shape style="position:absolute;left:1104;top:1112;width:9700;height:2" coordorigin="1104,1112" coordsize="9700,0" path="m1104,1112l10804,1112e" filled="false" stroked="true" strokeweight=".72pt" strokecolor="#000000">
                <v:path arrowok="t"/>
              </v:shape>
              <v:shape style="position:absolute;left:1140;top:566;width:2160;height:803" type="#_x0000_t75" stroked="false">
                <v:imagedata r:id="rId7" o:title=""/>
              </v:shape>
            </v:group>
            <w10:wrap type="none"/>
          </v:group>
        </w:pict>
      </w: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）非同一控制下的企业合并</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360"/>
        <w:jc w:val="both"/>
      </w:pPr>
      <w:r>
        <w:rPr>
          <w:spacing w:val="-2"/>
        </w:rPr>
        <w:t>本公司在企业合并中取得的被购买方各项可辨认资产和负债，在购买日按其公允价值计量。其中，对于被购买方与本公</w:t>
      </w:r>
      <w:r>
        <w:rPr/>
        <w:t> </w:t>
      </w:r>
      <w:r>
        <w:rPr>
          <w:spacing w:val="-2"/>
        </w:rPr>
        <w:t>司在企业合并前采用的会计政策不同的，基于重要性原则统一会计政策，即按照本公司的会计政策对被购买方资产、负债的</w:t>
      </w:r>
      <w:r>
        <w:rPr>
          <w:spacing w:val="-66"/>
        </w:rPr>
        <w:t> </w:t>
      </w:r>
      <w:r>
        <w:rPr>
          <w:spacing w:val="-66"/>
        </w:rPr>
      </w:r>
      <w:r>
        <w:rPr>
          <w:spacing w:val="-2"/>
        </w:rPr>
        <w:t>账面价值进行调整。本公司在购买日的合并成本大于企业合并中取得的被购买方可辨认资产、负债公允价值的差额，确认为</w:t>
      </w:r>
      <w:r>
        <w:rPr>
          <w:spacing w:val="-66"/>
        </w:rPr>
        <w:t> </w:t>
      </w:r>
      <w:r>
        <w:rPr>
          <w:spacing w:val="-66"/>
        </w:rPr>
      </w:r>
      <w:r>
        <w:rPr>
          <w:spacing w:val="-2"/>
        </w:rPr>
        <w:t>商誉；如果合并成本小于企业合并中取得的被购买方可辨认资产、负债公允价值的差额，首先对合并成本以及在企业合并中</w:t>
      </w:r>
      <w:r>
        <w:rPr>
          <w:spacing w:val="-65"/>
        </w:rPr>
        <w:t> </w:t>
      </w:r>
      <w:r>
        <w:rPr>
          <w:spacing w:val="-65"/>
        </w:rPr>
      </w:r>
      <w:r>
        <w:rPr>
          <w:spacing w:val="-2"/>
        </w:rPr>
        <w:t>取得的被购买方可辨认资产、负债的公允价值进行复核，经复核后合并成本仍小于取得的被购买方可辨认资产、负债公允价</w:t>
      </w:r>
      <w:r>
        <w:rPr>
          <w:spacing w:val="-66"/>
        </w:rPr>
        <w:t> </w:t>
      </w:r>
      <w:r>
        <w:rPr>
          <w:spacing w:val="-66"/>
        </w:rPr>
      </w:r>
      <w:r>
        <w:rPr/>
        <w:t>值的，其差额确认为合并当期损益。</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6、合并财务报表的编制方法" w:id="171"/>
      <w:bookmarkEnd w:id="171"/>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）合并范围的确定</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pPr>
      <w:r>
        <w:rPr>
          <w:spacing w:val="-2"/>
        </w:rPr>
        <w:t>合并财务报表的合并范围以控制为基础予以确定，不仅包括根据表决权（或类似表决权）本身或者结合其他安排确定的</w:t>
      </w:r>
      <w:r>
        <w:rPr/>
        <w:t> 子公司，也包括基于一项或多项合同安排决定的结构化主体。</w:t>
      </w:r>
    </w:p>
    <w:p>
      <w:pPr>
        <w:pStyle w:val="BodyText"/>
        <w:spacing w:line="316" w:lineRule="auto" w:before="19"/>
        <w:ind w:right="1131" w:firstLine="360"/>
        <w:jc w:val="both"/>
      </w:pPr>
      <w:r>
        <w:rPr>
          <w:spacing w:val="-2"/>
        </w:rPr>
        <w:t>控制是指本公司拥有对被投资方的权力，通过参与被投资方的相关活动而享有可变回报，并且有能力运用对被投资方的</w:t>
      </w:r>
      <w:r>
        <w:rPr/>
        <w:t> </w:t>
      </w:r>
      <w:r>
        <w:rPr>
          <w:spacing w:val="-2"/>
        </w:rPr>
        <w:t>权力影响其回报金额。子公司是指被本公司控制的主体（含企业、被投资单位中可分割的部分，以及企业所控制的结构化主</w:t>
      </w:r>
      <w:r>
        <w:rPr>
          <w:spacing w:val="-66"/>
        </w:rPr>
        <w:t> </w:t>
      </w:r>
      <w:r>
        <w:rPr>
          <w:spacing w:val="-66"/>
        </w:rPr>
      </w:r>
      <w:r>
        <w:rPr>
          <w:spacing w:val="-2"/>
        </w:rPr>
        <w:t>体等），结构化主体是指在确定其控制方时没有将表决权或类似权利作为决定性因素而设计的主体（注：有时也称为特殊目</w:t>
      </w:r>
      <w:r>
        <w:rPr>
          <w:spacing w:val="-66"/>
        </w:rPr>
        <w:t> </w:t>
      </w:r>
      <w:r>
        <w:rPr>
          <w:spacing w:val="-66"/>
        </w:rPr>
      </w:r>
      <w:r>
        <w:rPr/>
        <w:t>的主体）。</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493" w:right="0"/>
        <w:jc w:val="left"/>
      </w:pPr>
      <w:r>
        <w:rPr/>
        <w:t>本公司以自身和子公司的财务报表为基础，根据其他有关资料，编制合并财务报表。 </w:t>
      </w:r>
      <w:r>
        <w:rPr>
          <w:spacing w:val="-2"/>
        </w:rPr>
        <w:t>本公司编制合并财务报表，将整个企业集团视为一个会计主体，依据相关企业会计准则的确认、计量和列报要求，按照</w:t>
      </w:r>
    </w:p>
    <w:p>
      <w:pPr>
        <w:pStyle w:val="BodyText"/>
        <w:spacing w:line="240" w:lineRule="auto" w:before="19"/>
        <w:ind w:left="1133" w:right="0"/>
        <w:jc w:val="left"/>
      </w:pPr>
      <w:r>
        <w:rPr/>
        <w:t>统一的会计政策，反映企业集团整体财务状况、经营成果和现金流量。</w:t>
      </w:r>
    </w:p>
    <w:p>
      <w:pPr>
        <w:pStyle w:val="BodyText"/>
        <w:spacing w:line="240" w:lineRule="auto" w:before="76"/>
        <w:ind w:left="1493" w:right="0"/>
        <w:jc w:val="left"/>
      </w:pPr>
      <w:r>
        <w:rPr/>
        <w:t>①</w:t>
      </w:r>
      <w:r>
        <w:rPr>
          <w:spacing w:val="-19"/>
        </w:rPr>
        <w:t> </w:t>
      </w:r>
      <w:r>
        <w:rPr/>
        <w:t>合并母公司与子公司的资产、负债、所有者权益、收入、费用和现金流等项目。</w:t>
      </w:r>
    </w:p>
    <w:p>
      <w:pPr>
        <w:pStyle w:val="BodyText"/>
        <w:spacing w:line="240" w:lineRule="auto" w:before="76"/>
        <w:ind w:left="1493" w:right="0"/>
        <w:jc w:val="left"/>
      </w:pPr>
      <w:r>
        <w:rPr/>
        <w:t>②</w:t>
      </w:r>
      <w:r>
        <w:rPr>
          <w:spacing w:val="-19"/>
        </w:rPr>
        <w:t> </w:t>
      </w:r>
      <w:r>
        <w:rPr/>
        <w:t>抵销母公司对子公司的长期股权投资与母公司在子公司所有者权益中所享有的份额。</w:t>
      </w:r>
    </w:p>
    <w:p>
      <w:pPr>
        <w:pStyle w:val="BodyText"/>
        <w:spacing w:line="316" w:lineRule="auto" w:before="76"/>
        <w:ind w:left="1133" w:right="1122" w:firstLine="360"/>
        <w:jc w:val="left"/>
      </w:pPr>
      <w:r>
        <w:rPr/>
        <w:t>③</w:t>
      </w:r>
      <w:r>
        <w:rPr>
          <w:spacing w:val="1"/>
        </w:rPr>
        <w:t> </w:t>
      </w:r>
      <w:r>
        <w:rPr/>
        <w:t>抵销母公司与子公司、子公司相互之间发生的内部交易的影响。内部交易表明相关资产发生减值损失的，应当全额</w:t>
      </w:r>
      <w:r>
        <w:rPr/>
        <w:t> 确认该部分损失。</w:t>
      </w:r>
    </w:p>
    <w:p>
      <w:pPr>
        <w:pStyle w:val="BodyText"/>
        <w:spacing w:line="240" w:lineRule="auto" w:before="19"/>
        <w:ind w:left="1493" w:right="0"/>
        <w:jc w:val="left"/>
      </w:pPr>
      <w:r>
        <w:rPr/>
        <w:t>④</w:t>
      </w:r>
      <w:r>
        <w:rPr>
          <w:spacing w:val="-19"/>
        </w:rPr>
        <w:t> </w:t>
      </w:r>
      <w:r>
        <w:rPr/>
        <w:t>站在企业集团角度对特殊交易事项予以调整。</w:t>
      </w:r>
    </w:p>
    <w:p>
      <w:pPr>
        <w:spacing w:line="240" w:lineRule="auto" w:before="11"/>
        <w:rPr>
          <w:rFonts w:ascii="宋体" w:hAnsi="宋体" w:cs="宋体" w:eastAsia="宋体" w:hint="default"/>
          <w:sz w:val="26"/>
          <w:szCs w:val="26"/>
        </w:rPr>
      </w:pPr>
    </w:p>
    <w:p>
      <w:pPr>
        <w:pStyle w:val="Heading3"/>
        <w:spacing w:line="240" w:lineRule="auto"/>
        <w:ind w:left="1133" w:right="0"/>
        <w:jc w:val="left"/>
        <w:rPr>
          <w:b w:val="0"/>
          <w:bCs w:val="0"/>
        </w:rPr>
      </w:pPr>
      <w:r>
        <w:rPr/>
        <w:t>（</w:t>
      </w:r>
      <w:r>
        <w:rPr>
          <w:rFonts w:ascii="Times New Roman" w:hAnsi="Times New Roman" w:cs="Times New Roman" w:eastAsia="Times New Roman" w:hint="default"/>
        </w:rPr>
        <w:t>3</w:t>
      </w:r>
      <w:r>
        <w:rPr/>
        <w:t>）报告期内增减子公司的处理</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93" w:right="0"/>
        <w:jc w:val="left"/>
      </w:pPr>
      <w:r>
        <w:rPr>
          <w:rFonts w:ascii="Times New Roman" w:hAnsi="Times New Roman" w:cs="Times New Roman" w:eastAsia="Times New Roman" w:hint="default"/>
        </w:rPr>
        <w:t>1</w:t>
      </w:r>
      <w:r>
        <w:rPr/>
        <w:t>）增加子公司或业务</w:t>
      </w:r>
    </w:p>
    <w:p>
      <w:pPr>
        <w:pStyle w:val="BodyText"/>
        <w:spacing w:line="240" w:lineRule="auto" w:before="63"/>
        <w:ind w:left="1494" w:right="0"/>
        <w:jc w:val="left"/>
      </w:pPr>
      <w:r>
        <w:rPr/>
        <w:t>①</w:t>
      </w:r>
      <w:r>
        <w:rPr>
          <w:spacing w:val="-19"/>
        </w:rPr>
        <w:t> </w:t>
      </w:r>
      <w:r>
        <w:rPr/>
        <w:t>同一控制下企业合并增加的子公司或业务</w:t>
      </w:r>
    </w:p>
    <w:p>
      <w:pPr>
        <w:pStyle w:val="BodyText"/>
        <w:spacing w:line="300" w:lineRule="auto" w:before="76"/>
        <w:ind w:right="1132" w:firstLine="360"/>
        <w:jc w:val="left"/>
      </w:pPr>
      <w:r>
        <w:rPr/>
        <w:t>（</w:t>
      </w:r>
      <w:r>
        <w:rPr>
          <w:rFonts w:ascii="Times New Roman" w:hAnsi="Times New Roman" w:cs="Times New Roman" w:eastAsia="Times New Roman" w:hint="default"/>
        </w:rPr>
        <w:t>a</w:t>
      </w:r>
      <w:r>
        <w:rPr/>
        <w:t>）编制合并资产负债表时，调整合并资产负债表的期初数，同时对比较报表的相关项目进行调整，视同合并后的报 告主体自最终控制方开始控制时点起一直存在。</w:t>
      </w:r>
    </w:p>
    <w:p>
      <w:pPr>
        <w:pStyle w:val="BodyText"/>
        <w:spacing w:line="300" w:lineRule="auto" w:before="31"/>
        <w:ind w:right="1122" w:firstLine="360"/>
        <w:jc w:val="left"/>
      </w:pPr>
      <w:r>
        <w:rPr/>
        <w:t>（</w:t>
      </w:r>
      <w:r>
        <w:rPr>
          <w:rFonts w:ascii="Times New Roman" w:hAnsi="Times New Roman" w:cs="Times New Roman" w:eastAsia="Times New Roman" w:hint="default"/>
        </w:rPr>
        <w:t>b</w:t>
      </w:r>
      <w:r>
        <w:rPr/>
        <w:t>）编制合并利润表时，将该子公司以及业务合并当期期初至报告期末的收入、费用、利润纳入合并利润表，同时对 比较报表的相关项目进行调整，视同合并后的报告主体自最终控制方开始控制时点起一直存在。</w:t>
      </w:r>
    </w:p>
    <w:p>
      <w:pPr>
        <w:pStyle w:val="BodyText"/>
        <w:spacing w:line="300" w:lineRule="auto" w:before="31"/>
        <w:ind w:left="1133" w:right="0" w:firstLine="360"/>
        <w:jc w:val="left"/>
      </w:pPr>
      <w:r>
        <w:rPr/>
        <w:t>（</w:t>
      </w:r>
      <w:r>
        <w:rPr>
          <w:rFonts w:ascii="Times New Roman" w:hAnsi="Times New Roman" w:cs="Times New Roman" w:eastAsia="Times New Roman" w:hint="default"/>
        </w:rPr>
        <w:t>c</w:t>
      </w:r>
      <w:r>
        <w:rPr/>
        <w:t>）编制合并现金流量表时，将该子公司以及业务合并当期期初至报告期末的现金流量纳入合并现金流量表，同时对 比较报表的相关项目进行调整，视同合并后的报告主体自最终控制方开始控制时点起一直存在。</w:t>
      </w:r>
    </w:p>
    <w:p>
      <w:pPr>
        <w:pStyle w:val="BodyText"/>
        <w:spacing w:line="240" w:lineRule="auto" w:before="31"/>
        <w:ind w:left="1493" w:right="0"/>
        <w:jc w:val="left"/>
      </w:pPr>
      <w:r>
        <w:rPr/>
        <w:t>②</w:t>
      </w:r>
      <w:r>
        <w:rPr>
          <w:spacing w:val="-19"/>
        </w:rPr>
        <w:t> </w:t>
      </w:r>
      <w:r>
        <w:rPr/>
        <w:t>非同一控制下企业合并增加的子公司或业务</w:t>
      </w:r>
    </w:p>
    <w:p>
      <w:pPr>
        <w:pStyle w:val="BodyText"/>
        <w:spacing w:line="240" w:lineRule="auto" w:before="76"/>
        <w:ind w:left="1493" w:right="0"/>
        <w:jc w:val="left"/>
      </w:pPr>
      <w:r>
        <w:rPr/>
        <w:t>（</w:t>
      </w:r>
      <w:r>
        <w:rPr>
          <w:rFonts w:ascii="Times New Roman" w:hAnsi="Times New Roman" w:cs="Times New Roman" w:eastAsia="Times New Roman" w:hint="default"/>
        </w:rPr>
        <w:t>a</w:t>
      </w:r>
      <w:r>
        <w:rPr/>
        <w:t>）编制合并资产负债表时，不调整合并资产负债表的期初数。</w:t>
      </w:r>
    </w:p>
    <w:p>
      <w:pPr>
        <w:pStyle w:val="BodyText"/>
        <w:spacing w:line="240" w:lineRule="auto" w:before="63"/>
        <w:ind w:left="1493" w:right="0"/>
        <w:jc w:val="left"/>
      </w:pPr>
      <w:r>
        <w:rPr/>
        <w:t>（</w:t>
      </w:r>
      <w:r>
        <w:rPr>
          <w:rFonts w:ascii="Times New Roman" w:hAnsi="Times New Roman" w:cs="Times New Roman" w:eastAsia="Times New Roman" w:hint="default"/>
        </w:rPr>
        <w:t>b</w:t>
      </w:r>
      <w:r>
        <w:rPr/>
        <w:t>）编制合并利润表时，将该子公司以及业务购买日至报告期末的收入、费用、利润纳入合并利润表。</w:t>
      </w:r>
    </w:p>
    <w:p>
      <w:pPr>
        <w:pStyle w:val="BodyText"/>
        <w:spacing w:line="240" w:lineRule="auto" w:before="63"/>
        <w:ind w:left="1493" w:right="0"/>
        <w:jc w:val="left"/>
      </w:pPr>
      <w:r>
        <w:rPr/>
        <w:t>（</w:t>
      </w:r>
      <w:r>
        <w:rPr>
          <w:rFonts w:ascii="Times New Roman" w:hAnsi="Times New Roman" w:cs="Times New Roman" w:eastAsia="Times New Roman" w:hint="default"/>
        </w:rPr>
        <w:t>c</w:t>
      </w:r>
      <w:r>
        <w:rPr/>
        <w:t>）编制合并现金流量表时，将该子公司购买日至报告期末的现金流量纳入合并现金流量表。</w:t>
      </w:r>
    </w:p>
    <w:p>
      <w:pPr>
        <w:spacing w:after="0" w:line="240" w:lineRule="auto"/>
        <w:jc w:val="left"/>
        <w:sectPr>
          <w:pgSz w:w="11910" w:h="16840"/>
          <w:pgMar w:header="867" w:footer="979" w:top="1060" w:bottom="1160" w:left="0" w:right="0"/>
        </w:sectPr>
      </w:pPr>
    </w:p>
    <w:p>
      <w:pPr>
        <w:pStyle w:val="BodyText"/>
        <w:spacing w:line="240" w:lineRule="auto" w:before="81"/>
        <w:ind w:left="1494" w:right="0"/>
        <w:jc w:val="left"/>
      </w:pPr>
      <w:r>
        <w:rPr>
          <w:rFonts w:ascii="Times New Roman" w:hAnsi="Times New Roman" w:cs="Times New Roman" w:eastAsia="Times New Roman" w:hint="default"/>
        </w:rPr>
        <w:t>2</w:t>
      </w:r>
      <w:r>
        <w:rPr/>
        <w:t>）处置子公司或业务</w:t>
      </w:r>
    </w:p>
    <w:p>
      <w:pPr>
        <w:pStyle w:val="BodyText"/>
        <w:spacing w:line="240" w:lineRule="auto" w:before="63"/>
        <w:ind w:left="1494" w:right="0"/>
        <w:jc w:val="left"/>
      </w:pPr>
      <w:r>
        <w:rPr/>
        <w:t>①</w:t>
      </w:r>
      <w:r>
        <w:rPr>
          <w:spacing w:val="-19"/>
        </w:rPr>
        <w:t> </w:t>
      </w:r>
      <w:r>
        <w:rPr/>
        <w:t>编制合并资产负债表时，不调整合并资产负债表的期初数。</w:t>
      </w:r>
    </w:p>
    <w:p>
      <w:pPr>
        <w:pStyle w:val="BodyText"/>
        <w:spacing w:line="240" w:lineRule="auto" w:before="76"/>
        <w:ind w:left="1494" w:right="0"/>
        <w:jc w:val="left"/>
      </w:pPr>
      <w:r>
        <w:rPr/>
        <w:t>②</w:t>
      </w:r>
      <w:r>
        <w:rPr>
          <w:spacing w:val="-19"/>
        </w:rPr>
        <w:t> </w:t>
      </w:r>
      <w:r>
        <w:rPr/>
        <w:t>编制合并利润表时，将该子公司以及业务期初至处置日的收入、费用、利润纳入合并利润表。</w:t>
      </w:r>
    </w:p>
    <w:p>
      <w:pPr>
        <w:pStyle w:val="BodyText"/>
        <w:spacing w:line="240" w:lineRule="auto" w:before="76"/>
        <w:ind w:left="1494" w:right="0"/>
        <w:jc w:val="left"/>
      </w:pPr>
      <w:r>
        <w:rPr/>
        <w:t>③</w:t>
      </w:r>
      <w:r>
        <w:rPr>
          <w:spacing w:val="-19"/>
        </w:rPr>
        <w:t> </w:t>
      </w:r>
      <w:r>
        <w:rPr/>
        <w:t>编制合并现金流量表时将该子公司以及业务期初至处置日的现金流量纳入合并现金流量表。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）合并抵销中的特殊考虑</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22" w:firstLine="360"/>
        <w:jc w:val="left"/>
      </w:pPr>
      <w:r>
        <w:rPr>
          <w:rFonts w:ascii="Times New Roman" w:hAnsi="Times New Roman" w:cs="Times New Roman" w:eastAsia="Times New Roman" w:hint="default"/>
        </w:rPr>
        <w:t>1</w:t>
      </w:r>
      <w:r>
        <w:rPr/>
        <w:t>）子公司持有本公司的长期股权投资，应当视为本公司的库存股，作为所有者权益的减项，在合并资产负债表中所有 者权益项目下以</w:t>
      </w:r>
      <w:r>
        <w:rPr>
          <w:rFonts w:ascii="Times New Roman" w:hAnsi="Times New Roman" w:cs="Times New Roman" w:eastAsia="Times New Roman" w:hint="default"/>
        </w:rPr>
        <w:t>“</w:t>
      </w:r>
      <w:r>
        <w:rPr/>
        <w:t>减：库存股</w:t>
      </w:r>
      <w:r>
        <w:rPr>
          <w:rFonts w:ascii="Times New Roman" w:hAnsi="Times New Roman" w:cs="Times New Roman" w:eastAsia="Times New Roman" w:hint="default"/>
        </w:rPr>
        <w:t>”</w:t>
      </w:r>
      <w:r>
        <w:rPr/>
        <w:t>项目列示。</w:t>
      </w:r>
    </w:p>
    <w:p>
      <w:pPr>
        <w:pStyle w:val="BodyText"/>
        <w:spacing w:line="316" w:lineRule="auto" w:before="13"/>
        <w:ind w:left="1133" w:right="0" w:firstLine="360"/>
        <w:jc w:val="left"/>
      </w:pPr>
      <w:r>
        <w:rPr>
          <w:spacing w:val="-2"/>
        </w:rPr>
        <w:t>子公司相互之间持有的长期股权投资，比照本公司对子公司的股权投资的抵销方法，将长期股权投资与其对应的子公司</w:t>
      </w:r>
      <w:r>
        <w:rPr/>
        <w:t> 所有者权益中所享有的份额相互抵销。</w:t>
      </w:r>
    </w:p>
    <w:p>
      <w:pPr>
        <w:pStyle w:val="BodyText"/>
        <w:spacing w:line="300" w:lineRule="auto" w:before="19"/>
        <w:ind w:right="1037" w:firstLine="360"/>
        <w:jc w:val="left"/>
      </w:pP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w:t>
      </w:r>
      <w:r>
        <w:rPr>
          <w:spacing w:val="-1"/>
        </w:rPr>
        <w:t>专项储备</w:t>
      </w:r>
      <w:r>
        <w:rPr>
          <w:rFonts w:ascii="Times New Roman" w:hAnsi="Times New Roman" w:cs="Times New Roman" w:eastAsia="Times New Roman" w:hint="default"/>
          <w:spacing w:val="-1"/>
        </w:rPr>
        <w:t>”</w:t>
      </w:r>
      <w:r>
        <w:rPr>
          <w:spacing w:val="-1"/>
        </w:rPr>
        <w:t>和</w:t>
      </w:r>
      <w:r>
        <w:rPr>
          <w:rFonts w:ascii="Times New Roman" w:hAnsi="Times New Roman" w:cs="Times New Roman" w:eastAsia="Times New Roman" w:hint="default"/>
          <w:spacing w:val="-1"/>
        </w:rPr>
        <w:t>“</w:t>
      </w:r>
      <w:r>
        <w:rPr>
          <w:spacing w:val="-1"/>
        </w:rPr>
        <w:t>一般风险准备</w:t>
      </w:r>
      <w:r>
        <w:rPr>
          <w:rFonts w:ascii="Times New Roman" w:hAnsi="Times New Roman" w:cs="Times New Roman" w:eastAsia="Times New Roman" w:hint="default"/>
          <w:spacing w:val="-1"/>
        </w:rPr>
        <w:t>”</w:t>
      </w:r>
      <w:r>
        <w:rPr>
          <w:spacing w:val="-1"/>
        </w:rPr>
        <w:t>项目由于既不属于实收资本（或股本）、资本公积，也与留存收益、未分配利润不同，</w:t>
      </w:r>
      <w:r>
        <w:rPr/>
        <w:t> 在长期股权投资与子公司所有者权益相互抵销后，按归属于母公司所有者的份额予以恢复。</w:t>
      </w:r>
    </w:p>
    <w:p>
      <w:pPr>
        <w:pStyle w:val="BodyText"/>
        <w:spacing w:line="309" w:lineRule="auto" w:before="31"/>
        <w:ind w:right="1129" w:firstLine="360"/>
        <w:jc w:val="both"/>
      </w:pPr>
      <w:r>
        <w:rPr>
          <w:rFonts w:ascii="Times New Roman" w:hAnsi="Times New Roman" w:cs="Times New Roman" w:eastAsia="Times New Roman" w:hint="default"/>
        </w:rPr>
        <w:t>3</w:t>
      </w:r>
      <w:r>
        <w:rPr/>
        <w:t>）因抵销未实现内部销售损益导致合并资产负债表中资产、负债的账面价值与其在所属纳税主体的计税基础之间产生 </w:t>
      </w:r>
      <w:r>
        <w:rPr>
          <w:spacing w:val="-2"/>
        </w:rPr>
        <w:t>暂时性差异的，在合并资产负债表中确认递延所得税资产或递延所得税负债，同时调整合并利润表中的所得税费用，但与直</w:t>
      </w:r>
      <w:r>
        <w:rPr>
          <w:spacing w:val="-66"/>
        </w:rPr>
        <w:t> </w:t>
      </w:r>
      <w:r>
        <w:rPr>
          <w:spacing w:val="-66"/>
        </w:rPr>
      </w:r>
      <w:r>
        <w:rPr/>
        <w:t>接计入所有者权益的交易或事项及企业合并相关的递延所得税除外。</w:t>
      </w:r>
    </w:p>
    <w:p>
      <w:pPr>
        <w:pStyle w:val="BodyText"/>
        <w:spacing w:line="300" w:lineRule="auto" w:before="24"/>
        <w:ind w:left="1133" w:right="1129" w:firstLine="360"/>
        <w:jc w:val="both"/>
      </w:pPr>
      <w:r>
        <w:rPr>
          <w:rFonts w:ascii="Times New Roman" w:hAnsi="Times New Roman" w:cs="Times New Roman" w:eastAsia="Times New Roman" w:hint="default"/>
        </w:rPr>
        <w:t>4</w:t>
      </w:r>
      <w:r>
        <w:rPr/>
        <w:t>）本公司向子公司出售资产所发生的未实现内部交易损益，应当全额抵销</w:t>
      </w:r>
      <w:r>
        <w:rPr>
          <w:rFonts w:ascii="Times New Roman" w:hAnsi="Times New Roman" w:cs="Times New Roman" w:eastAsia="Times New Roman" w:hint="default"/>
        </w:rPr>
        <w:t>“</w:t>
      </w:r>
      <w:r>
        <w:rPr/>
        <w:t>归属于母公司所有者的净利润</w:t>
      </w:r>
      <w:r>
        <w:rPr>
          <w:rFonts w:ascii="Times New Roman" w:hAnsi="Times New Roman" w:cs="Times New Roman" w:eastAsia="Times New Roman" w:hint="default"/>
        </w:rPr>
        <w:t>”</w:t>
      </w:r>
      <w:r>
        <w:rPr/>
        <w:t>。子公司向 本公司出售资产所发生的未实现内部交易损益，应当按照本公司对该子公司的分配比例在</w:t>
      </w:r>
      <w:r>
        <w:rPr>
          <w:rFonts w:ascii="Times New Roman" w:hAnsi="Times New Roman" w:cs="Times New Roman" w:eastAsia="Times New Roman" w:hint="default"/>
        </w:rPr>
        <w:t>“</w:t>
      </w:r>
      <w:r>
        <w:rPr/>
        <w:t>归属于母公司所有者的净利润</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spacing w:val="-2"/>
        </w:rPr>
        <w:t>和</w:t>
      </w:r>
      <w:r>
        <w:rPr>
          <w:rFonts w:ascii="Times New Roman" w:hAnsi="Times New Roman" w:cs="Times New Roman" w:eastAsia="Times New Roman" w:hint="default"/>
          <w:spacing w:val="-2"/>
        </w:rPr>
        <w:t>“</w:t>
      </w:r>
      <w:r>
        <w:rPr>
          <w:spacing w:val="-2"/>
        </w:rPr>
        <w:t>少数股东损益</w:t>
      </w:r>
      <w:r>
        <w:rPr>
          <w:rFonts w:ascii="Times New Roman" w:hAnsi="Times New Roman" w:cs="Times New Roman" w:eastAsia="Times New Roman" w:hint="default"/>
          <w:spacing w:val="-2"/>
        </w:rPr>
        <w:t>”</w:t>
      </w:r>
      <w:r>
        <w:rPr>
          <w:spacing w:val="-2"/>
        </w:rPr>
        <w:t>之间分配抵销。子公司之间出售资产所发生的未实现内部交易损益，应当按照本公司对出售方子公司的分</w:t>
      </w:r>
      <w:r>
        <w:rPr>
          <w:spacing w:val="-44"/>
        </w:rPr>
        <w:t> </w:t>
      </w:r>
      <w:r>
        <w:rPr>
          <w:spacing w:val="-44"/>
        </w:rPr>
      </w:r>
      <w:r>
        <w:rPr/>
        <w:t>配比例在</w:t>
      </w:r>
      <w:r>
        <w:rPr>
          <w:rFonts w:ascii="Times New Roman" w:hAnsi="Times New Roman" w:cs="Times New Roman" w:eastAsia="Times New Roman" w:hint="default"/>
        </w:rPr>
        <w:t>“</w:t>
      </w:r>
      <w:r>
        <w:rPr/>
        <w:t>归属于母公司所有者的净利润</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少数股东损益</w:t>
      </w:r>
      <w:r>
        <w:rPr>
          <w:rFonts w:ascii="Times New Roman" w:hAnsi="Times New Roman" w:cs="Times New Roman" w:eastAsia="Times New Roman" w:hint="default"/>
        </w:rPr>
        <w:t>”</w:t>
      </w:r>
      <w:r>
        <w:rPr/>
        <w:t>之间分配抵销。</w:t>
      </w:r>
    </w:p>
    <w:p>
      <w:pPr>
        <w:pStyle w:val="BodyText"/>
        <w:spacing w:line="300" w:lineRule="auto" w:before="13"/>
        <w:ind w:right="1122" w:firstLine="360"/>
        <w:jc w:val="left"/>
      </w:pPr>
      <w:r>
        <w:rPr>
          <w:rFonts w:ascii="Times New Roman" w:hAnsi="Times New Roman" w:cs="Times New Roman" w:eastAsia="Times New Roman" w:hint="default"/>
        </w:rPr>
        <w:t>5</w:t>
      </w:r>
      <w:r>
        <w:rPr/>
        <w:t>）子公司少数股东分担的当期亏损超过了少数股东在该子公司期初所有者权益中所享有的份额的，其余额仍应当冲减 少数股东权益。</w:t>
      </w:r>
    </w:p>
    <w:p>
      <w:pPr>
        <w:spacing w:line="240" w:lineRule="auto" w:before="5"/>
        <w:rPr>
          <w:rFonts w:ascii="宋体" w:hAnsi="宋体" w:cs="宋体" w:eastAsia="宋体" w:hint="default"/>
          <w:sz w:val="23"/>
          <w:szCs w:val="23"/>
        </w:rPr>
      </w:pPr>
    </w:p>
    <w:p>
      <w:pPr>
        <w:pStyle w:val="Heading3"/>
        <w:spacing w:line="240" w:lineRule="auto"/>
        <w:ind w:left="1133" w:right="0"/>
        <w:jc w:val="left"/>
        <w:rPr>
          <w:b w:val="0"/>
          <w:bCs w:val="0"/>
        </w:rPr>
      </w:pPr>
      <w:r>
        <w:rPr/>
        <w:t>（</w:t>
      </w:r>
      <w:r>
        <w:rPr>
          <w:rFonts w:ascii="Times New Roman" w:hAnsi="Times New Roman" w:cs="Times New Roman" w:eastAsia="Times New Roman" w:hint="default"/>
        </w:rPr>
        <w:t>5</w:t>
      </w:r>
      <w:r>
        <w:rPr/>
        <w:t>）特殊交易的会计处理</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494" w:right="0"/>
        <w:jc w:val="left"/>
      </w:pPr>
      <w:r>
        <w:rPr>
          <w:rFonts w:ascii="Times New Roman" w:hAnsi="Times New Roman" w:cs="Times New Roman" w:eastAsia="Times New Roman" w:hint="default"/>
        </w:rPr>
        <w:t>1</w:t>
      </w:r>
      <w:r>
        <w:rPr/>
        <w:t>）购买少数股东股权 </w:t>
      </w:r>
      <w:r>
        <w:rPr>
          <w:spacing w:val="-2"/>
        </w:rPr>
        <w:t>本公司购买子公司少数股东拥有的子公司股权，在个别财务报表中，购买少数股权新取得的长期股权投资的投资成本按</w:t>
      </w:r>
    </w:p>
    <w:p>
      <w:pPr>
        <w:pStyle w:val="BodyText"/>
        <w:spacing w:line="316" w:lineRule="auto" w:before="31"/>
        <w:ind w:right="1131"/>
        <w:jc w:val="both"/>
      </w:pPr>
      <w:r>
        <w:rPr>
          <w:spacing w:val="-2"/>
        </w:rPr>
        <w:t>照所支付对价的公允价值计量。在合并财务报表中，因购买少数股权新取得的长期股权投资与按照新增持股比例计算应享有</w:t>
      </w:r>
      <w:r>
        <w:rPr>
          <w:spacing w:val="-64"/>
        </w:rPr>
        <w:t> </w:t>
      </w:r>
      <w:r>
        <w:rPr>
          <w:spacing w:val="-64"/>
        </w:rPr>
      </w:r>
      <w:r>
        <w:rPr>
          <w:spacing w:val="-2"/>
        </w:rPr>
        <w:t>子公司自购买日或合并日开始持续计算的净资产份额之间的差额，应当调整资本公积（资本溢价或股本溢价），资本公积不</w:t>
      </w:r>
      <w:r>
        <w:rPr>
          <w:spacing w:val="-66"/>
        </w:rPr>
        <w:t> </w:t>
      </w:r>
      <w:r>
        <w:rPr>
          <w:spacing w:val="-66"/>
        </w:rPr>
      </w:r>
      <w:r>
        <w:rPr/>
        <w:t>足冲减的，依次冲减盈余公积和未分配利润。</w:t>
      </w:r>
    </w:p>
    <w:p>
      <w:pPr>
        <w:pStyle w:val="BodyText"/>
        <w:spacing w:line="240" w:lineRule="auto" w:before="19"/>
        <w:ind w:left="1494" w:right="0"/>
        <w:jc w:val="left"/>
      </w:pPr>
      <w:r>
        <w:rPr>
          <w:rFonts w:ascii="Times New Roman" w:hAnsi="Times New Roman" w:cs="Times New Roman" w:eastAsia="Times New Roman" w:hint="default"/>
        </w:rPr>
        <w:t>2</w:t>
      </w:r>
      <w:r>
        <w:rPr/>
        <w:t>）通过多次交易分步取得子公司控制权的</w:t>
      </w:r>
    </w:p>
    <w:p>
      <w:pPr>
        <w:pStyle w:val="BodyText"/>
        <w:spacing w:line="316" w:lineRule="auto" w:before="63"/>
        <w:ind w:left="1494" w:right="0"/>
        <w:jc w:val="left"/>
      </w:pPr>
      <w:r>
        <w:rPr/>
        <w:t>①</w:t>
      </w:r>
      <w:r>
        <w:rPr>
          <w:spacing w:val="-17"/>
        </w:rPr>
        <w:t> </w:t>
      </w:r>
      <w:r>
        <w:rPr/>
        <w:t>通过多次交易分步实现同一控制下企业合并</w:t>
      </w:r>
      <w:r>
        <w:rPr/>
        <w:t> </w:t>
      </w:r>
      <w:r>
        <w:rPr>
          <w:spacing w:val="-2"/>
        </w:rPr>
        <w:t>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的，本公司将各项交易作为一项取得子公司控制权的交易进行处理。在个别财务报表中，在合并日之</w:t>
      </w:r>
    </w:p>
    <w:p>
      <w:pPr>
        <w:pStyle w:val="BodyText"/>
        <w:spacing w:line="316" w:lineRule="auto"/>
        <w:ind w:right="1032"/>
        <w:jc w:val="left"/>
      </w:pPr>
      <w:r>
        <w:rPr>
          <w:spacing w:val="-2"/>
        </w:rPr>
        <w:t>前的每次交易中，股权投资均确认为长期股权投资且其初始投资成本按照所对应的持股比例计算的对被合并方净资产在最终</w:t>
      </w:r>
      <w:r>
        <w:rPr>
          <w:spacing w:val="-64"/>
        </w:rPr>
        <w:t> </w:t>
      </w:r>
      <w:r>
        <w:rPr>
          <w:spacing w:val="-64"/>
        </w:rPr>
      </w:r>
      <w:r>
        <w:rPr>
          <w:spacing w:val="-2"/>
        </w:rPr>
        <w:t>控制方合并财务报表中的账面价值份额确定，长期股权投资的初始成本与支付对价的账面价值的差额调整资本公积（资本溢</w:t>
      </w:r>
      <w:r>
        <w:rPr>
          <w:spacing w:val="-64"/>
        </w:rPr>
        <w:t> </w:t>
      </w:r>
      <w:r>
        <w:rPr>
          <w:spacing w:val="-64"/>
        </w:rPr>
      </w:r>
      <w:r>
        <w:rPr>
          <w:spacing w:val="-2"/>
        </w:rPr>
        <w:t>价或股本溢价），资本公积（资本溢价或股本溢价）不足冲减的，依次冲减盈余公积和未分配利润。在后续计量时，长期股</w:t>
      </w:r>
      <w:r>
        <w:rPr>
          <w:spacing w:val="-72"/>
        </w:rPr>
        <w:t> </w:t>
      </w:r>
      <w:r>
        <w:rPr>
          <w:spacing w:val="-72"/>
        </w:rPr>
      </w:r>
      <w:r>
        <w:rPr>
          <w:spacing w:val="-2"/>
        </w:rPr>
        <w:t>权投资按照成本法核算，但不涉及合并财务报表编制问题。在合并日，本公司对子公司的长期股权投资初始成本按照对子公</w:t>
      </w:r>
      <w:r>
        <w:rPr>
          <w:spacing w:val="-66"/>
        </w:rPr>
        <w:t> </w:t>
      </w:r>
      <w:r>
        <w:rPr>
          <w:spacing w:val="-66"/>
        </w:rPr>
      </w:r>
      <w:r>
        <w:rPr>
          <w:spacing w:val="-2"/>
        </w:rPr>
        <w:t>司累计持股比例计算的对被合并方净资产在最终控制方合并财务报表中的账面价值份额确定，初始投资成本与达到合并前的</w:t>
      </w:r>
      <w:r>
        <w:rPr>
          <w:spacing w:val="-64"/>
        </w:rPr>
        <w:t> </w:t>
      </w:r>
      <w:r>
        <w:rPr>
          <w:spacing w:val="-64"/>
        </w:rPr>
      </w:r>
      <w:r>
        <w:rPr/>
        <w:t>长期股权投资账面价值加上合并日取得进一步股份新支付对价的账面价值之和的差额，调整资本公积（资本溢价或股本溢</w:t>
      </w:r>
      <w:r>
        <w:rPr>
          <w:spacing w:val="-9"/>
        </w:rPr>
        <w:t> </w:t>
      </w:r>
      <w:r>
        <w:rPr>
          <w:spacing w:val="-9"/>
        </w:rPr>
      </w:r>
      <w:r>
        <w:rPr/>
        <w:t>价），资本公积（资本溢价或股本溢价）不足冲减的，依次冲减盈余公积和未分配利润。同时编制合并日的合并财务报表， 并且本公司在合并财务报表中，视同参与合并的各方在最终控制方开始控制时即以目前的状态存在进行调整。</w:t>
      </w:r>
    </w:p>
    <w:p>
      <w:pPr>
        <w:pStyle w:val="BodyText"/>
        <w:spacing w:line="240" w:lineRule="auto" w:before="19"/>
        <w:ind w:left="1493" w:right="0"/>
        <w:jc w:val="left"/>
      </w:pPr>
      <w:r>
        <w:rPr/>
        <w:t>各项交易的条款、条件以及经济影响符合下列一种或多种情况的，通常将多次交易作为</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进行会计处理：</w:t>
      </w:r>
    </w:p>
    <w:p>
      <w:pPr>
        <w:pStyle w:val="BodyText"/>
        <w:spacing w:line="240" w:lineRule="auto" w:before="63"/>
        <w:ind w:left="1493" w:right="0"/>
        <w:jc w:val="left"/>
      </w:pPr>
      <w:r>
        <w:rPr/>
        <w:t>（</w:t>
      </w:r>
      <w:r>
        <w:rPr>
          <w:rFonts w:ascii="Times New Roman" w:hAnsi="Times New Roman" w:cs="Times New Roman" w:eastAsia="Times New Roman" w:hint="default"/>
        </w:rPr>
        <w:t>a</w:t>
      </w:r>
      <w:r>
        <w:rPr/>
        <w:t>）这些交易是同时或者在考虑了彼此影响的情况下订立的。</w:t>
      </w:r>
    </w:p>
    <w:p>
      <w:pPr>
        <w:pStyle w:val="BodyText"/>
        <w:spacing w:line="240" w:lineRule="auto" w:before="63"/>
        <w:ind w:left="1493" w:right="0"/>
        <w:jc w:val="left"/>
      </w:pPr>
      <w:r>
        <w:rPr/>
        <w:t>（</w:t>
      </w:r>
      <w:r>
        <w:rPr>
          <w:rFonts w:ascii="Times New Roman" w:hAnsi="Times New Roman" w:cs="Times New Roman" w:eastAsia="Times New Roman" w:hint="default"/>
        </w:rPr>
        <w:t>b</w:t>
      </w:r>
      <w:r>
        <w:rPr/>
        <w:t>）这些交易整体才能达成一项完整的商业结果。</w:t>
      </w:r>
    </w:p>
    <w:p>
      <w:pPr>
        <w:pStyle w:val="BodyText"/>
        <w:spacing w:line="240" w:lineRule="auto" w:before="63"/>
        <w:ind w:left="1494" w:right="0"/>
        <w:jc w:val="left"/>
      </w:pPr>
      <w:r>
        <w:rPr/>
        <w:t>（</w:t>
      </w:r>
      <w:r>
        <w:rPr>
          <w:rFonts w:ascii="Times New Roman" w:hAnsi="Times New Roman" w:cs="Times New Roman" w:eastAsia="Times New Roman" w:hint="default"/>
        </w:rPr>
        <w:t>c</w:t>
      </w:r>
      <w:r>
        <w:rPr/>
        <w:t>）一项交易的发生取决于其他至少一项交易的发生。</w:t>
      </w:r>
    </w:p>
    <w:p>
      <w:pPr>
        <w:spacing w:after="0" w:line="240" w:lineRule="auto"/>
        <w:jc w:val="left"/>
        <w:sectPr>
          <w:headerReference w:type="default" r:id="rId35"/>
          <w:footerReference w:type="default" r:id="rId36"/>
          <w:pgSz w:w="11910" w:h="16840"/>
          <w:pgMar w:header="566" w:footer="979" w:top="1360" w:bottom="1160" w:left="0" w:right="0"/>
          <w:pgNumType w:start="70"/>
        </w:sectPr>
      </w:pPr>
    </w:p>
    <w:p>
      <w:pPr>
        <w:pStyle w:val="BodyText"/>
        <w:spacing w:line="300" w:lineRule="auto" w:before="81"/>
        <w:ind w:left="1493" w:right="0"/>
        <w:jc w:val="left"/>
      </w:pPr>
      <w:r>
        <w:rPr/>
        <w:t>（</w:t>
      </w:r>
      <w:r>
        <w:rPr>
          <w:rFonts w:ascii="Times New Roman" w:hAnsi="Times New Roman" w:cs="Times New Roman" w:eastAsia="Times New Roman" w:hint="default"/>
        </w:rPr>
        <w:t>d</w:t>
      </w:r>
      <w:r>
        <w:rPr/>
        <w:t>）一项交易单独考虑时是不经济的，但是和其他交易一并考虑时是经济的。 </w:t>
      </w:r>
      <w:r>
        <w:rPr>
          <w:spacing w:val="-2"/>
        </w:rPr>
        <w:t>不属于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的，在合并日之前的每次交易中，本公司所发生的每次交易按照所支付对价的公允价值确认为金融</w:t>
      </w:r>
    </w:p>
    <w:p>
      <w:pPr>
        <w:pStyle w:val="BodyText"/>
        <w:spacing w:line="319" w:lineRule="auto" w:before="13"/>
        <w:ind w:left="1133" w:right="1132"/>
        <w:jc w:val="both"/>
      </w:pPr>
      <w:r>
        <w:rPr>
          <w:spacing w:val="-2"/>
        </w:rPr>
        <w:t>资产（以公允价值计量且其变动计入当期损益的金融资产或可供出售金融资产）或按照权益法核算的长期股权投资。在合并</w:t>
      </w:r>
      <w:r>
        <w:rPr>
          <w:spacing w:val="-66"/>
        </w:rPr>
        <w:t> </w:t>
      </w:r>
      <w:r>
        <w:rPr>
          <w:spacing w:val="-66"/>
        </w:rPr>
      </w:r>
      <w:r>
        <w:rPr>
          <w:spacing w:val="-2"/>
        </w:rPr>
        <w:t>日，本公司在个别财务报表中，根据合并后应享有的子公司净资产在最终控制方合并财务报表中的账面价值的份额，确定长</w:t>
      </w:r>
      <w:r>
        <w:rPr>
          <w:spacing w:val="-66"/>
        </w:rPr>
        <w:t> </w:t>
      </w:r>
      <w:r>
        <w:rPr>
          <w:spacing w:val="-66"/>
        </w:rPr>
      </w:r>
      <w:r>
        <w:rPr>
          <w:spacing w:val="-2"/>
        </w:rPr>
        <w:t>期股权投资的初始投资成本。合并日长期股权投资的初始投资成本，与达到合并前的长期股权投资账面价值加上合并日进一</w:t>
      </w:r>
      <w:r>
        <w:rPr>
          <w:spacing w:val="-64"/>
        </w:rPr>
        <w:t> </w:t>
      </w:r>
      <w:r>
        <w:rPr>
          <w:spacing w:val="-64"/>
        </w:rPr>
      </w:r>
      <w:r>
        <w:rPr>
          <w:spacing w:val="-2"/>
        </w:rPr>
        <w:t>步取得股份新支付对价的账面价值之和的差额，调整资本公积（资本溢价或股本溢价），资本公积不足冲减的，依次冲减盈</w:t>
      </w:r>
      <w:r>
        <w:rPr>
          <w:spacing w:val="-66"/>
        </w:rPr>
        <w:t> </w:t>
      </w:r>
      <w:r>
        <w:rPr>
          <w:spacing w:val="-66"/>
        </w:rPr>
      </w:r>
      <w:r>
        <w:rPr/>
        <w:t>余公积和未分配利润。</w:t>
      </w:r>
    </w:p>
    <w:p>
      <w:pPr>
        <w:pStyle w:val="BodyText"/>
        <w:spacing w:line="316" w:lineRule="auto" w:before="17"/>
        <w:ind w:left="1133" w:right="1131" w:firstLine="360"/>
        <w:jc w:val="both"/>
      </w:pPr>
      <w:r>
        <w:rPr>
          <w:spacing w:val="-2"/>
        </w:rPr>
        <w:t>本公司在合并财务报表中，视同参与合并的各方在最终控制方开始控制时即以目前的状态存在进行调整，在编制合并财</w:t>
      </w:r>
      <w:r>
        <w:rPr/>
        <w:t> </w:t>
      </w:r>
      <w:r>
        <w:rPr>
          <w:spacing w:val="-2"/>
        </w:rPr>
        <w:t>务报表时，以不早于合并方和被合并方处于最终控制方的控制之下的时点为限，将被合并方的有关资产、负债并入合并方合</w:t>
      </w:r>
      <w:r>
        <w:rPr>
          <w:spacing w:val="-66"/>
        </w:rPr>
        <w:t> </w:t>
      </w:r>
      <w:r>
        <w:rPr>
          <w:spacing w:val="-66"/>
        </w:rPr>
      </w:r>
      <w:r>
        <w:rPr>
          <w:spacing w:val="-2"/>
        </w:rPr>
        <w:t>并财务报表的比较报表中，并将合并增加的净资产在比较报表中调整所有者权益项下的相关项目。因合并方的资本公积（资</w:t>
      </w:r>
      <w:r>
        <w:rPr>
          <w:spacing w:val="-66"/>
        </w:rPr>
        <w:t> </w:t>
      </w:r>
      <w:r>
        <w:rPr>
          <w:spacing w:val="-66"/>
        </w:rPr>
      </w:r>
      <w:r>
        <w:rPr>
          <w:spacing w:val="-2"/>
        </w:rPr>
        <w:t>本溢价或股本溢价）余额不足，被合并方在合并前实现的留存收益中归属于合并方的部分在合并财务报表中未予以全额恢复</w:t>
      </w:r>
      <w:r>
        <w:rPr>
          <w:spacing w:val="-64"/>
        </w:rPr>
        <w:t> </w:t>
      </w:r>
      <w:r>
        <w:rPr>
          <w:spacing w:val="-64"/>
        </w:rPr>
      </w:r>
      <w:r>
        <w:rPr>
          <w:spacing w:val="-2"/>
        </w:rPr>
        <w:t>的，本公司在报表附注中对这一情况进行说明，包括被合并方在合并前实现的留存收益金额、归属于本公司的金额及因资本</w:t>
      </w:r>
      <w:r>
        <w:rPr>
          <w:spacing w:val="-66"/>
        </w:rPr>
        <w:t> </w:t>
      </w:r>
      <w:r>
        <w:rPr>
          <w:spacing w:val="-66"/>
        </w:rPr>
      </w:r>
      <w:r>
        <w:rPr/>
        <w:t>公积余额不足在合并资产负债表中未转入留存收益的金额等。</w:t>
      </w:r>
    </w:p>
    <w:p>
      <w:pPr>
        <w:pStyle w:val="BodyText"/>
        <w:spacing w:line="316" w:lineRule="auto" w:before="19"/>
        <w:ind w:left="1133" w:right="1131" w:firstLine="360"/>
        <w:jc w:val="both"/>
      </w:pPr>
      <w:r>
        <w:rPr>
          <w:spacing w:val="-2"/>
        </w:rPr>
        <w:t>合并方在取得被合并方控制权之前持有的股权投资且按权益法核算的，在取得原股权之日与合并方和被合并方同处于同</w:t>
      </w:r>
      <w:r>
        <w:rPr/>
        <w:t> </w:t>
      </w:r>
      <w:r>
        <w:rPr>
          <w:spacing w:val="-2"/>
        </w:rPr>
        <w:t>一方最终控制之日孰晚日起至合并日之间已确认有关损益、其他综合收益以及其他所有者权益变动，应分别冲减比较报表期</w:t>
      </w:r>
      <w:r>
        <w:rPr>
          <w:spacing w:val="-64"/>
        </w:rPr>
        <w:t> </w:t>
      </w:r>
      <w:r>
        <w:rPr>
          <w:spacing w:val="-64"/>
        </w:rPr>
      </w:r>
      <w:r>
        <w:rPr/>
        <w:t>间的期初留存收益。</w:t>
      </w:r>
    </w:p>
    <w:p>
      <w:pPr>
        <w:pStyle w:val="BodyText"/>
        <w:spacing w:line="316" w:lineRule="auto" w:before="19"/>
        <w:ind w:left="1493" w:right="0"/>
        <w:jc w:val="left"/>
      </w:pPr>
      <w:r>
        <w:rPr/>
        <w:t>②</w:t>
      </w:r>
      <w:r>
        <w:rPr>
          <w:spacing w:val="-17"/>
        </w:rPr>
        <w:t> </w:t>
      </w:r>
      <w:r>
        <w:rPr/>
        <w:t>通过多次交易分步实现非同一控制下企业合并</w:t>
      </w:r>
      <w:r>
        <w:rPr/>
        <w:t> </w:t>
      </w:r>
      <w:r>
        <w:rPr>
          <w:spacing w:val="-2"/>
        </w:rPr>
        <w:t>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的，本公司将各项交易作为一项取得子公司控制权的交易进行处理。在个别财务报表中，在合并日之</w:t>
      </w:r>
    </w:p>
    <w:p>
      <w:pPr>
        <w:pStyle w:val="BodyText"/>
        <w:spacing w:line="319" w:lineRule="auto"/>
        <w:ind w:left="1133" w:right="1131"/>
        <w:jc w:val="both"/>
      </w:pPr>
      <w:r>
        <w:rPr>
          <w:spacing w:val="-2"/>
        </w:rPr>
        <w:t>前的每次交易中，股权投资均确认为长期股权投资且其初始投资成本按照所支付对价的公允价值确定。在后续计量时，长期</w:t>
      </w:r>
      <w:r>
        <w:rPr>
          <w:spacing w:val="-65"/>
        </w:rPr>
        <w:t> </w:t>
      </w:r>
      <w:r>
        <w:rPr>
          <w:spacing w:val="-65"/>
        </w:rPr>
      </w:r>
      <w:r>
        <w:rPr>
          <w:spacing w:val="-2"/>
        </w:rPr>
        <w:t>股权投资按照成本法核算，但不涉及合并财务报表编制问题。在合并日，在个别财务报表中，按照原持有的长期股权投资的</w:t>
      </w:r>
      <w:r>
        <w:rPr>
          <w:spacing w:val="-66"/>
        </w:rPr>
        <w:t> </w:t>
      </w:r>
      <w:r>
        <w:rPr>
          <w:spacing w:val="-66"/>
        </w:rPr>
      </w:r>
      <w:r>
        <w:rPr>
          <w:spacing w:val="-2"/>
        </w:rPr>
        <w:t>账面价值加上新增投资成本（进一步取得股份所支付对价的公允价值）之和，作为合并日长期股权投资的初始投资成本。在</w:t>
      </w:r>
      <w:r>
        <w:rPr>
          <w:spacing w:val="-66"/>
        </w:rPr>
        <w:t> </w:t>
      </w:r>
      <w:r>
        <w:rPr>
          <w:spacing w:val="-66"/>
        </w:rPr>
      </w:r>
      <w:r>
        <w:rPr>
          <w:spacing w:val="-2"/>
        </w:rPr>
        <w:t>合并财务报表中，初始投资成本与对子公司可辨认净资产公允价值所享有的份额进行抵销，差额确认为商誉或计入合并当期</w:t>
      </w:r>
      <w:r>
        <w:rPr>
          <w:spacing w:val="-64"/>
        </w:rPr>
        <w:t> </w:t>
      </w:r>
      <w:r>
        <w:rPr>
          <w:spacing w:val="-64"/>
        </w:rPr>
      </w:r>
      <w:r>
        <w:rPr/>
        <w:t>损益。</w:t>
      </w:r>
    </w:p>
    <w:p>
      <w:pPr>
        <w:pStyle w:val="BodyText"/>
        <w:spacing w:line="314" w:lineRule="auto" w:before="17"/>
        <w:ind w:left="1133" w:right="1131" w:firstLine="360"/>
        <w:jc w:val="both"/>
      </w:pPr>
      <w:r>
        <w:rPr>
          <w:spacing w:val="-2"/>
        </w:rPr>
        <w:t>不属于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的，在合并日之前的每次交易中，投资方所发生的每次交易按照所支付对价的公允价值确认为金融</w:t>
      </w:r>
      <w:r>
        <w:rPr/>
        <w:t> </w:t>
      </w:r>
      <w:r>
        <w:rPr>
          <w:spacing w:val="-2"/>
        </w:rPr>
        <w:t>资产（以公允价值计量且其变动计入当期损益的金融资产或可供出售金融资产）或按照权益法核算的长期股权投资。在合并</w:t>
      </w:r>
      <w:r>
        <w:rPr>
          <w:spacing w:val="-66"/>
        </w:rPr>
        <w:t> </w:t>
      </w:r>
      <w:r>
        <w:rPr>
          <w:spacing w:val="-66"/>
        </w:rPr>
      </w:r>
      <w:r>
        <w:rPr>
          <w:spacing w:val="-2"/>
        </w:rPr>
        <w:t>日，在个别财务报表中，按照原持有的股权投资（金融资产或按照权益法核算的长期股权投资）的账面价值加上新增投资成</w:t>
      </w:r>
      <w:r>
        <w:rPr>
          <w:spacing w:val="-66"/>
        </w:rPr>
        <w:t> </w:t>
      </w:r>
      <w:r>
        <w:rPr>
          <w:spacing w:val="-66"/>
        </w:rPr>
      </w:r>
      <w:r>
        <w:rPr>
          <w:spacing w:val="-2"/>
        </w:rPr>
        <w:t>本之和，作为改按成本法核算长期股权投资的初始成本。在合并财务报表中，对于购买日之前持有的被购买方的股权，按照</w:t>
      </w:r>
      <w:r>
        <w:rPr>
          <w:spacing w:val="-66"/>
        </w:rPr>
        <w:t> </w:t>
      </w:r>
      <w:r>
        <w:rPr>
          <w:spacing w:val="-66"/>
        </w:rPr>
      </w:r>
      <w:r>
        <w:rPr>
          <w:spacing w:val="-2"/>
        </w:rPr>
        <w:t>该股权在购买日的公允价值进行重新计量，公允价值与其账面价值的差额计入当期投资收益；购买日之前持有的被购买方的</w:t>
      </w:r>
      <w:r>
        <w:rPr>
          <w:spacing w:val="-64"/>
        </w:rPr>
        <w:t> </w:t>
      </w:r>
      <w:r>
        <w:rPr>
          <w:spacing w:val="-64"/>
        </w:rPr>
      </w:r>
      <w:r>
        <w:rPr>
          <w:spacing w:val="-2"/>
        </w:rPr>
        <w:t>股权涉及权益法核算下的其他综合收益等的，与其相关的其他综合收益等转为购买日所属当期收益，但由于被合并方重新计</w:t>
      </w:r>
      <w:r>
        <w:rPr>
          <w:spacing w:val="-64"/>
        </w:rPr>
        <w:t> </w:t>
      </w:r>
      <w:r>
        <w:rPr>
          <w:spacing w:val="-64"/>
        </w:rPr>
      </w:r>
      <w:r>
        <w:rPr>
          <w:spacing w:val="-2"/>
        </w:rPr>
        <w:t>量设定受益计划净资产或净负债变动而产生的其他综合收益除外。本公司在附注中披露其在购买日之前持有的被购买方的股</w:t>
      </w:r>
      <w:r>
        <w:rPr>
          <w:spacing w:val="-64"/>
        </w:rPr>
        <w:t> </w:t>
      </w:r>
      <w:r>
        <w:rPr>
          <w:spacing w:val="-64"/>
        </w:rPr>
      </w:r>
      <w:r>
        <w:rPr/>
        <w:t>权在购买日的公允价值、按照公允价值重新计量产生的相关利得或损失的金额。</w:t>
      </w:r>
    </w:p>
    <w:p>
      <w:pPr>
        <w:pStyle w:val="BodyText"/>
        <w:spacing w:line="300" w:lineRule="auto" w:before="20"/>
        <w:ind w:left="1494" w:right="0"/>
        <w:jc w:val="left"/>
      </w:pPr>
      <w:r>
        <w:rPr>
          <w:rFonts w:ascii="Times New Roman" w:hAnsi="Times New Roman" w:cs="Times New Roman" w:eastAsia="Times New Roman" w:hint="default"/>
        </w:rPr>
        <w:t>3</w:t>
      </w:r>
      <w:r>
        <w:rPr/>
        <w:t>）本公司处置对子公司长期股权投资但未丧失控制权 </w:t>
      </w:r>
      <w:r>
        <w:rPr>
          <w:spacing w:val="-2"/>
        </w:rPr>
        <w:t>母公司在不丧失控制权的情况下部分处置对子公司的长期股权投资，在合并财务报表中，处置价款与处置长期股权投资</w:t>
      </w:r>
    </w:p>
    <w:p>
      <w:pPr>
        <w:pStyle w:val="BodyText"/>
        <w:spacing w:line="316" w:lineRule="auto" w:before="31"/>
        <w:ind w:right="1131"/>
        <w:jc w:val="both"/>
      </w:pPr>
      <w:r>
        <w:rPr>
          <w:spacing w:val="-2"/>
        </w:rPr>
        <w:t>相对应享有子公司自购买日或合并日开始持续计算的净资产份额之间的差额，调整资本公积（资本溢价或股本溢价），资本</w:t>
      </w:r>
      <w:r>
        <w:rPr>
          <w:spacing w:val="-66"/>
        </w:rPr>
        <w:t> </w:t>
      </w:r>
      <w:r>
        <w:rPr>
          <w:spacing w:val="-66"/>
        </w:rPr>
      </w:r>
      <w:r>
        <w:rPr/>
        <w:t>公积不足冲减的，调整留存收益。</w:t>
      </w:r>
    </w:p>
    <w:p>
      <w:pPr>
        <w:pStyle w:val="BodyText"/>
        <w:spacing w:line="240" w:lineRule="auto" w:before="19"/>
        <w:ind w:left="1494" w:right="0"/>
        <w:jc w:val="left"/>
      </w:pPr>
      <w:r>
        <w:rPr>
          <w:rFonts w:ascii="Times New Roman" w:hAnsi="Times New Roman" w:cs="Times New Roman" w:eastAsia="Times New Roman" w:hint="default"/>
        </w:rPr>
        <w:t>4</w:t>
      </w:r>
      <w:r>
        <w:rPr/>
        <w:t>）本公司处置对子公司长期股权投资且丧失控制权</w:t>
      </w:r>
    </w:p>
    <w:p>
      <w:pPr>
        <w:pStyle w:val="BodyText"/>
        <w:spacing w:line="316" w:lineRule="auto" w:before="63"/>
        <w:ind w:left="1493" w:right="0"/>
        <w:jc w:val="left"/>
      </w:pPr>
      <w:r>
        <w:rPr/>
        <w:t>①</w:t>
      </w:r>
      <w:r>
        <w:rPr>
          <w:spacing w:val="-17"/>
        </w:rPr>
        <w:t> </w:t>
      </w:r>
      <w:r>
        <w:rPr/>
        <w:t>一次交易处置</w:t>
      </w:r>
      <w:r>
        <w:rPr/>
        <w:t> </w:t>
      </w:r>
      <w:r>
        <w:rPr>
          <w:spacing w:val="-2"/>
        </w:rPr>
        <w:t>本公司因处置部分股权投资等原因丧失了对被投资方的控制权的，在编制合并财务报表时，对于剩余股权，按照其在丧</w:t>
      </w:r>
    </w:p>
    <w:p>
      <w:pPr>
        <w:pStyle w:val="BodyText"/>
        <w:spacing w:line="319" w:lineRule="auto" w:before="19"/>
        <w:ind w:left="1133" w:right="1131"/>
        <w:jc w:val="both"/>
      </w:pPr>
      <w:r>
        <w:rPr>
          <w:spacing w:val="-2"/>
        </w:rPr>
        <w:t>失控制权日的公允价值进行重新计量。处置股权取得的对价与剩余股权公允价值之和，减去按原持股比例计算应享有原有子</w:t>
      </w:r>
      <w:r>
        <w:rPr>
          <w:spacing w:val="-64"/>
        </w:rPr>
        <w:t> </w:t>
      </w:r>
      <w:r>
        <w:rPr>
          <w:spacing w:val="-64"/>
        </w:rPr>
      </w:r>
      <w:r>
        <w:rPr>
          <w:spacing w:val="-2"/>
        </w:rPr>
        <w:t>公司自购买日或合并日开始持续计算的净资产的份额之间的差额，计入丧失控制权当期的投资收益，同时冲减商誉（注：如</w:t>
      </w:r>
      <w:r>
        <w:rPr>
          <w:spacing w:val="-66"/>
        </w:rPr>
        <w:t> </w:t>
      </w:r>
      <w:r>
        <w:rPr>
          <w:spacing w:val="-66"/>
        </w:rPr>
      </w:r>
      <w:r>
        <w:rPr>
          <w:spacing w:val="-2"/>
        </w:rPr>
        <w:t>果原企业合并为非同一控制下的且存在商誉的）。与原有子公司股权投资相关的其他综合收益等，在丧失控制权时转为当期</w:t>
      </w:r>
      <w:r>
        <w:rPr>
          <w:spacing w:val="-66"/>
        </w:rPr>
        <w:t> </w:t>
      </w:r>
      <w:r>
        <w:rPr>
          <w:spacing w:val="-66"/>
        </w:rPr>
      </w:r>
      <w:r>
        <w:rPr/>
        <w:t>投资收益。</w:t>
      </w:r>
    </w:p>
    <w:p>
      <w:pPr>
        <w:pStyle w:val="BodyText"/>
        <w:spacing w:line="316" w:lineRule="auto" w:before="17"/>
        <w:ind w:right="1131" w:firstLine="360"/>
        <w:jc w:val="both"/>
      </w:pPr>
      <w:r>
        <w:rPr>
          <w:spacing w:val="-2"/>
        </w:rPr>
        <w:t>此外，与原子公司的股权投资相关的其他综合收益、其他所有者权益变动，在丧失控制权时转入当期损益，由于被投资</w:t>
      </w:r>
      <w:r>
        <w:rPr/>
        <w:t> 方重新计量设定受益计划净负债或净资产变动而产生的其他综合收益除外。</w:t>
      </w:r>
    </w:p>
    <w:p>
      <w:pPr>
        <w:spacing w:after="0" w:line="316" w:lineRule="auto"/>
        <w:jc w:val="both"/>
        <w:sectPr>
          <w:pgSz w:w="11910" w:h="16840"/>
          <w:pgMar w:header="566" w:footer="979" w:top="1360" w:bottom="1160" w:left="0" w:right="0"/>
        </w:sectPr>
      </w:pPr>
    </w:p>
    <w:p>
      <w:pPr>
        <w:pStyle w:val="BodyText"/>
        <w:spacing w:line="316" w:lineRule="auto" w:before="81"/>
        <w:ind w:left="1493" w:right="5193"/>
        <w:jc w:val="left"/>
      </w:pPr>
      <w:r>
        <w:rPr/>
        <w:t>②</w:t>
      </w:r>
      <w:r>
        <w:rPr>
          <w:spacing w:val="-18"/>
        </w:rPr>
        <w:t> </w:t>
      </w:r>
      <w:r>
        <w:rPr/>
        <w:t>多次交易分步处置</w:t>
      </w:r>
      <w:r>
        <w:rPr/>
        <w:t> 在合并财务报表中，应首先判断分步交易是否属于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w:t>
      </w:r>
    </w:p>
    <w:p>
      <w:pPr>
        <w:pStyle w:val="BodyText"/>
        <w:spacing w:line="300" w:lineRule="auto"/>
        <w:ind w:left="1133" w:right="0" w:firstLine="360"/>
        <w:jc w:val="left"/>
      </w:pPr>
      <w:r>
        <w:rPr/>
        <w:t>如果分步交易不属于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的，则在丧失对子公司控制权之前的各项交易，应按照</w:t>
      </w:r>
      <w:r>
        <w:rPr>
          <w:rFonts w:ascii="Times New Roman" w:hAnsi="Times New Roman" w:cs="Times New Roman" w:eastAsia="Times New Roman" w:hint="default"/>
        </w:rPr>
        <w:t>“</w:t>
      </w:r>
      <w:r>
        <w:rPr/>
        <w:t>母公司处置对子公司长期股 权投资但未丧失控制权</w:t>
      </w:r>
      <w:r>
        <w:rPr>
          <w:rFonts w:ascii="Times New Roman" w:hAnsi="Times New Roman" w:cs="Times New Roman" w:eastAsia="Times New Roman" w:hint="default"/>
        </w:rPr>
        <w:t>”</w:t>
      </w:r>
      <w:r>
        <w:rPr/>
        <w:t>的有关规定处理。</w:t>
      </w:r>
    </w:p>
    <w:p>
      <w:pPr>
        <w:pStyle w:val="BodyText"/>
        <w:spacing w:line="309" w:lineRule="auto" w:before="13"/>
        <w:ind w:right="1131" w:firstLine="360"/>
        <w:jc w:val="both"/>
      </w:pPr>
      <w:r>
        <w:rPr>
          <w:spacing w:val="-2"/>
        </w:rPr>
        <w:t>如果分步交易属于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的，应当将各项交易作为一项处置子公司并丧失控制权的交易进行会计处理；其中，对</w:t>
      </w:r>
      <w:r>
        <w:rPr/>
        <w:t> </w:t>
      </w:r>
      <w:r>
        <w:rPr>
          <w:spacing w:val="-2"/>
        </w:rPr>
        <w:t>于丧失控制权之前每一次交易，处置价款与处置投资对应的享有该子公司净资产份额的差额，在合并财务报表中应当确认为</w:t>
      </w:r>
      <w:r>
        <w:rPr>
          <w:spacing w:val="-64"/>
        </w:rPr>
        <w:t> </w:t>
      </w:r>
      <w:r>
        <w:rPr>
          <w:spacing w:val="-64"/>
        </w:rPr>
      </w:r>
      <w:r>
        <w:rPr/>
        <w:t>其他综合收益，在丧失控制权时一并转入丧失控制权当期的损益。</w:t>
      </w:r>
    </w:p>
    <w:p>
      <w:pPr>
        <w:pStyle w:val="BodyText"/>
        <w:spacing w:line="300" w:lineRule="auto" w:before="24"/>
        <w:ind w:left="1494" w:right="0"/>
        <w:jc w:val="left"/>
      </w:pPr>
      <w:r>
        <w:rPr>
          <w:rFonts w:ascii="Times New Roman" w:hAnsi="Times New Roman" w:cs="Times New Roman" w:eastAsia="Times New Roman" w:hint="default"/>
        </w:rPr>
        <w:t>5</w:t>
      </w:r>
      <w:r>
        <w:rPr/>
        <w:t>）因子公司的少数股东增资而稀释母公司拥有的股权比例 </w:t>
      </w:r>
      <w:r>
        <w:rPr>
          <w:spacing w:val="-2"/>
        </w:rPr>
        <w:t>子公司的其他股东（少数股东）对子公司进行增资，由此稀释了母公司对子公司的股权比例。在合并财务报表中，按照</w:t>
      </w:r>
    </w:p>
    <w:p>
      <w:pPr>
        <w:pStyle w:val="BodyText"/>
        <w:spacing w:line="316" w:lineRule="auto" w:before="31"/>
        <w:ind w:right="1032"/>
        <w:jc w:val="left"/>
      </w:pPr>
      <w:r>
        <w:rPr>
          <w:spacing w:val="-2"/>
        </w:rPr>
        <w:t>增资前的母公司股权比例计算其在增资前子公司账面净资产中的份额，该份额与增资后按照母公司持股比例计算的在增资后</w:t>
      </w:r>
      <w:r>
        <w:rPr>
          <w:spacing w:val="-64"/>
        </w:rPr>
        <w:t> </w:t>
      </w:r>
      <w:r>
        <w:rPr>
          <w:spacing w:val="-64"/>
        </w:rPr>
      </w:r>
      <w:r>
        <w:rPr/>
        <w:t>子公司账面净资产份额之间的差额调整资本公积（资本溢价或股本溢价），资本公积（资本溢价或股本溢价）不足冲减的， 调整留存收益。</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7、合营安排分类及共同经营会计处理方法" w:id="172"/>
      <w:bookmarkEnd w:id="172"/>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94" w:right="0"/>
        <w:jc w:val="left"/>
      </w:pPr>
      <w:r>
        <w:rPr/>
        <w:t>合营安排，是指一项由两个或两个以上的参与方共同控制的安排。本公司合营安排分为共同经营和合营企业。</w:t>
      </w:r>
    </w:p>
    <w:p>
      <w:pPr>
        <w:spacing w:line="240" w:lineRule="auto" w:before="11"/>
        <w:rPr>
          <w:rFonts w:ascii="宋体" w:hAnsi="宋体" w:cs="宋体" w:eastAsia="宋体" w:hint="default"/>
          <w:sz w:val="26"/>
          <w:szCs w:val="26"/>
        </w:rPr>
      </w:pPr>
    </w:p>
    <w:p>
      <w:pPr>
        <w:pStyle w:val="Heading3"/>
        <w:spacing w:line="240" w:lineRule="auto"/>
        <w:ind w:left="1133" w:right="0"/>
        <w:jc w:val="left"/>
        <w:rPr>
          <w:b w:val="0"/>
          <w:bCs w:val="0"/>
        </w:rPr>
      </w:pPr>
      <w:r>
        <w:rPr/>
        <w:t>（</w:t>
      </w:r>
      <w:r>
        <w:rPr>
          <w:rFonts w:ascii="Times New Roman" w:hAnsi="Times New Roman" w:cs="Times New Roman" w:eastAsia="Times New Roman" w:hint="default"/>
        </w:rPr>
        <w:t>1</w:t>
      </w:r>
      <w:r>
        <w:rPr/>
        <w:t>）共同经营</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493" w:right="2293"/>
        <w:jc w:val="left"/>
      </w:pPr>
      <w:r>
        <w:rPr/>
        <w:t>共同经营是指本公司享有该安排相关资产且承担该安排相关负债的合营安排。 本公司确认其与共同经营中利益份额相关的下列项目，并按照相关企业会计准则的规定进行会计处理： </w:t>
      </w:r>
      <w:r>
        <w:rPr>
          <w:rFonts w:ascii="Times New Roman" w:hAnsi="Times New Roman" w:cs="Times New Roman" w:eastAsia="Times New Roman" w:hint="default"/>
        </w:rPr>
        <w:t>1</w:t>
      </w:r>
      <w:r>
        <w:rPr/>
        <w:t>）确认单独所持有的资产，以及按其份额确认共同持有的资产；</w:t>
      </w:r>
    </w:p>
    <w:p>
      <w:pPr>
        <w:pStyle w:val="BodyText"/>
        <w:spacing w:line="249" w:lineRule="exact"/>
        <w:ind w:left="1493" w:right="0"/>
        <w:jc w:val="left"/>
      </w:pPr>
      <w:r>
        <w:rPr>
          <w:rFonts w:ascii="Times New Roman" w:hAnsi="Times New Roman" w:cs="Times New Roman" w:eastAsia="Times New Roman" w:hint="default"/>
        </w:rPr>
        <w:t>2</w:t>
      </w:r>
      <w:r>
        <w:rPr/>
        <w:t>）确认单独所承担的负债，以及按其份额确认共同承担的负债；</w:t>
      </w:r>
    </w:p>
    <w:p>
      <w:pPr>
        <w:pStyle w:val="BodyText"/>
        <w:spacing w:line="240" w:lineRule="auto" w:before="63"/>
        <w:ind w:left="1493" w:right="0"/>
        <w:jc w:val="left"/>
      </w:pPr>
      <w:r>
        <w:rPr>
          <w:rFonts w:ascii="Times New Roman" w:hAnsi="Times New Roman" w:cs="Times New Roman" w:eastAsia="Times New Roman" w:hint="default"/>
        </w:rPr>
        <w:t>3</w:t>
      </w:r>
      <w:r>
        <w:rPr/>
        <w:t>）确认出售其享有的共同经营产出份额所产生的收入；</w:t>
      </w:r>
    </w:p>
    <w:p>
      <w:pPr>
        <w:pStyle w:val="BodyText"/>
        <w:spacing w:line="240" w:lineRule="auto" w:before="63"/>
        <w:ind w:left="1494" w:right="0"/>
        <w:jc w:val="left"/>
      </w:pPr>
      <w:r>
        <w:rPr>
          <w:rFonts w:ascii="Times New Roman" w:hAnsi="Times New Roman" w:cs="Times New Roman" w:eastAsia="Times New Roman" w:hint="default"/>
        </w:rPr>
        <w:t>4</w:t>
      </w:r>
      <w:r>
        <w:rPr/>
        <w:t>）按其份额确认共同经营因出售产出所产生的收入；</w:t>
      </w:r>
    </w:p>
    <w:p>
      <w:pPr>
        <w:pStyle w:val="BodyText"/>
        <w:spacing w:line="240" w:lineRule="auto" w:before="63"/>
        <w:ind w:left="1494" w:right="0"/>
        <w:jc w:val="left"/>
      </w:pPr>
      <w:r>
        <w:rPr>
          <w:rFonts w:ascii="Times New Roman" w:hAnsi="Times New Roman" w:cs="Times New Roman" w:eastAsia="Times New Roman" w:hint="default"/>
        </w:rPr>
        <w:t>5</w:t>
      </w:r>
      <w:r>
        <w:rPr/>
        <w:t>）确认单独所发生的费用，以及按其份额确认共同经营发生的费用。</w:t>
      </w:r>
    </w:p>
    <w:p>
      <w:pPr>
        <w:spacing w:line="240" w:lineRule="auto" w:before="10"/>
        <w:rPr>
          <w:rFonts w:ascii="宋体" w:hAnsi="宋体" w:cs="宋体" w:eastAsia="宋体" w:hint="default"/>
          <w:sz w:val="25"/>
          <w:szCs w:val="25"/>
        </w:rPr>
      </w:pPr>
    </w:p>
    <w:p>
      <w:pPr>
        <w:pStyle w:val="Heading3"/>
        <w:spacing w:line="240" w:lineRule="auto"/>
        <w:ind w:left="1133" w:right="0"/>
        <w:jc w:val="left"/>
        <w:rPr>
          <w:b w:val="0"/>
          <w:bCs w:val="0"/>
        </w:rPr>
      </w:pPr>
      <w:r>
        <w:rPr/>
        <w:t>（</w:t>
      </w:r>
      <w:r>
        <w:rPr>
          <w:rFonts w:ascii="Times New Roman" w:hAnsi="Times New Roman" w:cs="Times New Roman" w:eastAsia="Times New Roman" w:hint="default"/>
        </w:rPr>
        <w:t>2</w:t>
      </w:r>
      <w:r>
        <w:rPr/>
        <w:t>）合营企业</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494" w:right="3912"/>
        <w:jc w:val="left"/>
      </w:pPr>
      <w:r>
        <w:rPr/>
        <w:t>合营企业是指本公司仅对该安排的净资产享有权利的合营安排。 本公司按照长期股权投资有关权益法核算的规定对合营企业的投资进行会计处理。</w:t>
      </w:r>
    </w:p>
    <w:p>
      <w:pPr>
        <w:spacing w:line="240" w:lineRule="auto" w:before="7"/>
        <w:rPr>
          <w:rFonts w:ascii="宋体" w:hAnsi="宋体" w:cs="宋体" w:eastAsia="宋体" w:hint="default"/>
          <w:sz w:val="22"/>
          <w:szCs w:val="22"/>
        </w:rPr>
      </w:pPr>
    </w:p>
    <w:p>
      <w:pPr>
        <w:pStyle w:val="Heading3"/>
        <w:spacing w:line="240" w:lineRule="auto"/>
        <w:ind w:left="1133" w:right="0"/>
        <w:jc w:val="left"/>
        <w:rPr>
          <w:b w:val="0"/>
          <w:bCs w:val="0"/>
        </w:rPr>
      </w:pPr>
      <w:bookmarkStart w:name="8、现金及现金等价物的确定标准" w:id="173"/>
      <w:bookmarkEnd w:id="173"/>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3" w:right="1033" w:firstLine="360"/>
        <w:jc w:val="left"/>
      </w:pPr>
      <w:r>
        <w:rPr/>
        <w:t>现金指企业库存现金及可以随时用于支付的存款。现金等价物指持有的期限短（一般是指从购买日起三个月内到期）、 流动性强、易于转换为已知金额现金、价值变动风险很小的投资。</w:t>
      </w:r>
    </w:p>
    <w:p>
      <w:pPr>
        <w:spacing w:line="240" w:lineRule="auto" w:before="7"/>
        <w:rPr>
          <w:rFonts w:ascii="宋体" w:hAnsi="宋体" w:cs="宋体" w:eastAsia="宋体" w:hint="default"/>
          <w:sz w:val="22"/>
          <w:szCs w:val="22"/>
        </w:rPr>
      </w:pPr>
    </w:p>
    <w:p>
      <w:pPr>
        <w:pStyle w:val="Heading3"/>
        <w:spacing w:line="240" w:lineRule="auto"/>
        <w:ind w:left="1133" w:right="0"/>
        <w:jc w:val="left"/>
        <w:rPr>
          <w:b w:val="0"/>
          <w:bCs w:val="0"/>
        </w:rPr>
      </w:pPr>
      <w:bookmarkStart w:name="9、外币业务和外币报表折算" w:id="174"/>
      <w:bookmarkEnd w:id="174"/>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133" w:right="0"/>
        <w:jc w:val="left"/>
        <w:rPr>
          <w:b w:val="0"/>
          <w:bCs w:val="0"/>
        </w:rPr>
      </w:pPr>
      <w:r>
        <w:rPr/>
        <w:t>（</w:t>
      </w:r>
      <w:r>
        <w:rPr>
          <w:rFonts w:ascii="Times New Roman" w:hAnsi="Times New Roman" w:cs="Times New Roman" w:eastAsia="Times New Roman" w:hint="default"/>
        </w:rPr>
        <w:t>1</w:t>
      </w:r>
      <w:r>
        <w:rPr/>
        <w:t>）外币交易时折算汇率的确定方法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93" w:right="0"/>
        <w:jc w:val="left"/>
      </w:pPr>
      <w:r>
        <w:rPr/>
        <w:t>本公司外币交易初始确认时采用交易发生日的即期汇率或即期汇率的近似汇率折算为记账本位币。</w:t>
      </w:r>
    </w:p>
    <w:p>
      <w:pPr>
        <w:spacing w:line="240" w:lineRule="auto" w:before="11"/>
        <w:rPr>
          <w:rFonts w:ascii="宋体" w:hAnsi="宋体" w:cs="宋体" w:eastAsia="宋体" w:hint="default"/>
          <w:sz w:val="26"/>
          <w:szCs w:val="26"/>
        </w:rPr>
      </w:pPr>
    </w:p>
    <w:p>
      <w:pPr>
        <w:pStyle w:val="Heading3"/>
        <w:spacing w:line="240" w:lineRule="auto"/>
        <w:ind w:left="1133" w:right="0"/>
        <w:jc w:val="left"/>
        <w:rPr>
          <w:b w:val="0"/>
          <w:bCs w:val="0"/>
        </w:rPr>
      </w:pPr>
      <w:r>
        <w:rPr/>
        <w:t>（</w:t>
      </w:r>
      <w:r>
        <w:rPr>
          <w:rFonts w:ascii="Times New Roman" w:hAnsi="Times New Roman" w:cs="Times New Roman" w:eastAsia="Times New Roman" w:hint="default"/>
        </w:rPr>
        <w:t>2</w:t>
      </w:r>
      <w:r>
        <w:rPr/>
        <w:t>）资产负债表日外币货币性项目的折算方法</w:t>
      </w:r>
      <w:r>
        <w:rPr>
          <w:b w:val="0"/>
          <w:bCs w:val="0"/>
        </w:rPr>
      </w:r>
    </w:p>
    <w:p>
      <w:pPr>
        <w:spacing w:after="0" w:line="240" w:lineRule="auto"/>
        <w:jc w:val="left"/>
        <w:sectPr>
          <w:pgSz w:w="11910" w:h="16840"/>
          <w:pgMar w:header="566" w:footer="979" w:top="1360" w:bottom="1160" w:left="0" w:right="0"/>
        </w:sectPr>
      </w:pPr>
    </w:p>
    <w:p>
      <w:pPr>
        <w:pStyle w:val="BodyText"/>
        <w:spacing w:line="316" w:lineRule="auto" w:before="81"/>
        <w:ind w:right="0" w:firstLine="360"/>
        <w:jc w:val="left"/>
      </w:pPr>
      <w:r>
        <w:rPr>
          <w:spacing w:val="-2"/>
        </w:rPr>
        <w:t>在资产负债表日，对于外币货币性项目，采用资产负债表日的即期汇率折算。因资产负债表日即期汇率与初始确认时或</w:t>
      </w:r>
      <w:r>
        <w:rPr/>
        <w:t> 前一资产负债表日即期汇率不同而产生的汇兑差额，计入当期损益。</w:t>
      </w:r>
    </w:p>
    <w:p>
      <w:pPr>
        <w:spacing w:line="240" w:lineRule="auto" w:before="6"/>
        <w:rPr>
          <w:rFonts w:ascii="宋体" w:hAnsi="宋体" w:cs="宋体" w:eastAsia="宋体" w:hint="default"/>
          <w:sz w:val="22"/>
          <w:szCs w:val="22"/>
        </w:rPr>
      </w:pPr>
    </w:p>
    <w:p>
      <w:pPr>
        <w:pStyle w:val="Heading3"/>
        <w:spacing w:line="240" w:lineRule="auto"/>
        <w:ind w:left="1133" w:right="0"/>
        <w:jc w:val="both"/>
        <w:rPr>
          <w:b w:val="0"/>
          <w:bCs w:val="0"/>
        </w:rPr>
      </w:pPr>
      <w:r>
        <w:rPr/>
        <w:t>（</w:t>
      </w:r>
      <w:r>
        <w:rPr>
          <w:rFonts w:ascii="Times New Roman" w:hAnsi="Times New Roman" w:cs="Times New Roman" w:eastAsia="Times New Roman" w:hint="default"/>
        </w:rPr>
        <w:t>3</w:t>
      </w:r>
      <w:r>
        <w:rPr/>
        <w:t>）外币报表折算方法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3" w:right="1033" w:firstLine="360"/>
        <w:jc w:val="left"/>
      </w:pPr>
      <w:r>
        <w:rPr/>
        <w:t>对企业境外经营财务报表进行折算前先调整境外经营的会计期间和会计政策，使之与企业会计期间和会计政策相一致， </w:t>
      </w:r>
      <w:r>
        <w:rPr>
          <w:spacing w:val="-2"/>
        </w:rPr>
        <w:t>再根据调整后会计政策及会计期间编制相应货币（记账本位币以外的货币）的财务报表，再按照以下方法对境外经营财务报</w:t>
      </w:r>
      <w:r>
        <w:rPr>
          <w:spacing w:val="-66"/>
        </w:rPr>
        <w:t> </w:t>
      </w:r>
      <w:r>
        <w:rPr>
          <w:spacing w:val="-66"/>
        </w:rPr>
      </w:r>
      <w:r>
        <w:rPr/>
        <w:t>表进行折算：</w:t>
      </w:r>
    </w:p>
    <w:p>
      <w:pPr>
        <w:pStyle w:val="BodyText"/>
        <w:spacing w:line="300" w:lineRule="auto" w:before="19"/>
        <w:ind w:left="1133" w:right="0" w:firstLine="360"/>
        <w:jc w:val="left"/>
      </w:pPr>
      <w:r>
        <w:rPr>
          <w:rFonts w:ascii="Times New Roman" w:hAnsi="Times New Roman" w:cs="Times New Roman" w:eastAsia="Times New Roman" w:hint="default"/>
        </w:rPr>
        <w:t>1</w:t>
      </w:r>
      <w:r>
        <w:rPr/>
        <w:t>）资产负债表中的资产和负债项目，采用资产负债表日的即期汇率折算，所有者权益项目除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项目外，其 他项目采用发生时的即期汇率折算。</w:t>
      </w:r>
    </w:p>
    <w:p>
      <w:pPr>
        <w:pStyle w:val="BodyText"/>
        <w:spacing w:line="240" w:lineRule="auto" w:before="31"/>
        <w:ind w:left="1493" w:right="0"/>
        <w:jc w:val="left"/>
      </w:pPr>
      <w:r>
        <w:rPr>
          <w:rFonts w:ascii="Times New Roman" w:hAnsi="Times New Roman" w:cs="Times New Roman" w:eastAsia="Times New Roman" w:hint="default"/>
        </w:rPr>
        <w:t>2</w:t>
      </w:r>
      <w:r>
        <w:rPr/>
        <w:t>）利润表中的收入和费用项目，采用交易发生日的即期汇率或即期汇率的近似汇率折算。</w:t>
      </w:r>
    </w:p>
    <w:p>
      <w:pPr>
        <w:pStyle w:val="BodyText"/>
        <w:spacing w:line="300" w:lineRule="auto" w:before="63"/>
        <w:ind w:left="1133" w:right="1118" w:firstLine="360"/>
        <w:jc w:val="left"/>
      </w:pPr>
      <w:r>
        <w:rPr>
          <w:rFonts w:ascii="Times New Roman" w:hAnsi="Times New Roman" w:cs="Times New Roman" w:eastAsia="Times New Roman" w:hint="default"/>
          <w:spacing w:val="-2"/>
        </w:rPr>
        <w:t>3</w:t>
      </w:r>
      <w:r>
        <w:rPr>
          <w:spacing w:val="-2"/>
        </w:rPr>
        <w:t>）产生的外币财务报表折算差额，在编制合并财务报表时，在合并资产负债表中所有者权益项目下单独列示</w:t>
      </w:r>
      <w:r>
        <w:rPr>
          <w:rFonts w:ascii="Times New Roman" w:hAnsi="Times New Roman" w:cs="Times New Roman" w:eastAsia="Times New Roman" w:hint="default"/>
          <w:spacing w:val="-2"/>
        </w:rPr>
        <w:t>“</w:t>
      </w:r>
      <w:r>
        <w:rPr>
          <w:spacing w:val="-2"/>
        </w:rPr>
        <w:t>其他综合</w:t>
      </w:r>
      <w:r>
        <w:rPr/>
        <w:t> 收益</w:t>
      </w:r>
      <w:r>
        <w:rPr>
          <w:rFonts w:ascii="Times New Roman" w:hAnsi="Times New Roman" w:cs="Times New Roman" w:eastAsia="Times New Roman" w:hint="default"/>
        </w:rPr>
        <w:t>”</w:t>
      </w:r>
      <w:r>
        <w:rPr/>
        <w:t>。</w:t>
      </w:r>
    </w:p>
    <w:p>
      <w:pPr>
        <w:pStyle w:val="BodyText"/>
        <w:spacing w:line="300" w:lineRule="auto" w:before="13"/>
        <w:ind w:right="1122" w:firstLine="360"/>
        <w:jc w:val="left"/>
      </w:pPr>
      <w:r>
        <w:rPr>
          <w:rFonts w:ascii="Times New Roman" w:hAnsi="Times New Roman" w:cs="Times New Roman" w:eastAsia="Times New Roman" w:hint="default"/>
        </w:rPr>
        <w:t>4</w:t>
      </w:r>
      <w:r>
        <w:rPr/>
        <w:t>）外币现金流量以及境外子公司的现金流量，采用现金流量发生日的即期汇率或即期汇率的近似汇率折算。汇率变动 对现金的影响额应当作为调节项目，在现金流量表中单独列报。</w:t>
      </w:r>
    </w:p>
    <w:p>
      <w:pPr>
        <w:spacing w:line="240" w:lineRule="auto" w:before="6"/>
        <w:rPr>
          <w:rFonts w:ascii="宋体" w:hAnsi="宋体" w:cs="宋体" w:eastAsia="宋体" w:hint="default"/>
          <w:sz w:val="23"/>
          <w:szCs w:val="23"/>
        </w:rPr>
      </w:pPr>
    </w:p>
    <w:p>
      <w:pPr>
        <w:pStyle w:val="Heading3"/>
        <w:spacing w:line="240" w:lineRule="auto"/>
        <w:ind w:right="0"/>
        <w:jc w:val="both"/>
        <w:rPr>
          <w:b w:val="0"/>
          <w:bCs w:val="0"/>
        </w:rPr>
      </w:pPr>
      <w:bookmarkStart w:name="10、金融工具" w:id="175"/>
      <w:bookmarkEnd w:id="175"/>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）金融资产的分类</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494" w:right="0"/>
        <w:jc w:val="left"/>
      </w:pPr>
      <w:r>
        <w:rPr>
          <w:rFonts w:ascii="Times New Roman" w:hAnsi="Times New Roman" w:cs="Times New Roman" w:eastAsia="Times New Roman" w:hint="default"/>
        </w:rPr>
        <w:t>1</w:t>
      </w:r>
      <w:r>
        <w:rPr/>
        <w:t>）以公允价值计量且其变动计入当期损益的金融资产 </w:t>
      </w:r>
      <w:r>
        <w:rPr>
          <w:spacing w:val="-2"/>
        </w:rPr>
        <w:t>包括交易性金融资产和直接指定为以公允价值计量且其变动计入当期损益的金融资产，前者主要是指本公司为了近期内</w:t>
      </w:r>
    </w:p>
    <w:p>
      <w:pPr>
        <w:pStyle w:val="BodyText"/>
        <w:spacing w:line="316" w:lineRule="auto" w:before="32"/>
        <w:ind w:right="1131"/>
        <w:jc w:val="both"/>
      </w:pPr>
      <w:r>
        <w:rPr>
          <w:spacing w:val="-2"/>
        </w:rPr>
        <w:t>出售而持有的股票、债券、基金以及不作为有效套期工具的衍生工具投资。这类资产在初始计量时按照取得时的公允价值作</w:t>
      </w:r>
      <w:r>
        <w:rPr>
          <w:spacing w:val="-66"/>
        </w:rPr>
        <w:t> </w:t>
      </w:r>
      <w:r>
        <w:rPr>
          <w:spacing w:val="-66"/>
        </w:rPr>
      </w:r>
      <w:r>
        <w:rPr>
          <w:spacing w:val="-2"/>
        </w:rPr>
        <w:t>为初始确认金额，相关的交易费用在发生时计入当期损益。支付的价款中包含已宣告但尚未发放的现金股利或已到付息但尚</w:t>
      </w:r>
      <w:r>
        <w:rPr>
          <w:spacing w:val="-64"/>
        </w:rPr>
        <w:t> </w:t>
      </w:r>
      <w:r>
        <w:rPr>
          <w:spacing w:val="-64"/>
        </w:rPr>
      </w:r>
      <w:r>
        <w:rPr>
          <w:spacing w:val="-2"/>
        </w:rPr>
        <w:t>未领取的债券利息，单独确认为应收项目。在持有期间取得利息或现金股利，确认为投资收益。资产负债表日，本公司将这</w:t>
      </w:r>
      <w:r>
        <w:rPr>
          <w:spacing w:val="-66"/>
        </w:rPr>
        <w:t> </w:t>
      </w:r>
      <w:r>
        <w:rPr>
          <w:spacing w:val="-66"/>
        </w:rPr>
      </w:r>
      <w:r>
        <w:rPr>
          <w:spacing w:val="-2"/>
        </w:rPr>
        <w:t>类金融资产以公允价值计量且其变动计入当期损益。这类金融资产在处置时，其公允价值与初始入账金额之间的差额确认为</w:t>
      </w:r>
      <w:r>
        <w:rPr>
          <w:spacing w:val="-64"/>
        </w:rPr>
        <w:t> </w:t>
      </w:r>
      <w:r>
        <w:rPr>
          <w:spacing w:val="-64"/>
        </w:rPr>
      </w:r>
      <w:r>
        <w:rPr/>
        <w:t>投资收益，同时调整公允价值变动损益。</w:t>
      </w:r>
    </w:p>
    <w:p>
      <w:pPr>
        <w:pStyle w:val="BodyText"/>
        <w:spacing w:line="300" w:lineRule="auto" w:before="19"/>
        <w:ind w:left="1494" w:right="0"/>
        <w:jc w:val="left"/>
      </w:pPr>
      <w:r>
        <w:rPr>
          <w:rFonts w:ascii="Times New Roman" w:hAnsi="Times New Roman" w:cs="Times New Roman" w:eastAsia="Times New Roman" w:hint="default"/>
        </w:rPr>
        <w:t>2</w:t>
      </w:r>
      <w:r>
        <w:rPr/>
        <w:t>）持有至到期投资 </w:t>
      </w:r>
      <w:r>
        <w:rPr>
          <w:spacing w:val="-2"/>
        </w:rPr>
        <w:t>主要是指到期日固定、回收金额固定或可确定，且本公司具有明确意图和能力持有至到期的国债、公司债券等。这类金</w:t>
      </w:r>
    </w:p>
    <w:p>
      <w:pPr>
        <w:pStyle w:val="BodyText"/>
        <w:spacing w:line="316" w:lineRule="auto" w:before="31"/>
        <w:ind w:right="1131"/>
        <w:jc w:val="both"/>
      </w:pPr>
      <w:r>
        <w:rPr/>
        <w:t>融资产按照取得时的公允价值和相关交易费用之和作为初始确认金额。支付价款中包含的已到付息期但尚未发放的债券利</w:t>
      </w:r>
      <w:r>
        <w:rPr>
          <w:spacing w:val="-9"/>
        </w:rPr>
        <w:t> </w:t>
      </w:r>
      <w:r>
        <w:rPr>
          <w:spacing w:val="-9"/>
        </w:rPr>
      </w:r>
      <w:r>
        <w:rPr>
          <w:spacing w:val="-2"/>
        </w:rPr>
        <w:t>息，单独确认为应收项目。持有至到期投资在持有期间按照摊余成本和实际利率计算确认利息收入，计入投资收益。处置持</w:t>
      </w:r>
      <w:r>
        <w:rPr>
          <w:spacing w:val="-66"/>
        </w:rPr>
        <w:t> </w:t>
      </w:r>
      <w:r>
        <w:rPr>
          <w:spacing w:val="-66"/>
        </w:rPr>
      </w:r>
      <w:r>
        <w:rPr/>
        <w:t>有至到期投资时，将所取得价款与该投资账面价值之间的差额计入投资收益。</w:t>
      </w:r>
    </w:p>
    <w:p>
      <w:pPr>
        <w:pStyle w:val="BodyText"/>
        <w:spacing w:line="300" w:lineRule="auto" w:before="19"/>
        <w:ind w:left="1493" w:right="1118"/>
        <w:jc w:val="left"/>
      </w:pPr>
      <w:r>
        <w:rPr>
          <w:rFonts w:ascii="Times New Roman" w:hAnsi="Times New Roman" w:cs="Times New Roman" w:eastAsia="Times New Roman" w:hint="default"/>
        </w:rPr>
        <w:t>3</w:t>
      </w:r>
      <w:r>
        <w:rPr/>
        <w:t>）应收款项 </w:t>
      </w:r>
      <w:r>
        <w:rPr>
          <w:spacing w:val="-2"/>
        </w:rPr>
        <w:t>应收款项主要包括应收账款和其他应收款等。应收账款是指本公司销售商品或提供劳务形成的应收款项。应收账款按从</w:t>
      </w:r>
    </w:p>
    <w:p>
      <w:pPr>
        <w:pStyle w:val="BodyText"/>
        <w:spacing w:line="240" w:lineRule="auto" w:before="31"/>
        <w:ind w:left="1133" w:right="0"/>
        <w:jc w:val="both"/>
      </w:pPr>
      <w:r>
        <w:rPr/>
        <w:t>购货方应收的合同或协议价款作为初始确认金额。</w:t>
      </w:r>
    </w:p>
    <w:p>
      <w:pPr>
        <w:pStyle w:val="BodyText"/>
        <w:spacing w:line="300" w:lineRule="auto" w:before="76"/>
        <w:ind w:left="1494" w:right="0"/>
        <w:jc w:val="left"/>
      </w:pPr>
      <w:r>
        <w:rPr>
          <w:rFonts w:ascii="Times New Roman" w:hAnsi="Times New Roman" w:cs="Times New Roman" w:eastAsia="Times New Roman" w:hint="default"/>
        </w:rPr>
        <w:t>4</w:t>
      </w:r>
      <w:r>
        <w:rPr/>
        <w:t>）可供出售金融资产 </w:t>
      </w:r>
      <w:r>
        <w:rPr>
          <w:spacing w:val="-2"/>
        </w:rPr>
        <w:t>主要是指本公司没有划分为以公允价值计量且其变动计入当期损益的金融资产、持有至到期投资、贷款和应收款项的金</w:t>
      </w:r>
    </w:p>
    <w:p>
      <w:pPr>
        <w:pStyle w:val="BodyText"/>
        <w:spacing w:line="316" w:lineRule="auto" w:before="31"/>
        <w:ind w:right="1131"/>
        <w:jc w:val="both"/>
      </w:pPr>
      <w:r>
        <w:rPr>
          <w:spacing w:val="-2"/>
        </w:rPr>
        <w:t>融资产。可供出售金融资产按照取得该金融资产的公允价值和相关交易费用之和作为初始确认金额。支付的价款中包含的已</w:t>
      </w:r>
      <w:r>
        <w:rPr>
          <w:spacing w:val="-64"/>
        </w:rPr>
        <w:t> </w:t>
      </w:r>
      <w:r>
        <w:rPr>
          <w:spacing w:val="-64"/>
        </w:rPr>
      </w:r>
      <w:r>
        <w:rPr>
          <w:spacing w:val="-2"/>
        </w:rPr>
        <w:t>到付息期但尚未领取的债券利息或已宣告但尚未发放的现金股利，单独确认为应收项目。可供出售金融资产持有期间取得的</w:t>
      </w:r>
      <w:r>
        <w:rPr>
          <w:spacing w:val="-63"/>
        </w:rPr>
        <w:t> </w:t>
      </w:r>
      <w:r>
        <w:rPr>
          <w:spacing w:val="-63"/>
        </w:rPr>
      </w:r>
      <w:r>
        <w:rPr/>
        <w:t>利息或现金股利计入投资收益。</w:t>
      </w:r>
    </w:p>
    <w:p>
      <w:pPr>
        <w:pStyle w:val="BodyText"/>
        <w:spacing w:line="316" w:lineRule="auto" w:before="19"/>
        <w:ind w:right="1131" w:firstLine="360"/>
        <w:jc w:val="both"/>
      </w:pPr>
      <w:r>
        <w:rPr>
          <w:spacing w:val="-2"/>
        </w:rPr>
        <w:t>可供出售金融资产是外币货币性金融资产的，其形成的汇兑损益应当计入当期损益。采用实际利率法计算的可供出售债</w:t>
      </w:r>
      <w:r>
        <w:rPr/>
        <w:t> </w:t>
      </w:r>
      <w:r>
        <w:rPr>
          <w:spacing w:val="-2"/>
        </w:rPr>
        <w:t>务工具投资的利息，计入当期损益；可供出售权益工具投资的现金股利，在被投资单位宣告发放股利时计入当期损益。资产</w:t>
      </w:r>
      <w:r>
        <w:rPr>
          <w:spacing w:val="-66"/>
        </w:rPr>
        <w:t> </w:t>
      </w:r>
      <w:r>
        <w:rPr>
          <w:spacing w:val="-66"/>
        </w:rPr>
      </w:r>
      <w:r>
        <w:rPr>
          <w:spacing w:val="-2"/>
        </w:rPr>
        <w:t>负债表日，可供出售金融资产以公允价值计量，且其变动计入其他综合收益。处置可供出售金融资产时，将取得的价款与该</w:t>
      </w:r>
      <w:r>
        <w:rPr>
          <w:spacing w:val="-66"/>
        </w:rPr>
        <w:t> </w:t>
      </w:r>
      <w:r>
        <w:rPr>
          <w:spacing w:val="-66"/>
        </w:rPr>
      </w:r>
      <w:r>
        <w:rPr>
          <w:spacing w:val="-2"/>
        </w:rPr>
        <w:t>金融资产账面价值之间差额计入投资收益；同时，将原计入所有者权益的公允价值变动累计额对应处置部分的金额转出，计</w:t>
      </w:r>
      <w:r>
        <w:rPr>
          <w:spacing w:val="-66"/>
        </w:rPr>
        <w:t> </w:t>
      </w:r>
      <w:r>
        <w:rPr>
          <w:spacing w:val="-66"/>
        </w:rPr>
      </w:r>
      <w:r>
        <w:rPr/>
        <w:t>入投资收益。</w:t>
      </w:r>
    </w:p>
    <w:p>
      <w:pPr>
        <w:spacing w:after="0" w:line="316" w:lineRule="auto"/>
        <w:jc w:val="both"/>
        <w:sectPr>
          <w:pgSz w:w="11910" w:h="16840"/>
          <w:pgMar w:header="566" w:footer="979" w:top="1360" w:bottom="1160" w:left="0" w:right="0"/>
        </w:sectPr>
      </w:pPr>
    </w:p>
    <w:p>
      <w:pPr>
        <w:pStyle w:val="Heading3"/>
        <w:spacing w:line="240" w:lineRule="auto" w:before="56"/>
        <w:ind w:right="0"/>
        <w:jc w:val="left"/>
        <w:rPr>
          <w:b w:val="0"/>
          <w:bCs w:val="0"/>
        </w:rPr>
      </w:pPr>
      <w:r>
        <w:rPr/>
        <w:t>（</w:t>
      </w:r>
      <w:r>
        <w:rPr>
          <w:rFonts w:ascii="Times New Roman" w:hAnsi="Times New Roman" w:cs="Times New Roman" w:eastAsia="Times New Roman" w:hint="default"/>
        </w:rPr>
        <w:t>2</w:t>
      </w:r>
      <w:r>
        <w:rPr/>
        <w:t>）金融负债的分类</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1131" w:firstLine="360"/>
        <w:jc w:val="both"/>
      </w:pPr>
      <w:r>
        <w:rPr>
          <w:rFonts w:ascii="Times New Roman" w:hAnsi="Times New Roman" w:cs="Times New Roman" w:eastAsia="Times New Roman" w:hint="default"/>
        </w:rPr>
        <w:t>1</w:t>
      </w:r>
      <w:r>
        <w:rPr/>
        <w:t>）以公允价值计量且其变动计入当期损益的金融负债，包括交易性金融负债和指定为以公允价值计量且其变动计入当 </w:t>
      </w:r>
      <w:r>
        <w:rPr>
          <w:spacing w:val="-2"/>
        </w:rPr>
        <w:t>期损益的金融负债；这类金融负债初始确认时以公允价值计量，相关交易费用直接计入当期损益，资产负债表日将公允价值</w:t>
      </w:r>
      <w:r>
        <w:rPr>
          <w:spacing w:val="-66"/>
        </w:rPr>
        <w:t> </w:t>
      </w:r>
      <w:r>
        <w:rPr>
          <w:spacing w:val="-66"/>
        </w:rPr>
      </w:r>
      <w:r>
        <w:rPr/>
        <w:t>变动计入当期损益。</w:t>
      </w:r>
    </w:p>
    <w:p>
      <w:pPr>
        <w:pStyle w:val="BodyText"/>
        <w:spacing w:line="240" w:lineRule="auto" w:before="24"/>
        <w:ind w:left="1493" w:right="0"/>
        <w:jc w:val="left"/>
      </w:pPr>
      <w:r>
        <w:rPr>
          <w:rFonts w:ascii="Times New Roman" w:hAnsi="Times New Roman" w:cs="Times New Roman" w:eastAsia="Times New Roman" w:hint="default"/>
        </w:rPr>
        <w:t>2</w:t>
      </w:r>
      <w:r>
        <w:rPr/>
        <w:t>）其他金融负债，是指以公允价值计量且其变动计入当期损益的金融负债以外的金融负债。</w:t>
      </w:r>
    </w:p>
    <w:p>
      <w:pPr>
        <w:spacing w:line="240" w:lineRule="auto" w:before="10"/>
        <w:rPr>
          <w:rFonts w:ascii="宋体" w:hAnsi="宋体" w:cs="宋体" w:eastAsia="宋体" w:hint="default"/>
          <w:sz w:val="25"/>
          <w:szCs w:val="25"/>
        </w:rPr>
      </w:pPr>
    </w:p>
    <w:p>
      <w:pPr>
        <w:pStyle w:val="Heading3"/>
        <w:spacing w:line="240" w:lineRule="auto"/>
        <w:ind w:left="1133" w:right="0"/>
        <w:jc w:val="left"/>
        <w:rPr>
          <w:b w:val="0"/>
          <w:bCs w:val="0"/>
        </w:rPr>
      </w:pPr>
      <w:r>
        <w:rPr/>
        <w:t>（</w:t>
      </w:r>
      <w:r>
        <w:rPr>
          <w:rFonts w:ascii="Times New Roman" w:hAnsi="Times New Roman" w:cs="Times New Roman" w:eastAsia="Times New Roman" w:hint="default"/>
        </w:rPr>
        <w:t>3</w:t>
      </w:r>
      <w:r>
        <w:rPr/>
        <w:t>）金融资产的重分类</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left="1133" w:right="1033" w:firstLine="360"/>
        <w:jc w:val="left"/>
      </w:pPr>
      <w:r>
        <w:rPr/>
        <w:t>因持有意图或能力发生改变，使某项投资不再适合划分为持有至到期投资的，本公司将其重分类为可供出售金融资产， </w:t>
      </w:r>
      <w:r>
        <w:rPr>
          <w:spacing w:val="-2"/>
        </w:rPr>
        <w:t>并以公允价值进行后续计量。持有至到期投资部分出售或重分类的金额较大，且不属于《企业会计准则第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w:t>
      </w:r>
      <w:r>
        <w:rPr>
          <w:spacing w:val="-64"/>
        </w:rPr>
        <w:t> </w:t>
      </w:r>
      <w:r>
        <w:rPr>
          <w:spacing w:val="-2"/>
        </w:rPr>
        <w:t>确认和计量》第十六条所指的例外情况，使该投资的剩余部分不再适合划分为持有至到期投资的，本公司应当将该投资的剩</w:t>
      </w:r>
      <w:r>
        <w:rPr>
          <w:spacing w:val="-66"/>
        </w:rPr>
        <w:t> </w:t>
      </w:r>
      <w:r>
        <w:rPr>
          <w:spacing w:val="-66"/>
        </w:rPr>
      </w:r>
      <w:r>
        <w:rPr>
          <w:spacing w:val="-2"/>
        </w:rPr>
        <w:t>余部分重分类为可供出售金融资产，并以公允价值进行后续计量，但在本会计年度及以后两个完整的会计年度内不再将该金</w:t>
      </w:r>
      <w:r>
        <w:rPr>
          <w:spacing w:val="-64"/>
        </w:rPr>
        <w:t> </w:t>
      </w:r>
      <w:r>
        <w:rPr>
          <w:spacing w:val="-64"/>
        </w:rPr>
      </w:r>
      <w:r>
        <w:rPr/>
        <w:t>融资产划分为持有至到期投资。</w:t>
      </w:r>
    </w:p>
    <w:p>
      <w:pPr>
        <w:pStyle w:val="BodyText"/>
        <w:spacing w:line="316" w:lineRule="auto" w:before="20"/>
        <w:ind w:left="1133" w:right="0" w:firstLine="360"/>
        <w:jc w:val="left"/>
      </w:pPr>
      <w:r>
        <w:rPr>
          <w:spacing w:val="-2"/>
        </w:rPr>
        <w:t>重分类日，该投资的账面价值与公允价值之间的差额计入其他综合收益，在该可供出售金融资产发生减值或终止确认时</w:t>
      </w:r>
      <w:r>
        <w:rPr/>
        <w:t> 转出，计入当期损益。</w:t>
      </w:r>
    </w:p>
    <w:p>
      <w:pPr>
        <w:spacing w:line="240" w:lineRule="auto" w:before="6"/>
        <w:rPr>
          <w:rFonts w:ascii="宋体" w:hAnsi="宋体" w:cs="宋体" w:eastAsia="宋体" w:hint="default"/>
          <w:sz w:val="22"/>
          <w:szCs w:val="22"/>
        </w:rPr>
      </w:pPr>
    </w:p>
    <w:p>
      <w:pPr>
        <w:pStyle w:val="Heading3"/>
        <w:spacing w:line="240" w:lineRule="auto"/>
        <w:ind w:left="1133" w:right="0"/>
        <w:jc w:val="left"/>
        <w:rPr>
          <w:b w:val="0"/>
          <w:bCs w:val="0"/>
        </w:rPr>
      </w:pPr>
      <w:r>
        <w:rPr/>
        <w:t>（</w:t>
      </w:r>
      <w:r>
        <w:rPr>
          <w:rFonts w:ascii="Times New Roman" w:hAnsi="Times New Roman" w:cs="Times New Roman" w:eastAsia="Times New Roman" w:hint="default"/>
        </w:rPr>
        <w:t>4</w:t>
      </w:r>
      <w:r>
        <w:rPr/>
        <w:t>）金融负债与权益工具的区分</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93" w:right="0"/>
        <w:jc w:val="left"/>
      </w:pPr>
      <w:r>
        <w:rPr/>
        <w:t>除特殊情况外，金融负债与权益工具按照下列原则进行区分：</w:t>
      </w:r>
    </w:p>
    <w:p>
      <w:pPr>
        <w:pStyle w:val="BodyText"/>
        <w:spacing w:line="309" w:lineRule="auto" w:before="76"/>
        <w:ind w:right="1033" w:firstLine="360"/>
        <w:jc w:val="left"/>
      </w:pPr>
      <w:r>
        <w:rPr>
          <w:rFonts w:ascii="Times New Roman" w:hAnsi="Times New Roman" w:cs="Times New Roman" w:eastAsia="Times New Roman" w:hint="default"/>
          <w:spacing w:val="-2"/>
        </w:rPr>
        <w:t>1</w:t>
      </w:r>
      <w:r>
        <w:rPr>
          <w:spacing w:val="-2"/>
        </w:rPr>
        <w:t>）如果本公司不能无条件地避免以交付现金或其他金融资产来履行一项合同义务，则该合同义务符合金融负债的定义。</w:t>
      </w:r>
      <w:r>
        <w:rPr/>
        <w:t> </w:t>
      </w:r>
      <w:r>
        <w:rPr>
          <w:spacing w:val="-2"/>
        </w:rPr>
        <w:t>有些金融工具虽然没有明确地包含交付现金或其他金融资产义务的条款和条件，但有可能通过其他条款和条件间接地形成合</w:t>
      </w:r>
      <w:r>
        <w:rPr>
          <w:spacing w:val="-64"/>
        </w:rPr>
        <w:t> </w:t>
      </w:r>
      <w:r>
        <w:rPr>
          <w:spacing w:val="-64"/>
        </w:rPr>
      </w:r>
      <w:r>
        <w:rPr/>
        <w:t>同义务。</w:t>
      </w:r>
    </w:p>
    <w:p>
      <w:pPr>
        <w:pStyle w:val="BodyText"/>
        <w:spacing w:line="314" w:lineRule="auto" w:before="24"/>
        <w:ind w:right="1131" w:firstLine="360"/>
        <w:jc w:val="both"/>
      </w:pPr>
      <w:r>
        <w:rPr>
          <w:rFonts w:ascii="Times New Roman" w:hAnsi="Times New Roman" w:cs="Times New Roman" w:eastAsia="Times New Roman" w:hint="default"/>
        </w:rPr>
        <w:t>2</w:t>
      </w:r>
      <w:r>
        <w:rPr/>
        <w:t>）如果一项金融工具须用或可用本公司自身权益工具进行结算，需要考虑用于结算该工具的本公司自身权益工具，是 </w:t>
      </w:r>
      <w:r>
        <w:rPr>
          <w:spacing w:val="-2"/>
        </w:rPr>
        <w:t>作为现金或其他金融资产的替代品，还是为了使该工具持有方享有在发行方扣除所有负债后的资产中的剩余权益。如果是前</w:t>
      </w:r>
      <w:r>
        <w:rPr>
          <w:spacing w:val="-64"/>
        </w:rPr>
        <w:t> </w:t>
      </w:r>
      <w:r>
        <w:rPr>
          <w:spacing w:val="-64"/>
        </w:rPr>
      </w:r>
      <w:r>
        <w:rPr>
          <w:spacing w:val="-2"/>
        </w:rPr>
        <w:t>者，该工具是发行方的金融负债；如果是后者，该工具是发行方的权益工具。在某些情况下，一项金融工具合同规定本公司</w:t>
      </w:r>
      <w:r>
        <w:rPr>
          <w:spacing w:val="-66"/>
        </w:rPr>
        <w:t> </w:t>
      </w:r>
      <w:r>
        <w:rPr>
          <w:spacing w:val="-66"/>
        </w:rPr>
      </w:r>
      <w:r>
        <w:rPr>
          <w:spacing w:val="-2"/>
        </w:rPr>
        <w:t>须用或可用自身权益工具结算该金融工具，其中合同权利或合同义务的金额等于可获取或需交付的自身权益工具的数量乘以</w:t>
      </w:r>
      <w:r>
        <w:rPr>
          <w:spacing w:val="-64"/>
        </w:rPr>
        <w:t> </w:t>
      </w:r>
      <w:r>
        <w:rPr>
          <w:spacing w:val="-64"/>
        </w:rPr>
      </w:r>
      <w:r>
        <w:rPr>
          <w:spacing w:val="-2"/>
        </w:rPr>
        <w:t>其结算时的公允价值，则无论该合同权利或合同义务的金额是固定的，还是完全或部分地基于除本公司自身权益工具的市场</w:t>
      </w:r>
      <w:r>
        <w:rPr>
          <w:spacing w:val="-64"/>
        </w:rPr>
        <w:t> </w:t>
      </w:r>
      <w:r>
        <w:rPr>
          <w:spacing w:val="-64"/>
        </w:rPr>
      </w:r>
      <w:r>
        <w:rPr/>
        <w:t>价格以外变量（例如利率、某种商品的价格或某项金融工具的价格）的变动而变动，该合同分类为金融负债。</w:t>
      </w:r>
    </w:p>
    <w:p>
      <w:pPr>
        <w:spacing w:line="240" w:lineRule="auto" w:before="7"/>
        <w:rPr>
          <w:rFonts w:ascii="宋体" w:hAnsi="宋体" w:cs="宋体" w:eastAsia="宋体" w:hint="default"/>
          <w:sz w:val="22"/>
          <w:szCs w:val="22"/>
        </w:rPr>
      </w:pPr>
    </w:p>
    <w:p>
      <w:pPr>
        <w:pStyle w:val="Heading3"/>
        <w:spacing w:line="240" w:lineRule="auto"/>
        <w:ind w:left="1133" w:right="0"/>
        <w:jc w:val="left"/>
        <w:rPr>
          <w:b w:val="0"/>
          <w:bCs w:val="0"/>
        </w:rPr>
      </w:pPr>
      <w:r>
        <w:rPr/>
        <w:t>（</w:t>
      </w:r>
      <w:r>
        <w:rPr>
          <w:rFonts w:ascii="Times New Roman" w:hAnsi="Times New Roman" w:cs="Times New Roman" w:eastAsia="Times New Roman" w:hint="default"/>
        </w:rPr>
        <w:t>5</w:t>
      </w:r>
      <w:r>
        <w:rPr/>
        <w:t>）金融资产转移</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pPr>
      <w:r>
        <w:rPr>
          <w:spacing w:val="-2"/>
        </w:rPr>
        <w:t>金融资产转移是指下列两种情形：将收取金融资产现金流量的合同权利转移给另一方；将金融资产整体或部分转移给另</w:t>
      </w:r>
      <w:r>
        <w:rPr/>
        <w:t> 一方，但保留收取金融资产现金流量的合同权利，并承担将收取的现金流量支付给一个或多个收款方的合同义务。</w:t>
      </w:r>
    </w:p>
    <w:p>
      <w:pPr>
        <w:pStyle w:val="BodyText"/>
        <w:spacing w:line="300" w:lineRule="auto" w:before="19"/>
        <w:ind w:left="1494" w:right="0"/>
        <w:jc w:val="left"/>
      </w:pPr>
      <w:r>
        <w:rPr>
          <w:rFonts w:ascii="Times New Roman" w:hAnsi="Times New Roman" w:cs="Times New Roman" w:eastAsia="Times New Roman" w:hint="default"/>
        </w:rPr>
        <w:t>1</w:t>
      </w:r>
      <w:r>
        <w:rPr/>
        <w:t>）终止确认所转移的金融资产 </w:t>
      </w:r>
      <w:r>
        <w:rPr>
          <w:spacing w:val="-2"/>
        </w:rPr>
        <w:t>已将金融资产所有权上几乎所有的风险和报酬转移给转入方的，或既没有转移也没有保留金融资产所有权上几乎所有的</w:t>
      </w:r>
    </w:p>
    <w:p>
      <w:pPr>
        <w:pStyle w:val="BodyText"/>
        <w:spacing w:line="316" w:lineRule="auto" w:before="31"/>
        <w:ind w:left="1493" w:right="0" w:hanging="360"/>
        <w:jc w:val="left"/>
      </w:pPr>
      <w:r>
        <w:rPr/>
        <w:t>风险和报酬的，但放弃了对该金融资产控制的，终止确认该金融资产。 </w:t>
      </w:r>
      <w:r>
        <w:rPr>
          <w:spacing w:val="-2"/>
        </w:rPr>
        <w:t>在判断是否已放弃对所转移金融资产的控制时，注重转入方出售该金融资产的实际能力。转入方能够单独将转入的金融</w:t>
      </w:r>
    </w:p>
    <w:p>
      <w:pPr>
        <w:pStyle w:val="BodyText"/>
        <w:spacing w:line="316" w:lineRule="auto" w:before="19"/>
        <w:ind w:left="1133" w:right="1118"/>
        <w:jc w:val="left"/>
      </w:pPr>
      <w:r>
        <w:rPr>
          <w:spacing w:val="-2"/>
        </w:rPr>
        <w:t>资产整体出售给与其不存在关联方关系的第三方，且没有额外条件对此项出售加以限制的，表明企业已放弃对该金融资产的</w:t>
      </w:r>
      <w:r>
        <w:rPr>
          <w:spacing w:val="-64"/>
        </w:rPr>
        <w:t> </w:t>
      </w:r>
      <w:r>
        <w:rPr>
          <w:spacing w:val="-64"/>
        </w:rPr>
      </w:r>
      <w:r>
        <w:rPr/>
        <w:t>控制。</w:t>
      </w:r>
    </w:p>
    <w:p>
      <w:pPr>
        <w:pStyle w:val="BodyText"/>
        <w:spacing w:line="316" w:lineRule="auto" w:before="19"/>
        <w:ind w:left="1493" w:right="3193"/>
        <w:jc w:val="left"/>
      </w:pPr>
      <w:r>
        <w:rPr/>
        <w:t>本公司在判断金融资产转移是否满足金融资产终止确认条件时，注重金融资产转移的实质。 金融资产整体转移满足终止确认条件的，将下列两项金额的差额计入当期损益：</w:t>
      </w:r>
    </w:p>
    <w:p>
      <w:pPr>
        <w:pStyle w:val="BodyText"/>
        <w:spacing w:line="240" w:lineRule="auto" w:before="19"/>
        <w:ind w:left="1493" w:right="0"/>
        <w:jc w:val="left"/>
      </w:pPr>
      <w:r>
        <w:rPr/>
        <w:t>①</w:t>
      </w:r>
      <w:r>
        <w:rPr>
          <w:spacing w:val="-19"/>
        </w:rPr>
        <w:t> </w:t>
      </w:r>
      <w:r>
        <w:rPr/>
        <w:t>所转移金融资产的账面价值；</w:t>
      </w:r>
    </w:p>
    <w:p>
      <w:pPr>
        <w:pStyle w:val="BodyText"/>
        <w:spacing w:line="316" w:lineRule="auto" w:before="76"/>
        <w:ind w:left="1133" w:right="1122" w:firstLine="360"/>
        <w:jc w:val="left"/>
      </w:pPr>
      <w:r>
        <w:rPr/>
        <w:t>②</w:t>
      </w:r>
      <w:r>
        <w:rPr>
          <w:spacing w:val="1"/>
        </w:rPr>
        <w:t> </w:t>
      </w:r>
      <w:r>
        <w:rPr/>
        <w:t>因转移而收到的对价，与原直接计入所有者权益的公允价值变动累计额（涉及转移的金融资产为可供出售金融资产</w:t>
      </w:r>
      <w:r>
        <w:rPr/>
        <w:t> 的情形）之和。</w:t>
      </w:r>
    </w:p>
    <w:p>
      <w:pPr>
        <w:spacing w:after="0" w:line="316" w:lineRule="auto"/>
        <w:jc w:val="left"/>
        <w:sectPr>
          <w:pgSz w:w="11910" w:h="16840"/>
          <w:pgMar w:header="566" w:footer="979" w:top="1360" w:bottom="1160" w:left="0" w:right="0"/>
        </w:sectPr>
      </w:pPr>
    </w:p>
    <w:p>
      <w:pPr>
        <w:pStyle w:val="BodyText"/>
        <w:spacing w:line="316" w:lineRule="auto" w:before="81"/>
        <w:ind w:right="1131" w:firstLine="360"/>
        <w:jc w:val="both"/>
      </w:pPr>
      <w:r>
        <w:rPr>
          <w:spacing w:val="-2"/>
        </w:rPr>
        <w:t>金融资产部分转移满足终止确认条件的，将所转移金融资产整体的账面价值，在终止确认部分和未终止确认部分（在此</w:t>
      </w:r>
      <w:r>
        <w:rPr/>
        <w:t> </w:t>
      </w:r>
      <w:r>
        <w:rPr>
          <w:spacing w:val="-2"/>
        </w:rPr>
        <w:t>种情况下，所保留的服务资产视同未终止确认金融资产的一部分）之间，按照各自的相对公允价值进行分摊，并将下列两项</w:t>
      </w:r>
      <w:r>
        <w:rPr>
          <w:spacing w:val="-66"/>
        </w:rPr>
        <w:t> </w:t>
      </w:r>
      <w:r>
        <w:rPr>
          <w:spacing w:val="-66"/>
        </w:rPr>
      </w:r>
      <w:r>
        <w:rPr/>
        <w:t>金额的差额计入当期损益：</w:t>
      </w:r>
    </w:p>
    <w:p>
      <w:pPr>
        <w:pStyle w:val="BodyText"/>
        <w:spacing w:line="240" w:lineRule="auto" w:before="19"/>
        <w:ind w:left="1494" w:right="0"/>
        <w:jc w:val="left"/>
      </w:pPr>
      <w:r>
        <w:rPr/>
        <w:t>①</w:t>
      </w:r>
      <w:r>
        <w:rPr>
          <w:spacing w:val="-19"/>
        </w:rPr>
        <w:t> </w:t>
      </w:r>
      <w:r>
        <w:rPr/>
        <w:t>终止确认部分的账面价值；</w:t>
      </w:r>
    </w:p>
    <w:p>
      <w:pPr>
        <w:pStyle w:val="BodyText"/>
        <w:spacing w:line="316" w:lineRule="auto" w:before="77"/>
        <w:ind w:left="1133" w:right="1134" w:firstLine="360"/>
        <w:jc w:val="both"/>
      </w:pPr>
      <w:r>
        <w:rPr/>
        <w:t>②</w:t>
      </w:r>
      <w:r>
        <w:rPr>
          <w:spacing w:val="1"/>
        </w:rPr>
        <w:t> </w:t>
      </w:r>
      <w:r>
        <w:rPr/>
        <w:t>终止确认部分的对价，与原直接计入所有者权益的公允价值变动累计额中对应终止确认部分的金额（涉及转移的金</w:t>
      </w:r>
      <w:r>
        <w:rPr/>
        <w:t> 融资产为可供出售金融资产的情形）之和。</w:t>
      </w:r>
    </w:p>
    <w:p>
      <w:pPr>
        <w:pStyle w:val="BodyText"/>
        <w:spacing w:line="300" w:lineRule="auto" w:before="19"/>
        <w:ind w:left="1494" w:right="0"/>
        <w:jc w:val="left"/>
      </w:pPr>
      <w:r>
        <w:rPr>
          <w:rFonts w:ascii="Times New Roman" w:hAnsi="Times New Roman" w:cs="Times New Roman" w:eastAsia="Times New Roman" w:hint="default"/>
        </w:rPr>
        <w:t>2</w:t>
      </w:r>
      <w:r>
        <w:rPr/>
        <w:t>）继续涉入所转移的金融资产 </w:t>
      </w:r>
      <w:r>
        <w:rPr>
          <w:spacing w:val="-2"/>
        </w:rPr>
        <w:t>既没有转移也没有保留金融资产所有权上几乎所有的风险和报酬的，且未放弃对该金融资产控制的，应当按照其继续涉</w:t>
      </w:r>
    </w:p>
    <w:p>
      <w:pPr>
        <w:pStyle w:val="BodyText"/>
        <w:spacing w:line="316" w:lineRule="auto" w:before="31"/>
        <w:ind w:left="1493" w:right="3733" w:hanging="360"/>
        <w:jc w:val="left"/>
      </w:pPr>
      <w:r>
        <w:rPr/>
        <w:t>入所转移金融资产的程度确认有关金融资产，并相应确认有关负债。 继续涉入所转移金融资产的程度，是指该金融资产价值变动使企业面临的风险水平。 </w:t>
      </w:r>
      <w:r>
        <w:rPr>
          <w:rFonts w:ascii="Times New Roman" w:hAnsi="Times New Roman" w:cs="Times New Roman" w:eastAsia="Times New Roman" w:hint="default"/>
        </w:rPr>
        <w:t>3</w:t>
      </w:r>
      <w:r>
        <w:rPr/>
        <w:t>）继续确认所转移的金融资产</w:t>
      </w:r>
    </w:p>
    <w:p>
      <w:pPr>
        <w:pStyle w:val="BodyText"/>
        <w:spacing w:line="316" w:lineRule="auto"/>
        <w:ind w:right="1131" w:firstLine="360"/>
        <w:jc w:val="both"/>
      </w:pPr>
      <w:r>
        <w:rPr>
          <w:spacing w:val="-2"/>
        </w:rPr>
        <w:t>仍保留与所转移金融资产所有权上几乎所有的风险和报酬的，应当继续确认所转移金融资产整体，并将收到的对价确认</w:t>
      </w:r>
      <w:r>
        <w:rPr/>
        <w:t> 为一项金融负债。</w:t>
      </w:r>
    </w:p>
    <w:p>
      <w:pPr>
        <w:pStyle w:val="BodyText"/>
        <w:spacing w:line="316" w:lineRule="auto" w:before="19"/>
        <w:ind w:left="1133" w:right="1132" w:firstLine="360"/>
        <w:jc w:val="both"/>
      </w:pPr>
      <w:r>
        <w:rPr>
          <w:spacing w:val="-2"/>
        </w:rPr>
        <w:t>该金融资产与确认的相关金融负债不得相互抵销。在随后的会计期间，企业应当继续确认该金融资产产生的收入和该金</w:t>
      </w:r>
      <w:r>
        <w:rPr/>
        <w:t> </w:t>
      </w:r>
      <w:r>
        <w:rPr>
          <w:spacing w:val="-2"/>
        </w:rPr>
        <w:t>融负债产生的费用。所转移的金融资产以摊余成本计量的，确认的相关负债不得指定为以公允价值计量且其变动计入当期损</w:t>
      </w:r>
      <w:r>
        <w:rPr>
          <w:spacing w:val="-64"/>
        </w:rPr>
        <w:t> </w:t>
      </w:r>
      <w:r>
        <w:rPr>
          <w:spacing w:val="-64"/>
        </w:rPr>
      </w:r>
      <w:r>
        <w:rPr/>
        <w:t>益的金融负债。</w:t>
      </w:r>
    </w:p>
    <w:p>
      <w:pPr>
        <w:spacing w:line="240" w:lineRule="auto" w:before="6"/>
        <w:rPr>
          <w:rFonts w:ascii="宋体" w:hAnsi="宋体" w:cs="宋体" w:eastAsia="宋体" w:hint="default"/>
          <w:sz w:val="22"/>
          <w:szCs w:val="22"/>
        </w:rPr>
      </w:pPr>
    </w:p>
    <w:p>
      <w:pPr>
        <w:pStyle w:val="Heading3"/>
        <w:spacing w:line="240" w:lineRule="auto"/>
        <w:ind w:left="1133" w:right="0"/>
        <w:jc w:val="left"/>
        <w:rPr>
          <w:b w:val="0"/>
          <w:bCs w:val="0"/>
        </w:rPr>
      </w:pPr>
      <w:r>
        <w:rPr/>
        <w:t>（</w:t>
      </w:r>
      <w:r>
        <w:rPr>
          <w:rFonts w:ascii="Times New Roman" w:hAnsi="Times New Roman" w:cs="Times New Roman" w:eastAsia="Times New Roman" w:hint="default"/>
        </w:rPr>
        <w:t>6</w:t>
      </w:r>
      <w:r>
        <w:rPr/>
        <w:t>）金融负债终止确认</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493" w:right="0"/>
        <w:jc w:val="left"/>
      </w:pPr>
      <w:r>
        <w:rPr/>
        <w:t>金融负债的现时义务全部或部分已经解除的，终止确认该金融负债或其一部分。 </w:t>
      </w:r>
      <w:r>
        <w:rPr>
          <w:spacing w:val="-2"/>
        </w:rPr>
        <w:t>将用于偿付金融负债的资产转入某个机构或设立信托，偿付债务的现时义务仍存在的，不终止确认该金融负债，也不终</w:t>
      </w:r>
    </w:p>
    <w:p>
      <w:pPr>
        <w:pStyle w:val="BodyText"/>
        <w:spacing w:line="319" w:lineRule="auto" w:before="19"/>
        <w:ind w:left="1493" w:right="0" w:hanging="360"/>
        <w:jc w:val="left"/>
      </w:pPr>
      <w:r>
        <w:rPr/>
        <w:t>止确认转出的资产。 </w:t>
      </w:r>
      <w:r>
        <w:rPr>
          <w:spacing w:val="-2"/>
        </w:rPr>
        <w:t>与债权人之间签订协议，以承担新金融负债方式替换现存金融负债，且新金融负债与现存金融负债的合同条款实质上不</w:t>
      </w:r>
    </w:p>
    <w:p>
      <w:pPr>
        <w:pStyle w:val="BodyText"/>
        <w:spacing w:line="316" w:lineRule="auto" w:before="17"/>
        <w:ind w:left="1493" w:right="0" w:hanging="360"/>
        <w:jc w:val="left"/>
      </w:pPr>
      <w:r>
        <w:rPr/>
        <w:t>同的，终止确认现存金融负债，并同时确认新金融负债。 </w:t>
      </w:r>
      <w:r>
        <w:rPr>
          <w:spacing w:val="-2"/>
        </w:rPr>
        <w:t>对现存金融负债全部或部分的合同条款作出实质性修改的，终止确认现存金融负债或其一部分，同时将修改条款后的金</w:t>
      </w:r>
    </w:p>
    <w:p>
      <w:pPr>
        <w:pStyle w:val="BodyText"/>
        <w:spacing w:line="316" w:lineRule="auto" w:before="19"/>
        <w:ind w:left="1493" w:right="0" w:hanging="360"/>
        <w:jc w:val="left"/>
      </w:pPr>
      <w:r>
        <w:rPr/>
        <w:t>融负债确认为一项新金融负债。 </w:t>
      </w:r>
      <w:r>
        <w:rPr>
          <w:spacing w:val="-2"/>
        </w:rPr>
        <w:t>金融负债全部或部分终止确认的，将终止确认部分的账面价值与支付的对价（包括转出的非现金资产或承担的新金融负</w:t>
      </w:r>
    </w:p>
    <w:p>
      <w:pPr>
        <w:pStyle w:val="BodyText"/>
        <w:spacing w:line="240" w:lineRule="auto" w:before="19"/>
        <w:ind w:left="1133" w:right="0"/>
        <w:jc w:val="left"/>
      </w:pPr>
      <w:r>
        <w:rPr/>
        <w:t>债）之间的差额，计入当期损益。</w:t>
      </w:r>
    </w:p>
    <w:p>
      <w:pPr>
        <w:spacing w:line="240" w:lineRule="auto" w:before="11"/>
        <w:rPr>
          <w:rFonts w:ascii="宋体" w:hAnsi="宋体" w:cs="宋体" w:eastAsia="宋体" w:hint="default"/>
          <w:sz w:val="26"/>
          <w:szCs w:val="26"/>
        </w:rPr>
      </w:pPr>
    </w:p>
    <w:p>
      <w:pPr>
        <w:pStyle w:val="Heading3"/>
        <w:spacing w:line="240" w:lineRule="auto"/>
        <w:ind w:left="1133" w:right="0"/>
        <w:jc w:val="left"/>
        <w:rPr>
          <w:b w:val="0"/>
          <w:bCs w:val="0"/>
        </w:rPr>
      </w:pPr>
      <w:r>
        <w:rPr/>
        <w:t>（</w:t>
      </w:r>
      <w:r>
        <w:rPr>
          <w:rFonts w:ascii="Times New Roman" w:hAnsi="Times New Roman" w:cs="Times New Roman" w:eastAsia="Times New Roman" w:hint="default"/>
        </w:rPr>
        <w:t>7</w:t>
      </w:r>
      <w:r>
        <w:rPr/>
        <w:t>）金融资产和金融负债的抵销</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3" w:right="1132" w:firstLine="360"/>
        <w:jc w:val="both"/>
      </w:pPr>
      <w:r>
        <w:rPr>
          <w:spacing w:val="-2"/>
        </w:rPr>
        <w:t>金融资产和金融负债应当在资产负债表内分别列示，不得相互抵销。但同时满足下列条件的，以相互抵销后的净额在资</w:t>
      </w:r>
      <w:r>
        <w:rPr/>
        <w:t> 产负债表内列示：</w:t>
      </w:r>
    </w:p>
    <w:p>
      <w:pPr>
        <w:pStyle w:val="BodyText"/>
        <w:spacing w:line="316" w:lineRule="auto" w:before="19"/>
        <w:ind w:left="1493" w:right="3013"/>
        <w:jc w:val="left"/>
      </w:pPr>
      <w:r>
        <w:rPr/>
        <w:t>本公司具有抵销已确认金额的法定权利，且该种法定权利是当前可执行的； 本公司计划以净额结算，或同时变现该金融资产和清偿该金融负债。 不满足终止确认条件的金融资产转移，转出方不得将已转移的金融资产和相关负债进行抵销。</w:t>
      </w:r>
    </w:p>
    <w:p>
      <w:pPr>
        <w:spacing w:line="240" w:lineRule="auto" w:before="6"/>
        <w:rPr>
          <w:rFonts w:ascii="宋体" w:hAnsi="宋体" w:cs="宋体" w:eastAsia="宋体" w:hint="default"/>
          <w:sz w:val="22"/>
          <w:szCs w:val="22"/>
        </w:rPr>
      </w:pPr>
    </w:p>
    <w:p>
      <w:pPr>
        <w:pStyle w:val="Heading3"/>
        <w:spacing w:line="240" w:lineRule="auto"/>
        <w:ind w:left="1133" w:right="0"/>
        <w:jc w:val="left"/>
        <w:rPr>
          <w:b w:val="0"/>
          <w:bCs w:val="0"/>
        </w:rPr>
      </w:pPr>
      <w:r>
        <w:rPr/>
        <w:t>（</w:t>
      </w:r>
      <w:r>
        <w:rPr>
          <w:rFonts w:ascii="Times New Roman" w:hAnsi="Times New Roman" w:cs="Times New Roman" w:eastAsia="Times New Roman" w:hint="default"/>
        </w:rPr>
        <w:t>8</w:t>
      </w:r>
      <w:r>
        <w:rPr/>
        <w:t>）金融资产减值测试方法及减值准备计提方法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93" w:right="0"/>
        <w:jc w:val="left"/>
      </w:pPr>
      <w:r>
        <w:rPr>
          <w:rFonts w:ascii="Times New Roman" w:hAnsi="Times New Roman" w:cs="Times New Roman" w:eastAsia="Times New Roman" w:hint="default"/>
        </w:rPr>
        <w:t>1</w:t>
      </w:r>
      <w:r>
        <w:rPr/>
        <w:t>）金融资产发生减值的客观证据：</w:t>
      </w:r>
    </w:p>
    <w:p>
      <w:pPr>
        <w:pStyle w:val="BodyText"/>
        <w:spacing w:line="240" w:lineRule="auto" w:before="63"/>
        <w:ind w:left="1494" w:right="0"/>
        <w:jc w:val="left"/>
      </w:pPr>
      <w:r>
        <w:rPr/>
        <w:t>①</w:t>
      </w:r>
      <w:r>
        <w:rPr>
          <w:spacing w:val="-19"/>
        </w:rPr>
        <w:t> </w:t>
      </w:r>
      <w:r>
        <w:rPr/>
        <w:t>发行方或债务人发生严重财务困难；</w:t>
      </w:r>
    </w:p>
    <w:p>
      <w:pPr>
        <w:pStyle w:val="BodyText"/>
        <w:spacing w:line="240" w:lineRule="auto" w:before="76"/>
        <w:ind w:left="1494" w:right="0"/>
        <w:jc w:val="left"/>
      </w:pPr>
      <w:r>
        <w:rPr/>
        <w:t>②</w:t>
      </w:r>
      <w:r>
        <w:rPr>
          <w:spacing w:val="-19"/>
        </w:rPr>
        <w:t> </w:t>
      </w:r>
      <w:r>
        <w:rPr/>
        <w:t>债务人违反了合同条款，如偿付利息或本金发生违约或逾期等；</w:t>
      </w:r>
    </w:p>
    <w:p>
      <w:pPr>
        <w:pStyle w:val="BodyText"/>
        <w:spacing w:line="240" w:lineRule="auto" w:before="76"/>
        <w:ind w:left="1494" w:right="0"/>
        <w:jc w:val="left"/>
      </w:pPr>
      <w:r>
        <w:rPr/>
        <w:t>③</w:t>
      </w:r>
      <w:r>
        <w:rPr>
          <w:spacing w:val="-19"/>
        </w:rPr>
        <w:t> </w:t>
      </w:r>
      <w:r>
        <w:rPr/>
        <w:t>债权人出于经济或法律等方面的考虑，对发生财务困难的债务人作出让步；</w:t>
      </w:r>
    </w:p>
    <w:p>
      <w:pPr>
        <w:pStyle w:val="BodyText"/>
        <w:spacing w:line="240" w:lineRule="auto" w:before="76"/>
        <w:ind w:left="1494" w:right="0"/>
        <w:jc w:val="left"/>
      </w:pPr>
      <w:r>
        <w:rPr/>
        <w:t>④</w:t>
      </w:r>
      <w:r>
        <w:rPr>
          <w:spacing w:val="-19"/>
        </w:rPr>
        <w:t> </w:t>
      </w:r>
      <w:r>
        <w:rPr/>
        <w:t>债务人可能倒闭或进行其他财务重组；</w:t>
      </w:r>
    </w:p>
    <w:p>
      <w:pPr>
        <w:pStyle w:val="BodyText"/>
        <w:spacing w:line="240" w:lineRule="auto" w:before="76"/>
        <w:ind w:left="1494" w:right="0"/>
        <w:jc w:val="left"/>
      </w:pPr>
      <w:r>
        <w:rPr/>
        <w:t>⑤</w:t>
      </w:r>
      <w:r>
        <w:rPr>
          <w:spacing w:val="-19"/>
        </w:rPr>
        <w:t> </w:t>
      </w:r>
      <w:r>
        <w:rPr/>
        <w:t>因发行方发生重大财务困难，该金融资产无法在活跃市场继续交易；</w:t>
      </w:r>
    </w:p>
    <w:p>
      <w:pPr>
        <w:spacing w:after="0" w:line="240" w:lineRule="auto"/>
        <w:jc w:val="left"/>
        <w:sectPr>
          <w:pgSz w:w="11910" w:h="16840"/>
          <w:pgMar w:header="566" w:footer="979" w:top="1360" w:bottom="1160" w:left="0" w:right="0"/>
        </w:sectPr>
      </w:pPr>
    </w:p>
    <w:p>
      <w:pPr>
        <w:pStyle w:val="BodyText"/>
        <w:spacing w:line="316" w:lineRule="auto" w:before="81"/>
        <w:ind w:left="1133" w:right="1134" w:firstLine="360"/>
        <w:jc w:val="both"/>
      </w:pPr>
      <w:r>
        <w:rPr/>
        <w:t>⑥</w:t>
      </w:r>
      <w:r>
        <w:rPr>
          <w:spacing w:val="1"/>
        </w:rPr>
        <w:t> </w:t>
      </w:r>
      <w:r>
        <w:rPr/>
        <w:t>无法辨认一组金融资产中的某项资产的现金流量是否已经减少，但根据公开的数据对其进行总体评价后发现，该组</w:t>
      </w:r>
      <w:r>
        <w:rPr/>
        <w:t> 金融资产自初始确认以来的预计未来现金流量确已减少且可计量；</w:t>
      </w:r>
    </w:p>
    <w:p>
      <w:pPr>
        <w:pStyle w:val="BodyText"/>
        <w:spacing w:line="240" w:lineRule="auto" w:before="19"/>
        <w:ind w:left="1494" w:right="0"/>
        <w:jc w:val="left"/>
      </w:pPr>
      <w:r>
        <w:rPr/>
        <w:t>⑦</w:t>
      </w:r>
      <w:r>
        <w:rPr>
          <w:spacing w:val="-19"/>
        </w:rPr>
        <w:t> </w:t>
      </w:r>
      <w:r>
        <w:rPr/>
        <w:t>债务人经营所处的技术、市场、经济或法律环境等发生重大不利变化，使权益工具投资人可能无法收回投资成本；</w:t>
      </w:r>
    </w:p>
    <w:p>
      <w:pPr>
        <w:pStyle w:val="BodyText"/>
        <w:spacing w:line="240" w:lineRule="auto" w:before="76"/>
        <w:ind w:left="1493" w:right="0"/>
        <w:jc w:val="left"/>
      </w:pPr>
      <w:r>
        <w:rPr/>
        <w:t>⑧</w:t>
      </w:r>
      <w:r>
        <w:rPr>
          <w:spacing w:val="-19"/>
        </w:rPr>
        <w:t> </w:t>
      </w:r>
      <w:r>
        <w:rPr/>
        <w:t>权益工具投资的公允价值发生严重或非暂时性下跌；</w:t>
      </w:r>
    </w:p>
    <w:p>
      <w:pPr>
        <w:pStyle w:val="BodyText"/>
        <w:spacing w:line="240" w:lineRule="auto" w:before="77"/>
        <w:ind w:left="1493" w:right="0"/>
        <w:jc w:val="left"/>
      </w:pPr>
      <w:r>
        <w:rPr/>
        <w:t>⑨</w:t>
      </w:r>
      <w:r>
        <w:rPr>
          <w:spacing w:val="-19"/>
        </w:rPr>
        <w:t> </w:t>
      </w:r>
      <w:r>
        <w:rPr/>
        <w:t>其他表明金融资产发生减值的客观证据。</w:t>
      </w:r>
    </w:p>
    <w:p>
      <w:pPr>
        <w:pStyle w:val="BodyText"/>
        <w:spacing w:line="240" w:lineRule="auto" w:before="76"/>
        <w:ind w:left="1493" w:right="0"/>
        <w:jc w:val="left"/>
      </w:pPr>
      <w:r>
        <w:rPr>
          <w:rFonts w:ascii="Times New Roman" w:hAnsi="Times New Roman" w:cs="Times New Roman" w:eastAsia="Times New Roman" w:hint="default"/>
        </w:rPr>
        <w:t>2</w:t>
      </w:r>
      <w:r>
        <w:rPr/>
        <w:t>）金融资产的减值测试（不包括应收款项）</w:t>
      </w:r>
    </w:p>
    <w:p>
      <w:pPr>
        <w:pStyle w:val="BodyText"/>
        <w:spacing w:line="316" w:lineRule="auto" w:before="63"/>
        <w:ind w:left="1494" w:right="0"/>
        <w:jc w:val="left"/>
      </w:pPr>
      <w:r>
        <w:rPr/>
        <w:t>①</w:t>
      </w:r>
      <w:r>
        <w:rPr>
          <w:spacing w:val="-17"/>
        </w:rPr>
        <w:t> </w:t>
      </w:r>
      <w:r>
        <w:rPr/>
        <w:t>持有至到期投资减值测试</w:t>
      </w:r>
      <w:r>
        <w:rPr/>
        <w:t> </w:t>
      </w:r>
      <w:r>
        <w:rPr>
          <w:spacing w:val="-2"/>
        </w:rPr>
        <w:t>持有至到期投资发生减值时，将该持有至到期投资的账面价值减记至预计未来现金流量（不包括尚未发生的未来信用损</w:t>
      </w:r>
    </w:p>
    <w:p>
      <w:pPr>
        <w:pStyle w:val="BodyText"/>
        <w:spacing w:line="316" w:lineRule="auto" w:before="19"/>
        <w:ind w:left="1494" w:right="0" w:hanging="360"/>
        <w:jc w:val="left"/>
      </w:pPr>
      <w:r>
        <w:rPr/>
        <w:t>失）现值，减记的金额确认为资产减值损失，计入当期损益。 </w:t>
      </w:r>
      <w:r>
        <w:rPr>
          <w:spacing w:val="-2"/>
        </w:rPr>
        <w:t>预计未来现金流量现值，按照该持有至到期投资的原实际利率折现确定，并考虑相关担保物的价值（取得和出售该担保</w:t>
      </w:r>
    </w:p>
    <w:p>
      <w:pPr>
        <w:pStyle w:val="BodyText"/>
        <w:spacing w:line="316" w:lineRule="auto" w:before="19"/>
        <w:ind w:right="1133"/>
        <w:jc w:val="both"/>
      </w:pPr>
      <w:r>
        <w:rPr>
          <w:spacing w:val="-2"/>
        </w:rPr>
        <w:t>物发生的费用予以扣除）。原实际利率是初始确认该持有至到期投资时计算确定的实际利率。对于浮动利率的持有至到期投</w:t>
      </w:r>
      <w:r>
        <w:rPr>
          <w:spacing w:val="-66"/>
        </w:rPr>
        <w:t> </w:t>
      </w:r>
      <w:r>
        <w:rPr>
          <w:spacing w:val="-66"/>
        </w:rPr>
      </w:r>
      <w:r>
        <w:rPr/>
        <w:t>资，在计算未来现金流量现值时可采用合同规定的现行实际利率作为折现率。</w:t>
      </w:r>
    </w:p>
    <w:p>
      <w:pPr>
        <w:pStyle w:val="BodyText"/>
        <w:spacing w:line="316" w:lineRule="auto" w:before="19"/>
        <w:ind w:left="1133" w:right="1132" w:firstLine="360"/>
        <w:jc w:val="both"/>
      </w:pPr>
      <w:r>
        <w:rPr>
          <w:spacing w:val="-2"/>
        </w:rPr>
        <w:t>即使合同条款因债务方或金融资产发行方发生财务困难而重新商定或修改，在确认减值损失时，仍用条款修改前所计算</w:t>
      </w:r>
      <w:r>
        <w:rPr/>
        <w:t> 的该金融资产的原实际利率计算。</w:t>
      </w:r>
    </w:p>
    <w:p>
      <w:pPr>
        <w:pStyle w:val="BodyText"/>
        <w:spacing w:line="316" w:lineRule="auto" w:before="19"/>
        <w:ind w:right="1132" w:firstLine="360"/>
        <w:jc w:val="both"/>
      </w:pPr>
      <w:r>
        <w:rPr>
          <w:spacing w:val="-2"/>
        </w:rPr>
        <w:t>对持有至到期投资确认减值损失后，如有客观证据表明该持有至到期投资价值已恢复，且客观上与确认该损失后发生的</w:t>
      </w:r>
      <w:r>
        <w:rPr/>
        <w:t> 事项有关（如债务人的信用评级已提高等），原确认的减值损失予以转回，计入当期损益。</w:t>
      </w:r>
    </w:p>
    <w:p>
      <w:pPr>
        <w:pStyle w:val="BodyText"/>
        <w:spacing w:line="240" w:lineRule="auto" w:before="19"/>
        <w:ind w:left="1493" w:right="0"/>
        <w:jc w:val="left"/>
      </w:pPr>
      <w:r>
        <w:rPr/>
        <w:t>持有至到期投资发生减值后，利息收入按照确定减值损失时对未来现金流量进行折现采用的折现率作为利率计算确认。</w:t>
      </w:r>
    </w:p>
    <w:p>
      <w:pPr>
        <w:pStyle w:val="BodyText"/>
        <w:spacing w:line="316" w:lineRule="auto" w:before="76"/>
        <w:ind w:left="1494" w:right="0"/>
        <w:jc w:val="left"/>
      </w:pPr>
      <w:r>
        <w:rPr/>
        <w:t>②</w:t>
      </w:r>
      <w:r>
        <w:rPr>
          <w:spacing w:val="-17"/>
        </w:rPr>
        <w:t> </w:t>
      </w:r>
      <w:r>
        <w:rPr/>
        <w:t>可供出售金融资产减值测试</w:t>
      </w:r>
      <w:r>
        <w:rPr/>
        <w:t> </w:t>
      </w:r>
      <w:r>
        <w:rPr>
          <w:spacing w:val="-2"/>
        </w:rPr>
        <w:t>在资产负债表日本公司对可供出售金融资产的减值情况进行分析，判断该项金融资产公允价值是否持续下降。通常情况</w:t>
      </w:r>
    </w:p>
    <w:p>
      <w:pPr>
        <w:pStyle w:val="BodyText"/>
        <w:spacing w:line="312" w:lineRule="auto" w:before="19"/>
        <w:ind w:left="1133" w:right="1129"/>
        <w:jc w:val="both"/>
      </w:pPr>
      <w:r>
        <w:rPr>
          <w:spacing w:val="2"/>
        </w:rPr>
        <w:t>下，如果可供出售金融资产的期末公允价值相对于成本的下跌幅度已达到或超过</w:t>
      </w:r>
      <w:r>
        <w:rPr>
          <w:rFonts w:ascii="Times New Roman" w:hAnsi="Times New Roman" w:cs="Times New Roman" w:eastAsia="Times New Roman" w:hint="default"/>
          <w:spacing w:val="2"/>
        </w:rPr>
        <w:t>50%</w:t>
      </w:r>
      <w:r>
        <w:rPr>
          <w:spacing w:val="2"/>
        </w:rPr>
        <w:t>，或者持续下跌时间已达到或超过</w:t>
      </w:r>
      <w:r>
        <w:rPr>
          <w:rFonts w:ascii="Times New Roman" w:hAnsi="Times New Roman" w:cs="Times New Roman" w:eastAsia="Times New Roman" w:hint="default"/>
          <w:spacing w:val="2"/>
        </w:rPr>
        <w:t>12</w:t>
      </w:r>
      <w:r>
        <w:rPr>
          <w:rFonts w:ascii="Times New Roman" w:hAnsi="Times New Roman" w:cs="Times New Roman" w:eastAsia="Times New Roman" w:hint="default"/>
          <w:spacing w:val="-39"/>
        </w:rPr>
        <w:t> </w:t>
      </w:r>
      <w:r>
        <w:rPr>
          <w:spacing w:val="-2"/>
        </w:rPr>
        <w:t>个月，在综合考虑各种相关因素后，预期这种下降趋势属于非暂时性的，可以认定该可供出售金融资产已发生减值，确认减</w:t>
      </w:r>
      <w:r>
        <w:rPr>
          <w:spacing w:val="-66"/>
        </w:rPr>
        <w:t> </w:t>
      </w:r>
      <w:r>
        <w:rPr>
          <w:spacing w:val="-66"/>
        </w:rPr>
      </w:r>
      <w:r>
        <w:rPr>
          <w:spacing w:val="-2"/>
        </w:rPr>
        <w:t>值损失。可供出售金融资产发生减值的，在确认减值损失时，将原直接计入所有者权益的公允价值下降形成的累计损失一并</w:t>
      </w:r>
      <w:r>
        <w:rPr>
          <w:spacing w:val="-66"/>
        </w:rPr>
        <w:t> </w:t>
      </w:r>
      <w:r>
        <w:rPr>
          <w:spacing w:val="-66"/>
        </w:rPr>
      </w:r>
      <w:r>
        <w:rPr/>
        <w:t>转出，计入资产减值损失。</w:t>
      </w:r>
    </w:p>
    <w:p>
      <w:pPr>
        <w:pStyle w:val="BodyText"/>
        <w:spacing w:line="316" w:lineRule="auto" w:before="22"/>
        <w:ind w:left="1493" w:right="0"/>
        <w:jc w:val="left"/>
      </w:pPr>
      <w:r>
        <w:rPr/>
        <w:t>可供出售债务工具金融资产是否发生减值，可参照上述可供出售权益工具投资进行分析判断。 可供出售权益工具投资发生的减值损失，不得通过损益转回。 </w:t>
      </w:r>
      <w:r>
        <w:rPr>
          <w:spacing w:val="-2"/>
        </w:rPr>
        <w:t>可供出售债务工具金融资产发生减值后，利息收入按照确定减值损失时对未来现金流量进行折现采用的折现率作为利率</w:t>
      </w:r>
    </w:p>
    <w:p>
      <w:pPr>
        <w:pStyle w:val="BodyText"/>
        <w:spacing w:line="240" w:lineRule="auto" w:before="19"/>
        <w:ind w:right="0"/>
        <w:jc w:val="both"/>
      </w:pPr>
      <w:r>
        <w:rPr/>
        <w:t>计算确认。</w:t>
      </w:r>
    </w:p>
    <w:p>
      <w:pPr>
        <w:pStyle w:val="BodyText"/>
        <w:spacing w:line="316" w:lineRule="auto" w:before="76"/>
        <w:ind w:right="1131" w:firstLine="360"/>
        <w:jc w:val="both"/>
      </w:pPr>
      <w:r>
        <w:rPr>
          <w:spacing w:val="-2"/>
        </w:rPr>
        <w:t>对于已确认减值损失的可供出售债务工具，在随后的会计期间公允价值已上升且客观上与确认原减值损失确认后发生的</w:t>
      </w:r>
      <w:r>
        <w:rPr/>
        <w:t> 事项有关的，原确认的减值损失予以转回，计入当期损益。</w:t>
      </w:r>
    </w:p>
    <w:p>
      <w:pPr>
        <w:spacing w:line="240" w:lineRule="auto" w:before="6"/>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9</w:t>
      </w:r>
      <w:r>
        <w:rPr/>
        <w:t>）金融资产和金融负债公允价值的确定方法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2" w:firstLine="360"/>
        <w:jc w:val="both"/>
      </w:pPr>
      <w:r>
        <w:rPr>
          <w:spacing w:val="-2"/>
        </w:rPr>
        <w:t>本公司以主要市场的价格计量相关资产或负债的公允价值，不存在主要市场的，本公司以最有利市场的价格计量相关资</w:t>
      </w:r>
      <w:r>
        <w:rPr/>
        <w:t> 产或负债的公允价值。</w:t>
      </w:r>
    </w:p>
    <w:p>
      <w:pPr>
        <w:pStyle w:val="BodyText"/>
        <w:spacing w:line="316" w:lineRule="auto" w:before="19"/>
        <w:ind w:right="1132" w:firstLine="360"/>
        <w:jc w:val="both"/>
      </w:pPr>
      <w:r>
        <w:rPr>
          <w:spacing w:val="-2"/>
        </w:rPr>
        <w:t>主要市场，是指相关资产或负债交易量最大和交易活跃程度最高的市场；最有利市场，是指在考虑交易费用和运输费用</w:t>
      </w:r>
      <w:r>
        <w:rPr/>
        <w:t> </w:t>
      </w:r>
      <w:r>
        <w:rPr>
          <w:spacing w:val="-2"/>
        </w:rPr>
        <w:t>后，能够以最高金额出售相关资产或者以最低金额转移相关负债的市场。本公司采用市场参与者在对该资产或负债定价时为</w:t>
      </w:r>
      <w:r>
        <w:rPr>
          <w:spacing w:val="-64"/>
        </w:rPr>
        <w:t> </w:t>
      </w:r>
      <w:r>
        <w:rPr>
          <w:spacing w:val="-64"/>
        </w:rPr>
      </w:r>
      <w:r>
        <w:rPr/>
        <w:t>实现其经济利益最大化所使用的假设。</w:t>
      </w:r>
    </w:p>
    <w:p>
      <w:pPr>
        <w:pStyle w:val="BodyText"/>
        <w:spacing w:line="300" w:lineRule="auto" w:before="19"/>
        <w:ind w:left="1493" w:right="1118"/>
        <w:jc w:val="left"/>
      </w:pPr>
      <w:r>
        <w:rPr>
          <w:rFonts w:ascii="Times New Roman" w:hAnsi="Times New Roman" w:cs="Times New Roman" w:eastAsia="Times New Roman" w:hint="default"/>
        </w:rPr>
        <w:t>1</w:t>
      </w:r>
      <w:r>
        <w:rPr/>
        <w:t>）估值技术 </w:t>
      </w:r>
      <w:r>
        <w:rPr>
          <w:spacing w:val="-2"/>
        </w:rPr>
        <w:t>本公司采用在当期情况下适用并且有足够可利用数据和其他信息支持的估值技术，使用的估值技术主要包括市场法、收</w:t>
      </w:r>
    </w:p>
    <w:p>
      <w:pPr>
        <w:pStyle w:val="BodyText"/>
        <w:spacing w:line="319" w:lineRule="auto" w:before="31"/>
        <w:ind w:left="1133" w:right="1133"/>
        <w:jc w:val="both"/>
      </w:pPr>
      <w:r>
        <w:rPr>
          <w:spacing w:val="-2"/>
        </w:rPr>
        <w:t>益法和成本法。本公司使用与其中一种或多种估值技术相一致的方法计量公允价值，使用多种估值技术计量公允价值的，考</w:t>
      </w:r>
      <w:r>
        <w:rPr>
          <w:spacing w:val="-66"/>
        </w:rPr>
        <w:t> </w:t>
      </w:r>
      <w:r>
        <w:rPr>
          <w:spacing w:val="-66"/>
        </w:rPr>
      </w:r>
      <w:r>
        <w:rPr/>
        <w:t>虑各估值结果的合理性，选取在当期情况下最能代表公允价值的金额作为公允价值。</w:t>
      </w:r>
    </w:p>
    <w:p>
      <w:pPr>
        <w:pStyle w:val="BodyText"/>
        <w:spacing w:line="316" w:lineRule="auto" w:before="17"/>
        <w:ind w:left="1133" w:right="1131" w:firstLine="360"/>
        <w:jc w:val="both"/>
      </w:pPr>
      <w:r>
        <w:rPr>
          <w:spacing w:val="-2"/>
        </w:rPr>
        <w:t>本公司在估值技术的应用中，优先使用相关可观察输入值，只有在相关可观察输入值无法取得或取得不切实可行的情况</w:t>
      </w:r>
      <w:r>
        <w:rPr/>
        <w:t> </w:t>
      </w:r>
      <w:r>
        <w:rPr>
          <w:spacing w:val="-2"/>
        </w:rPr>
        <w:t>下，才使用不可观察输入值。可观察输入值，是指能够从市场数据中取得的输入值。该输入值反映了市场参与者在对相关资</w:t>
      </w:r>
      <w:r>
        <w:rPr>
          <w:spacing w:val="-66"/>
        </w:rPr>
        <w:t> </w:t>
      </w:r>
      <w:r>
        <w:rPr>
          <w:spacing w:val="-66"/>
        </w:rPr>
      </w:r>
      <w:r>
        <w:rPr>
          <w:spacing w:val="-2"/>
        </w:rPr>
        <w:t>产或负债定价时所使用的假设。不可观察输入值，是指不能从市场数据中取得的输入值。该输入值根据可获得的市场参与者</w:t>
      </w:r>
    </w:p>
    <w:p>
      <w:pPr>
        <w:spacing w:after="0" w:line="316" w:lineRule="auto"/>
        <w:jc w:val="both"/>
        <w:sectPr>
          <w:pgSz w:w="11910" w:h="16840"/>
          <w:pgMar w:header="566" w:footer="979" w:top="1360" w:bottom="1160" w:left="0" w:right="0"/>
        </w:sectPr>
      </w:pPr>
    </w:p>
    <w:p>
      <w:pPr>
        <w:pStyle w:val="BodyText"/>
        <w:spacing w:line="240" w:lineRule="auto" w:before="81"/>
        <w:ind w:right="0"/>
        <w:jc w:val="both"/>
      </w:pPr>
      <w:r>
        <w:rPr/>
        <w:t>在对相关资产或负债在对相关资产或负债定价时所使用假设的最佳信息取得。</w:t>
      </w:r>
    </w:p>
    <w:p>
      <w:pPr>
        <w:pStyle w:val="BodyText"/>
        <w:spacing w:line="300" w:lineRule="auto" w:before="76"/>
        <w:ind w:left="1494" w:right="0"/>
        <w:jc w:val="left"/>
      </w:pPr>
      <w:r>
        <w:rPr>
          <w:rFonts w:ascii="Times New Roman" w:hAnsi="Times New Roman" w:cs="Times New Roman" w:eastAsia="Times New Roman" w:hint="default"/>
        </w:rPr>
        <w:t>2</w:t>
      </w:r>
      <w:r>
        <w:rPr/>
        <w:t>）公允价值层次 </w:t>
      </w:r>
      <w:r>
        <w:rPr>
          <w:spacing w:val="-2"/>
        </w:rPr>
        <w:t>本公司将公允价值计量所使用的输入值划分为三个层次，并首先使用第一层次输入值，其次使用第二层次输入值，最后</w:t>
      </w:r>
    </w:p>
    <w:p>
      <w:pPr>
        <w:pStyle w:val="BodyText"/>
        <w:spacing w:line="319" w:lineRule="auto" w:before="31"/>
        <w:ind w:right="1132"/>
        <w:jc w:val="both"/>
      </w:pPr>
      <w:r>
        <w:rPr>
          <w:spacing w:val="-2"/>
        </w:rPr>
        <w:t>使用第三层次输入值。第一层次输入值是在计量日能够取得的相同资产或负债在活跃市场上未经调整的报价。第二层次输入</w:t>
      </w:r>
      <w:r>
        <w:rPr>
          <w:spacing w:val="-64"/>
        </w:rPr>
        <w:t> </w:t>
      </w:r>
      <w:r>
        <w:rPr>
          <w:spacing w:val="-64"/>
        </w:rPr>
      </w:r>
      <w:r>
        <w:rPr/>
        <w:t>值是除第一层次输入值外相关资产或负债直接或间接可观察的输入值。第三层次输入值是相关资产或负债的不可观察输入</w:t>
      </w:r>
      <w:r>
        <w:rPr>
          <w:spacing w:val="-9"/>
        </w:rPr>
        <w:t> </w:t>
      </w:r>
      <w:r>
        <w:rPr>
          <w:spacing w:val="-9"/>
        </w:rPr>
      </w:r>
      <w:r>
        <w:rPr/>
        <w:t>值。</w:t>
      </w:r>
    </w:p>
    <w:p>
      <w:pPr>
        <w:spacing w:line="240" w:lineRule="auto" w:before="5"/>
        <w:rPr>
          <w:rFonts w:ascii="宋体" w:hAnsi="宋体" w:cs="宋体" w:eastAsia="宋体" w:hint="default"/>
          <w:sz w:val="22"/>
          <w:szCs w:val="22"/>
        </w:rPr>
      </w:pPr>
    </w:p>
    <w:p>
      <w:pPr>
        <w:pStyle w:val="Heading3"/>
        <w:spacing w:line="240" w:lineRule="auto"/>
        <w:ind w:right="0"/>
        <w:jc w:val="both"/>
        <w:rPr>
          <w:b w:val="0"/>
          <w:bCs w:val="0"/>
        </w:rPr>
      </w:pPr>
      <w:bookmarkStart w:name="11、应收款项" w:id="176"/>
      <w:bookmarkEnd w:id="176"/>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单项金额重大并单独计提坏账准备的应收款项" w:id="177"/>
      <w:bookmarkEnd w:id="177"/>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667" w:type="dxa"/>
        <w:tblLayout w:type="fixed"/>
        <w:tblCellMar>
          <w:top w:w="0" w:type="dxa"/>
          <w:left w:w="0" w:type="dxa"/>
          <w:bottom w:w="0" w:type="dxa"/>
          <w:right w:w="0" w:type="dxa"/>
        </w:tblCellMar>
        <w:tblLook w:val="01E0"/>
      </w:tblPr>
      <w:tblGrid>
        <w:gridCol w:w="3109"/>
        <w:gridCol w:w="7453"/>
      </w:tblGrid>
      <w:tr>
        <w:trPr>
          <w:trHeight w:val="402" w:hRule="exact"/>
        </w:trPr>
        <w:tc>
          <w:tcPr>
            <w:tcW w:w="3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74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万元以上应收账款，</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万元以上其他应收款确定为单项金额重大。</w:t>
            </w:r>
          </w:p>
        </w:tc>
      </w:tr>
      <w:tr>
        <w:trPr>
          <w:trHeight w:val="714" w:hRule="exact"/>
        </w:trPr>
        <w:tc>
          <w:tcPr>
            <w:tcW w:w="3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 提方法</w:t>
            </w:r>
          </w:p>
        </w:tc>
        <w:tc>
          <w:tcPr>
            <w:tcW w:w="7453" w:type="dxa"/>
            <w:tcBorders>
              <w:top w:val="single" w:sz="4" w:space="0" w:color="000000"/>
              <w:left w:val="single" w:sz="13" w:space="0" w:color="D2D2D2"/>
              <w:bottom w:val="single" w:sz="4" w:space="0" w:color="000000"/>
              <w:right w:val="single" w:sz="4" w:space="0" w:color="000000"/>
            </w:tcBorders>
          </w:tcPr>
          <w:p>
            <w:pPr>
              <w:pStyle w:val="TableParagraph"/>
              <w:spacing w:line="319" w:lineRule="auto" w:before="51"/>
              <w:ind w:left="22" w:right="26"/>
              <w:jc w:val="left"/>
              <w:rPr>
                <w:rFonts w:ascii="宋体" w:hAnsi="宋体" w:cs="宋体" w:eastAsia="宋体" w:hint="default"/>
                <w:sz w:val="18"/>
                <w:szCs w:val="18"/>
              </w:rPr>
            </w:pPr>
            <w:r>
              <w:rPr>
                <w:rFonts w:ascii="宋体" w:hAnsi="宋体" w:cs="宋体" w:eastAsia="宋体" w:hint="default"/>
                <w:sz w:val="18"/>
                <w:szCs w:val="18"/>
              </w:rPr>
              <w:t>对于单项金额重大的应收款项，单独进行减值测试。有客观证据表明其发生了减值的，根据其 未来现金流量现值低于其账面价值的差额，确认减值损失，并据此计提相应的坏账准备。</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按信用风险特征组合计提坏账准备的应收款项" w:id="178"/>
      <w:bookmarkEnd w:id="178"/>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164" w:type="dxa"/>
        <w:tblLayout w:type="fixed"/>
        <w:tblCellMar>
          <w:top w:w="0" w:type="dxa"/>
          <w:left w:w="0" w:type="dxa"/>
          <w:bottom w:w="0" w:type="dxa"/>
          <w:right w:w="0" w:type="dxa"/>
        </w:tblCellMar>
        <w:tblLook w:val="01E0"/>
      </w:tblPr>
      <w:tblGrid>
        <w:gridCol w:w="4785"/>
        <w:gridCol w:w="4785"/>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按组合计提坏账准备的应收款项</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1"/>
        <w:ind w:right="0"/>
        <w:jc w:val="left"/>
      </w:pPr>
      <w:r>
        <w:rPr/>
        <w:t>组合中，采用账龄分析法计提坏账准备的：</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74" w:type="dxa"/>
        <w:tblLayout w:type="fixed"/>
        <w:tblCellMar>
          <w:top w:w="0" w:type="dxa"/>
          <w:left w:w="0" w:type="dxa"/>
          <w:bottom w:w="0" w:type="dxa"/>
          <w:right w:w="0" w:type="dxa"/>
        </w:tblCellMar>
        <w:tblLook w:val="01E0"/>
      </w:tblPr>
      <w:tblGrid>
        <w:gridCol w:w="3166"/>
        <w:gridCol w:w="3202"/>
        <w:gridCol w:w="3191"/>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0"/>
        <w:jc w:val="left"/>
      </w:pPr>
      <w:r>
        <w:rPr/>
        <w:t>组合中，采用余额百分比法计提坏账准备的：</w:t>
      </w:r>
    </w:p>
    <w:p>
      <w:pPr>
        <w:pStyle w:val="BodyText"/>
        <w:spacing w:line="338" w:lineRule="auto" w:before="117"/>
        <w:ind w:left="1133" w:right="7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3"/>
        <w:ind w:left="11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3）单项金额不重大但单独计提坏账准备的应收款项" w:id="179"/>
      <w:bookmarkEnd w:id="179"/>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667" w:type="dxa"/>
        <w:tblLayout w:type="fixed"/>
        <w:tblCellMar>
          <w:top w:w="0" w:type="dxa"/>
          <w:left w:w="0" w:type="dxa"/>
          <w:bottom w:w="0" w:type="dxa"/>
          <w:right w:w="0" w:type="dxa"/>
        </w:tblCellMar>
        <w:tblLook w:val="01E0"/>
      </w:tblPr>
      <w:tblGrid>
        <w:gridCol w:w="2411"/>
        <w:gridCol w:w="8151"/>
      </w:tblGrid>
      <w:tr>
        <w:trPr>
          <w:trHeight w:val="714"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81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对单项金额不重大但已有客观证据表明其发生了减值的应收款项，按账龄分析法计提的坏账准备不能反 映实际情况。</w:t>
            </w:r>
          </w:p>
        </w:tc>
      </w:tr>
      <w:tr>
        <w:trPr>
          <w:trHeight w:val="714"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81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本公司单独进行减值测试，根据其未来现金流量现值低于其账面价值的差额，确认减值损失，并据此计 提相应的坏账准备。</w:t>
            </w:r>
          </w:p>
        </w:tc>
      </w:tr>
    </w:tbl>
    <w:p>
      <w:pPr>
        <w:spacing w:after="0" w:line="316" w:lineRule="auto"/>
        <w:jc w:val="left"/>
        <w:rPr>
          <w:rFonts w:ascii="宋体" w:hAnsi="宋体" w:cs="宋体" w:eastAsia="宋体" w:hint="default"/>
          <w:sz w:val="18"/>
          <w:szCs w:val="18"/>
        </w:rPr>
        <w:sectPr>
          <w:pgSz w:w="11910" w:h="16840"/>
          <w:pgMar w:header="566" w:footer="979" w:top="1360" w:bottom="1160" w:left="0" w:right="0"/>
        </w:sectPr>
      </w:pPr>
    </w:p>
    <w:p>
      <w:pPr>
        <w:pStyle w:val="Heading3"/>
        <w:spacing w:line="240" w:lineRule="auto" w:before="57"/>
        <w:ind w:right="0"/>
        <w:jc w:val="both"/>
        <w:rPr>
          <w:b w:val="0"/>
          <w:bCs w:val="0"/>
        </w:rPr>
      </w:pPr>
      <w:bookmarkStart w:name="12、存货" w:id="180"/>
      <w:bookmarkEnd w:id="180"/>
      <w:r>
        <w:rPr>
          <w:b w:val="0"/>
          <w:bCs w:val="0"/>
        </w:rPr>
      </w:r>
      <w:r>
        <w:rPr>
          <w:rFonts w:ascii="Times New Roman" w:hAnsi="Times New Roman" w:cs="Times New Roman" w:eastAsia="Times New Roman" w:hint="default"/>
        </w:rPr>
        <w:t>12</w:t>
      </w:r>
      <w:r>
        <w:rPr/>
        <w:t>、存货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）存货的分类</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pPr>
      <w:r>
        <w:rPr>
          <w:spacing w:val="-2"/>
        </w:rPr>
        <w:t>存货是指本公司在日常活动中持有以备出售的产成品或商品、处在生产过程中的在产品、在生产过程或提供劳务过程中</w:t>
      </w:r>
      <w:r>
        <w:rPr/>
        <w:t> 耗用的材料和物料等，包括原材料、开发成本、开发产品、周转材料等。</w:t>
      </w:r>
    </w:p>
    <w:p>
      <w:pPr>
        <w:spacing w:line="240" w:lineRule="auto" w:before="6"/>
        <w:rPr>
          <w:rFonts w:ascii="宋体" w:hAnsi="宋体" w:cs="宋体" w:eastAsia="宋体" w:hint="default"/>
          <w:sz w:val="22"/>
          <w:szCs w:val="22"/>
        </w:rPr>
      </w:pPr>
    </w:p>
    <w:p>
      <w:pPr>
        <w:pStyle w:val="Heading3"/>
        <w:spacing w:line="240" w:lineRule="auto"/>
        <w:ind w:left="1133" w:right="0"/>
        <w:jc w:val="both"/>
        <w:rPr>
          <w:b w:val="0"/>
          <w:bCs w:val="0"/>
        </w:rPr>
      </w:pPr>
      <w:r>
        <w:rPr/>
        <w:t>（</w:t>
      </w:r>
      <w:r>
        <w:rPr>
          <w:rFonts w:ascii="Times New Roman" w:hAnsi="Times New Roman" w:cs="Times New Roman" w:eastAsia="Times New Roman" w:hint="default"/>
        </w:rPr>
        <w:t>2</w:t>
      </w:r>
      <w:r>
        <w:rPr/>
        <w:t>）发出存货的计价方法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93" w:right="0"/>
        <w:jc w:val="left"/>
      </w:pPr>
      <w:r>
        <w:rPr/>
        <w:t>本公司存货发出时采用个别计价法计价。</w:t>
      </w:r>
    </w:p>
    <w:p>
      <w:pPr>
        <w:spacing w:line="240" w:lineRule="auto" w:before="11"/>
        <w:rPr>
          <w:rFonts w:ascii="宋体" w:hAnsi="宋体" w:cs="宋体" w:eastAsia="宋体" w:hint="default"/>
          <w:sz w:val="26"/>
          <w:szCs w:val="26"/>
        </w:rPr>
      </w:pPr>
    </w:p>
    <w:p>
      <w:pPr>
        <w:pStyle w:val="Heading3"/>
        <w:spacing w:line="240" w:lineRule="auto"/>
        <w:ind w:left="1133" w:right="0"/>
        <w:jc w:val="both"/>
        <w:rPr>
          <w:b w:val="0"/>
          <w:bCs w:val="0"/>
        </w:rPr>
      </w:pPr>
      <w:r>
        <w:rPr/>
        <w:t>（</w:t>
      </w:r>
      <w:r>
        <w:rPr>
          <w:rFonts w:ascii="Times New Roman" w:hAnsi="Times New Roman" w:cs="Times New Roman" w:eastAsia="Times New Roman" w:hint="default"/>
        </w:rPr>
        <w:t>3</w:t>
      </w:r>
      <w:r>
        <w:rPr/>
        <w:t>）存货的盘存制度</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93" w:right="0"/>
        <w:jc w:val="left"/>
      </w:pPr>
      <w:r>
        <w:rPr/>
        <w:t>本公司存货采用永续盘存制，每年至少盘点一次，盘盈及盘亏金额计入当年度损益。</w:t>
      </w:r>
    </w:p>
    <w:p>
      <w:pPr>
        <w:spacing w:line="240" w:lineRule="auto" w:before="11"/>
        <w:rPr>
          <w:rFonts w:ascii="宋体" w:hAnsi="宋体" w:cs="宋体" w:eastAsia="宋体" w:hint="default"/>
          <w:sz w:val="26"/>
          <w:szCs w:val="26"/>
        </w:rPr>
      </w:pPr>
    </w:p>
    <w:p>
      <w:pPr>
        <w:pStyle w:val="Heading3"/>
        <w:spacing w:line="240" w:lineRule="auto"/>
        <w:ind w:left="1133" w:right="0"/>
        <w:jc w:val="both"/>
        <w:rPr>
          <w:b w:val="0"/>
          <w:bCs w:val="0"/>
        </w:rPr>
      </w:pPr>
      <w:r>
        <w:rPr/>
        <w:t>（</w:t>
      </w:r>
      <w:r>
        <w:rPr>
          <w:rFonts w:ascii="Times New Roman" w:hAnsi="Times New Roman" w:cs="Times New Roman" w:eastAsia="Times New Roman" w:hint="default"/>
        </w:rPr>
        <w:t>4</w:t>
      </w:r>
      <w:r>
        <w:rPr/>
        <w:t>）存货跌价准备的计提方法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493" w:right="0"/>
        <w:jc w:val="left"/>
      </w:pPr>
      <w:r>
        <w:rPr/>
        <w:t>资产负债表日按成本与可变现净值孰低计量，存货成本高于其可变现净值的，计提存货跌价准备，计入当期损益。 </w:t>
      </w:r>
      <w:r>
        <w:rPr>
          <w:spacing w:val="-4"/>
        </w:rPr>
        <w:t>在确定存货的可变现净值时，以取得的可靠证据为基础，并且考虑持有存货的目的、资产负债表日后事项的影响等因素。</w:t>
      </w:r>
      <w:r>
        <w:rPr>
          <w:spacing w:val="-52"/>
        </w:rPr>
        <w:t> </w:t>
      </w:r>
      <w:r>
        <w:rPr>
          <w:spacing w:val="-52"/>
        </w:rPr>
      </w:r>
      <w:r>
        <w:rPr>
          <w:rFonts w:ascii="Times New Roman" w:hAnsi="Times New Roman" w:cs="Times New Roman" w:eastAsia="Times New Roman" w:hint="default"/>
        </w:rPr>
        <w:t>1</w:t>
      </w:r>
      <w:r>
        <w:rPr/>
        <w:t>）开发产品和用于出售的材料等直接用于出售的存货，在正常生产经营过程中，以该存货的估计售价减去估计的销售</w:t>
      </w:r>
    </w:p>
    <w:p>
      <w:pPr>
        <w:pStyle w:val="BodyText"/>
        <w:spacing w:line="319" w:lineRule="auto"/>
        <w:ind w:right="1132"/>
        <w:jc w:val="both"/>
      </w:pPr>
      <w:r>
        <w:rPr>
          <w:spacing w:val="-2"/>
        </w:rPr>
        <w:t>费用和相关税费后的金额确定其可变现净值。为执行销售合同或者劳务合同而持有的存货，以合同价格作为其可变现净值的</w:t>
      </w:r>
      <w:r>
        <w:rPr>
          <w:spacing w:val="-64"/>
        </w:rPr>
        <w:t> </w:t>
      </w:r>
      <w:r>
        <w:rPr>
          <w:spacing w:val="-64"/>
        </w:rPr>
      </w:r>
      <w:r>
        <w:rPr>
          <w:spacing w:val="-2"/>
        </w:rPr>
        <w:t>计量基础；如果持有存货的数量多于销售合同订购数量，超出部分的存货可变现净值以一般销售价格为计量基础。用于出售</w:t>
      </w:r>
      <w:r>
        <w:rPr>
          <w:spacing w:val="-66"/>
        </w:rPr>
        <w:t> </w:t>
      </w:r>
      <w:r>
        <w:rPr>
          <w:spacing w:val="-66"/>
        </w:rPr>
      </w:r>
      <w:r>
        <w:rPr/>
        <w:t>的材料等，以市场价格作为其可变现净值的计量基础。</w:t>
      </w:r>
    </w:p>
    <w:p>
      <w:pPr>
        <w:pStyle w:val="BodyText"/>
        <w:spacing w:line="312" w:lineRule="auto" w:before="17"/>
        <w:ind w:right="1130" w:firstLine="360"/>
        <w:jc w:val="both"/>
      </w:pPr>
      <w:r>
        <w:rPr>
          <w:rFonts w:ascii="Times New Roman" w:hAnsi="Times New Roman" w:cs="Times New Roman" w:eastAsia="Times New Roman" w:hint="default"/>
        </w:rPr>
        <w:t>2</w:t>
      </w:r>
      <w:r>
        <w:rPr/>
        <w:t>）需要经过加工的材料存货，在正常生产经营过程中，以所生产的开发产品的估计售价减去至完工时估计将要发生的 </w:t>
      </w:r>
      <w:r>
        <w:rPr>
          <w:spacing w:val="-2"/>
        </w:rPr>
        <w:t>成本、估计的销售费用和相关税费后的金额确定其可变现净值。如果用其生产的开发产品的可变现净值高于成本，则该材料</w:t>
      </w:r>
      <w:r>
        <w:rPr>
          <w:spacing w:val="-66"/>
        </w:rPr>
        <w:t> </w:t>
      </w:r>
      <w:r>
        <w:rPr>
          <w:spacing w:val="-66"/>
        </w:rPr>
      </w:r>
      <w:r>
        <w:rPr>
          <w:spacing w:val="-2"/>
        </w:rPr>
        <w:t>按成本计量；如果材料价格的下降表明开发产品的可变现净值低于成本，则该材料按可变现净值计量，按其差额计提存货跌</w:t>
      </w:r>
      <w:r>
        <w:rPr>
          <w:spacing w:val="-66"/>
        </w:rPr>
        <w:t> </w:t>
      </w:r>
      <w:r>
        <w:rPr>
          <w:spacing w:val="-66"/>
        </w:rPr>
      </w:r>
      <w:r>
        <w:rPr/>
        <w:t>价准备。</w:t>
      </w:r>
    </w:p>
    <w:p>
      <w:pPr>
        <w:pStyle w:val="BodyText"/>
        <w:spacing w:line="240" w:lineRule="auto" w:before="22"/>
        <w:ind w:left="1494" w:right="0"/>
        <w:jc w:val="left"/>
      </w:pPr>
      <w:r>
        <w:rPr>
          <w:rFonts w:ascii="Times New Roman" w:hAnsi="Times New Roman" w:cs="Times New Roman" w:eastAsia="Times New Roman" w:hint="default"/>
        </w:rPr>
        <w:t>3</w:t>
      </w:r>
      <w:r>
        <w:rPr/>
        <w:t>）存货跌价准备一般按单个存货项目计提；对于数量繁多、单价较低的存货，按存货类别计提。</w:t>
      </w:r>
    </w:p>
    <w:p>
      <w:pPr>
        <w:pStyle w:val="BodyText"/>
        <w:spacing w:line="300" w:lineRule="auto" w:before="63"/>
        <w:ind w:right="1122" w:firstLine="360"/>
        <w:jc w:val="left"/>
      </w:pPr>
      <w:r>
        <w:rPr>
          <w:rFonts w:ascii="Times New Roman" w:hAnsi="Times New Roman" w:cs="Times New Roman" w:eastAsia="Times New Roman" w:hint="default"/>
        </w:rPr>
        <w:t>4</w:t>
      </w:r>
      <w:r>
        <w:rPr/>
        <w:t>）资产负债表日如果以前减记存货价值的影响因素已经消失，则减记的金额予以恢复，并在原已计提的存货跌价准备 的金额内转回，转回的金额计入当期损益。</w:t>
      </w:r>
    </w:p>
    <w:p>
      <w:pPr>
        <w:spacing w:line="240" w:lineRule="auto" w:before="5"/>
        <w:rPr>
          <w:rFonts w:ascii="宋体" w:hAnsi="宋体" w:cs="宋体" w:eastAsia="宋体" w:hint="default"/>
          <w:sz w:val="23"/>
          <w:szCs w:val="23"/>
        </w:rPr>
      </w:pPr>
    </w:p>
    <w:p>
      <w:pPr>
        <w:pStyle w:val="Heading3"/>
        <w:spacing w:line="240" w:lineRule="auto"/>
        <w:ind w:right="0"/>
        <w:jc w:val="both"/>
        <w:rPr>
          <w:b w:val="0"/>
          <w:bCs w:val="0"/>
        </w:rPr>
      </w:pPr>
      <w:r>
        <w:rPr/>
        <w:t>（</w:t>
      </w:r>
      <w:r>
        <w:rPr>
          <w:rFonts w:ascii="Times New Roman" w:hAnsi="Times New Roman" w:cs="Times New Roman" w:eastAsia="Times New Roman" w:hint="default"/>
        </w:rPr>
        <w:t>5</w:t>
      </w:r>
      <w:r>
        <w:rPr/>
        <w:t>）周转材料的摊销方法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94" w:right="0"/>
        <w:jc w:val="left"/>
      </w:pPr>
      <w:r>
        <w:rPr>
          <w:rFonts w:ascii="Times New Roman" w:hAnsi="Times New Roman" w:cs="Times New Roman" w:eastAsia="Times New Roman" w:hint="default"/>
        </w:rPr>
        <w:t>1</w:t>
      </w:r>
      <w:r>
        <w:rPr/>
        <w:t>）低值易耗品摊销方法：在领用时采用一次转销法。</w:t>
      </w:r>
    </w:p>
    <w:p>
      <w:pPr>
        <w:pStyle w:val="BodyText"/>
        <w:spacing w:line="240" w:lineRule="auto" w:before="63"/>
        <w:ind w:left="1494" w:right="0"/>
        <w:jc w:val="left"/>
      </w:pPr>
      <w:r>
        <w:rPr>
          <w:rFonts w:ascii="Times New Roman" w:hAnsi="Times New Roman" w:cs="Times New Roman" w:eastAsia="Times New Roman" w:hint="default"/>
        </w:rPr>
        <w:t>2</w:t>
      </w:r>
      <w:r>
        <w:rPr/>
        <w:t>）包装物的摊销方法：在领用时采用一次转销法。</w:t>
      </w:r>
    </w:p>
    <w:p>
      <w:pPr>
        <w:spacing w:line="240" w:lineRule="auto" w:before="11"/>
        <w:rPr>
          <w:rFonts w:ascii="宋体" w:hAnsi="宋体" w:cs="宋体" w:eastAsia="宋体" w:hint="default"/>
          <w:sz w:val="25"/>
          <w:szCs w:val="25"/>
        </w:rPr>
      </w:pPr>
    </w:p>
    <w:p>
      <w:pPr>
        <w:pStyle w:val="Heading3"/>
        <w:spacing w:line="240" w:lineRule="auto"/>
        <w:ind w:right="0"/>
        <w:jc w:val="both"/>
        <w:rPr>
          <w:b w:val="0"/>
          <w:bCs w:val="0"/>
        </w:rPr>
      </w:pPr>
      <w:bookmarkStart w:name="13、划分为持有待售资产" w:id="181"/>
      <w:bookmarkEnd w:id="181"/>
      <w:r>
        <w:rPr>
          <w:b w:val="0"/>
          <w:bCs w:val="0"/>
        </w:rPr>
      </w:r>
      <w:r>
        <w:rPr>
          <w:rFonts w:ascii="Times New Roman" w:hAnsi="Times New Roman" w:cs="Times New Roman" w:eastAsia="Times New Roman" w:hint="default"/>
        </w:rPr>
        <w:t>13</w:t>
      </w:r>
      <w:r>
        <w:rPr/>
        <w:t>、划分为持有待售资产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93" w:right="0"/>
        <w:jc w:val="left"/>
      </w:pPr>
      <w:r>
        <w:rPr/>
        <w:t>本公司将同时满足下列条件的本公司组成部分（或非流动资产）确认为持有待售：</w:t>
      </w:r>
    </w:p>
    <w:p>
      <w:pPr>
        <w:pStyle w:val="BodyText"/>
        <w:spacing w:line="240" w:lineRule="auto" w:before="76"/>
        <w:ind w:left="1493" w:right="0"/>
        <w:jc w:val="left"/>
      </w:pPr>
      <w:r>
        <w:rPr/>
        <w:t>（</w:t>
      </w:r>
      <w:r>
        <w:rPr>
          <w:rFonts w:ascii="Times New Roman" w:hAnsi="Times New Roman" w:cs="Times New Roman" w:eastAsia="Times New Roman" w:hint="default"/>
        </w:rPr>
        <w:t>1</w:t>
      </w:r>
      <w:r>
        <w:rPr/>
        <w:t>）该组成部分必须在其当前状况下仅根据出售此类组成部分的通常和惯用条款即可立即出售。</w:t>
      </w:r>
    </w:p>
    <w:p>
      <w:pPr>
        <w:pStyle w:val="BodyText"/>
        <w:spacing w:line="300" w:lineRule="auto" w:before="63"/>
        <w:ind w:right="1122" w:firstLine="360"/>
        <w:jc w:val="left"/>
      </w:pPr>
      <w:r>
        <w:rPr/>
        <w:t>（</w:t>
      </w:r>
      <w:r>
        <w:rPr>
          <w:rFonts w:ascii="Times New Roman" w:hAnsi="Times New Roman" w:cs="Times New Roman" w:eastAsia="Times New Roman" w:hint="default"/>
        </w:rPr>
        <w:t>2</w:t>
      </w:r>
      <w:r>
        <w:rPr/>
        <w:t>）本公司已经就处置该组成部分作出决议，如按规定需得到股东批准的，已经取得了股东大会或相应权力机构的批 准。</w:t>
      </w:r>
    </w:p>
    <w:p>
      <w:pPr>
        <w:pStyle w:val="BodyText"/>
        <w:spacing w:line="240" w:lineRule="auto" w:before="31"/>
        <w:ind w:left="1494" w:right="0"/>
        <w:jc w:val="left"/>
      </w:pPr>
      <w:r>
        <w:rPr/>
        <w:t>（</w:t>
      </w:r>
      <w:r>
        <w:rPr>
          <w:rFonts w:ascii="Times New Roman" w:hAnsi="Times New Roman" w:cs="Times New Roman" w:eastAsia="Times New Roman" w:hint="default"/>
        </w:rPr>
        <w:t>3</w:t>
      </w:r>
      <w:r>
        <w:rPr/>
        <w:t>）本公司已经与受让方签订了不可撤销的转让协议。</w:t>
      </w:r>
    </w:p>
    <w:p>
      <w:pPr>
        <w:pStyle w:val="BodyText"/>
        <w:spacing w:line="240" w:lineRule="auto" w:before="63"/>
        <w:ind w:left="1494" w:right="0"/>
        <w:jc w:val="left"/>
      </w:pPr>
      <w:r>
        <w:rPr/>
        <w:t>（</w:t>
      </w:r>
      <w:r>
        <w:rPr>
          <w:rFonts w:ascii="Times New Roman" w:hAnsi="Times New Roman" w:cs="Times New Roman" w:eastAsia="Times New Roman" w:hint="default"/>
        </w:rPr>
        <w:t>4</w:t>
      </w:r>
      <w:r>
        <w:rPr/>
        <w:t>）该项转让将在一年内完成。</w:t>
      </w:r>
    </w:p>
    <w:p>
      <w:pPr>
        <w:spacing w:after="0" w:line="240" w:lineRule="auto"/>
        <w:jc w:val="left"/>
        <w:sectPr>
          <w:pgSz w:w="11910" w:h="16840"/>
          <w:pgMar w:header="566" w:footer="979" w:top="1360" w:bottom="1160" w:left="0" w:right="0"/>
        </w:sectPr>
      </w:pPr>
    </w:p>
    <w:p>
      <w:pPr>
        <w:pStyle w:val="Heading3"/>
        <w:spacing w:line="240" w:lineRule="auto" w:before="57"/>
        <w:ind w:right="0"/>
        <w:jc w:val="left"/>
        <w:rPr>
          <w:b w:val="0"/>
          <w:bCs w:val="0"/>
        </w:rPr>
      </w:pPr>
      <w:bookmarkStart w:name="14、长期股权投资" w:id="182"/>
      <w:bookmarkEnd w:id="182"/>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2" w:firstLine="360"/>
        <w:jc w:val="both"/>
      </w:pPr>
      <w:r>
        <w:rPr>
          <w:spacing w:val="-2"/>
        </w:rPr>
        <w:t>本公司长期股权投资包括对被投资单位实施控制、重大影响的权益性投资，以及对合营企业的权益性投资。本公司能够</w:t>
      </w:r>
      <w:r>
        <w:rPr/>
        <w:t> 对被投资单位施加重大影响的，为本公司的联营企业。</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）确定对被投资单位具有共同控制、重大影响的依据</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0" w:firstLine="360"/>
        <w:jc w:val="both"/>
      </w:pPr>
      <w:r>
        <w:rPr>
          <w:spacing w:val="-2"/>
        </w:rPr>
        <w:t>共同控制，是指按照相关约定对某项安排所共有的控制，并且该安排的相关活动必须经过分享控制权的参与方一致同意</w:t>
      </w:r>
      <w:r>
        <w:rPr/>
        <w:t> </w:t>
      </w:r>
      <w:r>
        <w:rPr>
          <w:spacing w:val="-2"/>
        </w:rPr>
        <w:t>后才能决策。在判断是否存在共同控制时，首先判断所有参与方或参与方组合是否集体控制该安排，如果所有参与方或一组</w:t>
      </w:r>
      <w:r>
        <w:rPr>
          <w:spacing w:val="-66"/>
        </w:rPr>
        <w:t> </w:t>
      </w:r>
      <w:r>
        <w:rPr>
          <w:spacing w:val="-66"/>
        </w:rPr>
      </w:r>
      <w:r>
        <w:rPr>
          <w:spacing w:val="-2"/>
        </w:rPr>
        <w:t>参与方必须一致行动才能决定某项安排的相关活动，则认为所有参与方或一组参与方集体控制该安排。其次再判断该安排相</w:t>
      </w:r>
      <w:r>
        <w:rPr>
          <w:spacing w:val="-63"/>
        </w:rPr>
        <w:t> </w:t>
      </w:r>
      <w:r>
        <w:rPr>
          <w:spacing w:val="-63"/>
        </w:rPr>
      </w:r>
      <w:r>
        <w:rPr>
          <w:spacing w:val="-2"/>
        </w:rPr>
        <w:t>关活动的决策是否必须经过这些集体控制该安排的参与方一致同意。如果存在两个或两个以上的参与方组合能够集体控制某</w:t>
      </w:r>
      <w:r>
        <w:rPr>
          <w:spacing w:val="-64"/>
        </w:rPr>
        <w:t> </w:t>
      </w:r>
      <w:r>
        <w:rPr>
          <w:spacing w:val="-64"/>
        </w:rPr>
      </w:r>
      <w:r>
        <w:rPr/>
        <w:t>项安排的，不构成共同控制。判断是否存在共同控制时，不考虑享有的保护性权利。</w:t>
      </w:r>
    </w:p>
    <w:p>
      <w:pPr>
        <w:pStyle w:val="BodyText"/>
        <w:spacing w:line="316" w:lineRule="auto" w:before="19"/>
        <w:ind w:left="1133" w:right="1130" w:firstLine="360"/>
        <w:jc w:val="both"/>
      </w:pPr>
      <w:r>
        <w:rPr>
          <w:spacing w:val="-2"/>
        </w:rPr>
        <w:t>重大影响，是指投资方对被投资单位的财务和经营政策有参与决策的权力，但并不能够控制或者与其他方一起共同控制</w:t>
      </w:r>
      <w:r>
        <w:rPr/>
        <w:t> </w:t>
      </w:r>
      <w:r>
        <w:rPr>
          <w:spacing w:val="-2"/>
        </w:rPr>
        <w:t>这些政策的制定。在确定能否对被投资单位施加重大影响时，考虑投资方直接或间接持有被投资单位的表决权股份以及投资</w:t>
      </w:r>
      <w:r>
        <w:rPr>
          <w:spacing w:val="-64"/>
        </w:rPr>
        <w:t> </w:t>
      </w:r>
      <w:r>
        <w:rPr>
          <w:spacing w:val="-64"/>
        </w:rPr>
      </w:r>
      <w:r>
        <w:rPr>
          <w:spacing w:val="-2"/>
        </w:rPr>
        <w:t>方及其他方持有的当期可执行潜在表决权在假定转换为对被投资方单位的股权后产生的影响，包括被投资单位发行的当期可</w:t>
      </w:r>
      <w:r>
        <w:rPr>
          <w:spacing w:val="-63"/>
        </w:rPr>
        <w:t> </w:t>
      </w:r>
      <w:r>
        <w:rPr>
          <w:spacing w:val="-63"/>
        </w:rPr>
      </w:r>
      <w:r>
        <w:rPr/>
        <w:t>转换的认股权证、股份期权及可转换公司债券等的影响。</w:t>
      </w:r>
    </w:p>
    <w:p>
      <w:pPr>
        <w:pStyle w:val="BodyText"/>
        <w:spacing w:line="300" w:lineRule="auto" w:before="19"/>
        <w:ind w:right="1130" w:firstLine="360"/>
        <w:jc w:val="both"/>
      </w:pPr>
      <w:r>
        <w:rPr/>
        <w:t>当本公司直接或通过子公司间接拥有被投资单位</w:t>
      </w:r>
      <w:r>
        <w:rPr>
          <w:rFonts w:ascii="Times New Roman" w:hAnsi="Times New Roman" w:cs="Times New Roman" w:eastAsia="Times New Roman" w:hint="default"/>
        </w:rPr>
        <w:t>20%</w:t>
      </w:r>
      <w:r>
        <w:rPr/>
        <w:t>（含</w:t>
      </w:r>
      <w:r>
        <w:rPr>
          <w:rFonts w:ascii="Times New Roman" w:hAnsi="Times New Roman" w:cs="Times New Roman" w:eastAsia="Times New Roman" w:hint="default"/>
        </w:rPr>
        <w:t>20%</w:t>
      </w:r>
      <w:r>
        <w:rPr/>
        <w:t>）以上但低于</w:t>
      </w:r>
      <w:r>
        <w:rPr>
          <w:rFonts w:ascii="Times New Roman" w:hAnsi="Times New Roman" w:cs="Times New Roman" w:eastAsia="Times New Roman" w:hint="default"/>
        </w:rPr>
        <w:t>50%</w:t>
      </w:r>
      <w:r>
        <w:rPr/>
        <w:t>的表决权股份时，一般认为对被投资单 位具有重大影响，除非有明确证据表明该种情况下不能参与被投资单位的生产经营决策，不形成重大影响。</w:t>
      </w:r>
    </w:p>
    <w:p>
      <w:pPr>
        <w:spacing w:line="240" w:lineRule="auto" w:before="5"/>
        <w:rPr>
          <w:rFonts w:ascii="宋体" w:hAnsi="宋体" w:cs="宋体" w:eastAsia="宋体" w:hint="default"/>
          <w:sz w:val="23"/>
          <w:szCs w:val="23"/>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）初始投资成本确定</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94" w:right="0"/>
        <w:jc w:val="left"/>
      </w:pPr>
      <w:r>
        <w:rPr>
          <w:rFonts w:ascii="Times New Roman" w:hAnsi="Times New Roman" w:cs="Times New Roman" w:eastAsia="Times New Roman" w:hint="default"/>
        </w:rPr>
        <w:t>1</w:t>
      </w:r>
      <w:r>
        <w:rPr/>
        <w:t>）企业合并形成的长期股权投资，按照下列规定确定其投资成本：</w:t>
      </w:r>
    </w:p>
    <w:p>
      <w:pPr>
        <w:pStyle w:val="BodyText"/>
        <w:spacing w:line="316" w:lineRule="auto" w:before="63"/>
        <w:ind w:left="1133" w:right="1131" w:firstLine="360"/>
        <w:jc w:val="both"/>
      </w:pPr>
      <w:r>
        <w:rPr/>
        <w:t>① 同一控制下的企业合并，合并方以支付现金、转让非现金资产或承担债务方式作为合并对价的，在合并日按照被合 </w:t>
      </w:r>
      <w:r>
        <w:rPr>
          <w:spacing w:val="-2"/>
        </w:rPr>
        <w:t>并方所有者权益在最终控制方合并财务报表中的账面价值的份额作为长期股权投资的初始投资成本。长期股权投资初始投资</w:t>
      </w:r>
      <w:r>
        <w:rPr>
          <w:spacing w:val="-64"/>
        </w:rPr>
        <w:t> </w:t>
      </w:r>
      <w:r>
        <w:rPr>
          <w:spacing w:val="-64"/>
        </w:rPr>
      </w:r>
      <w:r>
        <w:rPr>
          <w:spacing w:val="-2"/>
        </w:rPr>
        <w:t>成本与支付的现金、转让的非现金资产以及所承担债务账面价值之间的差额，调整资本公积；资本公积不足冲减的，调整留</w:t>
      </w:r>
      <w:r>
        <w:rPr>
          <w:spacing w:val="-66"/>
        </w:rPr>
        <w:t> </w:t>
      </w:r>
      <w:r>
        <w:rPr>
          <w:spacing w:val="-66"/>
        </w:rPr>
      </w:r>
      <w:r>
        <w:rPr/>
        <w:t>存收益。</w:t>
      </w:r>
    </w:p>
    <w:p>
      <w:pPr>
        <w:pStyle w:val="BodyText"/>
        <w:spacing w:line="316" w:lineRule="auto" w:before="19"/>
        <w:ind w:left="1133" w:right="1132" w:firstLine="360"/>
        <w:jc w:val="both"/>
      </w:pPr>
      <w:r>
        <w:rPr/>
        <w:t>②</w:t>
      </w:r>
      <w:r>
        <w:rPr>
          <w:spacing w:val="1"/>
        </w:rPr>
        <w:t> </w:t>
      </w:r>
      <w:r>
        <w:rPr/>
        <w:t>同一控制下的企业合并，合并方以发行权益性证券作为合并对价的，在合并日按照被合并方所有者权益在最终控制</w:t>
      </w:r>
      <w:r>
        <w:rPr/>
        <w:t> </w:t>
      </w:r>
      <w:r>
        <w:rPr>
          <w:spacing w:val="-2"/>
        </w:rPr>
        <w:t>方合并财务报表中的账面价值的份额作为长期股权投资的初始投资成本。按照发行股份的面值总额作为股本，长期股权投资</w:t>
      </w:r>
      <w:r>
        <w:rPr>
          <w:spacing w:val="-64"/>
        </w:rPr>
        <w:t> </w:t>
      </w:r>
      <w:r>
        <w:rPr>
          <w:spacing w:val="-64"/>
        </w:rPr>
      </w:r>
      <w:r>
        <w:rPr/>
        <w:t>初始投资成本与所发行股份面值总额之间的差额，调整资本公积；资本公积不足冲减的，调整留存收益。</w:t>
      </w:r>
    </w:p>
    <w:p>
      <w:pPr>
        <w:pStyle w:val="BodyText"/>
        <w:spacing w:line="316" w:lineRule="auto" w:before="19"/>
        <w:ind w:left="1133" w:right="1132" w:firstLine="360"/>
        <w:jc w:val="both"/>
      </w:pPr>
      <w:r>
        <w:rPr/>
        <w:t>③</w:t>
      </w:r>
      <w:r>
        <w:rPr>
          <w:spacing w:val="2"/>
        </w:rPr>
        <w:t> </w:t>
      </w:r>
      <w:r>
        <w:rPr/>
        <w:t>非同一控制下的企业合并，以购买日为取得对被购买方的控制权而付出的资产、发生或承担的负债以及发行的权益</w:t>
      </w:r>
      <w:r>
        <w:rPr/>
        <w:t> </w:t>
      </w:r>
      <w:r>
        <w:rPr>
          <w:spacing w:val="-2"/>
        </w:rPr>
        <w:t>性证券的公允价值确定为合并成本作为长期股权投资的初始投资成本。合并方为企业合并发生的审计、法律服务、评估咨询</w:t>
      </w:r>
      <w:r>
        <w:rPr>
          <w:spacing w:val="-66"/>
        </w:rPr>
        <w:t> </w:t>
      </w:r>
      <w:r>
        <w:rPr>
          <w:spacing w:val="-66"/>
        </w:rPr>
      </w:r>
      <w:r>
        <w:rPr/>
        <w:t>等中介费用以及其他相关管理费用，于发生时计入当期损益。</w:t>
      </w:r>
    </w:p>
    <w:p>
      <w:pPr>
        <w:pStyle w:val="BodyText"/>
        <w:spacing w:line="240" w:lineRule="auto" w:before="19"/>
        <w:ind w:left="1493" w:right="0"/>
        <w:jc w:val="left"/>
      </w:pPr>
      <w:r>
        <w:rPr>
          <w:rFonts w:ascii="Times New Roman" w:hAnsi="Times New Roman" w:cs="Times New Roman" w:eastAsia="Times New Roman" w:hint="default"/>
        </w:rPr>
        <w:t>2</w:t>
      </w:r>
      <w:r>
        <w:rPr/>
        <w:t>）除企业合并形成的长期股权投资以外，其他方式取得的长期股权投资，按照下列规定确定其投资成本：</w:t>
      </w:r>
    </w:p>
    <w:p>
      <w:pPr>
        <w:pStyle w:val="BodyText"/>
        <w:spacing w:line="316" w:lineRule="auto" w:before="63"/>
        <w:ind w:left="1133" w:right="1134" w:firstLine="360"/>
        <w:jc w:val="both"/>
      </w:pPr>
      <w:r>
        <w:rPr/>
        <w:t>①</w:t>
      </w:r>
      <w:r>
        <w:rPr>
          <w:spacing w:val="1"/>
        </w:rPr>
        <w:t> </w:t>
      </w:r>
      <w:r>
        <w:rPr/>
        <w:t>以支付现金取得的长期股权投资，按照实际支付的购买价款作为投资成本。初始投资成本包括与取得长期股权投资</w:t>
      </w:r>
      <w:r>
        <w:rPr/>
        <w:t> 直接相关的费用、税金及其他必要支出。</w:t>
      </w:r>
    </w:p>
    <w:p>
      <w:pPr>
        <w:pStyle w:val="BodyText"/>
        <w:spacing w:line="240" w:lineRule="auto" w:before="19"/>
        <w:ind w:left="1493" w:right="0"/>
        <w:jc w:val="left"/>
      </w:pPr>
      <w:r>
        <w:rPr/>
        <w:t>②</w:t>
      </w:r>
      <w:r>
        <w:rPr>
          <w:spacing w:val="-19"/>
        </w:rPr>
        <w:t> </w:t>
      </w:r>
      <w:r>
        <w:rPr/>
        <w:t>以发行权益性证券取得的长期股权投资，按照发行权益性证券的公允价值作为初始投资成本。</w:t>
      </w:r>
    </w:p>
    <w:p>
      <w:pPr>
        <w:pStyle w:val="BodyText"/>
        <w:spacing w:line="316" w:lineRule="auto" w:before="76"/>
        <w:ind w:left="1133" w:right="1033" w:firstLine="360"/>
        <w:jc w:val="left"/>
      </w:pPr>
      <w:r>
        <w:rPr/>
        <w:t>③</w:t>
      </w:r>
      <w:r>
        <w:rPr>
          <w:spacing w:val="-8"/>
        </w:rPr>
        <w:t> </w:t>
      </w:r>
      <w:r>
        <w:rPr/>
        <w:t>通过非货币性资产交换取得的长期股权投资，如果该项交换具有商业实质且换入资产或换出资产的公允价值能可靠</w:t>
      </w:r>
      <w:r>
        <w:rPr/>
        <w:t> 计量，则以换出资产的公允价值和相关税费作为初始投资成本，换出资产的公允价值与账面价值之间的差额计入当期损益； 若非货币资产交换不同时具备上述两个条件，则按换出资产的账面价值和相关税费作为初始投资成本。</w:t>
      </w:r>
    </w:p>
    <w:p>
      <w:pPr>
        <w:pStyle w:val="BodyText"/>
        <w:spacing w:line="319" w:lineRule="auto" w:before="19"/>
        <w:ind w:left="1133" w:right="1134" w:firstLine="360"/>
        <w:jc w:val="both"/>
      </w:pPr>
      <w:r>
        <w:rPr/>
        <w:t>④</w:t>
      </w:r>
      <w:r>
        <w:rPr>
          <w:spacing w:val="1"/>
        </w:rPr>
        <w:t> </w:t>
      </w:r>
      <w:r>
        <w:rPr/>
        <w:t>通过债务重组取得的长期股权投资，按取得的股权的公允价值作为初始投资成本，初始投资成本与债权账面价值之</w:t>
      </w:r>
      <w:r>
        <w:rPr/>
        <w:t> 间的差额计入当期损益。</w:t>
      </w:r>
    </w:p>
    <w:p>
      <w:pPr>
        <w:spacing w:line="240" w:lineRule="auto" w:before="4"/>
        <w:rPr>
          <w:rFonts w:ascii="宋体" w:hAnsi="宋体" w:cs="宋体" w:eastAsia="宋体" w:hint="default"/>
          <w:sz w:val="22"/>
          <w:szCs w:val="22"/>
        </w:rPr>
      </w:pPr>
    </w:p>
    <w:p>
      <w:pPr>
        <w:pStyle w:val="Heading3"/>
        <w:spacing w:line="240" w:lineRule="auto"/>
        <w:ind w:left="1133" w:right="0"/>
        <w:jc w:val="left"/>
        <w:rPr>
          <w:b w:val="0"/>
          <w:bCs w:val="0"/>
        </w:rPr>
      </w:pPr>
      <w:r>
        <w:rPr/>
        <w:t>（</w:t>
      </w:r>
      <w:r>
        <w:rPr>
          <w:rFonts w:ascii="Times New Roman" w:hAnsi="Times New Roman" w:cs="Times New Roman" w:eastAsia="Times New Roman" w:hint="default"/>
        </w:rPr>
        <w:t>3</w:t>
      </w:r>
      <w:r>
        <w:rPr/>
        <w:t>）后续计量及损益确认方法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93" w:right="0"/>
        <w:jc w:val="left"/>
      </w:pPr>
      <w:r>
        <w:rPr/>
        <w:t>本公司能够对被投资单位实施控制的长期股权投资采用成本法核算</w:t>
      </w:r>
      <w:r>
        <w:rPr>
          <w:spacing w:val="-82"/>
        </w:rPr>
        <w:t>；</w:t>
      </w:r>
      <w:r>
        <w:rPr/>
        <w:t>对联营企业和合营企业的长期股权投资采用权益法</w:t>
      </w:r>
    </w:p>
    <w:p>
      <w:pPr>
        <w:spacing w:after="0" w:line="240" w:lineRule="auto"/>
        <w:jc w:val="left"/>
        <w:sectPr>
          <w:pgSz w:w="11910" w:h="16840"/>
          <w:pgMar w:header="566" w:footer="979" w:top="1360" w:bottom="1160" w:left="0" w:right="0"/>
        </w:sectPr>
      </w:pPr>
    </w:p>
    <w:p>
      <w:pPr>
        <w:pStyle w:val="BodyText"/>
        <w:spacing w:line="240" w:lineRule="auto" w:before="81"/>
        <w:ind w:right="0"/>
        <w:jc w:val="left"/>
      </w:pPr>
      <w:r>
        <w:rPr/>
        <w:t>核算。</w:t>
      </w:r>
    </w:p>
    <w:p>
      <w:pPr>
        <w:pStyle w:val="BodyText"/>
        <w:spacing w:line="300" w:lineRule="auto" w:before="76"/>
        <w:ind w:left="1493" w:right="1033"/>
        <w:jc w:val="left"/>
      </w:pPr>
      <w:r>
        <w:rPr>
          <w:rFonts w:ascii="Times New Roman" w:hAnsi="Times New Roman" w:cs="Times New Roman" w:eastAsia="Times New Roman" w:hint="default"/>
        </w:rPr>
        <w:t>1</w:t>
      </w:r>
      <w:r>
        <w:rPr/>
        <w:t>）成本法 </w:t>
      </w:r>
      <w:r>
        <w:rPr>
          <w:spacing w:val="-4"/>
        </w:rPr>
        <w:t>采用成本法核算的长期股权投资，追加或收回投资时调整长期股权投资的成本；被投资单位宣告分派的现金股利或利润，</w:t>
      </w:r>
    </w:p>
    <w:p>
      <w:pPr>
        <w:pStyle w:val="BodyText"/>
        <w:spacing w:line="240" w:lineRule="auto" w:before="31"/>
        <w:ind w:left="1133" w:right="0"/>
        <w:jc w:val="left"/>
      </w:pPr>
      <w:r>
        <w:rPr/>
        <w:t>确认为当期投资收益。</w:t>
      </w:r>
    </w:p>
    <w:p>
      <w:pPr>
        <w:pStyle w:val="BodyText"/>
        <w:spacing w:line="300" w:lineRule="auto" w:before="77"/>
        <w:ind w:left="1493" w:right="6253"/>
        <w:jc w:val="left"/>
      </w:pPr>
      <w:r>
        <w:rPr>
          <w:rFonts w:ascii="Times New Roman" w:hAnsi="Times New Roman" w:cs="Times New Roman" w:eastAsia="Times New Roman" w:hint="default"/>
        </w:rPr>
        <w:t>2</w:t>
      </w:r>
      <w:r>
        <w:rPr/>
        <w:t>）权益法 按照权益法核算的长期股权投资，一般会计处理为：</w:t>
      </w:r>
    </w:p>
    <w:p>
      <w:pPr>
        <w:pStyle w:val="BodyText"/>
        <w:spacing w:line="316" w:lineRule="auto" w:before="31"/>
        <w:ind w:right="1130" w:firstLine="360"/>
        <w:jc w:val="both"/>
      </w:pPr>
      <w:r>
        <w:rPr>
          <w:spacing w:val="-2"/>
        </w:rPr>
        <w:t>本公司长期股权投资的投资成本大于投资时应享有被投资单位可辨认净资产公允价值份额的，不调整长期股权投资的初</w:t>
      </w:r>
      <w:r>
        <w:rPr/>
        <w:t> </w:t>
      </w:r>
      <w:r>
        <w:rPr>
          <w:spacing w:val="-2"/>
        </w:rPr>
        <w:t>始投资成本；长期股权投资的初始投资成本小于投资时应享有被投资单位可辨认净资产公允价值份额的，其差额计入当期损</w:t>
      </w:r>
      <w:r>
        <w:rPr>
          <w:spacing w:val="-63"/>
        </w:rPr>
        <w:t> </w:t>
      </w:r>
      <w:r>
        <w:rPr>
          <w:spacing w:val="-63"/>
        </w:rPr>
      </w:r>
      <w:r>
        <w:rPr/>
        <w:t>益，同时调整长期股权投资的成本。</w:t>
      </w:r>
    </w:p>
    <w:p>
      <w:pPr>
        <w:pStyle w:val="BodyText"/>
        <w:spacing w:line="316" w:lineRule="auto" w:before="19"/>
        <w:ind w:right="0" w:firstLine="360"/>
        <w:jc w:val="left"/>
      </w:pPr>
      <w:r>
        <w:rPr>
          <w:spacing w:val="-2"/>
        </w:rPr>
        <w:t>本公司按照应享有或应分担的被投资单位实现的净损益和其他综合收益的份额，分别确认投资收益和其他综合收益，同</w:t>
      </w:r>
      <w:r>
        <w:rPr/>
        <w:t> </w:t>
      </w:r>
      <w:r>
        <w:rPr>
          <w:spacing w:val="-2"/>
        </w:rPr>
        <w:t>时调整长期股权投资的账面价值；本公司按照被投资单位宣告分派的利润或现金股利计算应享有的部分，相应减少长期股权</w:t>
      </w:r>
      <w:r>
        <w:rPr>
          <w:spacing w:val="-64"/>
        </w:rPr>
        <w:t> </w:t>
      </w:r>
      <w:r>
        <w:rPr>
          <w:spacing w:val="-64"/>
        </w:rPr>
      </w:r>
      <w:r>
        <w:rPr>
          <w:spacing w:val="-2"/>
        </w:rPr>
        <w:t>投资的账面价值；被投资单位除净损益、其他综合收益和利润分配以外所有者权益的其他变动，调整长期股权投资的账面价</w:t>
      </w:r>
      <w:r>
        <w:rPr>
          <w:spacing w:val="-66"/>
        </w:rPr>
        <w:t> </w:t>
      </w:r>
      <w:r>
        <w:rPr>
          <w:spacing w:val="-66"/>
        </w:rPr>
      </w:r>
      <w:r>
        <w:rPr>
          <w:spacing w:val="-4"/>
        </w:rPr>
        <w:t>值并计入所有者权益。在确认应享有被投资单位净损益的份额时，以取得投资时被投资单位可辨认净资产的公允价值为基础，</w:t>
      </w:r>
      <w:r>
        <w:rPr>
          <w:spacing w:val="-44"/>
        </w:rPr>
        <w:t> </w:t>
      </w:r>
      <w:r>
        <w:rPr>
          <w:spacing w:val="-44"/>
        </w:rPr>
      </w:r>
      <w:r>
        <w:rPr>
          <w:spacing w:val="-2"/>
        </w:rPr>
        <w:t>对被投资单位的净利润进行调整后确认。被投资单位采用的会计政策及会计期间与本公司不一致的，应按照本公司的会计政</w:t>
      </w:r>
      <w:r>
        <w:rPr>
          <w:spacing w:val="-64"/>
        </w:rPr>
        <w:t> </w:t>
      </w:r>
      <w:r>
        <w:rPr>
          <w:spacing w:val="-64"/>
        </w:rPr>
      </w:r>
      <w:r>
        <w:rPr>
          <w:spacing w:val="-2"/>
        </w:rPr>
        <w:t>策及会计期间对被投资单位的财务报表进行调整，并据以确认投资收益和其他综合收益等。本公司与联营企业及合营企业之</w:t>
      </w:r>
      <w:r>
        <w:rPr>
          <w:spacing w:val="-64"/>
        </w:rPr>
        <w:t> </w:t>
      </w:r>
      <w:r>
        <w:rPr>
          <w:spacing w:val="-64"/>
        </w:rPr>
      </w:r>
      <w:r>
        <w:rPr>
          <w:spacing w:val="-2"/>
        </w:rPr>
        <w:t>间发生的未实现内部交易损益按照享有的比例计算归属于本公司的部分予以抵销，在此基础上确认投资损益。本公司与被投</w:t>
      </w:r>
      <w:r>
        <w:rPr>
          <w:spacing w:val="-64"/>
        </w:rPr>
        <w:t> </w:t>
      </w:r>
      <w:r>
        <w:rPr>
          <w:spacing w:val="-64"/>
        </w:rPr>
      </w:r>
      <w:r>
        <w:rPr/>
        <w:t>资单位发生的未实行内部交易损失属于资产减值损失的，应全额确认。</w:t>
      </w:r>
    </w:p>
    <w:p>
      <w:pPr>
        <w:pStyle w:val="BodyText"/>
        <w:spacing w:line="316" w:lineRule="auto" w:before="19"/>
        <w:ind w:right="1131" w:firstLine="360"/>
        <w:jc w:val="both"/>
      </w:pPr>
      <w:r>
        <w:rPr>
          <w:spacing w:val="-2"/>
        </w:rPr>
        <w:t>因追加投资等原因能够对被投资单位施加重大影响或实施共同控制但不构成控制的，按照原持有的股权投资的公允价值</w:t>
      </w:r>
      <w:r>
        <w:rPr/>
        <w:t> </w:t>
      </w:r>
      <w:r>
        <w:rPr>
          <w:spacing w:val="-2"/>
        </w:rPr>
        <w:t>加上新增投资成本之和，作为改按权益法核算的初始投资成本。原持有的股权投资分类为可供出售金融资产的，其公允价值</w:t>
      </w:r>
      <w:r>
        <w:rPr>
          <w:spacing w:val="-66"/>
        </w:rPr>
        <w:t> </w:t>
      </w:r>
      <w:r>
        <w:rPr>
          <w:spacing w:val="-66"/>
        </w:rPr>
      </w:r>
      <w:r>
        <w:rPr/>
        <w:t>与账面价值之间的差额，以及原计入其他综合收益的累计公允价值变动应当转入改按权益法核算的当期损益。</w:t>
      </w:r>
    </w:p>
    <w:p>
      <w:pPr>
        <w:pStyle w:val="BodyText"/>
        <w:spacing w:line="319" w:lineRule="auto" w:before="19"/>
        <w:ind w:right="1131" w:firstLine="360"/>
        <w:jc w:val="both"/>
      </w:pPr>
      <w:r>
        <w:rPr>
          <w:spacing w:val="-2"/>
        </w:rPr>
        <w:t>因处置部分股权投资等原因丧失了对被投资单位的共同控制或重大影响的，处置后的剩余股权改按其在丧失共同控制或</w:t>
      </w:r>
      <w:r>
        <w:rPr/>
        <w:t> </w:t>
      </w:r>
      <w:r>
        <w:rPr>
          <w:spacing w:val="-2"/>
        </w:rPr>
        <w:t>重大影响之日的公允价值与账面价值之间的差额计入当期损益。原股权投资因采用权益法核算而确认的其他综合收益，在终</w:t>
      </w:r>
      <w:r>
        <w:rPr>
          <w:spacing w:val="-64"/>
        </w:rPr>
        <w:t> </w:t>
      </w:r>
      <w:r>
        <w:rPr>
          <w:spacing w:val="-64"/>
        </w:rPr>
      </w:r>
      <w:r>
        <w:rPr/>
        <w:t>止采用权益法核算时采用与被投资单位直接处置相关资产或负债相同的基础进行会计处理。</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bookmarkStart w:name="15、投资性房地产" w:id="183"/>
      <w:bookmarkEnd w:id="183"/>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952"/>
        <w:jc w:val="left"/>
      </w:pPr>
      <w:r>
        <w:rPr/>
        <w:t>投资性房地产计量模式 成本法计量 折旧或摊销方法</w:t>
      </w:r>
    </w:p>
    <w:p>
      <w:pPr>
        <w:pStyle w:val="BodyText"/>
        <w:spacing w:line="240" w:lineRule="auto" w:before="25"/>
        <w:ind w:right="0"/>
        <w:jc w:val="left"/>
      </w:pPr>
      <w:r>
        <w:rPr/>
        <w:t>本公司对投资性房地产成本减累计减值及净残值后按直线法计算折旧或摊销。</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16、固定资产" w:id="184"/>
      <w:bookmarkEnd w:id="184"/>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确认条件" w:id="185"/>
      <w:bookmarkEnd w:id="185"/>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3" w:firstLine="360"/>
        <w:jc w:val="both"/>
      </w:pPr>
      <w:r>
        <w:rPr>
          <w:spacing w:val="-2"/>
        </w:rPr>
        <w:t>固定资产是指为提供生产商品、提供劳务、出租或经营管理而持有的使用寿命超过一年的单位价值较高的有形资产。固</w:t>
      </w:r>
      <w:r>
        <w:rPr/>
        <w:t> 定资产在同时满足下列条件时，按取得时的实际成本予以确认：</w:t>
      </w:r>
    </w:p>
    <w:p>
      <w:pPr>
        <w:pStyle w:val="BodyText"/>
        <w:spacing w:line="240" w:lineRule="auto" w:before="58"/>
        <w:ind w:left="1494" w:right="0"/>
        <w:jc w:val="left"/>
      </w:pPr>
      <w:r>
        <w:rPr>
          <w:rFonts w:ascii="Times New Roman" w:hAnsi="Times New Roman" w:cs="Times New Roman" w:eastAsia="Times New Roman" w:hint="default"/>
        </w:rPr>
        <w:t>1</w:t>
      </w:r>
      <w:r>
        <w:rPr/>
        <w:t>）与该固定资产有关的经济利益很可能流入企业。</w:t>
      </w:r>
    </w:p>
    <w:p>
      <w:pPr>
        <w:pStyle w:val="BodyText"/>
        <w:spacing w:line="302" w:lineRule="auto" w:before="101"/>
        <w:ind w:right="1140" w:firstLine="360"/>
        <w:jc w:val="both"/>
      </w:pPr>
      <w:r>
        <w:rPr>
          <w:rFonts w:ascii="Times New Roman" w:hAnsi="Times New Roman" w:cs="Times New Roman" w:eastAsia="Times New Roman" w:hint="default"/>
        </w:rPr>
        <w:t>2</w:t>
      </w:r>
      <w:r>
        <w:rPr/>
        <w:t>）该固定资产的成本能够可靠地计量。固定资产发生的后续支出，符合固定资产确认条件的计入固定资产成本；不符 合固定资产确认条件的在发生时计入当期损益。</w:t>
      </w:r>
    </w:p>
    <w:p>
      <w:pPr>
        <w:spacing w:line="240" w:lineRule="auto" w:before="2"/>
        <w:rPr>
          <w:rFonts w:ascii="宋体" w:hAnsi="宋体" w:cs="宋体" w:eastAsia="宋体" w:hint="default"/>
          <w:sz w:val="23"/>
          <w:szCs w:val="23"/>
        </w:rPr>
      </w:pPr>
    </w:p>
    <w:p>
      <w:pPr>
        <w:pStyle w:val="Heading3"/>
        <w:spacing w:line="240" w:lineRule="auto"/>
        <w:ind w:right="0"/>
        <w:jc w:val="left"/>
        <w:rPr>
          <w:b w:val="0"/>
          <w:bCs w:val="0"/>
        </w:rPr>
      </w:pPr>
      <w:bookmarkStart w:name="（2）折旧方法" w:id="186"/>
      <w:bookmarkEnd w:id="186"/>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162"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年折旧率</w:t>
            </w:r>
          </w:p>
        </w:tc>
      </w:tr>
    </w:tbl>
    <w:p>
      <w:pPr>
        <w:spacing w:after="0" w:line="240" w:lineRule="auto"/>
        <w:jc w:val="left"/>
        <w:rPr>
          <w:rFonts w:ascii="宋体" w:hAnsi="宋体" w:cs="宋体" w:eastAsia="宋体" w:hint="default"/>
          <w:sz w:val="18"/>
          <w:szCs w:val="18"/>
        </w:rPr>
        <w:sectPr>
          <w:pgSz w:w="11910" w:h="16840"/>
          <w:pgMar w:header="566" w:footer="979" w:top="1360" w:bottom="1160" w:left="0" w:right="0"/>
        </w:sectPr>
      </w:pPr>
    </w:p>
    <w:p>
      <w:pPr>
        <w:spacing w:line="240" w:lineRule="auto" w:before="6"/>
        <w:rPr>
          <w:rFonts w:ascii="宋体" w:hAnsi="宋体" w:cs="宋体" w:eastAsia="宋体" w:hint="default"/>
          <w:b/>
          <w:bCs/>
          <w:sz w:val="5"/>
          <w:szCs w:val="5"/>
        </w:rPr>
      </w:pPr>
    </w:p>
    <w:tbl>
      <w:tblPr>
        <w:tblW w:w="0" w:type="auto"/>
        <w:jc w:val="left"/>
        <w:tblInd w:w="1162"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31.67-13.57%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19.00%</w:t>
            </w:r>
          </w:p>
        </w:tc>
      </w:tr>
    </w:tbl>
    <w:p>
      <w:pPr>
        <w:pStyle w:val="BodyText"/>
        <w:spacing w:line="316" w:lineRule="auto" w:before="10"/>
        <w:ind w:right="1132" w:firstLine="360"/>
        <w:jc w:val="both"/>
      </w:pPr>
      <w:r>
        <w:rPr>
          <w:spacing w:val="-2"/>
        </w:rPr>
        <w:t>本公司从固定资产达到预定可使用状态的次月起按年限平均法计提折旧，按固定资产的类别、估计的经济使用年限和预</w:t>
      </w:r>
      <w:r>
        <w:rPr/>
        <w:t> 计的净残值率分别确定折旧年限和年折旧率。</w:t>
      </w:r>
    </w:p>
    <w:p>
      <w:pPr>
        <w:pStyle w:val="BodyText"/>
        <w:spacing w:line="316" w:lineRule="auto" w:before="19"/>
        <w:ind w:left="1493" w:right="0"/>
        <w:jc w:val="left"/>
      </w:pPr>
      <w:r>
        <w:rPr/>
        <w:t>对于已经计提减值准备的固定资产，在计提折旧时扣除已计提的固定资产减值准备。 </w:t>
      </w:r>
      <w:r>
        <w:rPr>
          <w:spacing w:val="-4"/>
        </w:rPr>
        <w:t>每年年度终了，公司对固定资产的使用寿命、预计净残值和折旧方法进行复核。使用寿命预计数与原先估计数有差异的，</w:t>
      </w:r>
    </w:p>
    <w:p>
      <w:pPr>
        <w:pStyle w:val="BodyText"/>
        <w:spacing w:line="240" w:lineRule="auto" w:before="19"/>
        <w:ind w:left="1133" w:right="0"/>
        <w:jc w:val="left"/>
      </w:pPr>
      <w:r>
        <w:rPr/>
        <w:t>调整固定资产使用寿命。</w:t>
      </w:r>
    </w:p>
    <w:p>
      <w:pPr>
        <w:spacing w:line="240" w:lineRule="auto" w:before="12"/>
        <w:rPr>
          <w:rFonts w:ascii="宋体" w:hAnsi="宋体" w:cs="宋体" w:eastAsia="宋体" w:hint="default"/>
          <w:sz w:val="26"/>
          <w:szCs w:val="26"/>
        </w:rPr>
      </w:pPr>
    </w:p>
    <w:p>
      <w:pPr>
        <w:pStyle w:val="Heading3"/>
        <w:spacing w:line="240" w:lineRule="auto"/>
        <w:ind w:left="1133" w:right="0"/>
        <w:jc w:val="left"/>
        <w:rPr>
          <w:b w:val="0"/>
          <w:bCs w:val="0"/>
        </w:rPr>
      </w:pPr>
      <w:bookmarkStart w:name="（3）融资租入固定资产的认定依据、计价和折旧方法" w:id="187"/>
      <w:bookmarkEnd w:id="187"/>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133" w:right="1131" w:firstLine="360"/>
        <w:jc w:val="both"/>
      </w:pPr>
      <w:r>
        <w:rPr>
          <w:spacing w:val="-2"/>
        </w:rPr>
        <w:t>本公司在租入的固定资产实质上转移了与资产有关的全部风险和报酬时确认该项固定资产的租赁为融资租赁。融资租赁</w:t>
      </w:r>
      <w:r>
        <w:rPr/>
        <w:t> </w:t>
      </w:r>
      <w:r>
        <w:rPr>
          <w:spacing w:val="-2"/>
        </w:rPr>
        <w:t>取得的固定资产的成本，按租赁开始日租赁资产公允价值与最低租赁付款额现值两者中较低者确定。融资租入的固定资产采</w:t>
      </w:r>
      <w:r>
        <w:rPr>
          <w:spacing w:val="-64"/>
        </w:rPr>
        <w:t> </w:t>
      </w:r>
      <w:r>
        <w:rPr>
          <w:spacing w:val="-64"/>
        </w:rPr>
      </w:r>
      <w:r>
        <w:rPr>
          <w:spacing w:val="-2"/>
        </w:rPr>
        <w:t>用与自有固定资产相一致的折旧政策计提租赁资产折旧。能够合理确定租赁期届满时将会取得租赁资产所有权的，在租赁资</w:t>
      </w:r>
      <w:r>
        <w:rPr>
          <w:spacing w:val="-64"/>
        </w:rPr>
        <w:t> </w:t>
      </w:r>
      <w:r>
        <w:rPr>
          <w:spacing w:val="-64"/>
        </w:rPr>
      </w:r>
      <w:r>
        <w:rPr>
          <w:spacing w:val="-2"/>
        </w:rPr>
        <w:t>产使用年限内计提折旧；无法合理确定租赁期届满时能够取得租赁资产所有权的，在租赁期与租赁资产使用寿命两者中较短</w:t>
      </w:r>
      <w:r>
        <w:rPr>
          <w:spacing w:val="-64"/>
        </w:rPr>
        <w:t> </w:t>
      </w:r>
      <w:r>
        <w:rPr>
          <w:spacing w:val="-64"/>
        </w:rPr>
      </w:r>
      <w:r>
        <w:rPr/>
        <w:t>的期间内计提折旧。</w:t>
      </w:r>
    </w:p>
    <w:p>
      <w:pPr>
        <w:spacing w:line="240" w:lineRule="auto" w:before="4"/>
        <w:rPr>
          <w:rFonts w:ascii="宋体" w:hAnsi="宋体" w:cs="宋体" w:eastAsia="宋体" w:hint="default"/>
          <w:sz w:val="22"/>
          <w:szCs w:val="22"/>
        </w:rPr>
      </w:pPr>
    </w:p>
    <w:p>
      <w:pPr>
        <w:pStyle w:val="Heading3"/>
        <w:spacing w:line="240" w:lineRule="auto"/>
        <w:ind w:left="1133" w:right="0"/>
        <w:jc w:val="left"/>
        <w:rPr>
          <w:b w:val="0"/>
          <w:bCs w:val="0"/>
        </w:rPr>
      </w:pPr>
      <w:bookmarkStart w:name="17、在建工程" w:id="188"/>
      <w:bookmarkEnd w:id="188"/>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）在建工程以立项项目分类核算。</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）在建工程结转为固定资产的标准和时点：</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0" w:firstLine="360"/>
        <w:jc w:val="both"/>
      </w:pPr>
      <w:r>
        <w:rPr>
          <w:spacing w:val="-2"/>
        </w:rPr>
        <w:t>在建工程项目按建造该项资产达到预定可使用状态前所发生的全部支出，作为固定资产的入账价值。包括建筑费用、机</w:t>
      </w:r>
      <w:r>
        <w:rPr/>
        <w:t> </w:t>
      </w:r>
      <w:r>
        <w:rPr>
          <w:spacing w:val="-2"/>
        </w:rPr>
        <w:t>器设备原价、其他为使在建工程达到预定可使用状态所发生的必要支出以及在资产达到预定可使用状态之前为该项目专门借</w:t>
      </w:r>
      <w:r>
        <w:rPr>
          <w:spacing w:val="-64"/>
        </w:rPr>
        <w:t> </w:t>
      </w:r>
      <w:r>
        <w:rPr>
          <w:spacing w:val="-64"/>
        </w:rPr>
      </w:r>
      <w:r>
        <w:rPr>
          <w:spacing w:val="-2"/>
        </w:rPr>
        <w:t>款所发生的借款费用及占用的一般借款发生的借款费用。本公司在工程安装或建设完成达到预定可使用状态时将在建工程转</w:t>
      </w:r>
      <w:r>
        <w:rPr>
          <w:spacing w:val="-63"/>
        </w:rPr>
        <w:t> </w:t>
      </w:r>
      <w:r>
        <w:rPr>
          <w:spacing w:val="-63"/>
        </w:rPr>
      </w:r>
      <w:r>
        <w:rPr>
          <w:spacing w:val="-2"/>
        </w:rPr>
        <w:t>入固定资产。所建造的已达到预定可使用状态、但尚未办理竣工决算的固定资产，自达到预定可使用状态之日起，根据工程</w:t>
      </w:r>
      <w:r>
        <w:rPr>
          <w:spacing w:val="-66"/>
        </w:rPr>
        <w:t> </w:t>
      </w:r>
      <w:r>
        <w:rPr>
          <w:spacing w:val="-66"/>
        </w:rPr>
      </w:r>
      <w:r>
        <w:rPr>
          <w:spacing w:val="-2"/>
        </w:rPr>
        <w:t>预算、造价或者工程实际成本等，按估计的价值转入固定资产，并按本公司固定资产折旧政策计提固定资产的折旧，待办理</w:t>
      </w:r>
      <w:r>
        <w:rPr>
          <w:spacing w:val="-66"/>
        </w:rPr>
        <w:t> </w:t>
      </w:r>
      <w:r>
        <w:rPr>
          <w:spacing w:val="-66"/>
        </w:rPr>
      </w:r>
      <w:r>
        <w:rPr/>
        <w:t>竣工决算后，再按实际成本调整原来的暂估价值，但不调整原已计提的折旧额。</w:t>
      </w:r>
    </w:p>
    <w:p>
      <w:pPr>
        <w:spacing w:line="240" w:lineRule="auto" w:before="7"/>
        <w:rPr>
          <w:rFonts w:ascii="宋体" w:hAnsi="宋体" w:cs="宋体" w:eastAsia="宋体" w:hint="default"/>
          <w:sz w:val="22"/>
          <w:szCs w:val="22"/>
        </w:rPr>
      </w:pPr>
    </w:p>
    <w:p>
      <w:pPr>
        <w:pStyle w:val="Heading3"/>
        <w:spacing w:line="240" w:lineRule="auto"/>
        <w:ind w:left="1133" w:right="0"/>
        <w:jc w:val="left"/>
        <w:rPr>
          <w:b w:val="0"/>
          <w:bCs w:val="0"/>
        </w:rPr>
      </w:pPr>
      <w:bookmarkStart w:name="18、借款费用" w:id="189"/>
      <w:bookmarkEnd w:id="189"/>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）借款费用资本化的确认原则和资本化期间</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9" w:firstLine="360"/>
        <w:jc w:val="both"/>
      </w:pPr>
      <w:r>
        <w:rPr/>
        <w:t>本公司发生的可直接归属于符合资本化条件的资产的购建或生产的借款费用在同时满足下列条件时予以资本化计入相 关资产成本：</w:t>
      </w:r>
    </w:p>
    <w:p>
      <w:pPr>
        <w:pStyle w:val="BodyText"/>
        <w:spacing w:line="240" w:lineRule="auto" w:before="19"/>
        <w:ind w:left="1494" w:right="0"/>
        <w:jc w:val="left"/>
      </w:pPr>
      <w:r>
        <w:rPr>
          <w:rFonts w:ascii="Times New Roman" w:hAnsi="Times New Roman" w:cs="Times New Roman" w:eastAsia="Times New Roman" w:hint="default"/>
        </w:rPr>
        <w:t>1</w:t>
      </w:r>
      <w:r>
        <w:rPr/>
        <w:t>）资产支出已经发生。</w:t>
      </w:r>
    </w:p>
    <w:p>
      <w:pPr>
        <w:pStyle w:val="BodyText"/>
        <w:spacing w:line="240" w:lineRule="auto" w:before="63"/>
        <w:ind w:left="1494" w:right="0"/>
        <w:jc w:val="left"/>
      </w:pPr>
      <w:r>
        <w:rPr>
          <w:rFonts w:ascii="Times New Roman" w:hAnsi="Times New Roman" w:cs="Times New Roman" w:eastAsia="Times New Roman" w:hint="default"/>
        </w:rPr>
        <w:t>2</w:t>
      </w:r>
      <w:r>
        <w:rPr/>
        <w:t>）借款费用已经发生。</w:t>
      </w:r>
    </w:p>
    <w:p>
      <w:pPr>
        <w:pStyle w:val="BodyText"/>
        <w:spacing w:line="309" w:lineRule="auto" w:before="63"/>
        <w:ind w:left="1493" w:right="0"/>
        <w:jc w:val="left"/>
      </w:pPr>
      <w:r>
        <w:rPr>
          <w:rFonts w:ascii="Times New Roman" w:hAnsi="Times New Roman" w:cs="Times New Roman" w:eastAsia="Times New Roman" w:hint="default"/>
        </w:rPr>
        <w:t>3</w:t>
      </w:r>
      <w:r>
        <w:rPr/>
        <w:t>）为使资产达到预定可使用状态所必要的购建或者生产活动已经开始。 其他的借款利息、折价或溢价和汇兑差额，计入发生当期的损益。 </w:t>
      </w:r>
      <w:r>
        <w:rPr>
          <w:spacing w:val="-2"/>
        </w:rPr>
        <w:t>符合资本化条件的资产在购建或者生产过程中发生非正常中断，且中断时间连续超过</w:t>
      </w:r>
      <w:r>
        <w:rPr>
          <w:rFonts w:ascii="Times New Roman" w:hAnsi="Times New Roman" w:cs="Times New Roman" w:eastAsia="Times New Roman" w:hint="default"/>
          <w:spacing w:val="-2"/>
        </w:rPr>
        <w:t>3</w:t>
      </w:r>
      <w:r>
        <w:rPr>
          <w:spacing w:val="-2"/>
        </w:rPr>
        <w:t>个月的，暂停借款费用的资本化。</w:t>
      </w:r>
    </w:p>
    <w:p>
      <w:pPr>
        <w:spacing w:after="0" w:line="309" w:lineRule="auto"/>
        <w:jc w:val="left"/>
        <w:sectPr>
          <w:pgSz w:w="11910" w:h="16840"/>
          <w:pgMar w:header="566" w:footer="979" w:top="1360" w:bottom="1160" w:left="0" w:right="0"/>
        </w:sectPr>
      </w:pPr>
    </w:p>
    <w:p>
      <w:pPr>
        <w:pStyle w:val="BodyText"/>
        <w:spacing w:line="316" w:lineRule="auto" w:before="81"/>
        <w:ind w:right="1132" w:firstLine="360"/>
        <w:jc w:val="both"/>
      </w:pPr>
      <w:r>
        <w:rPr>
          <w:spacing w:val="-2"/>
        </w:rPr>
        <w:t>当购建或者生产符合资本化条件的资产达到预定可使用或者可销售状态时，停止其借款费用的资本化；以后发生的借款</w:t>
      </w:r>
      <w:r>
        <w:rPr/>
        <w:t> 费用于发生当期确认为费用。</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）借款费用资本化率以及资本化金额的计算方法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360"/>
        <w:jc w:val="both"/>
      </w:pPr>
      <w:r>
        <w:rPr>
          <w:spacing w:val="-2"/>
        </w:rPr>
        <w:t>为购建或者生产符合资本化条件的资产而借入专门借款的，以专门借款当期实际发生的利息费用，减去将尚未动用的借</w:t>
      </w:r>
      <w:r>
        <w:rPr/>
        <w:t> 款资金存入银行取得的利息收入或者进行暂时性投资取得的投资收益后的金额，确定为专门借款利息费用的资本化金额。</w:t>
      </w:r>
    </w:p>
    <w:p>
      <w:pPr>
        <w:pStyle w:val="BodyText"/>
        <w:spacing w:line="316" w:lineRule="auto" w:before="19"/>
        <w:ind w:left="1133" w:right="1131" w:firstLine="360"/>
        <w:jc w:val="both"/>
      </w:pPr>
      <w:r>
        <w:rPr>
          <w:spacing w:val="-2"/>
        </w:rPr>
        <w:t>购建或者生产符合资本化条件的资产占用了一般借款的，一般借款应予资本化的利息金额按累计资产支出超过专门借款</w:t>
      </w:r>
      <w:r>
        <w:rPr/>
        <w:t> </w:t>
      </w:r>
      <w:r>
        <w:rPr>
          <w:spacing w:val="-2"/>
        </w:rPr>
        <w:t>部分的资产支出加权平均数乘以所占用一般借款的资本化率，计算确定一般借款应予资本化的利息金额。资本化率根据一般</w:t>
      </w:r>
      <w:r>
        <w:rPr>
          <w:spacing w:val="-64"/>
        </w:rPr>
        <w:t> </w:t>
      </w:r>
      <w:r>
        <w:rPr>
          <w:spacing w:val="-64"/>
        </w:rPr>
      </w:r>
      <w:r>
        <w:rPr/>
        <w:t>借款加权平均利率计算确定。</w:t>
      </w:r>
    </w:p>
    <w:p>
      <w:pPr>
        <w:spacing w:line="240" w:lineRule="auto" w:before="7"/>
        <w:rPr>
          <w:rFonts w:ascii="宋体" w:hAnsi="宋体" w:cs="宋体" w:eastAsia="宋体" w:hint="default"/>
          <w:sz w:val="22"/>
          <w:szCs w:val="22"/>
        </w:rPr>
      </w:pPr>
    </w:p>
    <w:p>
      <w:pPr>
        <w:pStyle w:val="Heading3"/>
        <w:spacing w:line="240" w:lineRule="auto"/>
        <w:ind w:left="1133" w:right="0"/>
        <w:jc w:val="left"/>
        <w:rPr>
          <w:b w:val="0"/>
          <w:bCs w:val="0"/>
        </w:rPr>
      </w:pPr>
      <w:bookmarkStart w:name="19、生物资产" w:id="190"/>
      <w:bookmarkEnd w:id="190"/>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0、油气资产" w:id="191"/>
      <w:bookmarkEnd w:id="191"/>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1、无形资产" w:id="192"/>
      <w:bookmarkEnd w:id="192"/>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计价方法、使用寿命、减值测试" w:id="193"/>
      <w:bookmarkEnd w:id="193"/>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left="1494" w:right="8142"/>
        <w:jc w:val="left"/>
      </w:pPr>
      <w:r>
        <w:rPr>
          <w:rFonts w:ascii="Times New Roman" w:hAnsi="Times New Roman" w:cs="Times New Roman" w:eastAsia="Times New Roman" w:hint="default"/>
        </w:rPr>
        <w:t>1</w:t>
      </w:r>
      <w:r>
        <w:rPr/>
        <w:t>）无形资产的计价方法 按取得时的实际成本入账。 </w:t>
      </w:r>
      <w:r>
        <w:rPr>
          <w:rFonts w:ascii="Times New Roman" w:hAnsi="Times New Roman" w:cs="Times New Roman" w:eastAsia="Times New Roman" w:hint="default"/>
        </w:rPr>
        <w:t>2</w:t>
      </w:r>
      <w:r>
        <w:rPr/>
        <w:t>）无形资产使用寿命及摊销</w:t>
      </w:r>
    </w:p>
    <w:p>
      <w:pPr>
        <w:pStyle w:val="BodyText"/>
        <w:spacing w:line="240" w:lineRule="auto" w:before="5"/>
        <w:ind w:left="1494" w:right="0"/>
        <w:jc w:val="left"/>
      </w:pPr>
      <w:r>
        <w:rPr/>
        <w:t>①</w:t>
      </w:r>
      <w:r>
        <w:rPr>
          <w:spacing w:val="-19"/>
        </w:rPr>
        <w:t> </w:t>
      </w:r>
      <w:r>
        <w:rPr/>
        <w:t>使用寿命有限的无形资产的使用寿命估计情况：</w:t>
      </w:r>
    </w:p>
    <w:p>
      <w:pPr>
        <w:spacing w:line="240" w:lineRule="auto" w:before="0"/>
        <w:rPr>
          <w:rFonts w:ascii="宋体" w:hAnsi="宋体" w:cs="宋体" w:eastAsia="宋体" w:hint="default"/>
          <w:sz w:val="5"/>
          <w:szCs w:val="5"/>
        </w:rPr>
      </w:pPr>
    </w:p>
    <w:tbl>
      <w:tblPr>
        <w:tblW w:w="0" w:type="auto"/>
        <w:jc w:val="left"/>
        <w:tblInd w:w="1408" w:type="dxa"/>
        <w:tblLayout w:type="fixed"/>
        <w:tblCellMar>
          <w:top w:w="0" w:type="dxa"/>
          <w:left w:w="0" w:type="dxa"/>
          <w:bottom w:w="0" w:type="dxa"/>
          <w:right w:w="0" w:type="dxa"/>
        </w:tblCellMar>
        <w:tblLook w:val="01E0"/>
      </w:tblPr>
      <w:tblGrid>
        <w:gridCol w:w="2836"/>
        <w:gridCol w:w="1560"/>
        <w:gridCol w:w="4678"/>
      </w:tblGrid>
      <w:tr>
        <w:trPr>
          <w:trHeight w:val="467" w:hRule="exact"/>
        </w:trPr>
        <w:tc>
          <w:tcPr>
            <w:tcW w:w="283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预计使用寿命</w:t>
            </w:r>
            <w:r>
              <w:rPr>
                <w:rFonts w:ascii="宋体" w:hAnsi="宋体" w:cs="宋体" w:eastAsia="宋体" w:hint="default"/>
                <w:sz w:val="18"/>
                <w:szCs w:val="18"/>
              </w:rPr>
            </w:r>
          </w:p>
        </w:tc>
        <w:tc>
          <w:tcPr>
            <w:tcW w:w="46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依据</w:t>
            </w:r>
            <w:r>
              <w:rPr>
                <w:rFonts w:ascii="宋体" w:hAnsi="宋体" w:cs="宋体" w:eastAsia="宋体" w:hint="default"/>
                <w:sz w:val="18"/>
                <w:szCs w:val="18"/>
              </w:rPr>
            </w:r>
          </w:p>
        </w:tc>
      </w:tr>
      <w:tr>
        <w:trPr>
          <w:trHeight w:val="468" w:hRule="exact"/>
        </w:trPr>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38</w:t>
            </w:r>
            <w:r>
              <w:rPr>
                <w:rFonts w:ascii="宋体" w:hAnsi="宋体" w:cs="宋体" w:eastAsia="宋体" w:hint="default"/>
                <w:sz w:val="18"/>
                <w:szCs w:val="18"/>
              </w:rPr>
              <w:t>年</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法定使用年限</w:t>
            </w:r>
          </w:p>
        </w:tc>
      </w:tr>
      <w:tr>
        <w:trPr>
          <w:trHeight w:val="467" w:hRule="exact"/>
        </w:trPr>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参考能为公司带来经济利益的期限确定使用寿命</w:t>
            </w:r>
          </w:p>
        </w:tc>
      </w:tr>
      <w:tr>
        <w:trPr>
          <w:trHeight w:val="427" w:hRule="exact"/>
        </w:trPr>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参考能为公司带来经济利益的期限确定使用寿命</w:t>
            </w:r>
          </w:p>
        </w:tc>
      </w:tr>
    </w:tbl>
    <w:p>
      <w:pPr>
        <w:pStyle w:val="BodyText"/>
        <w:spacing w:line="316" w:lineRule="auto" w:before="10"/>
        <w:ind w:right="0" w:firstLine="360"/>
        <w:jc w:val="left"/>
      </w:pPr>
      <w:r>
        <w:rPr>
          <w:spacing w:val="-2"/>
        </w:rPr>
        <w:t>每年年度终了，公司对使用寿命有限的无形资产的使用寿命及摊销方法进行复核。经复核，本期末无形资产的使用寿命</w:t>
      </w:r>
      <w:r>
        <w:rPr/>
        <w:t> 及摊销方法与以前估计未有不同。</w:t>
      </w:r>
    </w:p>
    <w:p>
      <w:pPr>
        <w:pStyle w:val="BodyText"/>
        <w:spacing w:line="316" w:lineRule="auto" w:before="19"/>
        <w:ind w:right="1032" w:firstLine="360"/>
        <w:jc w:val="left"/>
      </w:pPr>
      <w:r>
        <w:rPr/>
        <w:t>②</w:t>
      </w:r>
      <w:r>
        <w:rPr>
          <w:spacing w:val="12"/>
        </w:rPr>
        <w:t> </w:t>
      </w:r>
      <w:r>
        <w:rPr>
          <w:spacing w:val="-2"/>
        </w:rPr>
        <w:t>无法预见无形资产为企业带来经济利益期限的，视为使用寿命不确定的无形资产。对于使用寿命不确定的无形资产，</w:t>
      </w:r>
      <w:r>
        <w:rPr/>
        <w:t> </w:t>
      </w:r>
      <w:r>
        <w:rPr>
          <w:spacing w:val="-2"/>
        </w:rPr>
        <w:t>公司在每年年度终了对使用寿命不确定的无形资产的使用寿命进行复核，如果重新复核后仍为不确定的，于在资产负债表日</w:t>
      </w:r>
      <w:r>
        <w:rPr>
          <w:spacing w:val="-64"/>
        </w:rPr>
        <w:t> </w:t>
      </w:r>
      <w:r>
        <w:rPr>
          <w:spacing w:val="-64"/>
        </w:rPr>
      </w:r>
      <w:r>
        <w:rPr/>
        <w:t>进行减值测试。</w:t>
      </w:r>
    </w:p>
    <w:p>
      <w:pPr>
        <w:pStyle w:val="BodyText"/>
        <w:spacing w:line="316" w:lineRule="auto" w:before="19"/>
        <w:ind w:left="1494" w:right="0"/>
        <w:jc w:val="left"/>
      </w:pPr>
      <w:r>
        <w:rPr/>
        <w:t>③</w:t>
      </w:r>
      <w:r>
        <w:rPr>
          <w:spacing w:val="-17"/>
        </w:rPr>
        <w:t> </w:t>
      </w:r>
      <w:r>
        <w:rPr/>
        <w:t>无形资产的摊销</w:t>
      </w:r>
      <w:r>
        <w:rPr/>
        <w:t> </w:t>
      </w:r>
      <w:r>
        <w:rPr>
          <w:spacing w:val="-2"/>
        </w:rPr>
        <w:t>对于使用寿命有限的无形资产，本公司在取得时判定其使用寿命，在使用寿命内采用直线法系统合理摊销，摊销金额按</w:t>
      </w:r>
    </w:p>
    <w:p>
      <w:pPr>
        <w:pStyle w:val="BodyText"/>
        <w:spacing w:line="319" w:lineRule="auto" w:before="19"/>
        <w:ind w:right="1133"/>
        <w:jc w:val="both"/>
      </w:pPr>
      <w:r>
        <w:rPr>
          <w:spacing w:val="-2"/>
        </w:rPr>
        <w:t>受益项目计入当期损益。具体应摊销金额为其成本扣除预计残值后的金额。已计提减值准备的无形资产，还应扣除已计提的</w:t>
      </w:r>
      <w:r>
        <w:rPr>
          <w:spacing w:val="-66"/>
        </w:rPr>
        <w:t> </w:t>
      </w:r>
      <w:r>
        <w:rPr>
          <w:spacing w:val="-66"/>
        </w:rPr>
      </w:r>
      <w:r>
        <w:rPr>
          <w:spacing w:val="-2"/>
        </w:rPr>
        <w:t>无形资产减值准备累计金额，残值为零。但下列情况除外：有第三方承诺在无形资产使用寿命结束时购买该无形资产或可以</w:t>
      </w:r>
      <w:r>
        <w:rPr>
          <w:spacing w:val="-66"/>
        </w:rPr>
        <w:t> </w:t>
      </w:r>
      <w:r>
        <w:rPr>
          <w:spacing w:val="-66"/>
        </w:rPr>
      </w:r>
      <w:r>
        <w:rPr/>
        <w:t>根据活跃市场得到预计残值信息，并且该市场在无形资产使用寿命结束时很可能存在。</w:t>
      </w:r>
    </w:p>
    <w:p>
      <w:pPr>
        <w:pStyle w:val="BodyText"/>
        <w:spacing w:line="316" w:lineRule="auto" w:before="17"/>
        <w:ind w:left="1133" w:right="0" w:firstLine="360"/>
        <w:jc w:val="left"/>
      </w:pPr>
      <w:r>
        <w:rPr>
          <w:spacing w:val="-2"/>
        </w:rPr>
        <w:t>对使用寿命不确定的无形资产，不予摊销。每年年度终了对使用寿命不确定的无形资产的使用寿命进行复核，如果有证</w:t>
      </w:r>
      <w:r>
        <w:rPr/>
        <w:t> 据表明无形资产的使用寿命是有限的，估计其使用寿命并在预计使用年限内系统合理摊销。</w:t>
      </w:r>
    </w:p>
    <w:p>
      <w:pPr>
        <w:spacing w:after="0" w:line="316" w:lineRule="auto"/>
        <w:jc w:val="left"/>
        <w:sectPr>
          <w:pgSz w:w="11910" w:h="16840"/>
          <w:pgMar w:header="566" w:footer="979" w:top="1360" w:bottom="1160" w:left="0" w:right="0"/>
        </w:sectPr>
      </w:pPr>
    </w:p>
    <w:p>
      <w:pPr>
        <w:pStyle w:val="Heading3"/>
        <w:spacing w:line="240" w:lineRule="auto" w:before="57"/>
        <w:ind w:right="0"/>
        <w:jc w:val="left"/>
        <w:rPr>
          <w:b w:val="0"/>
          <w:bCs w:val="0"/>
        </w:rPr>
      </w:pPr>
      <w:bookmarkStart w:name="（2）内部研究开发支出会计政策" w:id="194"/>
      <w:bookmarkEnd w:id="194"/>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94" w:right="0"/>
        <w:jc w:val="left"/>
      </w:pPr>
      <w:r>
        <w:rPr>
          <w:rFonts w:ascii="Times New Roman" w:hAnsi="Times New Roman" w:cs="Times New Roman" w:eastAsia="Times New Roman" w:hint="default"/>
        </w:rPr>
        <w:t>1</w:t>
      </w:r>
      <w:r>
        <w:rPr/>
        <w:t>）划分内部研究开发项目的研究阶段和开发阶段具体标准</w:t>
      </w:r>
    </w:p>
    <w:p>
      <w:pPr>
        <w:pStyle w:val="BodyText"/>
        <w:spacing w:line="319" w:lineRule="auto" w:before="63"/>
        <w:ind w:right="0" w:firstLine="360"/>
        <w:jc w:val="left"/>
      </w:pPr>
      <w:r>
        <w:rPr>
          <w:spacing w:val="-2"/>
        </w:rPr>
        <w:t>①本公司将为进一步开发活动进行的有计划的调查、准备阶段作为研究阶段，该阶段具有计划性和探索性等特点，无形</w:t>
      </w:r>
      <w:r>
        <w:rPr/>
        <w:t> 资产研究阶段的支出在发生时计入当期损益。</w:t>
      </w:r>
    </w:p>
    <w:p>
      <w:pPr>
        <w:pStyle w:val="BodyText"/>
        <w:spacing w:line="316" w:lineRule="auto" w:before="17"/>
        <w:ind w:right="1032" w:firstLine="360"/>
        <w:jc w:val="left"/>
      </w:pPr>
      <w:r>
        <w:rPr/>
        <w:t>②在本公司已完成研究阶段的工作后再进行的开发活动作为开发阶段。一般为项目立项申请经过研究阶段的研究分析， </w:t>
      </w:r>
      <w:r>
        <w:rPr>
          <w:spacing w:val="-2"/>
        </w:rPr>
        <w:t>评审形成立项报告后，研发项目组完成软件设计、代码编写、系统测试、通过内部的验收评审并完成了产品化需要的各类文</w:t>
      </w:r>
      <w:r>
        <w:rPr>
          <w:spacing w:val="-66"/>
        </w:rPr>
        <w:t> </w:t>
      </w:r>
      <w:r>
        <w:rPr>
          <w:spacing w:val="-66"/>
        </w:rPr>
      </w:r>
      <w:r>
        <w:rPr/>
        <w:t>档等工作，直至达到可使用或可销售状态。该阶段具有针对性和形成成果的可能性较大等特点。</w:t>
      </w:r>
    </w:p>
    <w:p>
      <w:pPr>
        <w:pStyle w:val="BodyText"/>
        <w:spacing w:line="300" w:lineRule="auto" w:before="19"/>
        <w:ind w:left="1494" w:right="5532"/>
        <w:jc w:val="left"/>
      </w:pPr>
      <w:r>
        <w:rPr>
          <w:rFonts w:ascii="Times New Roman" w:hAnsi="Times New Roman" w:cs="Times New Roman" w:eastAsia="Times New Roman" w:hint="default"/>
        </w:rPr>
        <w:t>2</w:t>
      </w:r>
      <w:r>
        <w:rPr/>
        <w:t>）开发阶段支出资本化的具体条件 开发阶段的支出同时满足下列条件时，才能确认为无形资产：</w:t>
      </w:r>
    </w:p>
    <w:p>
      <w:pPr>
        <w:pStyle w:val="BodyText"/>
        <w:spacing w:line="240" w:lineRule="auto" w:before="31"/>
        <w:ind w:left="1494" w:right="0"/>
        <w:jc w:val="left"/>
      </w:pPr>
      <w:r>
        <w:rPr/>
        <w:t>①</w:t>
      </w:r>
      <w:r>
        <w:rPr>
          <w:spacing w:val="-19"/>
        </w:rPr>
        <w:t> </w:t>
      </w:r>
      <w:r>
        <w:rPr/>
        <w:t>完成该无形资产以使其能够使用或出售在技术上具有可行性；</w:t>
      </w:r>
    </w:p>
    <w:p>
      <w:pPr>
        <w:pStyle w:val="BodyText"/>
        <w:spacing w:line="240" w:lineRule="auto" w:before="76"/>
        <w:ind w:left="1494" w:right="0"/>
        <w:jc w:val="left"/>
      </w:pPr>
      <w:r>
        <w:rPr/>
        <w:t>②</w:t>
      </w:r>
      <w:r>
        <w:rPr>
          <w:spacing w:val="-19"/>
        </w:rPr>
        <w:t> </w:t>
      </w:r>
      <w:r>
        <w:rPr/>
        <w:t>具有完成该无形资产并使用或出售的意图；</w:t>
      </w:r>
    </w:p>
    <w:p>
      <w:pPr>
        <w:pStyle w:val="BodyText"/>
        <w:spacing w:line="316" w:lineRule="auto" w:before="76"/>
        <w:ind w:right="1141" w:firstLine="360"/>
        <w:jc w:val="left"/>
      </w:pPr>
      <w:r>
        <w:rPr/>
        <w:t>③</w:t>
      </w:r>
      <w:r>
        <w:rPr>
          <w:spacing w:val="-19"/>
        </w:rPr>
        <w:t> </w:t>
      </w:r>
      <w:r>
        <w:rPr/>
        <w:t>无形资产产生经济利益的方式，包括能够证明运用该无形资产生产的产品存在市场或无形资产自身存在市场，无形</w:t>
      </w:r>
      <w:r>
        <w:rPr/>
        <w:t> 资产将在内部使用的，能够证明其有用性；</w:t>
      </w:r>
    </w:p>
    <w:p>
      <w:pPr>
        <w:pStyle w:val="BodyText"/>
        <w:spacing w:line="240" w:lineRule="auto" w:before="19"/>
        <w:ind w:left="1494" w:right="0"/>
        <w:jc w:val="left"/>
      </w:pPr>
      <w:r>
        <w:rPr/>
        <w:t>④</w:t>
      </w:r>
      <w:r>
        <w:rPr>
          <w:spacing w:val="-19"/>
        </w:rPr>
        <w:t> </w:t>
      </w:r>
      <w:r>
        <w:rPr/>
        <w:t>有足够的技术、财务资源和其他资源支持，以完成该无形资产的开发，并有能力使用或出售该无形资产；</w:t>
      </w:r>
    </w:p>
    <w:p>
      <w:pPr>
        <w:pStyle w:val="BodyText"/>
        <w:spacing w:line="240" w:lineRule="auto" w:before="76"/>
        <w:ind w:left="1494" w:right="0"/>
        <w:jc w:val="left"/>
      </w:pPr>
      <w:r>
        <w:rPr/>
        <w:t>⑤</w:t>
      </w:r>
      <w:r>
        <w:rPr>
          <w:spacing w:val="-19"/>
        </w:rPr>
        <w:t> </w:t>
      </w:r>
      <w:r>
        <w:rPr/>
        <w:t>归属于该无形资产开发阶段的支出能够可靠地计量。</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2、长期资产减值" w:id="195"/>
      <w:bookmarkEnd w:id="195"/>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）长期股权投资减值测试方法及会计处理方法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0" w:firstLine="360"/>
        <w:jc w:val="both"/>
      </w:pPr>
      <w:r>
        <w:rPr>
          <w:spacing w:val="-2"/>
        </w:rPr>
        <w:t>本公司在资产负债表日对长期股权投资进行逐项检查，根据被投资单位经营政策、法律环境、市场需求、行业及盈利能</w:t>
      </w:r>
      <w:r>
        <w:rPr/>
        <w:t> </w:t>
      </w:r>
      <w:r>
        <w:rPr>
          <w:spacing w:val="-2"/>
        </w:rPr>
        <w:t>力等的各种变化判断长期股权投资是否存在减值迹象。当长期股权投资可收回金额低于账面价值时，将可收回金额低于长期</w:t>
      </w:r>
      <w:r>
        <w:rPr>
          <w:spacing w:val="-63"/>
        </w:rPr>
        <w:t> </w:t>
      </w:r>
      <w:r>
        <w:rPr>
          <w:spacing w:val="-63"/>
        </w:rPr>
      </w:r>
      <w:r>
        <w:rPr/>
        <w:t>股权投资账面价值的差额作为长期股权投资减值准备予以计提。资产减值损失一经确认，在以后会计期间不再转回。</w:t>
      </w:r>
    </w:p>
    <w:p>
      <w:pPr>
        <w:spacing w:line="240" w:lineRule="auto" w:before="4"/>
        <w:rPr>
          <w:rFonts w:ascii="宋体" w:hAnsi="宋体" w:cs="宋体" w:eastAsia="宋体" w:hint="default"/>
          <w:sz w:val="22"/>
          <w:szCs w:val="22"/>
        </w:rPr>
      </w:pPr>
    </w:p>
    <w:p>
      <w:pPr>
        <w:pStyle w:val="Heading3"/>
        <w:spacing w:line="240" w:lineRule="auto"/>
        <w:ind w:left="1133" w:right="0"/>
        <w:jc w:val="left"/>
        <w:rPr>
          <w:b w:val="0"/>
          <w:bCs w:val="0"/>
        </w:rPr>
      </w:pPr>
      <w:r>
        <w:rPr/>
        <w:t>（</w:t>
      </w:r>
      <w:r>
        <w:rPr>
          <w:rFonts w:ascii="Times New Roman" w:hAnsi="Times New Roman" w:cs="Times New Roman" w:eastAsia="Times New Roman" w:hint="default"/>
        </w:rPr>
        <w:t>2</w:t>
      </w:r>
      <w:r>
        <w:rPr/>
        <w:t>）投资性房地产减值测试方法及会计处理方法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3" w:right="0" w:firstLine="360"/>
        <w:jc w:val="left"/>
      </w:pPr>
      <w:r>
        <w:rPr>
          <w:spacing w:val="-2"/>
        </w:rPr>
        <w:t>资产负债表日按投资性房产的成本与可收回金额孰低计价，可收回金额低于成本的，按两者的差额计提减值准备。如果</w:t>
      </w:r>
      <w:r>
        <w:rPr/>
        <w:t> 已经计提减值准备的投资性房地产的价值又得以恢复，前期已计提的减值准备不得转回。</w:t>
      </w:r>
    </w:p>
    <w:p>
      <w:pPr>
        <w:spacing w:line="240" w:lineRule="auto" w:before="6"/>
        <w:rPr>
          <w:rFonts w:ascii="宋体" w:hAnsi="宋体" w:cs="宋体" w:eastAsia="宋体" w:hint="default"/>
          <w:sz w:val="22"/>
          <w:szCs w:val="22"/>
        </w:rPr>
      </w:pPr>
    </w:p>
    <w:p>
      <w:pPr>
        <w:pStyle w:val="Heading3"/>
        <w:spacing w:line="240" w:lineRule="auto"/>
        <w:ind w:left="1133" w:right="0"/>
        <w:jc w:val="left"/>
        <w:rPr>
          <w:b w:val="0"/>
          <w:bCs w:val="0"/>
        </w:rPr>
      </w:pPr>
      <w:r>
        <w:rPr/>
        <w:t>（</w:t>
      </w:r>
      <w:r>
        <w:rPr>
          <w:rFonts w:ascii="Times New Roman" w:hAnsi="Times New Roman" w:cs="Times New Roman" w:eastAsia="Times New Roman" w:hint="default"/>
        </w:rPr>
        <w:t>3</w:t>
      </w:r>
      <w:r>
        <w:rPr/>
        <w:t>）固定资产的减值测试方法及会计处理方法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2" w:firstLine="360"/>
        <w:jc w:val="left"/>
      </w:pPr>
      <w:r>
        <w:rPr>
          <w:spacing w:val="-2"/>
        </w:rPr>
        <w:t>本公司在资产负债表日对各项固定资产进行判断，当存在减值迹象，估计可收回金额低于其账面价值时，账面价值减记</w:t>
      </w:r>
      <w:r>
        <w:rPr/>
        <w:t> 至可收回金额，减记的金额确认为资产减值损失，计入当期损益，同时计提相应的资产减值准备。资产减值损失一经确认， 在以后会计期间不再转回。当存在下列迹象的，按固定资产单项项目全额计提减值准备：</w:t>
      </w:r>
    </w:p>
    <w:p>
      <w:pPr>
        <w:pStyle w:val="BodyText"/>
        <w:spacing w:line="240" w:lineRule="auto" w:before="19"/>
        <w:ind w:left="1493" w:right="0"/>
        <w:jc w:val="left"/>
      </w:pPr>
      <w:r>
        <w:rPr>
          <w:rFonts w:ascii="Times New Roman" w:hAnsi="Times New Roman" w:cs="Times New Roman" w:eastAsia="Times New Roman" w:hint="default"/>
        </w:rPr>
        <w:t>1</w:t>
      </w:r>
      <w:r>
        <w:rPr/>
        <w:t>）长期闲置不用，在可预见的未来不会再使用，且已无转让价值的固定资产。</w:t>
      </w:r>
    </w:p>
    <w:p>
      <w:pPr>
        <w:pStyle w:val="BodyText"/>
        <w:spacing w:line="240" w:lineRule="auto" w:before="63"/>
        <w:ind w:left="1493" w:right="0"/>
        <w:jc w:val="left"/>
      </w:pPr>
      <w:r>
        <w:rPr>
          <w:rFonts w:ascii="Times New Roman" w:hAnsi="Times New Roman" w:cs="Times New Roman" w:eastAsia="Times New Roman" w:hint="default"/>
        </w:rPr>
        <w:t>2</w:t>
      </w:r>
      <w:r>
        <w:rPr/>
        <w:t>）由于技术进步等原因，已不可使用的固定资产。</w:t>
      </w:r>
    </w:p>
    <w:p>
      <w:pPr>
        <w:pStyle w:val="BodyText"/>
        <w:spacing w:line="240" w:lineRule="auto" w:before="63"/>
        <w:ind w:left="1494" w:right="0"/>
        <w:jc w:val="left"/>
      </w:pPr>
      <w:r>
        <w:rPr>
          <w:rFonts w:ascii="Times New Roman" w:hAnsi="Times New Roman" w:cs="Times New Roman" w:eastAsia="Times New Roman" w:hint="default"/>
        </w:rPr>
        <w:t>3</w:t>
      </w:r>
      <w:r>
        <w:rPr/>
        <w:t>）虽然固定资产尚可使用，但使用后产生大量不合格品的固定资产。</w:t>
      </w:r>
    </w:p>
    <w:p>
      <w:pPr>
        <w:pStyle w:val="BodyText"/>
        <w:spacing w:line="240" w:lineRule="auto" w:before="63"/>
        <w:ind w:left="1493" w:right="0"/>
        <w:jc w:val="left"/>
      </w:pPr>
      <w:r>
        <w:rPr>
          <w:rFonts w:ascii="Times New Roman" w:hAnsi="Times New Roman" w:cs="Times New Roman" w:eastAsia="Times New Roman" w:hint="default"/>
        </w:rPr>
        <w:t>4</w:t>
      </w:r>
      <w:r>
        <w:rPr/>
        <w:t>）已遭毁损，以至于不再具有使用价值和转让价值的固定资产。</w:t>
      </w:r>
    </w:p>
    <w:p>
      <w:pPr>
        <w:pStyle w:val="BodyText"/>
        <w:spacing w:line="240" w:lineRule="auto" w:before="63"/>
        <w:ind w:left="1493" w:right="0"/>
        <w:jc w:val="left"/>
      </w:pPr>
      <w:r>
        <w:rPr>
          <w:rFonts w:ascii="Times New Roman" w:hAnsi="Times New Roman" w:cs="Times New Roman" w:eastAsia="Times New Roman" w:hint="default"/>
        </w:rPr>
        <w:t>5</w:t>
      </w:r>
      <w:r>
        <w:rPr/>
        <w:t>）其他实质上已经不能再给公司带来经济利益的固定资产。</w:t>
      </w:r>
    </w:p>
    <w:p>
      <w:pPr>
        <w:spacing w:line="240" w:lineRule="auto" w:before="11"/>
        <w:rPr>
          <w:rFonts w:ascii="宋体" w:hAnsi="宋体" w:cs="宋体" w:eastAsia="宋体" w:hint="default"/>
          <w:sz w:val="25"/>
          <w:szCs w:val="25"/>
        </w:rPr>
      </w:pPr>
    </w:p>
    <w:p>
      <w:pPr>
        <w:pStyle w:val="Heading3"/>
        <w:spacing w:line="240" w:lineRule="auto"/>
        <w:ind w:left="1133" w:right="0"/>
        <w:jc w:val="left"/>
        <w:rPr>
          <w:b w:val="0"/>
          <w:bCs w:val="0"/>
        </w:rPr>
      </w:pPr>
      <w:r>
        <w:rPr/>
        <w:t>（</w:t>
      </w:r>
      <w:r>
        <w:rPr>
          <w:rFonts w:ascii="Times New Roman" w:hAnsi="Times New Roman" w:cs="Times New Roman" w:eastAsia="Times New Roman" w:hint="default"/>
        </w:rPr>
        <w:t>4</w:t>
      </w:r>
      <w:r>
        <w:rPr/>
        <w:t>）在建工程减值测试方法及会计处理方法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2" w:firstLine="360"/>
        <w:jc w:val="left"/>
      </w:pPr>
      <w:r>
        <w:rPr>
          <w:spacing w:val="-2"/>
        </w:rPr>
        <w:t>本公司于资产负债表日对在建工程进行全面检查，如果有证据表明在建工程已经发生了减值，估计可收回金额低于其账</w:t>
      </w:r>
      <w:r>
        <w:rPr/>
        <w:t> 面价值时，账面价值减记至可收回金额，减记的金额确认为资产减值损失，计入当期损益，同时计提相应的资产减值准备。</w:t>
      </w:r>
    </w:p>
    <w:p>
      <w:pPr>
        <w:spacing w:after="0" w:line="316" w:lineRule="auto"/>
        <w:jc w:val="left"/>
        <w:sectPr>
          <w:pgSz w:w="11910" w:h="16840"/>
          <w:pgMar w:header="566" w:footer="979" w:top="1360" w:bottom="1160" w:left="0" w:right="0"/>
        </w:sectPr>
      </w:pPr>
    </w:p>
    <w:p>
      <w:pPr>
        <w:pStyle w:val="BodyText"/>
        <w:spacing w:line="240" w:lineRule="auto" w:before="81"/>
        <w:ind w:right="0"/>
        <w:jc w:val="left"/>
      </w:pPr>
      <w:r>
        <w:rPr/>
        <w:t>资产减值损失一经确认，在以后会计期间不再转回。存在下列一项或若干项情况的，对在建工程进行减值测试：</w:t>
      </w:r>
    </w:p>
    <w:p>
      <w:pPr>
        <w:pStyle w:val="BodyText"/>
        <w:spacing w:line="240" w:lineRule="auto" w:before="76"/>
        <w:ind w:left="1493" w:right="0"/>
        <w:jc w:val="left"/>
      </w:pPr>
      <w:r>
        <w:rPr>
          <w:rFonts w:ascii="Times New Roman" w:hAnsi="Times New Roman" w:cs="Times New Roman" w:eastAsia="Times New Roman" w:hint="default"/>
        </w:rPr>
        <w:t>1</w:t>
      </w:r>
      <w:r>
        <w:rPr/>
        <w:t>）长期停建并且预计在未来</w:t>
      </w:r>
      <w:r>
        <w:rPr>
          <w:rFonts w:ascii="Times New Roman" w:hAnsi="Times New Roman" w:cs="Times New Roman" w:eastAsia="Times New Roman" w:hint="default"/>
        </w:rPr>
        <w:t>3</w:t>
      </w:r>
      <w:r>
        <w:rPr/>
        <w:t>年内不会重新开工的在建工程。</w:t>
      </w:r>
    </w:p>
    <w:p>
      <w:pPr>
        <w:pStyle w:val="BodyText"/>
        <w:spacing w:line="240" w:lineRule="auto" w:before="63"/>
        <w:ind w:left="1494" w:right="0"/>
        <w:jc w:val="left"/>
      </w:pPr>
      <w:r>
        <w:rPr>
          <w:rFonts w:ascii="Times New Roman" w:hAnsi="Times New Roman" w:cs="Times New Roman" w:eastAsia="Times New Roman" w:hint="default"/>
        </w:rPr>
        <w:t>2</w:t>
      </w:r>
      <w:r>
        <w:rPr/>
        <w:t>）所建项目无论在性能上，还是在技术上已经落后，并且给企业带来的经济利益具有很大的不确定性。</w:t>
      </w:r>
    </w:p>
    <w:p>
      <w:pPr>
        <w:pStyle w:val="BodyText"/>
        <w:spacing w:line="240" w:lineRule="auto" w:before="63"/>
        <w:ind w:left="1493" w:right="0"/>
        <w:jc w:val="left"/>
      </w:pPr>
      <w:r>
        <w:rPr>
          <w:rFonts w:ascii="Times New Roman" w:hAnsi="Times New Roman" w:cs="Times New Roman" w:eastAsia="Times New Roman" w:hint="default"/>
        </w:rPr>
        <w:t>3</w:t>
      </w:r>
      <w:r>
        <w:rPr/>
        <w:t>）其他足以证明在建工程已经发生减值的情形。</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）无形资产减值测试方法及会计处理方法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2" w:firstLine="360"/>
        <w:jc w:val="left"/>
      </w:pPr>
      <w:r>
        <w:rPr/>
        <w:t>当无形资产的可收回金额低于其账面价值时，将资产的账面价值减记至可收回金额，减记的金额确认为资产减值损失， </w:t>
      </w:r>
      <w:r>
        <w:rPr>
          <w:spacing w:val="-2"/>
        </w:rPr>
        <w:t>计入当期损益，同时计提相应的无形资产减值准备。无形资产减值损失一经确认，在以后会计期间不再转回。存在下列一项</w:t>
      </w:r>
      <w:r>
        <w:rPr>
          <w:spacing w:val="-66"/>
        </w:rPr>
        <w:t> </w:t>
      </w:r>
      <w:r>
        <w:rPr>
          <w:spacing w:val="-66"/>
        </w:rPr>
      </w:r>
      <w:r>
        <w:rPr/>
        <w:t>或多项以下情况的，对无形资产进行减值测试：</w:t>
      </w:r>
    </w:p>
    <w:p>
      <w:pPr>
        <w:pStyle w:val="BodyText"/>
        <w:spacing w:line="240" w:lineRule="auto" w:before="19"/>
        <w:ind w:left="1494" w:right="0"/>
        <w:jc w:val="left"/>
      </w:pPr>
      <w:r>
        <w:rPr>
          <w:rFonts w:ascii="Times New Roman" w:hAnsi="Times New Roman" w:cs="Times New Roman" w:eastAsia="Times New Roman" w:hint="default"/>
        </w:rPr>
        <w:t>1</w:t>
      </w:r>
      <w:r>
        <w:rPr/>
        <w:t>）该无形资产已被其他新技术等所替代，使其为企业创造经济利益的能力受到重大不利影响。</w:t>
      </w:r>
    </w:p>
    <w:p>
      <w:pPr>
        <w:pStyle w:val="BodyText"/>
        <w:spacing w:line="240" w:lineRule="auto" w:before="63"/>
        <w:ind w:left="1493" w:right="0"/>
        <w:jc w:val="left"/>
      </w:pPr>
      <w:r>
        <w:rPr>
          <w:rFonts w:ascii="Times New Roman" w:hAnsi="Times New Roman" w:cs="Times New Roman" w:eastAsia="Times New Roman" w:hint="default"/>
        </w:rPr>
        <w:t>2</w:t>
      </w:r>
      <w:r>
        <w:rPr/>
        <w:t>）该无形资产的市价在当期大幅下跌，并在剩余年限内可能不会回升。</w:t>
      </w:r>
    </w:p>
    <w:p>
      <w:pPr>
        <w:pStyle w:val="BodyText"/>
        <w:spacing w:line="240" w:lineRule="auto" w:before="63"/>
        <w:ind w:left="1493" w:right="0"/>
        <w:jc w:val="left"/>
      </w:pPr>
      <w:r>
        <w:rPr>
          <w:rFonts w:ascii="Times New Roman" w:hAnsi="Times New Roman" w:cs="Times New Roman" w:eastAsia="Times New Roman" w:hint="default"/>
        </w:rPr>
        <w:t>3</w:t>
      </w:r>
      <w:r>
        <w:rPr/>
        <w:t>）其他足以表明该无形资产的账面价值已超过可收回金额的情况。</w:t>
      </w:r>
    </w:p>
    <w:p>
      <w:pPr>
        <w:spacing w:line="240" w:lineRule="auto" w:before="10"/>
        <w:rPr>
          <w:rFonts w:ascii="宋体" w:hAnsi="宋体" w:cs="宋体" w:eastAsia="宋体" w:hint="default"/>
          <w:sz w:val="25"/>
          <w:szCs w:val="25"/>
        </w:rPr>
      </w:pPr>
    </w:p>
    <w:p>
      <w:pPr>
        <w:pStyle w:val="Heading3"/>
        <w:spacing w:line="240" w:lineRule="auto"/>
        <w:ind w:left="1133" w:right="0"/>
        <w:jc w:val="left"/>
        <w:rPr>
          <w:b w:val="0"/>
          <w:bCs w:val="0"/>
        </w:rPr>
      </w:pPr>
      <w:r>
        <w:rPr/>
        <w:t>（</w:t>
      </w:r>
      <w:r>
        <w:rPr>
          <w:rFonts w:ascii="Times New Roman" w:hAnsi="Times New Roman" w:cs="Times New Roman" w:eastAsia="Times New Roman" w:hint="default"/>
        </w:rPr>
        <w:t>6</w:t>
      </w:r>
      <w:r>
        <w:rPr/>
        <w:t>）商誉减值测试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pPr>
      <w:r>
        <w:rPr>
          <w:spacing w:val="-2"/>
        </w:rPr>
        <w:t>企业合并形成的商誉，至少在每年年度终了进行减值测试。本公司在对包含商誉的相关资产组或者资产组组合进行减值</w:t>
      </w:r>
      <w:r>
        <w:rPr/>
        <w:t> 测试时，如与商誉相关的资产组或者资产组组合存在减值迹象的，按以下步骤处理：</w:t>
      </w:r>
    </w:p>
    <w:p>
      <w:pPr>
        <w:pStyle w:val="BodyText"/>
        <w:spacing w:line="319" w:lineRule="auto" w:before="19"/>
        <w:ind w:left="1133" w:right="1131" w:firstLine="360"/>
        <w:jc w:val="both"/>
      </w:pPr>
      <w:r>
        <w:rPr>
          <w:spacing w:val="-2"/>
        </w:rPr>
        <w:t>首先对不包含商誉的资产组或者资产组组合进行减值测试，计算可收回金额，并与相关资产账面价值比较，确认相应的</w:t>
      </w:r>
      <w:r>
        <w:rPr/>
        <w:t> </w:t>
      </w:r>
      <w:r>
        <w:rPr>
          <w:spacing w:val="-5"/>
        </w:rPr>
        <w:t>减值损失；然后再对包含商誉的资产组或者资产组这组合进行减值测试，比较这些相关资产组或者资产组组合的账面价值（包</w:t>
      </w:r>
      <w:r>
        <w:rPr>
          <w:spacing w:val="-79"/>
        </w:rPr>
        <w:t> </w:t>
      </w:r>
      <w:r>
        <w:rPr>
          <w:spacing w:val="-79"/>
        </w:rPr>
      </w:r>
      <w:r>
        <w:rPr>
          <w:spacing w:val="-2"/>
        </w:rPr>
        <w:t>括所分摊的商誉的账面价值部分）与其可收回金额，如相关资产组或者资产组组合的可收回金额低于其账面价值的，就其差</w:t>
      </w:r>
      <w:r>
        <w:rPr>
          <w:spacing w:val="-65"/>
        </w:rPr>
        <w:t> </w:t>
      </w:r>
      <w:r>
        <w:rPr>
          <w:spacing w:val="-65"/>
        </w:rPr>
      </w:r>
      <w:r>
        <w:rPr>
          <w:spacing w:val="-2"/>
        </w:rPr>
        <w:t>额确认减值损失。减值损失金额首先抵减分摊至资产组或者资产组组合中商誉的账面价值；再根据资产组或者资产组组合中</w:t>
      </w:r>
      <w:r>
        <w:rPr>
          <w:spacing w:val="-64"/>
        </w:rPr>
        <w:t> </w:t>
      </w:r>
      <w:r>
        <w:rPr>
          <w:spacing w:val="-64"/>
        </w:rPr>
      </w:r>
      <w:r>
        <w:rPr/>
        <w:t>除商誉之外的其他各项资产的账面价值所占比重，按比例抵减其他各项资产的账面价值。</w:t>
      </w:r>
    </w:p>
    <w:p>
      <w:pPr>
        <w:spacing w:line="240" w:lineRule="auto" w:before="5"/>
        <w:rPr>
          <w:rFonts w:ascii="宋体" w:hAnsi="宋体" w:cs="宋体" w:eastAsia="宋体" w:hint="default"/>
          <w:sz w:val="22"/>
          <w:szCs w:val="22"/>
        </w:rPr>
      </w:pPr>
    </w:p>
    <w:p>
      <w:pPr>
        <w:pStyle w:val="Heading3"/>
        <w:spacing w:line="240" w:lineRule="auto"/>
        <w:ind w:left="1133" w:right="0"/>
        <w:jc w:val="left"/>
        <w:rPr>
          <w:b w:val="0"/>
          <w:bCs w:val="0"/>
        </w:rPr>
      </w:pPr>
      <w:bookmarkStart w:name="23、长期待摊费用" w:id="196"/>
      <w:bookmarkEnd w:id="196"/>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1493" w:right="2653"/>
        <w:jc w:val="left"/>
      </w:pPr>
      <w:r>
        <w:rPr/>
        <w:t>长期待摊费用核算本公司已经发生但应由本期和以后各期负担的分摊期限在一年以上的各项费用。 本公司长期待摊费用在受益期内平均摊销。</w:t>
      </w:r>
    </w:p>
    <w:p>
      <w:pPr>
        <w:spacing w:line="240" w:lineRule="auto" w:before="12"/>
        <w:rPr>
          <w:rFonts w:ascii="宋体" w:hAnsi="宋体" w:cs="宋体" w:eastAsia="宋体" w:hint="default"/>
          <w:sz w:val="19"/>
          <w:szCs w:val="19"/>
        </w:rPr>
      </w:pPr>
    </w:p>
    <w:p>
      <w:pPr>
        <w:pStyle w:val="Heading3"/>
        <w:spacing w:line="240" w:lineRule="auto"/>
        <w:ind w:left="1133" w:right="0"/>
        <w:jc w:val="left"/>
        <w:rPr>
          <w:b w:val="0"/>
          <w:bCs w:val="0"/>
        </w:rPr>
      </w:pPr>
      <w:bookmarkStart w:name="24、职工薪酬" w:id="197"/>
      <w:bookmarkEnd w:id="197"/>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短期薪酬的会计处理方法" w:id="198"/>
      <w:bookmarkEnd w:id="198"/>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left="1494" w:right="0"/>
        <w:jc w:val="left"/>
      </w:pPr>
      <w:r>
        <w:rPr>
          <w:rFonts w:ascii="Times New Roman" w:hAnsi="Times New Roman" w:cs="Times New Roman" w:eastAsia="Times New Roman" w:hint="default"/>
        </w:rPr>
        <w:t>1</w:t>
      </w:r>
      <w:r>
        <w:rPr/>
        <w:t>）职工基本薪酬（工资、奖金、津贴、补贴） </w:t>
      </w:r>
      <w:r>
        <w:rPr>
          <w:spacing w:val="-2"/>
        </w:rPr>
        <w:t>本公司在职工为其提供服务的会计期间，将实际发生的短期薪酬确认为负债，并计入当期损益，其他会计准则要求或允</w:t>
      </w:r>
    </w:p>
    <w:p>
      <w:pPr>
        <w:pStyle w:val="BodyText"/>
        <w:spacing w:line="240" w:lineRule="auto" w:before="31"/>
        <w:ind w:right="0"/>
        <w:jc w:val="left"/>
      </w:pPr>
      <w:r>
        <w:rPr/>
        <w:t>许计入资产成本的除外。</w:t>
      </w:r>
    </w:p>
    <w:p>
      <w:pPr>
        <w:pStyle w:val="BodyText"/>
        <w:spacing w:line="300" w:lineRule="auto" w:before="76"/>
        <w:ind w:left="1493" w:right="0"/>
        <w:jc w:val="left"/>
      </w:pPr>
      <w:r>
        <w:rPr>
          <w:rFonts w:ascii="Times New Roman" w:hAnsi="Times New Roman" w:cs="Times New Roman" w:eastAsia="Times New Roman" w:hint="default"/>
        </w:rPr>
        <w:t>2</w:t>
      </w:r>
      <w:r>
        <w:rPr/>
        <w:t>）职工福利费 </w:t>
      </w:r>
      <w:r>
        <w:rPr>
          <w:spacing w:val="-4"/>
        </w:rPr>
        <w:t>本公司发生的职工福利费，在实际发生时根据实际发生额计入当期损益或相关资产成本。职工福利费为非货币性福利的，</w:t>
      </w:r>
    </w:p>
    <w:p>
      <w:pPr>
        <w:pStyle w:val="BodyText"/>
        <w:spacing w:line="240" w:lineRule="auto" w:before="31"/>
        <w:ind w:left="1133" w:right="0"/>
        <w:jc w:val="left"/>
      </w:pPr>
      <w:r>
        <w:rPr/>
        <w:t>按照公允价值计量。</w:t>
      </w:r>
    </w:p>
    <w:p>
      <w:pPr>
        <w:pStyle w:val="BodyText"/>
        <w:spacing w:line="300" w:lineRule="auto" w:before="76"/>
        <w:ind w:left="1493" w:right="0"/>
        <w:jc w:val="left"/>
      </w:pPr>
      <w:r>
        <w:rPr>
          <w:rFonts w:ascii="Times New Roman" w:hAnsi="Times New Roman" w:cs="Times New Roman" w:eastAsia="Times New Roman" w:hint="default"/>
        </w:rPr>
        <w:t>3</w:t>
      </w:r>
      <w:r>
        <w:rPr/>
        <w:t>）医疗保险费、工伤保险费、生育保险费等社会保险费和住房公积金，以及工会经费和职工教育经费 </w:t>
      </w:r>
      <w:r>
        <w:rPr>
          <w:spacing w:val="-2"/>
        </w:rPr>
        <w:t>本公司为职工缴纳的医疗保险费、工伤保险费、生育保险费等社会保险费和住房公积金，以及按规定提取的工会经费和</w:t>
      </w:r>
    </w:p>
    <w:p>
      <w:pPr>
        <w:pStyle w:val="BodyText"/>
        <w:spacing w:line="316" w:lineRule="auto" w:before="31"/>
        <w:ind w:left="1133" w:right="0"/>
        <w:jc w:val="left"/>
      </w:pPr>
      <w:r>
        <w:rPr>
          <w:spacing w:val="-2"/>
        </w:rPr>
        <w:t>职工教育经费，在职工为其提供服务的会计期间，根据规定的计提基础和计提比例计算确定相应的职工薪酬金额，并确认相</w:t>
      </w:r>
      <w:r>
        <w:rPr>
          <w:spacing w:val="-66"/>
        </w:rPr>
        <w:t> </w:t>
      </w:r>
      <w:r>
        <w:rPr>
          <w:spacing w:val="-66"/>
        </w:rPr>
      </w:r>
      <w:r>
        <w:rPr/>
        <w:t>应负债，计入当期损益或相关资产成本。</w:t>
      </w:r>
    </w:p>
    <w:p>
      <w:pPr>
        <w:pStyle w:val="BodyText"/>
        <w:spacing w:line="300" w:lineRule="auto" w:before="19"/>
        <w:ind w:left="1494" w:right="0"/>
        <w:jc w:val="left"/>
      </w:pPr>
      <w:r>
        <w:rPr>
          <w:rFonts w:ascii="Times New Roman" w:hAnsi="Times New Roman" w:cs="Times New Roman" w:eastAsia="Times New Roman" w:hint="default"/>
        </w:rPr>
        <w:t>4</w:t>
      </w:r>
      <w:r>
        <w:rPr/>
        <w:t>）短期带薪缺勤 </w:t>
      </w:r>
      <w:r>
        <w:rPr>
          <w:spacing w:val="-2"/>
        </w:rPr>
        <w:t>本公司在职工提供服务从而增加了其未来享有的带薪缺勤权利时，确认与累积带薪缺勤相关的职工薪酬，并以累积未行</w:t>
      </w:r>
    </w:p>
    <w:p>
      <w:pPr>
        <w:spacing w:after="0" w:line="300" w:lineRule="auto"/>
        <w:jc w:val="left"/>
        <w:sectPr>
          <w:pgSz w:w="11910" w:h="16840"/>
          <w:pgMar w:header="566" w:footer="979" w:top="1360" w:bottom="1160" w:left="0" w:right="0"/>
        </w:sectPr>
      </w:pPr>
    </w:p>
    <w:p>
      <w:pPr>
        <w:pStyle w:val="BodyText"/>
        <w:spacing w:line="240" w:lineRule="auto" w:before="81"/>
        <w:ind w:right="0"/>
        <w:jc w:val="left"/>
      </w:pPr>
      <w:r>
        <w:rPr/>
        <w:t>使权利而增加的预期支付金额计量。本公司在职工实际发生缺勤的会计期间确认与非累积带薪缺勤相关的职工薪酬。</w:t>
      </w:r>
    </w:p>
    <w:p>
      <w:pPr>
        <w:pStyle w:val="BodyText"/>
        <w:spacing w:line="300" w:lineRule="auto" w:before="76"/>
        <w:ind w:left="1494" w:right="4812"/>
        <w:jc w:val="left"/>
      </w:pPr>
      <w:r>
        <w:rPr>
          <w:rFonts w:ascii="Times New Roman" w:hAnsi="Times New Roman" w:cs="Times New Roman" w:eastAsia="Times New Roman" w:hint="default"/>
        </w:rPr>
        <w:t>5</w:t>
      </w:r>
      <w:r>
        <w:rPr/>
        <w:t>）短期利润分享计划 利润分享计划同时满足下列条件的，本公司确认相关的应付职工薪酬：</w:t>
      </w:r>
    </w:p>
    <w:p>
      <w:pPr>
        <w:pStyle w:val="BodyText"/>
        <w:spacing w:line="240" w:lineRule="auto" w:before="31"/>
        <w:ind w:left="1493" w:right="0"/>
        <w:jc w:val="left"/>
      </w:pPr>
      <w:r>
        <w:rPr/>
        <w:t>①</w:t>
      </w:r>
      <w:r>
        <w:rPr>
          <w:spacing w:val="-19"/>
        </w:rPr>
        <w:t> </w:t>
      </w:r>
      <w:r>
        <w:rPr/>
        <w:t>企业因过去事项导致现在具有支付职工薪酬的法定义务或推定义务。</w:t>
      </w:r>
    </w:p>
    <w:p>
      <w:pPr>
        <w:pStyle w:val="BodyText"/>
        <w:spacing w:line="240" w:lineRule="auto" w:before="77"/>
        <w:ind w:left="1493" w:right="0"/>
        <w:jc w:val="left"/>
      </w:pPr>
      <w:r>
        <w:rPr/>
        <w:t>②</w:t>
      </w:r>
      <w:r>
        <w:rPr>
          <w:spacing w:val="-19"/>
        </w:rPr>
        <w:t> </w:t>
      </w:r>
      <w:r>
        <w:rPr/>
        <w:t>因利润分享计划所产生的应付职工薪酬义务金额能够可靠估计。</w:t>
      </w:r>
    </w:p>
    <w:p>
      <w:pPr>
        <w:spacing w:line="240" w:lineRule="auto" w:before="12"/>
        <w:rPr>
          <w:rFonts w:ascii="宋体" w:hAnsi="宋体" w:cs="宋体" w:eastAsia="宋体" w:hint="default"/>
          <w:sz w:val="26"/>
          <w:szCs w:val="26"/>
        </w:rPr>
      </w:pPr>
    </w:p>
    <w:p>
      <w:pPr>
        <w:pStyle w:val="Heading3"/>
        <w:spacing w:line="240" w:lineRule="auto"/>
        <w:ind w:left="1133" w:right="0"/>
        <w:jc w:val="left"/>
        <w:rPr>
          <w:b w:val="0"/>
          <w:bCs w:val="0"/>
        </w:rPr>
      </w:pPr>
      <w:bookmarkStart w:name="（2）离职后福利的会计处理方法" w:id="199"/>
      <w:bookmarkEnd w:id="199"/>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494" w:right="0"/>
        <w:jc w:val="left"/>
      </w:pPr>
      <w:r>
        <w:rPr>
          <w:rFonts w:ascii="Times New Roman" w:hAnsi="Times New Roman" w:cs="Times New Roman" w:eastAsia="Times New Roman" w:hint="default"/>
        </w:rPr>
        <w:t>1</w:t>
      </w:r>
      <w:r>
        <w:rPr/>
        <w:t>）设定提存计划 </w:t>
      </w:r>
      <w:r>
        <w:rPr>
          <w:spacing w:val="-2"/>
        </w:rPr>
        <w:t>本公司在职工为其提供服务的会计期间，将根据设定提存计划计算的应缴存金额确认为负债，并计入当期损益或相关资</w:t>
      </w:r>
    </w:p>
    <w:p>
      <w:pPr>
        <w:pStyle w:val="BodyText"/>
        <w:spacing w:line="240" w:lineRule="auto" w:before="31"/>
        <w:ind w:right="0"/>
        <w:jc w:val="left"/>
      </w:pPr>
      <w:r>
        <w:rPr/>
        <w:t>产成本。</w:t>
      </w:r>
    </w:p>
    <w:p>
      <w:pPr>
        <w:pStyle w:val="BodyText"/>
        <w:spacing w:line="316" w:lineRule="auto" w:before="76"/>
        <w:ind w:right="1131" w:firstLine="360"/>
        <w:jc w:val="both"/>
      </w:pPr>
      <w:r>
        <w:rPr>
          <w:spacing w:val="-2"/>
        </w:rPr>
        <w:t>根据设定提存计划，预期不会在职工提供相关服务的年度报告期结束后十二个月内支付全部应缴存金额的，本公司参照</w:t>
      </w:r>
      <w:r>
        <w:rPr/>
        <w:t> </w:t>
      </w:r>
      <w:r>
        <w:rPr>
          <w:spacing w:val="-2"/>
        </w:rPr>
        <w:t>相应的折现率（根据资产负债表日与设定受益计划义务期限和币种相匹配的国债或活跃市场上的高质量公司债券的市场收益</w:t>
      </w:r>
      <w:r>
        <w:rPr>
          <w:spacing w:val="-64"/>
        </w:rPr>
        <w:t> </w:t>
      </w:r>
      <w:r>
        <w:rPr>
          <w:spacing w:val="-64"/>
        </w:rPr>
      </w:r>
      <w:r>
        <w:rPr/>
        <w:t>率确定），将全部应缴存金额以折现后的金额计量应付职工薪酬。</w:t>
      </w:r>
    </w:p>
    <w:p>
      <w:pPr>
        <w:pStyle w:val="BodyText"/>
        <w:spacing w:line="240" w:lineRule="auto" w:before="19"/>
        <w:ind w:left="1494" w:right="0"/>
        <w:jc w:val="left"/>
      </w:pPr>
      <w:r>
        <w:rPr>
          <w:rFonts w:ascii="Times New Roman" w:hAnsi="Times New Roman" w:cs="Times New Roman" w:eastAsia="Times New Roman" w:hint="default"/>
        </w:rPr>
        <w:t>2</w:t>
      </w:r>
      <w:r>
        <w:rPr/>
        <w:t>）设定受益计划</w:t>
      </w:r>
    </w:p>
    <w:p>
      <w:pPr>
        <w:pStyle w:val="BodyText"/>
        <w:spacing w:line="316" w:lineRule="auto" w:before="63"/>
        <w:ind w:left="1494" w:right="0"/>
        <w:jc w:val="left"/>
      </w:pPr>
      <w:r>
        <w:rPr/>
        <w:t>①</w:t>
      </w:r>
      <w:r>
        <w:rPr>
          <w:spacing w:val="-17"/>
        </w:rPr>
        <w:t> </w:t>
      </w:r>
      <w:r>
        <w:rPr/>
        <w:t>确定设定受益计划义务的现值和当期服务成本</w:t>
      </w:r>
      <w:r>
        <w:rPr/>
        <w:t> </w:t>
      </w:r>
      <w:r>
        <w:rPr>
          <w:spacing w:val="-2"/>
        </w:rPr>
        <w:t>根据预期累计福利单位法，采用无偏且相互一致的精算假设对有关人口统计变量和财务变量等做出估计，计量设定受益</w:t>
      </w:r>
    </w:p>
    <w:p>
      <w:pPr>
        <w:pStyle w:val="BodyText"/>
        <w:spacing w:line="316" w:lineRule="auto" w:before="19"/>
        <w:ind w:right="1132"/>
        <w:jc w:val="both"/>
      </w:pPr>
      <w:r>
        <w:rPr>
          <w:spacing w:val="-2"/>
        </w:rPr>
        <w:t>计划所产生的义务，并确定相关义务的归属期间。本公司按照相应的折现率（根据资产负债表日与设定受益计划义务期限和</w:t>
      </w:r>
      <w:r>
        <w:rPr>
          <w:spacing w:val="-66"/>
        </w:rPr>
        <w:t> </w:t>
      </w:r>
      <w:r>
        <w:rPr>
          <w:spacing w:val="-66"/>
        </w:rPr>
      </w:r>
      <w:r>
        <w:rPr>
          <w:spacing w:val="-2"/>
        </w:rPr>
        <w:t>币种相匹配的国债或活跃市场上的高质量公司债券的市场收益率确定）将设定受益计划所产生的义务予以折现，以确定设定</w:t>
      </w:r>
      <w:r>
        <w:rPr>
          <w:spacing w:val="-64"/>
        </w:rPr>
        <w:t> </w:t>
      </w:r>
      <w:r>
        <w:rPr>
          <w:spacing w:val="-64"/>
        </w:rPr>
      </w:r>
      <w:r>
        <w:rPr/>
        <w:t>受益计划义务的现值和当期服务成本。</w:t>
      </w:r>
    </w:p>
    <w:p>
      <w:pPr>
        <w:pStyle w:val="BodyText"/>
        <w:spacing w:line="316" w:lineRule="auto" w:before="19"/>
        <w:ind w:left="1494" w:right="0"/>
        <w:jc w:val="left"/>
      </w:pPr>
      <w:r>
        <w:rPr/>
        <w:t>②</w:t>
      </w:r>
      <w:r>
        <w:rPr>
          <w:spacing w:val="-17"/>
        </w:rPr>
        <w:t> </w:t>
      </w:r>
      <w:r>
        <w:rPr/>
        <w:t>确认设定受益计划净负债或净资产</w:t>
      </w:r>
      <w:r>
        <w:rPr/>
        <w:t> </w:t>
      </w:r>
      <w:r>
        <w:rPr>
          <w:spacing w:val="-2"/>
        </w:rPr>
        <w:t>设定受益计划存在资产的，本公司将设定受益计划义务现值减去设定受益计划资产公允价值所形成的赤字或盈余确认为</w:t>
      </w:r>
    </w:p>
    <w:p>
      <w:pPr>
        <w:pStyle w:val="BodyText"/>
        <w:spacing w:line="316" w:lineRule="auto" w:before="19"/>
        <w:ind w:left="1494" w:right="1752" w:hanging="360"/>
        <w:jc w:val="left"/>
      </w:pPr>
      <w:r>
        <w:rPr/>
        <w:t>一项设定受益计划净负债或净资产。 设定受益计划存在盈余的，本公司以设定受益计划的盈余和资产上限两项的孰低者计量设定受益计划净资产。</w:t>
      </w:r>
    </w:p>
    <w:p>
      <w:pPr>
        <w:pStyle w:val="BodyText"/>
        <w:spacing w:line="316" w:lineRule="auto" w:before="19"/>
        <w:ind w:left="1494" w:right="0"/>
        <w:jc w:val="left"/>
      </w:pPr>
      <w:r>
        <w:rPr/>
        <w:t>③</w:t>
      </w:r>
      <w:r>
        <w:rPr>
          <w:spacing w:val="-17"/>
        </w:rPr>
        <w:t> </w:t>
      </w:r>
      <w:r>
        <w:rPr/>
        <w:t>确定应计入资产成本或当期损益的金额</w:t>
      </w:r>
      <w:r>
        <w:rPr/>
        <w:t> </w:t>
      </w:r>
      <w:r>
        <w:rPr>
          <w:spacing w:val="-2"/>
        </w:rPr>
        <w:t>服务成本，包括当期服务成本、过去服务成本和结算利得或损失。其中，除了其他会计准则要求或允许计入资产成本的</w:t>
      </w:r>
    </w:p>
    <w:p>
      <w:pPr>
        <w:pStyle w:val="BodyText"/>
        <w:spacing w:line="316" w:lineRule="auto" w:before="19"/>
        <w:ind w:left="1494" w:right="0" w:hanging="360"/>
        <w:jc w:val="left"/>
      </w:pPr>
      <w:r>
        <w:rPr/>
        <w:t>当期服务成本之外，其他服务成本均计入当期损益。 </w:t>
      </w:r>
      <w:r>
        <w:rPr>
          <w:spacing w:val="-2"/>
        </w:rPr>
        <w:t>设定受益计划净负债或净资产的利息净额，包括计划资产的利息收益、设定受益计划义务的利息费用以及资产上限影响</w:t>
      </w:r>
    </w:p>
    <w:p>
      <w:pPr>
        <w:pStyle w:val="BodyText"/>
        <w:spacing w:line="240" w:lineRule="auto" w:before="19"/>
        <w:ind w:right="0"/>
        <w:jc w:val="left"/>
      </w:pPr>
      <w:r>
        <w:rPr/>
        <w:t>的利息，均计入当期损益。</w:t>
      </w:r>
    </w:p>
    <w:p>
      <w:pPr>
        <w:pStyle w:val="BodyText"/>
        <w:spacing w:line="316" w:lineRule="auto" w:before="76"/>
        <w:ind w:left="1494" w:right="5532"/>
        <w:jc w:val="left"/>
      </w:pPr>
      <w:r>
        <w:rPr/>
        <w:t>④</w:t>
      </w:r>
      <w:r>
        <w:rPr>
          <w:spacing w:val="-18"/>
        </w:rPr>
        <w:t> </w:t>
      </w:r>
      <w:r>
        <w:rPr/>
        <w:t>确定应计入其他综合收益的金额</w:t>
      </w:r>
      <w:r>
        <w:rPr/>
        <w:t> 重新计量设定受益计划净负债或净资产所产生的变动，包括：</w:t>
      </w:r>
    </w:p>
    <w:p>
      <w:pPr>
        <w:pStyle w:val="BodyText"/>
        <w:spacing w:line="240" w:lineRule="auto" w:before="19"/>
        <w:ind w:left="1494" w:right="0"/>
        <w:jc w:val="left"/>
      </w:pPr>
      <w:r>
        <w:rPr/>
        <w:t>（</w:t>
      </w:r>
      <w:r>
        <w:rPr>
          <w:rFonts w:ascii="Times New Roman" w:hAnsi="Times New Roman" w:cs="Times New Roman" w:eastAsia="Times New Roman" w:hint="default"/>
        </w:rPr>
        <w:t>a</w:t>
      </w:r>
      <w:r>
        <w:rPr/>
        <w:t>）精算利得或损失，即由于精算假设和经验调整导致之前所计量的设定受益计划义务现值的增加或减少。</w:t>
      </w:r>
    </w:p>
    <w:p>
      <w:pPr>
        <w:pStyle w:val="BodyText"/>
        <w:spacing w:line="240" w:lineRule="auto" w:before="63"/>
        <w:ind w:left="1494" w:right="0"/>
        <w:jc w:val="left"/>
      </w:pPr>
      <w:r>
        <w:rPr/>
        <w:t>（</w:t>
      </w:r>
      <w:r>
        <w:rPr>
          <w:rFonts w:ascii="Times New Roman" w:hAnsi="Times New Roman" w:cs="Times New Roman" w:eastAsia="Times New Roman" w:hint="default"/>
        </w:rPr>
        <w:t>b</w:t>
      </w:r>
      <w:r>
        <w:rPr/>
        <w:t>）计划资产回报，扣除包括在设定受益计划净负债或净资产的利息净额中的金额。</w:t>
      </w:r>
    </w:p>
    <w:p>
      <w:pPr>
        <w:pStyle w:val="BodyText"/>
        <w:spacing w:line="300" w:lineRule="auto" w:before="63"/>
        <w:ind w:left="1493" w:right="1168"/>
        <w:jc w:val="left"/>
      </w:pPr>
      <w:r>
        <w:rPr/>
        <w:t>（</w:t>
      </w:r>
      <w:r>
        <w:rPr>
          <w:rFonts w:ascii="Times New Roman" w:hAnsi="Times New Roman" w:cs="Times New Roman" w:eastAsia="Times New Roman" w:hint="default"/>
        </w:rPr>
        <w:t>c</w:t>
      </w:r>
      <w:r>
        <w:rPr/>
        <w:t>）资产上限影响的变动，扣除包括在设定受益计划净负债或净资产的利息净额中的金额。 上述重新计量设定受益计划净负债或净资产所产生的变动直接计入其他综合收益</w:t>
      </w:r>
      <w:r>
        <w:rPr>
          <w:rFonts w:ascii="Times New Roman" w:hAnsi="Times New Roman" w:cs="Times New Roman" w:eastAsia="Times New Roman" w:hint="default"/>
        </w:rPr>
        <w:t>,</w:t>
      </w:r>
      <w:r>
        <w:rPr/>
        <w:t>并且在后续会计期间不允许转回至损</w:t>
      </w:r>
    </w:p>
    <w:p>
      <w:pPr>
        <w:pStyle w:val="BodyText"/>
        <w:spacing w:line="240" w:lineRule="auto" w:before="13"/>
        <w:ind w:left="1133" w:right="0"/>
        <w:jc w:val="left"/>
      </w:pPr>
      <w:r>
        <w:rPr/>
        <w:t>益，但本公司可以在权益范围内转移这些在其他综合收益中确认的金额。</w:t>
      </w:r>
    </w:p>
    <w:p>
      <w:pPr>
        <w:spacing w:line="240" w:lineRule="auto" w:before="12"/>
        <w:rPr>
          <w:rFonts w:ascii="宋体" w:hAnsi="宋体" w:cs="宋体" w:eastAsia="宋体" w:hint="default"/>
          <w:sz w:val="26"/>
          <w:szCs w:val="26"/>
        </w:rPr>
      </w:pPr>
    </w:p>
    <w:p>
      <w:pPr>
        <w:pStyle w:val="Heading3"/>
        <w:spacing w:line="240" w:lineRule="auto"/>
        <w:ind w:left="1133" w:right="0"/>
        <w:jc w:val="left"/>
        <w:rPr>
          <w:b w:val="0"/>
          <w:bCs w:val="0"/>
        </w:rPr>
      </w:pPr>
      <w:bookmarkStart w:name="（3）辞退福利的会计处理方法" w:id="200"/>
      <w:bookmarkEnd w:id="200"/>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93" w:right="0"/>
        <w:jc w:val="left"/>
      </w:pPr>
      <w:r>
        <w:rPr/>
        <w:t>本公司向职工提供辞退福利的，在下列两者孰早日确认辞退福利产生的职工薪酬负债，并计入当期损益：</w:t>
      </w:r>
    </w:p>
    <w:p>
      <w:pPr>
        <w:pStyle w:val="BodyText"/>
        <w:spacing w:line="240" w:lineRule="auto" w:before="77"/>
        <w:ind w:left="1493" w:right="0"/>
        <w:jc w:val="left"/>
      </w:pPr>
      <w:r>
        <w:rPr>
          <w:rFonts w:ascii="Times New Roman" w:hAnsi="Times New Roman" w:cs="Times New Roman" w:eastAsia="Times New Roman" w:hint="default"/>
        </w:rPr>
        <w:t>1</w:t>
      </w:r>
      <w:r>
        <w:rPr/>
        <w:t>）企业不能单方面撤回因解除劳动关系计划或裁减建议所提供的辞退福利时。</w:t>
      </w:r>
    </w:p>
    <w:p>
      <w:pPr>
        <w:pStyle w:val="BodyText"/>
        <w:spacing w:line="340" w:lineRule="auto" w:before="63"/>
        <w:ind w:left="1494" w:right="0"/>
        <w:jc w:val="left"/>
      </w:pPr>
      <w:r>
        <w:rPr>
          <w:rFonts w:ascii="Times New Roman" w:hAnsi="Times New Roman" w:cs="Times New Roman" w:eastAsia="Times New Roman" w:hint="default"/>
        </w:rPr>
        <w:t>2</w:t>
      </w:r>
      <w:r>
        <w:rPr/>
        <w:t>）企业确认与涉及支付辞退福利的重组相关的成本或费用时。 </w:t>
      </w:r>
      <w:r>
        <w:rPr>
          <w:spacing w:val="-2"/>
        </w:rPr>
        <w:t>辞退福利预期在年度报告期结束后十二个月内不能完全支付的，参照相应的折现率（根据资产负债表日与设定受益计划</w:t>
      </w:r>
    </w:p>
    <w:p>
      <w:pPr>
        <w:pStyle w:val="BodyText"/>
        <w:spacing w:line="235" w:lineRule="exact"/>
        <w:ind w:right="0"/>
        <w:jc w:val="left"/>
      </w:pPr>
      <w:r>
        <w:rPr/>
        <w:t>义务期限和币种相匹配的国债或活跃市场上的高质量公司债券的市场收益率确定）将辞退福利金额予以折现，以折现后的金</w:t>
      </w:r>
    </w:p>
    <w:p>
      <w:pPr>
        <w:spacing w:after="0" w:line="235" w:lineRule="exact"/>
        <w:jc w:val="left"/>
        <w:sectPr>
          <w:pgSz w:w="11910" w:h="16840"/>
          <w:pgMar w:header="566" w:footer="979" w:top="1360" w:bottom="1160" w:left="0" w:right="0"/>
        </w:sectPr>
      </w:pPr>
    </w:p>
    <w:p>
      <w:pPr>
        <w:pStyle w:val="BodyText"/>
        <w:spacing w:line="240" w:lineRule="auto" w:before="82"/>
        <w:ind w:right="0"/>
        <w:jc w:val="left"/>
      </w:pPr>
      <w:r>
        <w:rPr/>
        <w:t>额计量应付职工薪酬。</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其他长期职工福利的会计处理方法" w:id="201"/>
      <w:bookmarkEnd w:id="201"/>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left="1494" w:right="0"/>
        <w:jc w:val="left"/>
      </w:pPr>
      <w:r>
        <w:rPr>
          <w:rFonts w:ascii="Times New Roman" w:hAnsi="Times New Roman" w:cs="Times New Roman" w:eastAsia="Times New Roman" w:hint="default"/>
        </w:rPr>
        <w:t>1</w:t>
      </w:r>
      <w:r>
        <w:rPr/>
        <w:t>）符合设定提存计划条件的 </w:t>
      </w:r>
      <w:r>
        <w:rPr>
          <w:spacing w:val="-2"/>
        </w:rPr>
        <w:t>本公司向职工提供的其他长期职工福利，符合设定提存计划条件的，将全部应缴存金额以折现后的金额计量应付职工薪</w:t>
      </w:r>
    </w:p>
    <w:p>
      <w:pPr>
        <w:pStyle w:val="BodyText"/>
        <w:spacing w:line="240" w:lineRule="auto" w:before="31"/>
        <w:ind w:right="0"/>
        <w:jc w:val="left"/>
      </w:pPr>
      <w:r>
        <w:rPr/>
        <w:t>酬。</w:t>
      </w:r>
    </w:p>
    <w:p>
      <w:pPr>
        <w:pStyle w:val="BodyText"/>
        <w:spacing w:line="300" w:lineRule="auto" w:before="76"/>
        <w:ind w:left="1494" w:right="3732"/>
        <w:jc w:val="left"/>
      </w:pPr>
      <w:r>
        <w:rPr>
          <w:rFonts w:ascii="Times New Roman" w:hAnsi="Times New Roman" w:cs="Times New Roman" w:eastAsia="Times New Roman" w:hint="default"/>
        </w:rPr>
        <w:t>2</w:t>
      </w:r>
      <w:r>
        <w:rPr/>
        <w:t>）符合设定受益计划条件的 在报告期末，本公司将其他长期职工福利产生的职工薪酬成本确认为下列组成部分：</w:t>
      </w:r>
    </w:p>
    <w:p>
      <w:pPr>
        <w:pStyle w:val="BodyText"/>
        <w:spacing w:line="240" w:lineRule="auto" w:before="31"/>
        <w:ind w:left="1493" w:right="0"/>
        <w:jc w:val="left"/>
      </w:pPr>
      <w:r>
        <w:rPr/>
        <w:t>①</w:t>
      </w:r>
      <w:r>
        <w:rPr>
          <w:spacing w:val="-17"/>
        </w:rPr>
        <w:t> </w:t>
      </w:r>
      <w:r>
        <w:rPr/>
        <w:t>服务成本。</w:t>
      </w:r>
    </w:p>
    <w:p>
      <w:pPr>
        <w:pStyle w:val="BodyText"/>
        <w:spacing w:line="240" w:lineRule="auto" w:before="76"/>
        <w:ind w:left="1493" w:right="0"/>
        <w:jc w:val="left"/>
      </w:pPr>
      <w:r>
        <w:rPr/>
        <w:t>②</w:t>
      </w:r>
      <w:r>
        <w:rPr>
          <w:spacing w:val="-19"/>
        </w:rPr>
        <w:t> </w:t>
      </w:r>
      <w:r>
        <w:rPr/>
        <w:t>其他长期职工福利净负债或净资产的利息净额。</w:t>
      </w:r>
    </w:p>
    <w:p>
      <w:pPr>
        <w:pStyle w:val="BodyText"/>
        <w:spacing w:line="316" w:lineRule="auto" w:before="76"/>
        <w:ind w:left="1493" w:right="4633"/>
        <w:jc w:val="left"/>
      </w:pPr>
      <w:r>
        <w:rPr/>
        <w:t>③</w:t>
      </w:r>
      <w:r>
        <w:rPr>
          <w:spacing w:val="-18"/>
        </w:rPr>
        <w:t> </w:t>
      </w:r>
      <w:r>
        <w:rPr/>
        <w:t>重新计量其他长期职工福利净负债或净资产所产生的变动。</w:t>
      </w:r>
      <w:r>
        <w:rPr/>
        <w:t> 为简化相关会计处理，上述项目的总净额计入当期损益或相关资产成本。</w:t>
      </w:r>
    </w:p>
    <w:p>
      <w:pPr>
        <w:spacing w:line="240" w:lineRule="auto" w:before="7"/>
        <w:rPr>
          <w:rFonts w:ascii="宋体" w:hAnsi="宋体" w:cs="宋体" w:eastAsia="宋体" w:hint="default"/>
          <w:sz w:val="22"/>
          <w:szCs w:val="22"/>
        </w:rPr>
      </w:pPr>
    </w:p>
    <w:p>
      <w:pPr>
        <w:pStyle w:val="Heading3"/>
        <w:spacing w:line="240" w:lineRule="auto"/>
        <w:ind w:left="1133" w:right="0"/>
        <w:jc w:val="left"/>
        <w:rPr>
          <w:b w:val="0"/>
          <w:bCs w:val="0"/>
        </w:rPr>
      </w:pPr>
      <w:bookmarkStart w:name="25、预计负债" w:id="202"/>
      <w:bookmarkEnd w:id="202"/>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）预计负债的的确认标准</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94" w:right="0"/>
        <w:jc w:val="left"/>
      </w:pPr>
      <w:r>
        <w:rPr/>
        <w:t>如果与或有事项相关的义务同时符合以下条件，本公司将其确认为预计负债：</w:t>
      </w:r>
    </w:p>
    <w:p>
      <w:pPr>
        <w:pStyle w:val="BodyText"/>
        <w:spacing w:line="240" w:lineRule="auto" w:before="76"/>
        <w:ind w:left="1493" w:right="0"/>
        <w:jc w:val="left"/>
      </w:pPr>
      <w:r>
        <w:rPr>
          <w:rFonts w:ascii="Times New Roman" w:hAnsi="Times New Roman" w:cs="Times New Roman" w:eastAsia="Times New Roman" w:hint="default"/>
        </w:rPr>
        <w:t>1</w:t>
      </w:r>
      <w:r>
        <w:rPr/>
        <w:t>）该义务是本公司承担的现时义务。</w:t>
      </w:r>
    </w:p>
    <w:p>
      <w:pPr>
        <w:pStyle w:val="BodyText"/>
        <w:spacing w:line="240" w:lineRule="auto" w:before="63"/>
        <w:ind w:left="1494" w:right="0"/>
        <w:jc w:val="left"/>
      </w:pPr>
      <w:r>
        <w:rPr>
          <w:rFonts w:ascii="Times New Roman" w:hAnsi="Times New Roman" w:cs="Times New Roman" w:eastAsia="Times New Roman" w:hint="default"/>
        </w:rPr>
        <w:t>2</w:t>
      </w:r>
      <w:r>
        <w:rPr/>
        <w:t>）该义务的履行很可能导致经济利益流出本公司。</w:t>
      </w:r>
    </w:p>
    <w:p>
      <w:pPr>
        <w:pStyle w:val="BodyText"/>
        <w:spacing w:line="240" w:lineRule="auto" w:before="63"/>
        <w:ind w:left="1494" w:right="0"/>
        <w:jc w:val="left"/>
      </w:pPr>
      <w:r>
        <w:rPr>
          <w:rFonts w:ascii="Times New Roman" w:hAnsi="Times New Roman" w:cs="Times New Roman" w:eastAsia="Times New Roman" w:hint="default"/>
        </w:rPr>
        <w:t>3</w:t>
      </w:r>
      <w:r>
        <w:rPr/>
        <w:t>）该义务的金额能够可靠地计量。</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）预计负债的计量方法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2" w:firstLine="360"/>
        <w:jc w:val="both"/>
      </w:pPr>
      <w:r>
        <w:rPr>
          <w:spacing w:val="-2"/>
        </w:rPr>
        <w:t>预计负债按照履行相关现时义务所需支出的最佳估计数进行初始计量，并综合考虑与或有事项有关的风险、不确定性和</w:t>
      </w:r>
      <w:r>
        <w:rPr/>
        <w:t> </w:t>
      </w:r>
      <w:r>
        <w:rPr>
          <w:spacing w:val="-2"/>
        </w:rPr>
        <w:t>货币时间价值等因素。每个资产负债表日对预计负债的账面价值进行复核。有确凿证据表明该账面价值不能反映当前最佳估</w:t>
      </w:r>
      <w:r>
        <w:rPr>
          <w:spacing w:val="-64"/>
        </w:rPr>
        <w:t> </w:t>
      </w:r>
      <w:r>
        <w:rPr>
          <w:spacing w:val="-64"/>
        </w:rPr>
      </w:r>
      <w:r>
        <w:rPr/>
        <w:t>计数的，按照当前最佳估计数对该账面价值进行调整。</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6、股份支付" w:id="203"/>
      <w:bookmarkEnd w:id="203"/>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）股份支付的种类</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94" w:right="0"/>
        <w:jc w:val="left"/>
      </w:pPr>
      <w:r>
        <w:rPr/>
        <w:t>本公司股份支付包括以现金结算的股份支付和以权益结算的股份支付。</w:t>
      </w:r>
    </w:p>
    <w:p>
      <w:pPr>
        <w:spacing w:line="240" w:lineRule="auto" w:before="11"/>
        <w:rPr>
          <w:rFonts w:ascii="宋体" w:hAnsi="宋体" w:cs="宋体" w:eastAsia="宋体" w:hint="default"/>
          <w:sz w:val="26"/>
          <w:szCs w:val="26"/>
        </w:rPr>
      </w:pPr>
    </w:p>
    <w:p>
      <w:pPr>
        <w:pStyle w:val="Heading3"/>
        <w:spacing w:line="240" w:lineRule="auto"/>
        <w:ind w:left="1133" w:right="0"/>
        <w:jc w:val="left"/>
        <w:rPr>
          <w:b w:val="0"/>
          <w:bCs w:val="0"/>
        </w:rPr>
      </w:pPr>
      <w:r>
        <w:rPr/>
        <w:t>（</w:t>
      </w:r>
      <w:r>
        <w:rPr>
          <w:rFonts w:ascii="Times New Roman" w:hAnsi="Times New Roman" w:cs="Times New Roman" w:eastAsia="Times New Roman" w:hint="default"/>
        </w:rPr>
        <w:t>2</w:t>
      </w:r>
      <w:r>
        <w:rPr/>
        <w:t>）权益工具公允价值的确定方法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22" w:firstLine="360"/>
        <w:jc w:val="left"/>
      </w:pPr>
      <w:r>
        <w:rPr>
          <w:rFonts w:ascii="Times New Roman" w:hAnsi="Times New Roman" w:cs="Times New Roman" w:eastAsia="Times New Roman" w:hint="default"/>
        </w:rPr>
        <w:t>1</w:t>
      </w:r>
      <w:r>
        <w:rPr/>
        <w:t>）对于授予职工的股份，其公允价值按公司股份的市场价格计量，同时考虑授予股份所依据的条款和条件（不包括市 场条件之外的可行权条件）进行调整。</w:t>
      </w:r>
    </w:p>
    <w:p>
      <w:pPr>
        <w:pStyle w:val="BodyText"/>
        <w:spacing w:line="300" w:lineRule="auto" w:before="31"/>
        <w:ind w:right="1122" w:firstLine="360"/>
        <w:jc w:val="left"/>
      </w:pPr>
      <w:r>
        <w:rPr>
          <w:rFonts w:ascii="Times New Roman" w:hAnsi="Times New Roman" w:cs="Times New Roman" w:eastAsia="Times New Roman" w:hint="default"/>
        </w:rPr>
        <w:t>2</w:t>
      </w:r>
      <w:r>
        <w:rPr/>
        <w:t>）对于授予职工的股票期权，在许多情况下难以获得其市场价格。如果不存在条款和条件相似的交易期权，公司选择 适用的期权定价模型估计所授予的期权的公允价值。</w:t>
      </w:r>
    </w:p>
    <w:p>
      <w:pPr>
        <w:spacing w:line="240" w:lineRule="auto" w:before="5"/>
        <w:rPr>
          <w:rFonts w:ascii="宋体" w:hAnsi="宋体" w:cs="宋体" w:eastAsia="宋体" w:hint="default"/>
          <w:sz w:val="23"/>
          <w:szCs w:val="23"/>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）确认可行权权益工具最佳估计的依据</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94" w:right="0"/>
        <w:jc w:val="left"/>
      </w:pPr>
      <w:r>
        <w:rPr/>
        <w:t>在等待期内每个资产负债表日，公司根据最新取得的可行权职工人数变动等后续信息作出最佳估计，修正预计可行权的</w:t>
      </w:r>
    </w:p>
    <w:p>
      <w:pPr>
        <w:spacing w:after="0" w:line="240" w:lineRule="auto"/>
        <w:jc w:val="left"/>
        <w:sectPr>
          <w:pgSz w:w="11910" w:h="16840"/>
          <w:pgMar w:header="566" w:footer="979" w:top="1360" w:bottom="1160" w:left="0" w:right="0"/>
        </w:sectPr>
      </w:pPr>
    </w:p>
    <w:p>
      <w:pPr>
        <w:pStyle w:val="BodyText"/>
        <w:spacing w:line="240" w:lineRule="auto" w:before="81"/>
        <w:ind w:right="0"/>
        <w:jc w:val="left"/>
      </w:pPr>
      <w:r>
        <w:rPr/>
        <w:t>权益工具数量，以作出可行权权益工具的最佳估计。</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）股份支付计划实施的会计处理</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22" w:firstLine="360"/>
        <w:jc w:val="left"/>
      </w:pPr>
      <w:r>
        <w:rPr>
          <w:rFonts w:ascii="Times New Roman" w:hAnsi="Times New Roman" w:cs="Times New Roman" w:eastAsia="Times New Roman" w:hint="default"/>
        </w:rPr>
        <w:t>1</w:t>
      </w:r>
      <w:r>
        <w:rPr/>
        <w:t>）授予后立即可行权的以现金结算的股份支付，在授予日以本公司承担负债的公允价值计入相关成本或费用，相应增 加负债。并在结算前的每个资产负债表日和结算日对负债的公允价值重新计量，将其变动计入损益。</w:t>
      </w:r>
    </w:p>
    <w:p>
      <w:pPr>
        <w:pStyle w:val="BodyText"/>
        <w:spacing w:line="300" w:lineRule="auto" w:before="31"/>
        <w:ind w:right="1032" w:firstLine="360"/>
        <w:jc w:val="left"/>
      </w:pPr>
      <w:r>
        <w:rPr>
          <w:rFonts w:ascii="Times New Roman" w:hAnsi="Times New Roman" w:cs="Times New Roman" w:eastAsia="Times New Roman" w:hint="default"/>
        </w:rPr>
        <w:t>2</w:t>
      </w:r>
      <w:r>
        <w:rPr/>
        <w:t>）完成等待期内的服务或达到规定业绩条件以后才可行权的以现金结算的股份支付，在等待期内的每个资产负债表日 以对可行权情况的最佳估计为基础，按本公司承担负债的公允价值金额，将当期取得的服务计入成本或费用和相应的负债。</w:t>
      </w:r>
    </w:p>
    <w:p>
      <w:pPr>
        <w:pStyle w:val="BodyText"/>
        <w:spacing w:line="300" w:lineRule="auto" w:before="31"/>
        <w:ind w:right="0" w:firstLine="360"/>
        <w:jc w:val="left"/>
      </w:pPr>
      <w:r>
        <w:rPr>
          <w:rFonts w:ascii="Times New Roman" w:hAnsi="Times New Roman" w:cs="Times New Roman" w:eastAsia="Times New Roman" w:hint="default"/>
          <w:spacing w:val="-2"/>
        </w:rPr>
        <w:t>3</w:t>
      </w:r>
      <w:r>
        <w:rPr>
          <w:spacing w:val="-2"/>
        </w:rPr>
        <w:t>）授予后立即可行权的换取职工服务的以权益结算的股份支付，在授予日以权益工具的公允价值计入相关成本或费用，</w:t>
      </w:r>
      <w:r>
        <w:rPr/>
        <w:t> 相应增加资本公积。</w:t>
      </w:r>
    </w:p>
    <w:p>
      <w:pPr>
        <w:pStyle w:val="BodyText"/>
        <w:spacing w:line="309" w:lineRule="auto" w:before="31"/>
        <w:ind w:right="1133" w:firstLine="360"/>
        <w:jc w:val="both"/>
      </w:pPr>
      <w:r>
        <w:rPr>
          <w:rFonts w:ascii="Times New Roman" w:hAnsi="Times New Roman" w:cs="Times New Roman" w:eastAsia="Times New Roman" w:hint="default"/>
        </w:rPr>
        <w:t>4</w:t>
      </w:r>
      <w:r>
        <w:rPr/>
        <w:t>）完成等待期内的服务或达到规定业绩条件以后才可行权换取职工服务的以权益结算的股份支付，在等待期内的每个 </w:t>
      </w:r>
      <w:r>
        <w:rPr>
          <w:spacing w:val="-2"/>
        </w:rPr>
        <w:t>资产负债表日，以对可行权权益工具数量的最佳估计为基础，按权益工具授予日的公允价值，将当期取得的服务计入成本或</w:t>
      </w:r>
      <w:r>
        <w:rPr>
          <w:spacing w:val="-66"/>
        </w:rPr>
        <w:t> </w:t>
      </w:r>
      <w:r>
        <w:rPr>
          <w:spacing w:val="-66"/>
        </w:rPr>
      </w:r>
      <w:r>
        <w:rPr/>
        <w:t>费用和资本公积。</w:t>
      </w:r>
    </w:p>
    <w:p>
      <w:pPr>
        <w:spacing w:line="240" w:lineRule="auto" w:before="1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）股份支付计划修改的会计处理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2" w:firstLine="360"/>
        <w:jc w:val="left"/>
      </w:pPr>
      <w:r>
        <w:rPr>
          <w:spacing w:val="-2"/>
        </w:rPr>
        <w:t>本公司对股份支付计划进行修改时，若修改增加了所授予权益工具的公允价值，按照权益工具公允价值的增加相应地确</w:t>
      </w:r>
      <w:r>
        <w:rPr/>
        <w:t> 认取得服务的增加；若修改增加了所授予权益工具的数量，则将增加的权益工具的公允价值相应地确认为取得服务的增加。 </w:t>
      </w:r>
      <w:r>
        <w:rPr>
          <w:spacing w:val="-2"/>
        </w:rPr>
        <w:t>权益工具公允价值的增加是指修改前后的权益工具在修改日的公允价值之间的差额。若修改减少了股份支付公允价值总额或</w:t>
      </w:r>
      <w:r>
        <w:rPr>
          <w:spacing w:val="-64"/>
        </w:rPr>
        <w:t> </w:t>
      </w:r>
      <w:r>
        <w:rPr>
          <w:spacing w:val="-64"/>
        </w:rPr>
      </w:r>
      <w:r>
        <w:rPr>
          <w:spacing w:val="-4"/>
        </w:rPr>
        <w:t>采用了其他不利于职工的方式修改股份支付计划的条款和条件，则仍继续对取得的服务进行会计处理，视同该变更从未发生，</w:t>
      </w:r>
      <w:r>
        <w:rPr>
          <w:spacing w:val="-44"/>
        </w:rPr>
        <w:t> </w:t>
      </w:r>
      <w:r>
        <w:rPr>
          <w:spacing w:val="-44"/>
        </w:rPr>
      </w:r>
      <w:r>
        <w:rPr/>
        <w:t>除非本公司取消了部分或全部已授予的权益工具。</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）股份支付计划终止的会计处理</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94" w:right="0"/>
        <w:jc w:val="left"/>
      </w:pPr>
      <w:r>
        <w:rPr>
          <w:spacing w:val="-4"/>
        </w:rPr>
        <w:t>如果在等待期内取消了所授予的权益工具或结算了所授予的权益工具（因未满足可行权条件而被取消的除外），本公司：</w:t>
      </w:r>
    </w:p>
    <w:p>
      <w:pPr>
        <w:pStyle w:val="BodyText"/>
        <w:spacing w:line="240" w:lineRule="auto" w:before="76"/>
        <w:ind w:left="1494" w:right="0"/>
        <w:jc w:val="left"/>
      </w:pPr>
      <w:r>
        <w:rPr>
          <w:rFonts w:ascii="Times New Roman" w:hAnsi="Times New Roman" w:cs="Times New Roman" w:eastAsia="Times New Roman" w:hint="default"/>
        </w:rPr>
        <w:t>1</w:t>
      </w:r>
      <w:r>
        <w:rPr/>
        <w:t>）将取消或结算作为加速可行权处理，立即确认原本应在剩余等待期内确认的金额。</w:t>
      </w:r>
    </w:p>
    <w:p>
      <w:pPr>
        <w:pStyle w:val="BodyText"/>
        <w:spacing w:line="300" w:lineRule="auto" w:before="63"/>
        <w:ind w:right="1122" w:firstLine="360"/>
        <w:jc w:val="left"/>
      </w:pPr>
      <w:r>
        <w:rPr>
          <w:rFonts w:ascii="Times New Roman" w:hAnsi="Times New Roman" w:cs="Times New Roman" w:eastAsia="Times New Roman" w:hint="default"/>
        </w:rPr>
        <w:t>2</w:t>
      </w:r>
      <w:r>
        <w:rPr/>
        <w:t>）在取消或结算时支付给职工的所有款项均作为权益的回购处理，回购支付的金额高于该权益工具在回购日公允价值 的部分，计入当期费用。</w:t>
      </w:r>
    </w:p>
    <w:p>
      <w:pPr>
        <w:pStyle w:val="BodyText"/>
        <w:spacing w:line="316" w:lineRule="auto" w:before="31"/>
        <w:ind w:right="0" w:firstLine="360"/>
        <w:jc w:val="left"/>
      </w:pPr>
      <w:r>
        <w:rPr>
          <w:spacing w:val="-2"/>
        </w:rPr>
        <w:t>本公司如果回购其职工已可行权的权益工具，冲减企业的所有者权益；回购支付的款项高于该权益工具在回购日公允价</w:t>
      </w:r>
      <w:r>
        <w:rPr/>
        <w:t> 值的部分，计入当期损益。</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7、优先股、永续债等其他金融工具" w:id="204"/>
      <w:bookmarkEnd w:id="204"/>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133" w:right="0"/>
        <w:jc w:val="left"/>
        <w:rPr>
          <w:b w:val="0"/>
          <w:bCs w:val="0"/>
        </w:rPr>
      </w:pPr>
      <w:r>
        <w:rPr/>
        <w:t>（</w:t>
      </w:r>
      <w:r>
        <w:rPr>
          <w:rFonts w:ascii="Times New Roman" w:hAnsi="Times New Roman" w:cs="Times New Roman" w:eastAsia="Times New Roman" w:hint="default"/>
        </w:rPr>
        <w:t>1</w:t>
      </w:r>
      <w:r>
        <w:rPr/>
        <w:t>）优先股、永续债等其他金融工具的分类依据</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3" w:right="0" w:firstLine="360"/>
        <w:jc w:val="left"/>
      </w:pPr>
      <w:r>
        <w:rPr>
          <w:spacing w:val="-2"/>
        </w:rPr>
        <w:t>本公司发行的优先股（或永续债，下同）划分为金融负债还是权益工具，则根据相关合同或协议中具体内容，按实质重</w:t>
      </w:r>
      <w:r>
        <w:rPr/>
        <w:t> 于形式的原则进行判断。</w:t>
      </w:r>
    </w:p>
    <w:p>
      <w:pPr>
        <w:pStyle w:val="BodyText"/>
        <w:spacing w:line="300" w:lineRule="auto" w:before="19"/>
        <w:ind w:left="1493" w:right="0"/>
        <w:jc w:val="left"/>
      </w:pPr>
      <w:r>
        <w:rPr>
          <w:rFonts w:ascii="Times New Roman" w:hAnsi="Times New Roman" w:cs="Times New Roman" w:eastAsia="Times New Roman" w:hint="default"/>
        </w:rPr>
        <w:t>1</w:t>
      </w:r>
      <w:r>
        <w:rPr/>
        <w:t>）赎回选择权 </w:t>
      </w:r>
      <w:r>
        <w:rPr>
          <w:spacing w:val="-4"/>
        </w:rPr>
        <w:t>如果本公司所发行的优先股需要在某特定日期由本公司赎回，则该优先股属于金融负债；如果是购买方享有赎回选择权，</w:t>
      </w:r>
    </w:p>
    <w:p>
      <w:pPr>
        <w:pStyle w:val="BodyText"/>
        <w:spacing w:line="319" w:lineRule="auto" w:before="31"/>
        <w:ind w:left="1133" w:right="0"/>
        <w:jc w:val="left"/>
      </w:pPr>
      <w:r>
        <w:rPr>
          <w:spacing w:val="-2"/>
        </w:rPr>
        <w:t>该优先股仍然属于金融负债，如果购买方放弃了选择权，则重分类为权益工具；如果赎回选择权属于本公司，那么该优先股</w:t>
      </w:r>
      <w:r>
        <w:rPr>
          <w:spacing w:val="-66"/>
        </w:rPr>
        <w:t> </w:t>
      </w:r>
      <w:r>
        <w:rPr>
          <w:spacing w:val="-66"/>
        </w:rPr>
      </w:r>
      <w:r>
        <w:rPr/>
        <w:t>属于权益工具，但本公司一旦选择赎回且将这种赎回选择予以公告，则将权益工具重分类为金融负债。</w:t>
      </w:r>
    </w:p>
    <w:p>
      <w:pPr>
        <w:pStyle w:val="BodyText"/>
        <w:spacing w:line="300" w:lineRule="auto" w:before="17"/>
        <w:ind w:left="1493" w:right="1118"/>
        <w:jc w:val="left"/>
      </w:pPr>
      <w:r>
        <w:rPr>
          <w:rFonts w:ascii="Times New Roman" w:hAnsi="Times New Roman" w:cs="Times New Roman" w:eastAsia="Times New Roman" w:hint="default"/>
        </w:rPr>
        <w:t>2</w:t>
      </w:r>
      <w:r>
        <w:rPr/>
        <w:t>）股利发放 </w:t>
      </w:r>
      <w:r>
        <w:rPr>
          <w:spacing w:val="-2"/>
        </w:rPr>
        <w:t>如果是否发放现金股利完全取决于本公司的意愿，则该优先股划分权益工具；如果发放的现金股利是强制性的，且股利</w:t>
      </w:r>
    </w:p>
    <w:p>
      <w:pPr>
        <w:pStyle w:val="BodyText"/>
        <w:spacing w:line="316" w:lineRule="auto" w:before="31"/>
        <w:ind w:left="1133" w:right="0"/>
        <w:jc w:val="left"/>
      </w:pPr>
      <w:r>
        <w:rPr>
          <w:spacing w:val="-2"/>
        </w:rPr>
        <w:t>发放率大于或等于同期市场利率的，则将优先股划分为金融负债，如果股利发放率低于市场利率的，则该优先股属于复合金</w:t>
      </w:r>
      <w:r>
        <w:rPr>
          <w:spacing w:val="-66"/>
        </w:rPr>
        <w:t> </w:t>
      </w:r>
      <w:r>
        <w:rPr>
          <w:spacing w:val="-66"/>
        </w:rPr>
      </w:r>
      <w:r>
        <w:rPr/>
        <w:t>融工具，需要对优先股进行分拆。</w:t>
      </w:r>
    </w:p>
    <w:p>
      <w:pPr>
        <w:spacing w:after="0" w:line="316" w:lineRule="auto"/>
        <w:jc w:val="left"/>
        <w:sectPr>
          <w:pgSz w:w="11910" w:h="16840"/>
          <w:pgMar w:header="566" w:footer="979" w:top="1360" w:bottom="1160" w:left="0" w:right="0"/>
        </w:sectPr>
      </w:pPr>
    </w:p>
    <w:p>
      <w:pPr>
        <w:pStyle w:val="BodyText"/>
        <w:spacing w:line="300" w:lineRule="auto" w:before="81"/>
        <w:ind w:left="1494" w:right="0"/>
        <w:jc w:val="left"/>
      </w:pPr>
      <w:r>
        <w:rPr>
          <w:rFonts w:ascii="Times New Roman" w:hAnsi="Times New Roman" w:cs="Times New Roman" w:eastAsia="Times New Roman" w:hint="default"/>
        </w:rPr>
        <w:t>3</w:t>
      </w:r>
      <w:r>
        <w:rPr/>
        <w:t>）转换为普通股 </w:t>
      </w:r>
      <w:r>
        <w:rPr>
          <w:spacing w:val="-2"/>
        </w:rPr>
        <w:t>本公司发行的优先股如果附加可转换为普通股条件的，优先股是划分为金融负债还是权益工具，则取决于未来转换为普</w:t>
      </w:r>
    </w:p>
    <w:p>
      <w:pPr>
        <w:pStyle w:val="BodyText"/>
        <w:spacing w:line="316" w:lineRule="auto" w:before="31"/>
        <w:ind w:right="0"/>
        <w:jc w:val="left"/>
      </w:pPr>
      <w:r>
        <w:rPr>
          <w:spacing w:val="-2"/>
        </w:rPr>
        <w:t>通股的数量是否固定：如果未来转换的普通股数量是非固定的，则发行的优先股属于金融负债；如果未来转换的普通股数量</w:t>
      </w:r>
      <w:r>
        <w:rPr>
          <w:spacing w:val="-66"/>
        </w:rPr>
        <w:t> </w:t>
      </w:r>
      <w:r>
        <w:rPr>
          <w:spacing w:val="-66"/>
        </w:rPr>
      </w:r>
      <w:r>
        <w:rPr/>
        <w:t>是固定的，则划分为权益工具。</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）优先股、永续债等其他金融工具的会计处理方法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7" w:lineRule="auto"/>
        <w:ind w:left="1133" w:right="1131" w:firstLine="360"/>
        <w:jc w:val="both"/>
      </w:pPr>
      <w:r>
        <w:rPr>
          <w:spacing w:val="-2"/>
        </w:rPr>
        <w:t>本公司以所发行金融工具的分类为基础，确定该工具利息支出或股利分配等的会计处理。对于归类为权益工具的金融工</w:t>
      </w:r>
      <w:r>
        <w:rPr/>
        <w:t> </w:t>
      </w:r>
      <w:r>
        <w:rPr>
          <w:spacing w:val="-2"/>
        </w:rPr>
        <w:t>具，无论其名称中是否包含</w:t>
      </w:r>
      <w:r>
        <w:rPr>
          <w:rFonts w:ascii="Times New Roman" w:hAnsi="Times New Roman" w:cs="Times New Roman" w:eastAsia="Times New Roman" w:hint="default"/>
          <w:spacing w:val="-2"/>
        </w:rPr>
        <w:t>“</w:t>
      </w:r>
      <w:r>
        <w:rPr>
          <w:spacing w:val="-2"/>
        </w:rPr>
        <w:t>债</w:t>
      </w:r>
      <w:r>
        <w:rPr>
          <w:rFonts w:ascii="Times New Roman" w:hAnsi="Times New Roman" w:cs="Times New Roman" w:eastAsia="Times New Roman" w:hint="default"/>
          <w:spacing w:val="-2"/>
        </w:rPr>
        <w:t>”</w:t>
      </w:r>
      <w:r>
        <w:rPr>
          <w:spacing w:val="-2"/>
        </w:rPr>
        <w:t>，其利息支出或股利分配都作为本公司（发行企业）的利润分配，其回购、注销等作为权益</w:t>
      </w:r>
      <w:r>
        <w:rPr>
          <w:spacing w:val="-45"/>
        </w:rPr>
        <w:t> </w:t>
      </w:r>
      <w:r>
        <w:rPr>
          <w:spacing w:val="-45"/>
        </w:rPr>
      </w:r>
      <w:r>
        <w:rPr>
          <w:spacing w:val="-2"/>
        </w:rPr>
        <w:t>的变动处理；对于归类为金融负债的金融工具，无论其名称中是否包含</w:t>
      </w:r>
      <w:r>
        <w:rPr>
          <w:rFonts w:ascii="Times New Roman" w:hAnsi="Times New Roman" w:cs="Times New Roman" w:eastAsia="Times New Roman" w:hint="default"/>
          <w:spacing w:val="-2"/>
        </w:rPr>
        <w:t>“</w:t>
      </w:r>
      <w:r>
        <w:rPr>
          <w:spacing w:val="-2"/>
        </w:rPr>
        <w:t>股</w:t>
      </w:r>
      <w:r>
        <w:rPr>
          <w:rFonts w:ascii="Times New Roman" w:hAnsi="Times New Roman" w:cs="Times New Roman" w:eastAsia="Times New Roman" w:hint="default"/>
          <w:spacing w:val="-2"/>
        </w:rPr>
        <w:t>”</w:t>
      </w:r>
      <w:r>
        <w:rPr>
          <w:spacing w:val="-2"/>
        </w:rPr>
        <w:t>，其利息支出或股利分配原则上按照借款费用进</w:t>
      </w:r>
      <w:r>
        <w:rPr>
          <w:spacing w:val="-45"/>
        </w:rPr>
        <w:t> </w:t>
      </w:r>
      <w:r>
        <w:rPr>
          <w:spacing w:val="-45"/>
        </w:rPr>
      </w:r>
      <w:r>
        <w:rPr/>
        <w:t>行处理，其回购或赎回产生的利得或损失等计入当期损益。</w:t>
      </w:r>
    </w:p>
    <w:p>
      <w:pPr>
        <w:spacing w:line="240" w:lineRule="auto" w:before="1"/>
        <w:rPr>
          <w:rFonts w:ascii="宋体" w:hAnsi="宋体" w:cs="宋体" w:eastAsia="宋体" w:hint="default"/>
          <w:sz w:val="23"/>
          <w:szCs w:val="23"/>
        </w:rPr>
      </w:pPr>
    </w:p>
    <w:p>
      <w:pPr>
        <w:pStyle w:val="Heading3"/>
        <w:spacing w:line="240" w:lineRule="auto"/>
        <w:ind w:right="0"/>
        <w:jc w:val="left"/>
        <w:rPr>
          <w:b w:val="0"/>
          <w:bCs w:val="0"/>
        </w:rPr>
      </w:pPr>
      <w:bookmarkStart w:name="28、收入" w:id="205"/>
      <w:bookmarkEnd w:id="205"/>
      <w:r>
        <w:rPr>
          <w:b w:val="0"/>
          <w:bCs w:val="0"/>
        </w:rPr>
      </w:r>
      <w:r>
        <w:rPr>
          <w:rFonts w:ascii="Times New Roman" w:hAnsi="Times New Roman" w:cs="Times New Roman" w:eastAsia="Times New Roman" w:hint="default"/>
        </w:rPr>
        <w:t>28</w:t>
      </w:r>
      <w:r>
        <w:rPr/>
        <w:t>、收入</w:t>
      </w:r>
      <w:r>
        <w:rPr>
          <w:b w:val="0"/>
          <w:bCs w:val="0"/>
        </w:rPr>
      </w:r>
    </w:p>
    <w:p>
      <w:pPr>
        <w:spacing w:line="240" w:lineRule="auto" w:before="7"/>
        <w:rPr>
          <w:rFonts w:ascii="宋体" w:hAnsi="宋体" w:cs="宋体" w:eastAsia="宋体" w:hint="default"/>
          <w:b/>
          <w:bCs/>
          <w:sz w:val="26"/>
          <w:szCs w:val="26"/>
        </w:rPr>
      </w:pPr>
    </w:p>
    <w:p>
      <w:pPr>
        <w:pStyle w:val="BodyText"/>
        <w:spacing w:line="307" w:lineRule="auto"/>
        <w:ind w:left="1133" w:right="1130" w:firstLine="360"/>
        <w:jc w:val="both"/>
      </w:pPr>
      <w:r>
        <w:rPr>
          <w:spacing w:val="-2"/>
        </w:rPr>
        <w:t>公司向客户提供的服务包括：数据中心集成建设与运营维护的第三方服务、重点行业信息化解决方案以及金融</w:t>
      </w:r>
      <w:r>
        <w:rPr>
          <w:rFonts w:ascii="Times New Roman" w:hAnsi="Times New Roman" w:cs="Times New Roman" w:eastAsia="Times New Roman" w:hint="default"/>
          <w:spacing w:val="-2"/>
        </w:rPr>
        <w:t>IT</w:t>
      </w:r>
      <w:r>
        <w:rPr>
          <w:spacing w:val="-2"/>
        </w:rPr>
        <w:t>外包服</w:t>
      </w:r>
      <w:r>
        <w:rPr/>
        <w:t> </w:t>
      </w:r>
      <w:r>
        <w:rPr>
          <w:spacing w:val="-2"/>
        </w:rPr>
        <w:t>务。数据中心第三方服务主要是提供系统集成和运行维护服务；重点行业信息化解决方案服务主要是提供软件销售、软件开</w:t>
      </w:r>
      <w:r>
        <w:rPr>
          <w:spacing w:val="-66"/>
        </w:rPr>
        <w:t> </w:t>
      </w:r>
      <w:r>
        <w:rPr>
          <w:spacing w:val="-66"/>
        </w:rPr>
      </w:r>
      <w:r>
        <w:rPr>
          <w:spacing w:val="-2"/>
        </w:rPr>
        <w:t>发服务；金融</w:t>
      </w:r>
      <w:r>
        <w:rPr>
          <w:rFonts w:ascii="Times New Roman" w:hAnsi="Times New Roman" w:cs="Times New Roman" w:eastAsia="Times New Roman" w:hint="default"/>
          <w:spacing w:val="-2"/>
        </w:rPr>
        <w:t>IT</w:t>
      </w:r>
      <w:r>
        <w:rPr>
          <w:spacing w:val="-2"/>
        </w:rPr>
        <w:t>外包服务是在前述两项业务基础上提供的综合性服务，涵盖了系统集成、运行维护服务、软件销售、软件开</w:t>
      </w:r>
      <w:r>
        <w:rPr>
          <w:spacing w:val="-55"/>
        </w:rPr>
        <w:t> </w:t>
      </w:r>
      <w:r>
        <w:rPr>
          <w:spacing w:val="-55"/>
        </w:rPr>
      </w:r>
      <w:r>
        <w:rPr/>
        <w:t>发服务等业务。本公司对收入的具体确认原则如下：</w:t>
      </w:r>
    </w:p>
    <w:p>
      <w:pPr>
        <w:spacing w:line="240" w:lineRule="auto" w:before="13"/>
        <w:rPr>
          <w:rFonts w:ascii="宋体" w:hAnsi="宋体" w:cs="宋体" w:eastAsia="宋体" w:hint="default"/>
          <w:sz w:val="22"/>
          <w:szCs w:val="22"/>
        </w:rPr>
      </w:pPr>
    </w:p>
    <w:p>
      <w:pPr>
        <w:pStyle w:val="Heading3"/>
        <w:spacing w:line="240" w:lineRule="auto"/>
        <w:ind w:left="1133" w:right="0"/>
        <w:jc w:val="left"/>
        <w:rPr>
          <w:b w:val="0"/>
          <w:bCs w:val="0"/>
        </w:rPr>
      </w:pPr>
      <w:r>
        <w:rPr/>
        <w:t>（</w:t>
      </w:r>
      <w:r>
        <w:rPr>
          <w:rFonts w:ascii="Times New Roman" w:hAnsi="Times New Roman" w:cs="Times New Roman" w:eastAsia="Times New Roman" w:hint="default"/>
        </w:rPr>
        <w:t>1</w:t>
      </w:r>
      <w:r>
        <w:rPr/>
        <w:t>）销售商品收入</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133" w:right="1132" w:firstLine="360"/>
        <w:jc w:val="both"/>
      </w:pPr>
      <w:r>
        <w:rPr>
          <w:spacing w:val="-2"/>
        </w:rPr>
        <w:t>公司已将商品所有权上的主要风险和报酬转移给购货方；公司既没有保留通常与所有权相联系的继续管理权，也没有对</w:t>
      </w:r>
      <w:r>
        <w:rPr/>
        <w:t> </w:t>
      </w:r>
      <w:r>
        <w:rPr>
          <w:spacing w:val="-2"/>
        </w:rPr>
        <w:t>已售出的商品实施有效控制；收入的金额能够可靠地计量；相关的经济利益很可能流入公司；相关的已发生或将发生的成本</w:t>
      </w:r>
      <w:r>
        <w:rPr>
          <w:spacing w:val="-66"/>
        </w:rPr>
        <w:t> </w:t>
      </w:r>
      <w:r>
        <w:rPr>
          <w:spacing w:val="-66"/>
        </w:rPr>
      </w:r>
      <w:r>
        <w:rPr/>
        <w:t>能够可靠地计量时，确认为销售收入的实现。</w:t>
      </w:r>
    </w:p>
    <w:p>
      <w:pPr>
        <w:pStyle w:val="BodyText"/>
        <w:spacing w:line="240" w:lineRule="auto" w:before="17"/>
        <w:ind w:left="1493" w:right="0"/>
        <w:jc w:val="left"/>
      </w:pPr>
      <w:r>
        <w:rPr/>
        <w:t>本公司商品销售主要包括产品化软件销售收入和系统集成收入，其收入的具体确认原则如下：</w:t>
      </w:r>
    </w:p>
    <w:p>
      <w:pPr>
        <w:pStyle w:val="BodyText"/>
        <w:spacing w:line="300" w:lineRule="auto" w:before="76"/>
        <w:ind w:right="1140" w:firstLine="360"/>
        <w:jc w:val="both"/>
      </w:pPr>
      <w:r>
        <w:rPr>
          <w:rFonts w:ascii="Times New Roman" w:hAnsi="Times New Roman" w:cs="Times New Roman" w:eastAsia="Times New Roman" w:hint="default"/>
        </w:rPr>
        <w:t>1</w:t>
      </w:r>
      <w:r>
        <w:rPr/>
        <w:t>）产品化软件销售收入是指本公司销售自主研发的软件产品收入。公司自主研发的软件产品是指获得了软件产品登记 证书，具有较强的行业通用性，客户需求差异性较小，并且可以批量复制销售的应用软件。</w:t>
      </w:r>
    </w:p>
    <w:p>
      <w:pPr>
        <w:pStyle w:val="BodyText"/>
        <w:spacing w:line="316" w:lineRule="auto" w:before="31"/>
        <w:ind w:left="1133" w:right="1050" w:firstLine="360"/>
        <w:jc w:val="both"/>
      </w:pPr>
      <w:r>
        <w:rPr/>
        <w:t>对于产品化软件销售，本公司在按照合同约定内容向购买方移交，并完成安装、调试工作，取得了购买方安装确认单， 并同时满足上述销售商品收入确认条件时确认软件产品销售收入。</w:t>
      </w:r>
    </w:p>
    <w:p>
      <w:pPr>
        <w:pStyle w:val="BodyText"/>
        <w:spacing w:line="309" w:lineRule="auto" w:before="19"/>
        <w:ind w:right="1131" w:firstLine="360"/>
        <w:jc w:val="both"/>
      </w:pPr>
      <w:r>
        <w:rPr>
          <w:rFonts w:ascii="Times New Roman" w:hAnsi="Times New Roman" w:cs="Times New Roman" w:eastAsia="Times New Roman" w:hint="default"/>
        </w:rPr>
        <w:t>2</w:t>
      </w:r>
      <w:r>
        <w:rPr/>
        <w:t>）系统集成收入是指公司为客户实施系统集成项目时，应客户要求代其外购硬件系统及相关第三方软件，并安装集成 </w:t>
      </w:r>
      <w:r>
        <w:rPr>
          <w:spacing w:val="-2"/>
        </w:rPr>
        <w:t>所获得的收入。系统集成是根据客户的需求选择各种软硬件设备，经过集成设计、集成、安装调试等大量技术性工作使系统</w:t>
      </w:r>
      <w:r>
        <w:rPr>
          <w:spacing w:val="-66"/>
        </w:rPr>
        <w:t> </w:t>
      </w:r>
      <w:r>
        <w:rPr>
          <w:spacing w:val="-66"/>
        </w:rPr>
      </w:r>
      <w:r>
        <w:rPr/>
        <w:t>能够满足用户的实际需求。</w:t>
      </w:r>
    </w:p>
    <w:p>
      <w:pPr>
        <w:pStyle w:val="BodyText"/>
        <w:spacing w:line="316" w:lineRule="auto" w:before="24"/>
        <w:ind w:right="1130" w:firstLine="360"/>
        <w:jc w:val="both"/>
      </w:pPr>
      <w:r>
        <w:rPr>
          <w:spacing w:val="-2"/>
        </w:rPr>
        <w:t>系统集成在按照合同约定内容向购买方移交了所提供的软件产品和软件开发相关的、以及代购硬件设备或第三方软件的</w:t>
      </w:r>
      <w:r>
        <w:rPr/>
        <w:t> 所有权，取得了购买方的验收单，并同时满足上述销售商品收入确认条件时确认系统集成收入。</w:t>
      </w:r>
    </w:p>
    <w:p>
      <w:pPr>
        <w:spacing w:line="240" w:lineRule="auto" w:before="6"/>
        <w:rPr>
          <w:rFonts w:ascii="宋体" w:hAnsi="宋体" w:cs="宋体" w:eastAsia="宋体" w:hint="default"/>
          <w:sz w:val="22"/>
          <w:szCs w:val="22"/>
        </w:rPr>
      </w:pPr>
    </w:p>
    <w:p>
      <w:pPr>
        <w:pStyle w:val="Heading3"/>
        <w:spacing w:line="240" w:lineRule="auto"/>
        <w:ind w:left="1133" w:right="0"/>
        <w:jc w:val="left"/>
        <w:rPr>
          <w:b w:val="0"/>
          <w:bCs w:val="0"/>
        </w:rPr>
      </w:pPr>
      <w:r>
        <w:rPr/>
        <w:t>（</w:t>
      </w:r>
      <w:r>
        <w:rPr>
          <w:rFonts w:ascii="Times New Roman" w:hAnsi="Times New Roman" w:cs="Times New Roman" w:eastAsia="Times New Roman" w:hint="default"/>
        </w:rPr>
        <w:t>2</w:t>
      </w:r>
      <w:r>
        <w:rPr/>
        <w:t>）提供劳务收入</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360"/>
        <w:jc w:val="both"/>
      </w:pPr>
      <w:r>
        <w:rPr>
          <w:spacing w:val="-2"/>
        </w:rPr>
        <w:t>在资产负债表日提供劳务交易的结果能够可靠估计，采用完工百分比法确认提供劳务收入。提供劳务交易的结果能够可</w:t>
      </w:r>
      <w:r>
        <w:rPr/>
        <w:t> </w:t>
      </w:r>
      <w:r>
        <w:rPr>
          <w:spacing w:val="-2"/>
        </w:rPr>
        <w:t>靠估计，是指同时满足下列条件：收入的金额能够可靠地计量；相关的经济利益很可能流入企业；交易的完工进度能够可靠</w:t>
      </w:r>
      <w:r>
        <w:rPr>
          <w:spacing w:val="-66"/>
        </w:rPr>
        <w:t> </w:t>
      </w:r>
      <w:r>
        <w:rPr>
          <w:spacing w:val="-66"/>
        </w:rPr>
      </w:r>
      <w:r>
        <w:rPr/>
        <w:t>地确定；交易中已发生和将发生的成本能够可靠地计量时，确认为提供劳务收入的实现。</w:t>
      </w:r>
    </w:p>
    <w:p>
      <w:pPr>
        <w:pStyle w:val="BodyText"/>
        <w:spacing w:line="240" w:lineRule="auto" w:before="19"/>
        <w:ind w:left="1493" w:right="0"/>
        <w:jc w:val="left"/>
      </w:pPr>
      <w:r>
        <w:rPr/>
        <w:t>本公司提供劳务主要包括定制化软件开发收入和技术服务收入，其收入的具体确认原则如下：</w:t>
      </w:r>
    </w:p>
    <w:p>
      <w:pPr>
        <w:pStyle w:val="BodyText"/>
        <w:spacing w:line="309" w:lineRule="auto" w:before="76"/>
        <w:ind w:right="1133" w:firstLine="360"/>
        <w:jc w:val="both"/>
      </w:pPr>
      <w:r>
        <w:rPr>
          <w:rFonts w:ascii="Times New Roman" w:hAnsi="Times New Roman" w:cs="Times New Roman" w:eastAsia="Times New Roman" w:hint="default"/>
        </w:rPr>
        <w:t>1</w:t>
      </w:r>
      <w:r>
        <w:rPr/>
        <w:t>）定制化软件开发收入是指公司接受客户委托，针对客户提出的软件需求进行研究开发所获得的收入。定制化软件一 </w:t>
      </w:r>
      <w:r>
        <w:rPr>
          <w:spacing w:val="-2"/>
        </w:rPr>
        <w:t>般是公司基于自主研发的软件平台基础上，按照客户的特定需求，进行定制化开发而形成的应用软件。该类软件一般不具有</w:t>
      </w:r>
      <w:r>
        <w:rPr>
          <w:spacing w:val="-66"/>
        </w:rPr>
        <w:t> </w:t>
      </w:r>
      <w:r>
        <w:rPr>
          <w:spacing w:val="-66"/>
        </w:rPr>
      </w:r>
      <w:r>
        <w:rPr/>
        <w:t>通用性，该类业务实质上属于提供劳务。</w:t>
      </w:r>
    </w:p>
    <w:p>
      <w:pPr>
        <w:pStyle w:val="BodyText"/>
        <w:spacing w:line="240" w:lineRule="auto" w:before="24"/>
        <w:ind w:left="1494" w:right="0"/>
        <w:jc w:val="left"/>
      </w:pPr>
      <w:r>
        <w:rPr/>
        <w:t>对于专业程度较高且能够取得客户确认的完工进度依据的定制化软件开发收入</w:t>
      </w:r>
      <w:r>
        <w:rPr>
          <w:spacing w:val="-82"/>
        </w:rPr>
        <w:t>，</w:t>
      </w:r>
      <w:r>
        <w:rPr/>
        <w:t>提供定制软件劳务交易的结果在资产负</w:t>
      </w:r>
    </w:p>
    <w:p>
      <w:pPr>
        <w:spacing w:after="0" w:line="240" w:lineRule="auto"/>
        <w:jc w:val="left"/>
        <w:sectPr>
          <w:pgSz w:w="11910" w:h="16840"/>
          <w:pgMar w:header="566" w:footer="979" w:top="1360" w:bottom="1160" w:left="0" w:right="0"/>
        </w:sectPr>
      </w:pPr>
    </w:p>
    <w:p>
      <w:pPr>
        <w:pStyle w:val="BodyText"/>
        <w:spacing w:line="316" w:lineRule="auto" w:before="81"/>
        <w:ind w:right="1032"/>
        <w:jc w:val="left"/>
      </w:pPr>
      <w:r>
        <w:rPr>
          <w:spacing w:val="-2"/>
        </w:rPr>
        <w:t>债表日能够可靠估计的，采用完工百分比法确认提供劳务的收入，并按已经发生的成本占估计总成本的比例确定提供劳务交</w:t>
      </w:r>
      <w:r>
        <w:rPr>
          <w:spacing w:val="-64"/>
        </w:rPr>
        <w:t> </w:t>
      </w:r>
      <w:r>
        <w:rPr>
          <w:spacing w:val="-64"/>
        </w:rPr>
      </w:r>
      <w:r>
        <w:rPr>
          <w:spacing w:val="-4"/>
        </w:rPr>
        <w:t>易的完工进度；提供定制软件劳务交易的结果在资产负债表日不能够可靠估计的，若已经发生的劳务成本预计能够得到补偿，</w:t>
      </w:r>
      <w:r>
        <w:rPr>
          <w:spacing w:val="-44"/>
        </w:rPr>
        <w:t> </w:t>
      </w:r>
      <w:r>
        <w:rPr>
          <w:spacing w:val="-44"/>
        </w:rPr>
      </w:r>
      <w:r>
        <w:rPr/>
        <w:t>按已经发生的劳务成本金额确认提供劳务收入，并按相同金额结转劳务成本；若已经发生的劳务成本预计不能够得到补偿， </w:t>
      </w:r>
      <w:r>
        <w:rPr>
          <w:spacing w:val="-2"/>
        </w:rPr>
        <w:t>将已经发生的劳务成本计入当期损益，不确认劳务收入。对于其他的定制化软件开发收入，本公司在按照合同约定内容实施</w:t>
      </w:r>
      <w:r>
        <w:rPr>
          <w:spacing w:val="-66"/>
        </w:rPr>
        <w:t> </w:t>
      </w:r>
      <w:r>
        <w:rPr>
          <w:spacing w:val="-66"/>
        </w:rPr>
      </w:r>
      <w:r>
        <w:rPr>
          <w:spacing w:val="-2"/>
        </w:rPr>
        <w:t>了开发工作，为购买方完成了安装、调试工作，取得购买方的验收，并同时满足上述提供劳务收入确认条件时确认定制化软</w:t>
      </w:r>
      <w:r>
        <w:rPr>
          <w:spacing w:val="-66"/>
        </w:rPr>
        <w:t> </w:t>
      </w:r>
      <w:r>
        <w:rPr>
          <w:spacing w:val="-66"/>
        </w:rPr>
      </w:r>
      <w:r>
        <w:rPr/>
        <w:t>件开发收入。</w:t>
      </w:r>
    </w:p>
    <w:p>
      <w:pPr>
        <w:pStyle w:val="BodyText"/>
        <w:spacing w:line="300" w:lineRule="auto" w:before="19"/>
        <w:ind w:right="1140" w:firstLine="360"/>
        <w:jc w:val="both"/>
      </w:pPr>
      <w:r>
        <w:rPr>
          <w:rFonts w:ascii="Times New Roman" w:hAnsi="Times New Roman" w:cs="Times New Roman" w:eastAsia="Times New Roman" w:hint="default"/>
        </w:rPr>
        <w:t>2</w:t>
      </w:r>
      <w:r>
        <w:rPr/>
        <w:t>）技术服务收入是指公司向客户提供专业的技术服务实现的收入。本公司的技术服务收入通常包含但不限于向客户提 供的与</w:t>
      </w:r>
      <w:r>
        <w:rPr>
          <w:rFonts w:ascii="Times New Roman" w:hAnsi="Times New Roman" w:cs="Times New Roman" w:eastAsia="Times New Roman" w:hint="default"/>
        </w:rPr>
        <w:t>IT</w:t>
      </w:r>
      <w:r>
        <w:rPr/>
        <w:t>运维管理相关的技术支持、技术咨询、系统维护、运营管理等服务内容。</w:t>
      </w:r>
    </w:p>
    <w:p>
      <w:pPr>
        <w:pStyle w:val="BodyText"/>
        <w:spacing w:line="316" w:lineRule="auto" w:before="13"/>
        <w:ind w:left="1133" w:right="1131" w:firstLine="360"/>
        <w:jc w:val="both"/>
      </w:pPr>
      <w:r>
        <w:rPr>
          <w:spacing w:val="-2"/>
        </w:rPr>
        <w:t>对于按期提供劳务的技术服务，公司在按照合同约定内容提供了劳务，并满足上述提供劳务收入确认条件时按期确认技</w:t>
      </w:r>
      <w:r>
        <w:rPr/>
        <w:t> </w:t>
      </w:r>
      <w:r>
        <w:rPr>
          <w:spacing w:val="-2"/>
        </w:rPr>
        <w:t>术服务收入；对于按次提供劳务的技术服务，公司在劳务已经提供，并符合合同约定的服务条款，同时满足提供劳务收入确</w:t>
      </w:r>
      <w:r>
        <w:rPr>
          <w:spacing w:val="-66"/>
        </w:rPr>
        <w:t> </w:t>
      </w:r>
      <w:r>
        <w:rPr>
          <w:spacing w:val="-66"/>
        </w:rPr>
      </w:r>
      <w:r>
        <w:rPr/>
        <w:t>认条件时确认技术服务收入。</w:t>
      </w:r>
    </w:p>
    <w:p>
      <w:pPr>
        <w:pStyle w:val="BodyText"/>
        <w:spacing w:line="316" w:lineRule="auto" w:before="19"/>
        <w:ind w:left="1133" w:right="1133" w:firstLine="360"/>
        <w:jc w:val="both"/>
      </w:pPr>
      <w:r>
        <w:rPr>
          <w:spacing w:val="-2"/>
        </w:rPr>
        <w:t>合同中涉及两项以上业务，如合同中能明确区分各项业务合同金额时，按照上述业务收入确认原则分别确认收入；如合</w:t>
      </w:r>
      <w:r>
        <w:rPr/>
        <w:t> 同中未能明确区分各项业务金额时，按照合同主要业务归属收入确认原则确认收入。</w:t>
      </w:r>
    </w:p>
    <w:p>
      <w:pPr>
        <w:pStyle w:val="BodyText"/>
        <w:spacing w:line="300" w:lineRule="auto" w:before="19"/>
        <w:ind w:left="1494" w:right="1572"/>
        <w:jc w:val="left"/>
      </w:pPr>
      <w:r>
        <w:rPr>
          <w:rFonts w:ascii="Times New Roman" w:hAnsi="Times New Roman" w:cs="Times New Roman" w:eastAsia="Times New Roman" w:hint="default"/>
        </w:rPr>
        <w:t>3</w:t>
      </w:r>
      <w:r>
        <w:rPr/>
        <w:t>）让渡资产使用权 本公司在与让渡资产使用权相关的经济利益能够流入和收入的金额能够可靠的计量时确认让渡资产使用权收入。</w:t>
      </w:r>
    </w:p>
    <w:p>
      <w:pPr>
        <w:spacing w:line="240" w:lineRule="auto" w:before="6"/>
        <w:rPr>
          <w:rFonts w:ascii="宋体" w:hAnsi="宋体" w:cs="宋体" w:eastAsia="宋体" w:hint="default"/>
          <w:sz w:val="23"/>
          <w:szCs w:val="23"/>
        </w:rPr>
      </w:pPr>
    </w:p>
    <w:p>
      <w:pPr>
        <w:pStyle w:val="Heading3"/>
        <w:spacing w:line="240" w:lineRule="auto"/>
        <w:ind w:left="1133" w:right="0"/>
        <w:jc w:val="left"/>
        <w:rPr>
          <w:b w:val="0"/>
          <w:bCs w:val="0"/>
        </w:rPr>
      </w:pPr>
      <w:bookmarkStart w:name="29、政府补助" w:id="206"/>
      <w:bookmarkEnd w:id="206"/>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与资产相关的政府补助判断依据及会计处理方法" w:id="207"/>
      <w:bookmarkEnd w:id="207"/>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493" w:right="0"/>
        <w:jc w:val="left"/>
      </w:pPr>
      <w:r>
        <w:rPr/>
        <w:t>本公司从政府取得的、用于购建或以其他方式形成长期资产的补助，确认为与资产相关的政府补助。 </w:t>
      </w:r>
      <w:r>
        <w:rPr>
          <w:spacing w:val="-2"/>
        </w:rPr>
        <w:t>与资产相关的政府补助，确认为递延收益，并在相关资产使用寿命内平均分配，计入当期损益。但是，以名义金额计量</w:t>
      </w:r>
    </w:p>
    <w:p>
      <w:pPr>
        <w:pStyle w:val="BodyText"/>
        <w:spacing w:line="240" w:lineRule="auto" w:before="19"/>
        <w:ind w:left="1133" w:right="0"/>
        <w:jc w:val="left"/>
      </w:pPr>
      <w:r>
        <w:rPr/>
        <w:t>的政府补助，直接计入当期损益。</w:t>
      </w:r>
    </w:p>
    <w:p>
      <w:pPr>
        <w:spacing w:line="240" w:lineRule="auto" w:before="12"/>
        <w:rPr>
          <w:rFonts w:ascii="宋体" w:hAnsi="宋体" w:cs="宋体" w:eastAsia="宋体" w:hint="default"/>
          <w:sz w:val="26"/>
          <w:szCs w:val="26"/>
        </w:rPr>
      </w:pPr>
    </w:p>
    <w:p>
      <w:pPr>
        <w:pStyle w:val="Heading3"/>
        <w:spacing w:line="240" w:lineRule="auto"/>
        <w:ind w:left="1133" w:right="0"/>
        <w:jc w:val="left"/>
        <w:rPr>
          <w:b w:val="0"/>
          <w:bCs w:val="0"/>
        </w:rPr>
      </w:pPr>
      <w:bookmarkStart w:name="（2）与收益相关的政府补助判断依据及会计处理方法" w:id="208"/>
      <w:bookmarkEnd w:id="208"/>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360"/>
        <w:jc w:val="both"/>
      </w:pPr>
      <w:r>
        <w:rPr>
          <w:spacing w:val="-2"/>
        </w:rPr>
        <w:t>本公司将从政府取得的各种奖励、定额补贴、财政贴息、拨付的研发经费（不包括购建固定资产）等与资产相关的政府</w:t>
      </w:r>
      <w:r>
        <w:rPr/>
        <w:t> 补助之外的政府补助，确认为与收益相关的政府补助。</w:t>
      </w:r>
    </w:p>
    <w:p>
      <w:pPr>
        <w:pStyle w:val="BodyText"/>
        <w:spacing w:line="240" w:lineRule="auto" w:before="19"/>
        <w:ind w:left="1494" w:right="0"/>
        <w:jc w:val="left"/>
      </w:pPr>
      <w:r>
        <w:rPr/>
        <w:t>与收益相关的政府补助，分别下列情况处理：</w:t>
      </w:r>
    </w:p>
    <w:p>
      <w:pPr>
        <w:pStyle w:val="BodyText"/>
        <w:spacing w:line="240" w:lineRule="auto" w:before="76"/>
        <w:ind w:left="1494" w:right="0"/>
        <w:jc w:val="left"/>
      </w:pPr>
      <w:r>
        <w:rPr>
          <w:rFonts w:ascii="Times New Roman" w:hAnsi="Times New Roman" w:cs="Times New Roman" w:eastAsia="Times New Roman" w:hint="default"/>
        </w:rPr>
        <w:t>1</w:t>
      </w:r>
      <w:r>
        <w:rPr/>
        <w:t>）用于补偿公司以后期间的相关费用或损失的，确认为递延收益，并在确认相关费用的期间，计入当期损益；</w:t>
      </w:r>
    </w:p>
    <w:p>
      <w:pPr>
        <w:pStyle w:val="BodyText"/>
        <w:spacing w:line="240" w:lineRule="auto" w:before="63"/>
        <w:ind w:left="1493" w:right="0"/>
        <w:jc w:val="left"/>
      </w:pPr>
      <w:r>
        <w:rPr>
          <w:rFonts w:ascii="Times New Roman" w:hAnsi="Times New Roman" w:cs="Times New Roman" w:eastAsia="Times New Roman" w:hint="default"/>
        </w:rPr>
        <w:t>2</w:t>
      </w:r>
      <w:r>
        <w:rPr/>
        <w:t>）用于补偿公司已发生的相关费用或损失的，计入当期损益。</w:t>
      </w:r>
    </w:p>
    <w:p>
      <w:pPr>
        <w:spacing w:line="240" w:lineRule="auto" w:before="11"/>
        <w:rPr>
          <w:rFonts w:ascii="宋体" w:hAnsi="宋体" w:cs="宋体" w:eastAsia="宋体" w:hint="default"/>
          <w:sz w:val="25"/>
          <w:szCs w:val="25"/>
        </w:rPr>
      </w:pPr>
    </w:p>
    <w:p>
      <w:pPr>
        <w:pStyle w:val="Heading3"/>
        <w:spacing w:line="240" w:lineRule="auto"/>
        <w:ind w:left="1133" w:right="0"/>
        <w:jc w:val="left"/>
        <w:rPr>
          <w:b w:val="0"/>
          <w:bCs w:val="0"/>
        </w:rPr>
      </w:pPr>
      <w:bookmarkStart w:name="30、递延所得税资产/递延所得税负债" w:id="209"/>
      <w:bookmarkEnd w:id="209"/>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3" w:right="1131" w:firstLine="360"/>
        <w:jc w:val="both"/>
      </w:pPr>
      <w:r>
        <w:rPr>
          <w:spacing w:val="-2"/>
        </w:rPr>
        <w:t>本公司通常根据资产与负债在资产负债表日的账面价值与计税基础之间的暂时性差异，采用资产负债表债务法将应纳税</w:t>
      </w:r>
      <w:r>
        <w:rPr/>
        <w:t> </w:t>
      </w:r>
      <w:r>
        <w:rPr>
          <w:spacing w:val="-2"/>
        </w:rPr>
        <w:t>暂时性差异或可抵扣暂时性差异对所得税的影响额确认和计量递延所得税负债或递延所得税资产。本公司不对递延所得税资</w:t>
      </w:r>
      <w:r>
        <w:rPr>
          <w:spacing w:val="-64"/>
        </w:rPr>
        <w:t> </w:t>
      </w:r>
      <w:r>
        <w:rPr>
          <w:spacing w:val="-64"/>
        </w:rPr>
      </w:r>
      <w:r>
        <w:rPr/>
        <w:t>产和递延所得税负债进行折现。</w:t>
      </w:r>
    </w:p>
    <w:p>
      <w:pPr>
        <w:spacing w:line="240" w:lineRule="auto" w:before="6"/>
        <w:rPr>
          <w:rFonts w:ascii="宋体" w:hAnsi="宋体" w:cs="宋体" w:eastAsia="宋体" w:hint="default"/>
          <w:sz w:val="22"/>
          <w:szCs w:val="22"/>
        </w:rPr>
      </w:pPr>
    </w:p>
    <w:p>
      <w:pPr>
        <w:pStyle w:val="Heading3"/>
        <w:spacing w:line="240" w:lineRule="auto"/>
        <w:ind w:left="1133" w:right="0"/>
        <w:jc w:val="left"/>
        <w:rPr>
          <w:b w:val="0"/>
          <w:bCs w:val="0"/>
        </w:rPr>
      </w:pPr>
      <w:r>
        <w:rPr/>
        <w:t>（</w:t>
      </w:r>
      <w:r>
        <w:rPr>
          <w:rFonts w:ascii="Times New Roman" w:hAnsi="Times New Roman" w:cs="Times New Roman" w:eastAsia="Times New Roman" w:hint="default"/>
        </w:rPr>
        <w:t>1</w:t>
      </w:r>
      <w:r>
        <w:rPr/>
        <w:t>）递延所得税资产的确认</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3" w:right="1043" w:firstLine="360"/>
        <w:jc w:val="both"/>
      </w:pPr>
      <w:r>
        <w:rPr>
          <w:spacing w:val="-4"/>
        </w:rPr>
        <w:t>对于可抵扣暂时性差异，其对所得税的影响额按预计转回期间的所得税税率计算，并将该影响额确认为递延所得税资产，</w:t>
      </w:r>
      <w:r>
        <w:rPr/>
        <w:t> 但是以本公司很可能取得用来抵扣可抵扣暂时性差异、可抵扣亏损和税款抵减的未来应纳税所得额为限。</w:t>
      </w:r>
    </w:p>
    <w:p>
      <w:pPr>
        <w:pStyle w:val="BodyText"/>
        <w:spacing w:line="316" w:lineRule="auto" w:before="19"/>
        <w:ind w:left="1133" w:right="1230" w:firstLine="360"/>
        <w:jc w:val="both"/>
      </w:pPr>
      <w:r>
        <w:rPr/>
        <w:t>同时具有下列特征的交易或事项中因资产或负债的初始确认所产生的可抵扣暂时性差异对所得税的影响额不确认为递 延所得税资产：</w:t>
      </w:r>
    </w:p>
    <w:p>
      <w:pPr>
        <w:pStyle w:val="BodyText"/>
        <w:spacing w:line="240" w:lineRule="auto" w:before="19"/>
        <w:ind w:left="1493" w:right="0"/>
        <w:jc w:val="left"/>
      </w:pPr>
      <w:r>
        <w:rPr>
          <w:rFonts w:ascii="Times New Roman" w:hAnsi="Times New Roman" w:cs="Times New Roman" w:eastAsia="Times New Roman" w:hint="default"/>
        </w:rPr>
        <w:t>1</w:t>
      </w:r>
      <w:r>
        <w:rPr/>
        <w:t>）该项交易不是企业合并；</w:t>
      </w:r>
    </w:p>
    <w:p>
      <w:pPr>
        <w:spacing w:after="0" w:line="240" w:lineRule="auto"/>
        <w:jc w:val="left"/>
        <w:sectPr>
          <w:pgSz w:w="11910" w:h="16840"/>
          <w:pgMar w:header="566" w:footer="979" w:top="1360" w:bottom="1160" w:left="0" w:right="0"/>
        </w:sectPr>
      </w:pPr>
    </w:p>
    <w:p>
      <w:pPr>
        <w:pStyle w:val="BodyText"/>
        <w:spacing w:line="300" w:lineRule="auto" w:before="81"/>
        <w:ind w:left="1493" w:right="0"/>
        <w:jc w:val="left"/>
      </w:pPr>
      <w:r>
        <w:rPr>
          <w:rFonts w:ascii="Times New Roman" w:hAnsi="Times New Roman" w:cs="Times New Roman" w:eastAsia="Times New Roman" w:hint="default"/>
        </w:rPr>
        <w:t>2</w:t>
      </w:r>
      <w:r>
        <w:rPr/>
        <w:t>）交易发生时既不影响会计利润也不影响应纳税所得额（或可抵扣亏损）。 </w:t>
      </w:r>
      <w:r>
        <w:rPr>
          <w:spacing w:val="-2"/>
        </w:rPr>
        <w:t>本公司对与子公司、联营公司及合营企业投资相关的可抵扣暂时性差异，同时满足下列两项条件的，其对所得税的影响</w:t>
      </w:r>
    </w:p>
    <w:p>
      <w:pPr>
        <w:pStyle w:val="BodyText"/>
        <w:spacing w:line="240" w:lineRule="auto" w:before="31"/>
        <w:ind w:left="1133" w:right="0"/>
        <w:jc w:val="both"/>
      </w:pPr>
      <w:r>
        <w:rPr/>
        <w:t>额（才能）确认为递延所得税资产：</w:t>
      </w:r>
    </w:p>
    <w:p>
      <w:pPr>
        <w:pStyle w:val="BodyText"/>
        <w:spacing w:line="240" w:lineRule="auto" w:before="76"/>
        <w:ind w:left="1494" w:right="0"/>
        <w:jc w:val="left"/>
      </w:pPr>
      <w:r>
        <w:rPr/>
        <w:t>①</w:t>
      </w:r>
      <w:r>
        <w:rPr>
          <w:spacing w:val="-19"/>
        </w:rPr>
        <w:t> </w:t>
      </w:r>
      <w:r>
        <w:rPr/>
        <w:t>暂时性差异在可预见的未来很可能转回；</w:t>
      </w:r>
    </w:p>
    <w:p>
      <w:pPr>
        <w:pStyle w:val="BodyText"/>
        <w:spacing w:line="316" w:lineRule="auto" w:before="77"/>
        <w:ind w:left="1494" w:right="0"/>
        <w:jc w:val="left"/>
      </w:pPr>
      <w:r>
        <w:rPr/>
        <w:t>②</w:t>
      </w:r>
      <w:r>
        <w:rPr>
          <w:spacing w:val="-18"/>
        </w:rPr>
        <w:t> </w:t>
      </w:r>
      <w:r>
        <w:rPr/>
        <w:t>未来很可能获得用来抵扣可抵扣暂时性差异的应纳税所得额；</w:t>
      </w:r>
      <w:r>
        <w:rPr/>
        <w:t> </w:t>
      </w:r>
      <w:r>
        <w:rPr>
          <w:spacing w:val="-2"/>
        </w:rPr>
        <w:t>资产负债表日，有确凿证据表明未来期间很可能获得足够的应纳税所得额用来抵扣可抵扣暂时性差异的，确认以前期间</w:t>
      </w:r>
    </w:p>
    <w:p>
      <w:pPr>
        <w:pStyle w:val="BodyText"/>
        <w:spacing w:line="316" w:lineRule="auto" w:before="19"/>
        <w:ind w:left="1494" w:right="0" w:hanging="360"/>
        <w:jc w:val="left"/>
      </w:pPr>
      <w:r>
        <w:rPr/>
        <w:t>未确认的递延所得税资产。 </w:t>
      </w:r>
      <w:r>
        <w:rPr>
          <w:spacing w:val="-2"/>
        </w:rPr>
        <w:t>在资产负债表日，本公司对递延所得税资产的账面价值进行复核。如果未来期间很可能无法获得足够的应纳税所得额用</w:t>
      </w:r>
    </w:p>
    <w:p>
      <w:pPr>
        <w:pStyle w:val="BodyText"/>
        <w:spacing w:line="316" w:lineRule="auto" w:before="19"/>
        <w:ind w:right="1132"/>
        <w:jc w:val="both"/>
      </w:pPr>
      <w:r>
        <w:rPr>
          <w:spacing w:val="-2"/>
        </w:rPr>
        <w:t>以抵扣递延所得税资产的利益，减记递延所得税资产的账面价值。在很可能获得足够的应纳税所得额时，减记的金额予以转</w:t>
      </w:r>
      <w:r>
        <w:rPr>
          <w:spacing w:val="-66"/>
        </w:rPr>
        <w:t> </w:t>
      </w:r>
      <w:r>
        <w:rPr>
          <w:spacing w:val="-66"/>
        </w:rPr>
      </w:r>
      <w:r>
        <w:rPr/>
        <w:t>回。</w:t>
      </w:r>
    </w:p>
    <w:p>
      <w:pPr>
        <w:spacing w:line="240" w:lineRule="auto" w:before="6"/>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）递延所得税负债的确认</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pPr>
      <w:r>
        <w:rPr>
          <w:spacing w:val="-2"/>
        </w:rPr>
        <w:t>本公司所有应纳税暂时性差异均按预计转回期间的所得税税率计量对所得税的影响，并将该影响额确认为递延所得税负</w:t>
      </w:r>
      <w:r>
        <w:rPr/>
        <w:t> 债，但下列情况的除外：</w:t>
      </w:r>
    </w:p>
    <w:p>
      <w:pPr>
        <w:pStyle w:val="BodyText"/>
        <w:spacing w:line="240" w:lineRule="auto" w:before="19"/>
        <w:ind w:left="1494" w:right="0"/>
        <w:jc w:val="left"/>
      </w:pPr>
      <w:r>
        <w:rPr>
          <w:rFonts w:ascii="Times New Roman" w:hAnsi="Times New Roman" w:cs="Times New Roman" w:eastAsia="Times New Roman" w:hint="default"/>
        </w:rPr>
        <w:t>1</w:t>
      </w:r>
      <w:r>
        <w:rPr/>
        <w:t>）因下列交易或事项中产生的应纳税暂时性差异对所得税的影响不确认为递延所得税负债：</w:t>
      </w:r>
    </w:p>
    <w:p>
      <w:pPr>
        <w:pStyle w:val="BodyText"/>
        <w:spacing w:line="240" w:lineRule="auto" w:before="63"/>
        <w:ind w:left="1493" w:right="0"/>
        <w:jc w:val="left"/>
      </w:pPr>
      <w:r>
        <w:rPr/>
        <w:t>①</w:t>
      </w:r>
      <w:r>
        <w:rPr>
          <w:spacing w:val="-19"/>
        </w:rPr>
        <w:t> </w:t>
      </w:r>
      <w:r>
        <w:rPr/>
        <w:t>商誉的初始确认；</w:t>
      </w:r>
    </w:p>
    <w:p>
      <w:pPr>
        <w:pStyle w:val="BodyText"/>
        <w:spacing w:line="316" w:lineRule="auto" w:before="76"/>
        <w:ind w:left="1133" w:right="1142" w:firstLine="360"/>
        <w:jc w:val="left"/>
      </w:pPr>
      <w:r>
        <w:rPr/>
        <w:t>②</w:t>
      </w:r>
      <w:r>
        <w:rPr>
          <w:spacing w:val="-19"/>
        </w:rPr>
        <w:t> </w:t>
      </w:r>
      <w:r>
        <w:rPr/>
        <w:t>具有以下特征的交易中产生的资产或负债的初始确认：该交易不是企业合并，并且交易发生时既不影响会计利润也</w:t>
      </w:r>
      <w:r>
        <w:rPr/>
        <w:t> 不影响应纳税所得额或可抵扣亏损。</w:t>
      </w:r>
    </w:p>
    <w:p>
      <w:pPr>
        <w:pStyle w:val="BodyText"/>
        <w:spacing w:line="300" w:lineRule="auto" w:before="19"/>
        <w:ind w:right="1122" w:firstLine="360"/>
        <w:jc w:val="left"/>
      </w:pPr>
      <w:r>
        <w:rPr>
          <w:rFonts w:ascii="Times New Roman" w:hAnsi="Times New Roman" w:cs="Times New Roman" w:eastAsia="Times New Roman" w:hint="default"/>
        </w:rPr>
        <w:t>2</w:t>
      </w:r>
      <w:r>
        <w:rPr/>
        <w:t>）本公司对与子公司、合营企业及联营企业投资相关的应纳税暂时性差异，其对所得税的影响额一般确认为递延所得 税负债，但同时满足以下两项条件的除外：</w:t>
      </w:r>
    </w:p>
    <w:p>
      <w:pPr>
        <w:pStyle w:val="BodyText"/>
        <w:spacing w:line="240" w:lineRule="auto" w:before="31"/>
        <w:ind w:left="1494" w:right="0"/>
        <w:jc w:val="left"/>
      </w:pPr>
      <w:r>
        <w:rPr/>
        <w:t>①</w:t>
      </w:r>
      <w:r>
        <w:rPr>
          <w:spacing w:val="-19"/>
        </w:rPr>
        <w:t> </w:t>
      </w:r>
      <w:r>
        <w:rPr/>
        <w:t>本公司能够控制暂时性差异转回的时间；</w:t>
      </w:r>
    </w:p>
    <w:p>
      <w:pPr>
        <w:pStyle w:val="BodyText"/>
        <w:spacing w:line="240" w:lineRule="auto" w:before="77"/>
        <w:ind w:left="1494" w:right="0"/>
        <w:jc w:val="left"/>
      </w:pPr>
      <w:r>
        <w:rPr/>
        <w:t>②</w:t>
      </w:r>
      <w:r>
        <w:rPr>
          <w:spacing w:val="-19"/>
        </w:rPr>
        <w:t> </w:t>
      </w:r>
      <w:r>
        <w:rPr/>
        <w:t>该暂时性差异在可预见的未来很可能不会转回。</w:t>
      </w:r>
    </w:p>
    <w:p>
      <w:pPr>
        <w:spacing w:line="240" w:lineRule="auto" w:before="11"/>
        <w:rPr>
          <w:rFonts w:ascii="宋体" w:hAnsi="宋体" w:cs="宋体" w:eastAsia="宋体" w:hint="default"/>
          <w:sz w:val="26"/>
          <w:szCs w:val="26"/>
        </w:rPr>
      </w:pPr>
    </w:p>
    <w:p>
      <w:pPr>
        <w:pStyle w:val="Heading3"/>
        <w:spacing w:line="240" w:lineRule="auto"/>
        <w:ind w:right="0"/>
        <w:jc w:val="both"/>
        <w:rPr>
          <w:b w:val="0"/>
          <w:bCs w:val="0"/>
        </w:rPr>
      </w:pPr>
      <w:r>
        <w:rPr/>
        <w:t>（</w:t>
      </w:r>
      <w:r>
        <w:rPr>
          <w:rFonts w:ascii="Times New Roman" w:hAnsi="Times New Roman" w:cs="Times New Roman" w:eastAsia="Times New Roman" w:hint="default"/>
        </w:rPr>
        <w:t>3</w:t>
      </w:r>
      <w:r>
        <w:rPr/>
        <w:t>）特定交易或事项所涉及的递延所得税负债或资产的确认</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494" w:right="1212"/>
        <w:jc w:val="left"/>
      </w:pPr>
      <w:r>
        <w:rPr>
          <w:rFonts w:ascii="Times New Roman" w:hAnsi="Times New Roman" w:cs="Times New Roman" w:eastAsia="Times New Roman" w:hint="default"/>
        </w:rPr>
        <w:t>1</w:t>
      </w:r>
      <w:r>
        <w:rPr/>
        <w:t>）与企业合并相关的递延所得税负债或资产 非同一控制下企业合并产生的应纳税暂时性差异或可抵扣暂时性差异，在确认递延所得税负债或递延所得税资产的同</w:t>
      </w:r>
    </w:p>
    <w:p>
      <w:pPr>
        <w:pStyle w:val="BodyText"/>
        <w:spacing w:line="240" w:lineRule="auto" w:before="31"/>
        <w:ind w:right="0"/>
        <w:jc w:val="both"/>
      </w:pPr>
      <w:r>
        <w:rPr/>
        <w:t>时，相关的递延所得税费用（或收益），通常调整企业合并中所确认的商誉。</w:t>
      </w:r>
    </w:p>
    <w:p>
      <w:pPr>
        <w:pStyle w:val="BodyText"/>
        <w:spacing w:line="300" w:lineRule="auto" w:before="76"/>
        <w:ind w:left="1494" w:right="0"/>
        <w:jc w:val="left"/>
      </w:pPr>
      <w:r>
        <w:rPr>
          <w:rFonts w:ascii="Times New Roman" w:hAnsi="Times New Roman" w:cs="Times New Roman" w:eastAsia="Times New Roman" w:hint="default"/>
        </w:rPr>
        <w:t>2</w:t>
      </w:r>
      <w:r>
        <w:rPr/>
        <w:t>）直接计入所有者权益的项目 </w:t>
      </w:r>
      <w:r>
        <w:rPr>
          <w:spacing w:val="-2"/>
        </w:rPr>
        <w:t>与直接计入所有者权益的交易或者事项相关的当期所得税和递延所得税，计入所有者权益。暂时性差异对所得税的影响</w:t>
      </w:r>
    </w:p>
    <w:p>
      <w:pPr>
        <w:pStyle w:val="BodyText"/>
        <w:spacing w:line="316" w:lineRule="auto" w:before="31"/>
        <w:ind w:right="1132"/>
        <w:jc w:val="both"/>
      </w:pPr>
      <w:r>
        <w:rPr>
          <w:spacing w:val="-2"/>
        </w:rPr>
        <w:t>计入所有者权益的交易或事项包括：可供出售金融资产公允价值变动等形成的其他综合收益、会计政策变更采用追溯调整法</w:t>
      </w:r>
      <w:r>
        <w:rPr>
          <w:spacing w:val="-64"/>
        </w:rPr>
        <w:t> </w:t>
      </w:r>
      <w:r>
        <w:rPr>
          <w:spacing w:val="-64"/>
        </w:rPr>
      </w:r>
      <w:r>
        <w:rPr>
          <w:spacing w:val="-2"/>
        </w:rPr>
        <w:t>或对前期（重要）会计差错更正差异追溯重述法调整期初留存收益、同时包含负债成份及权益成份的混合金融工具在初始确</w:t>
      </w:r>
      <w:r>
        <w:rPr>
          <w:spacing w:val="-66"/>
        </w:rPr>
        <w:t> </w:t>
      </w:r>
      <w:r>
        <w:rPr>
          <w:spacing w:val="-66"/>
        </w:rPr>
      </w:r>
      <w:r>
        <w:rPr/>
        <w:t>认时计入所有者权益等。</w:t>
      </w:r>
    </w:p>
    <w:p>
      <w:pPr>
        <w:pStyle w:val="BodyText"/>
        <w:spacing w:line="240" w:lineRule="auto" w:before="19"/>
        <w:ind w:left="1494" w:right="0"/>
        <w:jc w:val="left"/>
      </w:pPr>
      <w:r>
        <w:rPr>
          <w:rFonts w:ascii="Times New Roman" w:hAnsi="Times New Roman" w:cs="Times New Roman" w:eastAsia="Times New Roman" w:hint="default"/>
        </w:rPr>
        <w:t>3</w:t>
      </w:r>
      <w:r>
        <w:rPr/>
        <w:t>）可弥补亏损和税款抵减</w:t>
      </w:r>
    </w:p>
    <w:p>
      <w:pPr>
        <w:pStyle w:val="BodyText"/>
        <w:spacing w:line="316" w:lineRule="auto" w:before="63"/>
        <w:ind w:left="1494" w:right="0"/>
        <w:jc w:val="left"/>
      </w:pPr>
      <w:r>
        <w:rPr/>
        <w:t>①</w:t>
      </w:r>
      <w:r>
        <w:rPr>
          <w:spacing w:val="-17"/>
        </w:rPr>
        <w:t> </w:t>
      </w:r>
      <w:r>
        <w:rPr/>
        <w:t>本公司自身经营产生的可弥补亏损以及税款抵减</w:t>
      </w:r>
      <w:r>
        <w:rPr/>
        <w:t> </w:t>
      </w:r>
      <w:r>
        <w:rPr>
          <w:spacing w:val="-2"/>
        </w:rPr>
        <w:t>可抵扣亏损是指按照税法规定计算确定的准予用以后年度的应纳税所得额弥补的亏损。对于按照税法规定可以结转以后</w:t>
      </w:r>
    </w:p>
    <w:p>
      <w:pPr>
        <w:pStyle w:val="BodyText"/>
        <w:spacing w:line="316" w:lineRule="auto" w:before="19"/>
        <w:ind w:right="1131"/>
        <w:jc w:val="both"/>
      </w:pPr>
      <w:r>
        <w:rPr>
          <w:spacing w:val="-2"/>
        </w:rPr>
        <w:t>年度的未弥补亏损（可抵扣亏损）和税款抵减，视同可抵扣暂时性差异处理。在预计可利用可弥补亏损或税款抵减的未来期</w:t>
      </w:r>
      <w:r>
        <w:rPr>
          <w:spacing w:val="-66"/>
        </w:rPr>
        <w:t> </w:t>
      </w:r>
      <w:r>
        <w:rPr>
          <w:spacing w:val="-66"/>
        </w:rPr>
      </w:r>
      <w:r>
        <w:rPr>
          <w:spacing w:val="-2"/>
        </w:rPr>
        <w:t>间内很可能取得足够的应纳税所得额时，以很可能取得的应纳税所得额为限，确认相应的递延所得税资产，同时减少当期利</w:t>
      </w:r>
      <w:r>
        <w:rPr>
          <w:spacing w:val="-66"/>
        </w:rPr>
        <w:t> </w:t>
      </w:r>
      <w:r>
        <w:rPr>
          <w:spacing w:val="-66"/>
        </w:rPr>
      </w:r>
      <w:r>
        <w:rPr/>
        <w:t>润表中的所得税费用。</w:t>
      </w:r>
    </w:p>
    <w:p>
      <w:pPr>
        <w:pStyle w:val="BodyText"/>
        <w:spacing w:line="316" w:lineRule="auto" w:before="19"/>
        <w:ind w:left="1494" w:right="1032"/>
        <w:jc w:val="left"/>
      </w:pPr>
      <w:r>
        <w:rPr/>
        <w:t>②</w:t>
      </w:r>
      <w:r>
        <w:rPr>
          <w:spacing w:val="-18"/>
        </w:rPr>
        <w:t> </w:t>
      </w:r>
      <w:r>
        <w:rPr/>
        <w:t>因企业合并而形成的可弥补的被合并企业的未弥补亏损</w:t>
      </w:r>
      <w:r>
        <w:rPr/>
        <w:t> 在企业合并中，本公司取得被购买方的可抵扣暂时性差异，在购买日不符合递延所得税资产确认条件的，不予以确认。</w:t>
      </w:r>
    </w:p>
    <w:p>
      <w:pPr>
        <w:pStyle w:val="BodyText"/>
        <w:spacing w:line="309" w:lineRule="auto" w:before="19"/>
        <w:ind w:left="1133" w:right="1131"/>
        <w:jc w:val="both"/>
      </w:pPr>
      <w:r>
        <w:rPr>
          <w:spacing w:val="-2"/>
        </w:rPr>
        <w:t>购买日后</w:t>
      </w:r>
      <w:r>
        <w:rPr>
          <w:rFonts w:ascii="Times New Roman" w:hAnsi="Times New Roman" w:cs="Times New Roman" w:eastAsia="Times New Roman" w:hint="default"/>
          <w:spacing w:val="-2"/>
        </w:rPr>
        <w:t>12</w:t>
      </w:r>
      <w:r>
        <w:rPr>
          <w:spacing w:val="-2"/>
        </w:rPr>
        <w:t>个月内，如取得新的或进一步的信息表明购买日的相关情况已经存在，预期被购买方在购买日可抵扣暂时性差异</w:t>
      </w:r>
      <w:r>
        <w:rPr>
          <w:spacing w:val="-62"/>
        </w:rPr>
        <w:t> </w:t>
      </w:r>
      <w:r>
        <w:rPr>
          <w:spacing w:val="-62"/>
        </w:rPr>
      </w:r>
      <w:r>
        <w:rPr>
          <w:spacing w:val="-2"/>
        </w:rPr>
        <w:t>带来的经济利益能够实现的，确认相关的递延所得税资产，同时减少商誉，商誉不足冲减的，差额部分确认为当期损益；除</w:t>
      </w:r>
      <w:r>
        <w:rPr>
          <w:spacing w:val="-66"/>
        </w:rPr>
        <w:t> </w:t>
      </w:r>
      <w:r>
        <w:rPr>
          <w:spacing w:val="-66"/>
        </w:rPr>
      </w:r>
      <w:r>
        <w:rPr/>
        <w:t>上述情况以外，确认与企业合并相关的递延所得税资产，计入当期损益。</w:t>
      </w:r>
    </w:p>
    <w:p>
      <w:pPr>
        <w:spacing w:after="0" w:line="309" w:lineRule="auto"/>
        <w:jc w:val="both"/>
        <w:sectPr>
          <w:pgSz w:w="11910" w:h="16840"/>
          <w:pgMar w:header="566" w:footer="979" w:top="1360" w:bottom="1160" w:left="0" w:right="0"/>
        </w:sectPr>
      </w:pPr>
    </w:p>
    <w:p>
      <w:pPr>
        <w:pStyle w:val="BodyText"/>
        <w:spacing w:line="300" w:lineRule="auto" w:before="81"/>
        <w:ind w:left="1494" w:right="0"/>
        <w:jc w:val="left"/>
      </w:pPr>
      <w:r>
        <w:rPr>
          <w:rFonts w:ascii="Times New Roman" w:hAnsi="Times New Roman" w:cs="Times New Roman" w:eastAsia="Times New Roman" w:hint="default"/>
        </w:rPr>
        <w:t>4</w:t>
      </w:r>
      <w:r>
        <w:rPr/>
        <w:t>）合并抵销形成的暂时性差异 </w:t>
      </w:r>
      <w:r>
        <w:rPr>
          <w:spacing w:val="-2"/>
        </w:rPr>
        <w:t>本公司在编制合并财务报表时，因抵销未实现内部销售损益导致合并资产负债表中资产、负债的账面价值与其在所属纳</w:t>
      </w:r>
    </w:p>
    <w:p>
      <w:pPr>
        <w:pStyle w:val="BodyText"/>
        <w:spacing w:line="316" w:lineRule="auto" w:before="31"/>
        <w:ind w:right="0"/>
        <w:jc w:val="left"/>
      </w:pPr>
      <w:r>
        <w:rPr>
          <w:spacing w:val="-2"/>
        </w:rPr>
        <w:t>税主体的计税基础之间产生暂时性差异的，在合并资产负债表中确认递延所得税资产或递延所得税负债，同时调整合并利润</w:t>
      </w:r>
      <w:r>
        <w:rPr>
          <w:spacing w:val="-64"/>
        </w:rPr>
        <w:t> </w:t>
      </w:r>
      <w:r>
        <w:rPr>
          <w:spacing w:val="-64"/>
        </w:rPr>
      </w:r>
      <w:r>
        <w:rPr/>
        <w:t>表中的所得税费用，但与直接计入所有者权益的交易或事项及企业合并相关的递延所得税除外。</w:t>
      </w:r>
    </w:p>
    <w:p>
      <w:pPr>
        <w:pStyle w:val="BodyText"/>
        <w:spacing w:line="300" w:lineRule="auto" w:before="19"/>
        <w:ind w:left="1494" w:right="0"/>
        <w:jc w:val="left"/>
      </w:pPr>
      <w:r>
        <w:rPr>
          <w:rFonts w:ascii="Times New Roman" w:hAnsi="Times New Roman" w:cs="Times New Roman" w:eastAsia="Times New Roman" w:hint="default"/>
        </w:rPr>
        <w:t>5</w:t>
      </w:r>
      <w:r>
        <w:rPr/>
        <w:t>）以权益结算的股份支付 </w:t>
      </w:r>
      <w:r>
        <w:rPr>
          <w:spacing w:val="-2"/>
        </w:rPr>
        <w:t>如果税法规定与股份支付相关的支出允许税前扣除，在按照会计准则规定确认成本费用的期间内，本公司根据会计期末</w:t>
      </w:r>
    </w:p>
    <w:p>
      <w:pPr>
        <w:pStyle w:val="BodyText"/>
        <w:spacing w:line="316" w:lineRule="auto" w:before="31"/>
        <w:ind w:right="1131"/>
        <w:jc w:val="both"/>
      </w:pPr>
      <w:r>
        <w:rPr>
          <w:spacing w:val="-2"/>
        </w:rPr>
        <w:t>取得信息估计可税前扣除的金额计算确定其计税基础及由此产生的暂时性差异，符合确认条件的情况下确认相关的递延所得</w:t>
      </w:r>
      <w:r>
        <w:rPr>
          <w:spacing w:val="-64"/>
        </w:rPr>
        <w:t> </w:t>
      </w:r>
      <w:r>
        <w:rPr>
          <w:spacing w:val="-64"/>
        </w:rPr>
      </w:r>
      <w:r>
        <w:rPr>
          <w:spacing w:val="-2"/>
        </w:rPr>
        <w:t>税。其中预计未来期间可税前扣除的金额超过按照会计准则规定确认的与股份支付相关的成本费用，超过部分的所得税影响</w:t>
      </w:r>
      <w:r>
        <w:rPr>
          <w:spacing w:val="-64"/>
        </w:rPr>
        <w:t> </w:t>
      </w:r>
      <w:r>
        <w:rPr>
          <w:spacing w:val="-64"/>
        </w:rPr>
      </w:r>
      <w:r>
        <w:rPr/>
        <w:t>应直接计入所有者权益。</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31、租赁" w:id="210"/>
      <w:bookmarkEnd w:id="210"/>
      <w:r>
        <w:rPr>
          <w:b w:val="0"/>
          <w:bCs w:val="0"/>
        </w:rPr>
      </w:r>
      <w:r>
        <w:rPr>
          <w:rFonts w:ascii="Times New Roman" w:hAnsi="Times New Roman" w:cs="Times New Roman" w:eastAsia="Times New Roman" w:hint="default"/>
        </w:rPr>
        <w:t>31</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经营租赁的会计处理方法" w:id="211"/>
      <w:bookmarkEnd w:id="211"/>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right="1132" w:firstLine="360"/>
        <w:jc w:val="both"/>
      </w:pPr>
      <w:r>
        <w:rPr>
          <w:rFonts w:ascii="Times New Roman" w:hAnsi="Times New Roman" w:cs="Times New Roman" w:eastAsia="Times New Roman" w:hint="default"/>
        </w:rPr>
        <w:t>1</w:t>
      </w:r>
      <w:r>
        <w:rPr/>
        <w:t>）本公司作为经营租赁承租人时，将经营租赁的租金支出，在租赁期内各个期间按照直线法或根据租赁资产的使用量 </w:t>
      </w:r>
      <w:r>
        <w:rPr>
          <w:spacing w:val="-2"/>
        </w:rPr>
        <w:t>计入当期损益。出租人提供免租期的，本公司将租金总额在不扣除免租期的整个租赁期内，按直线法或其他合理的方法进行</w:t>
      </w:r>
      <w:r>
        <w:rPr>
          <w:spacing w:val="-66"/>
        </w:rPr>
        <w:t> </w:t>
      </w:r>
      <w:r>
        <w:rPr>
          <w:spacing w:val="-66"/>
        </w:rPr>
      </w:r>
      <w:r>
        <w:rPr>
          <w:spacing w:val="-2"/>
        </w:rPr>
        <w:t>分摊，免租期内确认租金费用及相应的负债。出租人承担了承租人某些费用的，本公司按该费用从租金费用总额中扣除后的</w:t>
      </w:r>
      <w:r>
        <w:rPr>
          <w:spacing w:val="-66"/>
        </w:rPr>
        <w:t> </w:t>
      </w:r>
      <w:r>
        <w:rPr>
          <w:spacing w:val="-66"/>
        </w:rPr>
      </w:r>
      <w:r>
        <w:rPr/>
        <w:t>租金费用余额在租赁期内进行分摊。</w:t>
      </w:r>
    </w:p>
    <w:p>
      <w:pPr>
        <w:pStyle w:val="BodyText"/>
        <w:spacing w:line="240" w:lineRule="auto" w:before="22"/>
        <w:ind w:left="1494" w:right="0"/>
        <w:jc w:val="left"/>
      </w:pPr>
      <w:r>
        <w:rPr/>
        <w:t>初始直接费用，计入当期损益。如协议约定或有租金的在实际发生时计入当期损益。</w:t>
      </w:r>
    </w:p>
    <w:p>
      <w:pPr>
        <w:pStyle w:val="BodyText"/>
        <w:spacing w:line="309" w:lineRule="auto" w:before="76"/>
        <w:ind w:right="1133" w:firstLine="360"/>
        <w:jc w:val="both"/>
      </w:pPr>
      <w:r>
        <w:rPr>
          <w:rFonts w:ascii="Times New Roman" w:hAnsi="Times New Roman" w:cs="Times New Roman" w:eastAsia="Times New Roman" w:hint="default"/>
        </w:rPr>
        <w:t>2</w:t>
      </w:r>
      <w:r>
        <w:rPr/>
        <w:t>）本公司作为经营租赁出租人时，采用直线法将收到的租金在租赁期内确认为收益。出租人提供免租期的，出租人将 </w:t>
      </w:r>
      <w:r>
        <w:rPr>
          <w:spacing w:val="-2"/>
        </w:rPr>
        <w:t>租金总额在不扣除免租期的整个租赁期内，按直线法或其他合理的方法进行分配，免租期内出租人也确认租金收入。承担了</w:t>
      </w:r>
      <w:r>
        <w:rPr>
          <w:spacing w:val="-66"/>
        </w:rPr>
        <w:t> </w:t>
      </w:r>
      <w:r>
        <w:rPr>
          <w:spacing w:val="-66"/>
        </w:rPr>
      </w:r>
      <w:r>
        <w:rPr/>
        <w:t>承租人某些费用的，本公司按该费用自租金收入总额中扣除后的租金收入余额在租赁期内进行分配。</w:t>
      </w:r>
    </w:p>
    <w:p>
      <w:pPr>
        <w:pStyle w:val="BodyText"/>
        <w:spacing w:line="316" w:lineRule="auto" w:before="24"/>
        <w:ind w:left="1133" w:right="1133" w:firstLine="360"/>
        <w:jc w:val="both"/>
      </w:pPr>
      <w:r>
        <w:rPr>
          <w:spacing w:val="-2"/>
        </w:rPr>
        <w:t>初始直接费用，计入当期损益。金额较大的予以资本化，在整个经营租赁期内按照与确认租金收入相同的基础分期计入</w:t>
      </w:r>
      <w:r>
        <w:rPr/>
        <w:t> 当期损益。如协议约定或有租金的在实际发生时计入当期收益。</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2）融资租赁的会计处理方法" w:id="212"/>
      <w:bookmarkEnd w:id="212"/>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1133" w:firstLine="360"/>
        <w:jc w:val="both"/>
      </w:pPr>
      <w:r>
        <w:rPr>
          <w:rFonts w:ascii="Times New Roman" w:hAnsi="Times New Roman" w:cs="Times New Roman" w:eastAsia="Times New Roman" w:hint="default"/>
        </w:rPr>
        <w:t>1</w:t>
      </w:r>
      <w:r>
        <w:rPr/>
        <w:t>）本公司作为融资租赁承租人时，在租赁期开始日，将租赁开始日租赁资产公允价值与最低租赁付款额现值两者中较 </w:t>
      </w:r>
      <w:r>
        <w:rPr>
          <w:spacing w:val="-2"/>
        </w:rPr>
        <w:t>低者作为租入资产的入账价值，将最低租赁付款额作为长期应付款的入账价值，其差额作为未确认融资费用。在租赁期内各</w:t>
      </w:r>
      <w:r>
        <w:rPr>
          <w:spacing w:val="-66"/>
        </w:rPr>
        <w:t> </w:t>
      </w:r>
      <w:r>
        <w:rPr>
          <w:spacing w:val="-66"/>
        </w:rPr>
      </w:r>
      <w:r>
        <w:rPr/>
        <w:t>个期间采用实际利率法进行分摊，确认为当期融资费用，计入财务费用。</w:t>
      </w:r>
    </w:p>
    <w:p>
      <w:pPr>
        <w:pStyle w:val="BodyText"/>
        <w:spacing w:line="316" w:lineRule="auto" w:before="24"/>
        <w:ind w:left="1493" w:right="0"/>
        <w:jc w:val="left"/>
      </w:pPr>
      <w:r>
        <w:rPr/>
        <w:t>发生的初始直接费用，计入租入资产价值。 </w:t>
      </w:r>
      <w:r>
        <w:rPr>
          <w:spacing w:val="-2"/>
        </w:rPr>
        <w:t>在计提融资租赁资产折旧时，本公司采用与自有应折旧资产相一致的折旧政策，折旧期间以租赁合同而定。如果能够合</w:t>
      </w:r>
    </w:p>
    <w:p>
      <w:pPr>
        <w:pStyle w:val="BodyText"/>
        <w:spacing w:line="316" w:lineRule="auto" w:before="19"/>
        <w:ind w:left="1133" w:right="0"/>
        <w:jc w:val="left"/>
      </w:pPr>
      <w:r>
        <w:rPr>
          <w:spacing w:val="-2"/>
        </w:rPr>
        <w:t>理确定租赁期届满时本公司将会取得租赁资产所有权，以租赁期开始日租赁资产的寿命作为折旧期间；如果无法合理确定租</w:t>
      </w:r>
      <w:r>
        <w:rPr>
          <w:spacing w:val="-64"/>
        </w:rPr>
        <w:t> </w:t>
      </w:r>
      <w:r>
        <w:rPr>
          <w:spacing w:val="-64"/>
        </w:rPr>
      </w:r>
      <w:r>
        <w:rPr/>
        <w:t>赁期届满后本公司是否能够取得租赁资产的所有权，以租赁期与租赁资产寿命两者中较短者作为折旧期间。</w:t>
      </w:r>
    </w:p>
    <w:p>
      <w:pPr>
        <w:pStyle w:val="BodyText"/>
        <w:spacing w:line="309" w:lineRule="auto" w:before="19"/>
        <w:ind w:left="1133" w:right="1131" w:firstLine="360"/>
        <w:jc w:val="both"/>
      </w:pPr>
      <w:r>
        <w:rPr>
          <w:rFonts w:ascii="Times New Roman" w:hAnsi="Times New Roman" w:cs="Times New Roman" w:eastAsia="Times New Roman" w:hint="default"/>
        </w:rPr>
        <w:t>2</w:t>
      </w:r>
      <w:r>
        <w:rPr/>
        <w:t>）本公司作为融资租赁出租人时，于租赁期开始日将租赁开始日最低租赁应收款额与初始直接费用之和作为应收融资 </w:t>
      </w:r>
      <w:r>
        <w:rPr>
          <w:spacing w:val="-2"/>
        </w:rPr>
        <w:t>租赁款的入账价值，计入资产负债表的长期应收款，同时记录未担保余值；将最低租赁应收款额、初始直接费用及未担保余</w:t>
      </w:r>
      <w:r>
        <w:rPr>
          <w:spacing w:val="-66"/>
        </w:rPr>
        <w:t> </w:t>
      </w:r>
      <w:r>
        <w:rPr>
          <w:spacing w:val="-66"/>
        </w:rPr>
      </w:r>
      <w:r>
        <w:rPr/>
        <w:t>值之和与其现值之和的差额作为未实现融资收益，在租赁期内各个期间采用实际利率法确认为租赁收入。</w:t>
      </w:r>
    </w:p>
    <w:p>
      <w:pPr>
        <w:spacing w:line="240" w:lineRule="auto" w:before="12"/>
        <w:rPr>
          <w:rFonts w:ascii="宋体" w:hAnsi="宋体" w:cs="宋体" w:eastAsia="宋体" w:hint="default"/>
          <w:sz w:val="22"/>
          <w:szCs w:val="22"/>
        </w:rPr>
      </w:pPr>
    </w:p>
    <w:p>
      <w:pPr>
        <w:pStyle w:val="Heading3"/>
        <w:spacing w:line="506" w:lineRule="auto"/>
        <w:ind w:left="1133" w:right="7381"/>
        <w:jc w:val="left"/>
        <w:rPr>
          <w:b w:val="0"/>
          <w:bCs w:val="0"/>
        </w:rPr>
      </w:pPr>
      <w:bookmarkStart w:name="32、其他重要的会计政策和会计估计" w:id="213"/>
      <w:bookmarkEnd w:id="213"/>
      <w:r>
        <w:rPr>
          <w:b w:val="0"/>
          <w:bCs w:val="0"/>
        </w:rPr>
      </w:r>
      <w:r>
        <w:rPr>
          <w:rFonts w:ascii="Times New Roman" w:hAnsi="Times New Roman" w:cs="Times New Roman" w:eastAsia="Times New Roman" w:hint="default"/>
        </w:rPr>
        <w:t>32</w:t>
      </w:r>
      <w:r>
        <w:rPr/>
        <w:t>、其他重要的会计政策和会计估计</w:t>
      </w:r>
      <w:r>
        <w:rPr>
          <w:w w:val="99"/>
        </w:rPr>
        <w:t> </w:t>
      </w:r>
      <w:r>
        <w:rPr/>
        <w:t>终止经营</w:t>
      </w:r>
      <w:r>
        <w:rPr>
          <w:b w:val="0"/>
          <w:bCs w:val="0"/>
        </w:rPr>
      </w:r>
    </w:p>
    <w:p>
      <w:pPr>
        <w:pStyle w:val="Heading3"/>
        <w:spacing w:line="240" w:lineRule="auto" w:before="104"/>
        <w:ind w:left="1133" w:right="0"/>
        <w:jc w:val="both"/>
        <w:rPr>
          <w:b w:val="0"/>
          <w:bCs w:val="0"/>
        </w:rPr>
      </w:pPr>
      <w:r>
        <w:rPr/>
        <w:t>（</w:t>
      </w:r>
      <w:r>
        <w:rPr>
          <w:rFonts w:ascii="Times New Roman" w:hAnsi="Times New Roman" w:cs="Times New Roman" w:eastAsia="Times New Roman" w:hint="default"/>
        </w:rPr>
        <w:t>1</w:t>
      </w:r>
      <w:r>
        <w:rPr/>
        <w:t>）终止经营的确认标准</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93" w:right="0"/>
        <w:jc w:val="left"/>
      </w:pPr>
      <w:r>
        <w:rPr/>
        <w:t>终止经营，是指满足下列条件之一的已被本公司处置或被本公司划归为持有待售的、在经营和编制财务报表时能够单独</w:t>
      </w:r>
    </w:p>
    <w:p>
      <w:pPr>
        <w:spacing w:after="0" w:line="240" w:lineRule="auto"/>
        <w:jc w:val="left"/>
        <w:sectPr>
          <w:pgSz w:w="11910" w:h="16840"/>
          <w:pgMar w:header="566" w:footer="979" w:top="1360" w:bottom="1160" w:left="0" w:right="0"/>
        </w:sectPr>
      </w:pPr>
    </w:p>
    <w:p>
      <w:pPr>
        <w:pStyle w:val="BodyText"/>
        <w:spacing w:line="240" w:lineRule="auto" w:before="81"/>
        <w:ind w:right="0"/>
        <w:jc w:val="left"/>
      </w:pPr>
      <w:r>
        <w:rPr/>
        <w:t>区分的组成部分：</w:t>
      </w:r>
    </w:p>
    <w:p>
      <w:pPr>
        <w:pStyle w:val="BodyText"/>
        <w:spacing w:line="240" w:lineRule="auto" w:before="76"/>
        <w:ind w:left="1493" w:right="0"/>
        <w:jc w:val="left"/>
      </w:pPr>
      <w:r>
        <w:rPr>
          <w:rFonts w:ascii="Times New Roman" w:hAnsi="Times New Roman" w:cs="Times New Roman" w:eastAsia="Times New Roman" w:hint="default"/>
        </w:rPr>
        <w:t>1</w:t>
      </w:r>
      <w:r>
        <w:rPr/>
        <w:t>）该组成部分代表一项独立的主要业务或一个主要经营地区；</w:t>
      </w:r>
    </w:p>
    <w:p>
      <w:pPr>
        <w:pStyle w:val="BodyText"/>
        <w:spacing w:line="240" w:lineRule="auto" w:before="63"/>
        <w:ind w:left="1494" w:right="0"/>
        <w:jc w:val="left"/>
      </w:pPr>
      <w:r>
        <w:rPr>
          <w:rFonts w:ascii="Times New Roman" w:hAnsi="Times New Roman" w:cs="Times New Roman" w:eastAsia="Times New Roman" w:hint="default"/>
        </w:rPr>
        <w:t>2</w:t>
      </w:r>
      <w:r>
        <w:rPr/>
        <w:t>）该组成部分是拟对一项独立的主要业务或一个主要经营地区进行处置计划的一部分；</w:t>
      </w:r>
    </w:p>
    <w:p>
      <w:pPr>
        <w:pStyle w:val="BodyText"/>
        <w:spacing w:line="240" w:lineRule="auto" w:before="63"/>
        <w:ind w:left="1493" w:right="0"/>
        <w:jc w:val="left"/>
      </w:pPr>
      <w:r>
        <w:rPr>
          <w:rFonts w:ascii="Times New Roman" w:hAnsi="Times New Roman" w:cs="Times New Roman" w:eastAsia="Times New Roman" w:hint="default"/>
        </w:rPr>
        <w:t>3</w:t>
      </w:r>
      <w:r>
        <w:rPr/>
        <w:t>）组成部分仅仅是为了再出售而取得的子公司。</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）终止经营的会计处理方法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494" w:right="0"/>
        <w:jc w:val="left"/>
      </w:pPr>
      <w:r>
        <w:rPr>
          <w:rFonts w:ascii="Times New Roman" w:hAnsi="Times New Roman" w:cs="Times New Roman" w:eastAsia="Times New Roman" w:hint="default"/>
        </w:rPr>
        <w:t>1</w:t>
      </w:r>
      <w:r>
        <w:rPr/>
        <w:t>）持有待售的固定资产 </w:t>
      </w:r>
      <w:r>
        <w:rPr>
          <w:spacing w:val="-2"/>
        </w:rPr>
        <w:t>本公司调整持有待售的固定资产的预计净残值，使该项固定资产的预计净残值能够反映其公允价值减去处置费用后的金</w:t>
      </w:r>
    </w:p>
    <w:p>
      <w:pPr>
        <w:pStyle w:val="BodyText"/>
        <w:spacing w:line="316" w:lineRule="auto" w:before="31"/>
        <w:ind w:right="0"/>
        <w:jc w:val="left"/>
      </w:pPr>
      <w:r>
        <w:rPr>
          <w:spacing w:val="-2"/>
        </w:rPr>
        <w:t>额，但不得超过符合持有待售条件时该项固定资产的原账面价值，原账面价值高于调整后预计净残值的差额，作为资产减值</w:t>
      </w:r>
      <w:r>
        <w:rPr>
          <w:spacing w:val="-66"/>
        </w:rPr>
        <w:t> </w:t>
      </w:r>
      <w:r>
        <w:rPr>
          <w:spacing w:val="-66"/>
        </w:rPr>
      </w:r>
      <w:r>
        <w:rPr/>
        <w:t>损失计入当期损益。</w:t>
      </w:r>
    </w:p>
    <w:p>
      <w:pPr>
        <w:pStyle w:val="BodyText"/>
        <w:spacing w:line="316" w:lineRule="auto" w:before="19"/>
        <w:ind w:left="1133" w:right="0" w:firstLine="360"/>
        <w:jc w:val="left"/>
      </w:pPr>
      <w:r>
        <w:rPr>
          <w:spacing w:val="-4"/>
        </w:rPr>
        <w:t>某项固定资产被划归为持有待售，但后来不再满足持有待售的固定资产的确认条件，本公司将停止将其划归为持有待售，</w:t>
      </w:r>
      <w:r>
        <w:rPr/>
        <w:t> 并按照下列两项金额中较低者计量：</w:t>
      </w:r>
    </w:p>
    <w:p>
      <w:pPr>
        <w:pStyle w:val="BodyText"/>
        <w:spacing w:line="316" w:lineRule="auto" w:before="19"/>
        <w:ind w:left="1133" w:right="1124" w:firstLine="360"/>
        <w:jc w:val="left"/>
      </w:pPr>
      <w:r>
        <w:rPr/>
        <w:t>①</w:t>
      </w:r>
      <w:r>
        <w:rPr>
          <w:spacing w:val="23"/>
        </w:rPr>
        <w:t> </w:t>
      </w:r>
      <w:r>
        <w:rPr>
          <w:spacing w:val="-4"/>
        </w:rPr>
        <w:t>该固定资产被划归为持有待售之前的账面价值，按照其假定在没有被划归为持有待售的情况下原应确认的折旧、（摊</w:t>
      </w:r>
      <w:r>
        <w:rPr/>
        <w:t> 销）或减值进行调整后的金额；</w:t>
      </w:r>
    </w:p>
    <w:p>
      <w:pPr>
        <w:pStyle w:val="BodyText"/>
        <w:spacing w:line="316" w:lineRule="auto" w:before="19"/>
        <w:ind w:left="1493" w:right="0"/>
        <w:jc w:val="left"/>
      </w:pPr>
      <w:r>
        <w:rPr/>
        <w:t>②</w:t>
      </w:r>
      <w:r>
        <w:rPr>
          <w:spacing w:val="-17"/>
        </w:rPr>
        <w:t> </w:t>
      </w:r>
      <w:r>
        <w:rPr/>
        <w:t>决定不再出售之日的可收回金额。</w:t>
      </w:r>
      <w:r>
        <w:rPr/>
        <w:t> </w:t>
      </w:r>
      <w:r>
        <w:rPr>
          <w:spacing w:val="-2"/>
        </w:rPr>
        <w:t>符合持有待售条件的无形资产等其他流动资产（不包括递延所得税资产、《企业会计准则第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w:t>
      </w:r>
    </w:p>
    <w:p>
      <w:pPr>
        <w:pStyle w:val="BodyText"/>
        <w:spacing w:line="316" w:lineRule="auto"/>
        <w:ind w:left="1133" w:right="0"/>
        <w:jc w:val="left"/>
      </w:pPr>
      <w:r>
        <w:rPr>
          <w:spacing w:val="-2"/>
        </w:rPr>
        <w:t>量》规范的金融资产、以公允价值计量的投资性房地产和生物资产、保险合同中产生的合同权利等），比照上述持有待售的</w:t>
      </w:r>
      <w:r>
        <w:rPr>
          <w:spacing w:val="-66"/>
        </w:rPr>
        <w:t> </w:t>
      </w:r>
      <w:r>
        <w:rPr>
          <w:spacing w:val="-66"/>
        </w:rPr>
      </w:r>
      <w:r>
        <w:rPr/>
        <w:t>固定资产进行会计处理，其中，符合持有待售条件的按权益法核算的长期股权投资则按照以下规定进行会计处理。</w:t>
      </w:r>
    </w:p>
    <w:p>
      <w:pPr>
        <w:pStyle w:val="BodyText"/>
        <w:spacing w:line="300" w:lineRule="auto" w:before="19"/>
        <w:ind w:left="1494" w:right="1122"/>
        <w:jc w:val="left"/>
      </w:pPr>
      <w:r>
        <w:rPr>
          <w:rFonts w:ascii="Times New Roman" w:hAnsi="Times New Roman" w:cs="Times New Roman" w:eastAsia="Times New Roman" w:hint="default"/>
        </w:rPr>
        <w:t>2</w:t>
      </w:r>
      <w:r>
        <w:rPr/>
        <w:t>）持有待售的按权益法核算的长期股权投资 对联营企业或合营企业的权益性投资全部或部分分类为持有待售资产的，投资方应当按照《企业会计准则第</w:t>
      </w:r>
      <w:r>
        <w:rPr>
          <w:rFonts w:ascii="Times New Roman" w:hAnsi="Times New Roman" w:cs="Times New Roman" w:eastAsia="Times New Roman" w:hint="default"/>
        </w:rPr>
        <w:t>4</w:t>
      </w:r>
      <w:r>
        <w:rPr/>
        <w:t>号</w:t>
      </w:r>
      <w:r>
        <w:rPr>
          <w:rFonts w:ascii="Times New Roman" w:hAnsi="Times New Roman" w:cs="Times New Roman" w:eastAsia="Times New Roman" w:hint="default"/>
        </w:rPr>
        <w:t>——</w:t>
      </w:r>
      <w:r>
        <w:rPr/>
        <w:t>固</w:t>
      </w:r>
    </w:p>
    <w:p>
      <w:pPr>
        <w:pStyle w:val="BodyText"/>
        <w:spacing w:line="319" w:lineRule="auto" w:before="13"/>
        <w:ind w:left="1493" w:right="0" w:hanging="360"/>
        <w:jc w:val="left"/>
      </w:pPr>
      <w:r>
        <w:rPr/>
        <w:t>定资产》的有关规定处理，对于未划分为持有待售资产的剩余权益性投资，应当采用权益法进行会计处理。 </w:t>
      </w:r>
      <w:r>
        <w:rPr>
          <w:spacing w:val="-2"/>
        </w:rPr>
        <w:t>已划分为持有待售的对联营企业或合营企业的权益性投资，不再符合持有待售资产分类条件的，应当从被分类为持有待</w:t>
      </w:r>
    </w:p>
    <w:p>
      <w:pPr>
        <w:pStyle w:val="BodyText"/>
        <w:spacing w:line="240" w:lineRule="auto" w:before="17"/>
        <w:ind w:left="1133" w:right="0"/>
        <w:jc w:val="left"/>
      </w:pPr>
      <w:r>
        <w:rPr/>
        <w:t>售资产之日起采用权益法进行追溯调整。分类为持有待售期间的财务报表应当作相应调整。</w:t>
      </w:r>
    </w:p>
    <w:p>
      <w:pPr>
        <w:spacing w:line="240" w:lineRule="auto" w:before="12"/>
        <w:rPr>
          <w:rFonts w:ascii="宋体" w:hAnsi="宋体" w:cs="宋体" w:eastAsia="宋体" w:hint="default"/>
          <w:sz w:val="26"/>
          <w:szCs w:val="26"/>
        </w:rPr>
      </w:pPr>
    </w:p>
    <w:p>
      <w:pPr>
        <w:pStyle w:val="Heading3"/>
        <w:spacing w:line="240" w:lineRule="auto"/>
        <w:ind w:left="1133" w:right="0"/>
        <w:jc w:val="left"/>
        <w:rPr>
          <w:b w:val="0"/>
          <w:bCs w:val="0"/>
        </w:rPr>
      </w:pPr>
      <w:bookmarkStart w:name="33、重要会计政策和会计估计变更" w:id="214"/>
      <w:bookmarkEnd w:id="214"/>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重要会计政策变更" w:id="215"/>
      <w:bookmarkEnd w:id="215"/>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2）重要会计估计变更" w:id="216"/>
      <w:bookmarkEnd w:id="216"/>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133" w:right="0"/>
        <w:jc w:val="left"/>
        <w:rPr>
          <w:b w:val="0"/>
          <w:bCs w:val="0"/>
        </w:rPr>
      </w:pPr>
      <w:bookmarkStart w:name="34、其他" w:id="217"/>
      <w:bookmarkEnd w:id="217"/>
      <w:r>
        <w:rPr>
          <w:b w:val="0"/>
          <w:bCs w:val="0"/>
        </w:rPr>
      </w:r>
      <w:r>
        <w:rPr>
          <w:rFonts w:ascii="Times New Roman" w:hAnsi="Times New Roman" w:cs="Times New Roman" w:eastAsia="Times New Roman" w:hint="default"/>
        </w:rPr>
        <w:t>34</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left="1134" w:right="0"/>
        <w:jc w:val="left"/>
        <w:rPr>
          <w:b w:val="0"/>
          <w:bCs w:val="0"/>
        </w:rPr>
      </w:pPr>
      <w:bookmarkStart w:name="六、税项" w:id="218"/>
      <w:bookmarkEnd w:id="218"/>
      <w:r>
        <w:rPr>
          <w:b w:val="0"/>
          <w:bCs w:val="0"/>
        </w:rPr>
      </w:r>
      <w:r>
        <w:rPr/>
        <w:t>六、税项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主要税种及税率" w:id="219"/>
      <w:bookmarkEnd w:id="219"/>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10"/>
        <w:rPr>
          <w:rFonts w:ascii="宋体" w:hAnsi="宋体" w:cs="宋体" w:eastAsia="宋体" w:hint="default"/>
          <w:b/>
          <w:bCs/>
          <w:sz w:val="25"/>
          <w:szCs w:val="25"/>
        </w:rPr>
      </w:pPr>
    </w:p>
    <w:tbl>
      <w:tblPr>
        <w:tblW w:w="0" w:type="auto"/>
        <w:jc w:val="left"/>
        <w:tblInd w:w="1162" w:type="dxa"/>
        <w:tblLayout w:type="fixed"/>
        <w:tblCellMar>
          <w:top w:w="0" w:type="dxa"/>
          <w:left w:w="0" w:type="dxa"/>
          <w:bottom w:w="0" w:type="dxa"/>
          <w:right w:w="0" w:type="dxa"/>
        </w:tblCellMar>
        <w:tblLook w:val="01E0"/>
      </w:tblPr>
      <w:tblGrid>
        <w:gridCol w:w="3190"/>
        <w:gridCol w:w="3190"/>
        <w:gridCol w:w="3191"/>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bl>
    <w:p>
      <w:pPr>
        <w:spacing w:after="0" w:line="240" w:lineRule="auto"/>
        <w:jc w:val="center"/>
        <w:rPr>
          <w:rFonts w:ascii="宋体" w:hAnsi="宋体" w:cs="宋体" w:eastAsia="宋体" w:hint="default"/>
          <w:sz w:val="18"/>
          <w:szCs w:val="18"/>
        </w:rPr>
        <w:sectPr>
          <w:pgSz w:w="11910" w:h="16840"/>
          <w:pgMar w:header="566" w:footer="979" w:top="1360" w:bottom="1160" w:left="0" w:right="0"/>
        </w:sectPr>
      </w:pPr>
    </w:p>
    <w:p>
      <w:pPr>
        <w:spacing w:line="240" w:lineRule="auto" w:before="6"/>
        <w:rPr>
          <w:rFonts w:ascii="宋体" w:hAnsi="宋体" w:cs="宋体" w:eastAsia="宋体" w:hint="default"/>
          <w:b/>
          <w:bCs/>
          <w:sz w:val="5"/>
          <w:szCs w:val="5"/>
        </w:rPr>
      </w:pPr>
    </w:p>
    <w:tbl>
      <w:tblPr>
        <w:tblW w:w="0" w:type="auto"/>
        <w:jc w:val="left"/>
        <w:tblInd w:w="1162" w:type="dxa"/>
        <w:tblLayout w:type="fixed"/>
        <w:tblCellMar>
          <w:top w:w="0" w:type="dxa"/>
          <w:left w:w="0" w:type="dxa"/>
          <w:bottom w:w="0" w:type="dxa"/>
          <w:right w:w="0" w:type="dxa"/>
        </w:tblCellMar>
        <w:tblLook w:val="01E0"/>
      </w:tblPr>
      <w:tblGrid>
        <w:gridCol w:w="3190"/>
        <w:gridCol w:w="3190"/>
        <w:gridCol w:w="3191"/>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商品销售业务收入、应税劳务收入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服务收入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实际缴纳的流转税额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实际缴纳的流转税额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地方教育费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实际缴纳的流转税额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租金收入及房产原值</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p>
        </w:tc>
      </w:tr>
    </w:tbl>
    <w:p>
      <w:pPr>
        <w:pStyle w:val="BodyText"/>
        <w:spacing w:line="240" w:lineRule="auto" w:before="51"/>
        <w:ind w:right="0"/>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164"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荣科科技股份有限公司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沈阳荣科全濠科技有限公司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辽宁荣科金融服务有限公司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北京荣科爱信科技有限公司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享云科技有限责任公司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美国联邦及马萨诸塞州税赋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上海米健信息技术有限公司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苏州易健医疗信息技术有限公司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北京米东信息技术有限公司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税收优惠" w:id="220"/>
      <w:bookmarkEnd w:id="220"/>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133" w:right="1129" w:firstLine="360"/>
        <w:jc w:val="both"/>
      </w:pPr>
      <w:r>
        <w:rPr>
          <w:spacing w:val="-1"/>
        </w:rPr>
        <w:t>（</w:t>
      </w:r>
      <w:r>
        <w:rPr>
          <w:rFonts w:ascii="Times New Roman" w:hAnsi="Times New Roman" w:cs="Times New Roman" w:eastAsia="Times New Roman" w:hint="default"/>
          <w:spacing w:val="-1"/>
        </w:rPr>
        <w:t>1</w:t>
      </w:r>
      <w:r>
        <w:rPr>
          <w:spacing w:val="-1"/>
        </w:rPr>
        <w:t>）根据国务院国发</w:t>
      </w:r>
      <w:r>
        <w:rPr>
          <w:rFonts w:ascii="Times New Roman" w:hAnsi="Times New Roman" w:cs="Times New Roman" w:eastAsia="Times New Roman" w:hint="default"/>
          <w:spacing w:val="-1"/>
        </w:rPr>
        <w:t>[2011]4</w:t>
      </w:r>
      <w:r>
        <w:rPr>
          <w:spacing w:val="-1"/>
        </w:rPr>
        <w:t>号《关于印发进一步鼓励软件产业和集成电路产业发展若干政策的通知》、财政部、国家</w:t>
      </w:r>
      <w:r>
        <w:rPr/>
        <w:t> </w:t>
      </w:r>
      <w:r>
        <w:rPr>
          <w:spacing w:val="-1"/>
        </w:rPr>
        <w:t>税务总局财税</w:t>
      </w:r>
      <w:r>
        <w:rPr>
          <w:rFonts w:ascii="Times New Roman" w:hAnsi="Times New Roman" w:cs="Times New Roman" w:eastAsia="Times New Roman" w:hint="default"/>
          <w:spacing w:val="-1"/>
        </w:rPr>
        <w:t>[2012]27</w:t>
      </w:r>
      <w:r>
        <w:rPr>
          <w:spacing w:val="-1"/>
        </w:rPr>
        <w:t>号《关于进一步鼓励软件产业和集成电路产业发展企业所得税政策的通知》以及国家发展和改革委员</w:t>
      </w:r>
      <w:r>
        <w:rPr>
          <w:spacing w:val="-55"/>
        </w:rPr>
        <w:t> </w:t>
      </w:r>
      <w:r>
        <w:rPr>
          <w:spacing w:val="-55"/>
        </w:rPr>
      </w:r>
      <w:r>
        <w:rPr>
          <w:spacing w:val="-2"/>
        </w:rPr>
        <w:t>会、工业和信息化部、财政部、商务部、国家税务总局发改高技</w:t>
      </w:r>
      <w:r>
        <w:rPr>
          <w:rFonts w:ascii="Times New Roman" w:hAnsi="Times New Roman" w:cs="Times New Roman" w:eastAsia="Times New Roman" w:hint="default"/>
          <w:spacing w:val="-2"/>
        </w:rPr>
        <w:t>[2013]2458</w:t>
      </w:r>
      <w:r>
        <w:rPr>
          <w:spacing w:val="-2"/>
        </w:rPr>
        <w:t>号《关于印发</w:t>
      </w:r>
      <w:r>
        <w:rPr>
          <w:rFonts w:ascii="Times New Roman" w:hAnsi="Times New Roman" w:cs="Times New Roman" w:eastAsia="Times New Roman" w:hint="default"/>
          <w:spacing w:val="-2"/>
        </w:rPr>
        <w:t>2013-2014</w:t>
      </w:r>
      <w:r>
        <w:rPr>
          <w:spacing w:val="-2"/>
        </w:rPr>
        <w:t>年度国家规划布局内重点</w:t>
      </w:r>
      <w:r>
        <w:rPr>
          <w:spacing w:val="-47"/>
        </w:rPr>
        <w:t> </w:t>
      </w:r>
      <w:r>
        <w:rPr>
          <w:spacing w:val="-4"/>
        </w:rPr>
        <w:t>软件企业和集成电路设计企业名单的通知》等文件的规定，本公司被认定为国家规划布局内重点软件企业，</w:t>
      </w:r>
      <w:r>
        <w:rPr>
          <w:rFonts w:ascii="Times New Roman" w:hAnsi="Times New Roman" w:cs="Times New Roman" w:eastAsia="Times New Roman" w:hint="default"/>
          <w:spacing w:val="-4"/>
        </w:rPr>
        <w:t>2014</w:t>
      </w:r>
      <w:r>
        <w:rPr>
          <w:spacing w:val="-4"/>
        </w:rPr>
        <w:t>年度享受</w:t>
      </w:r>
      <w:r>
        <w:rPr>
          <w:rFonts w:ascii="Times New Roman" w:hAnsi="Times New Roman" w:cs="Times New Roman" w:eastAsia="Times New Roman" w:hint="default"/>
          <w:spacing w:val="-4"/>
        </w:rPr>
        <w:t>10%</w:t>
      </w:r>
      <w:r>
        <w:rPr>
          <w:rFonts w:ascii="Times New Roman" w:hAnsi="Times New Roman" w:cs="Times New Roman" w:eastAsia="Times New Roman" w:hint="default"/>
          <w:spacing w:val="-43"/>
        </w:rPr>
        <w:t> </w:t>
      </w:r>
      <w:r>
        <w:rPr/>
        <w:t>的企业所得税率优惠。</w:t>
      </w:r>
    </w:p>
    <w:p>
      <w:pPr>
        <w:pStyle w:val="BodyText"/>
        <w:spacing w:line="300" w:lineRule="auto" w:before="31"/>
        <w:ind w:left="1133" w:right="1131" w:firstLine="360"/>
        <w:jc w:val="both"/>
      </w:pPr>
      <w:r>
        <w:rPr/>
        <w:t>（</w:t>
      </w:r>
      <w:r>
        <w:rPr>
          <w:rFonts w:ascii="Times New Roman" w:hAnsi="Times New Roman" w:cs="Times New Roman" w:eastAsia="Times New Roman" w:hint="default"/>
        </w:rPr>
        <w:t>2</w:t>
      </w:r>
      <w:r>
        <w:rPr/>
        <w:t>）本公司经辽宁省科学技术厅、辽宁省财政厅、辽宁省国家税务局及辽宁省地方税务局联合认证为高新技术企业， 并于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22</w:t>
      </w:r>
      <w:r>
        <w:rPr/>
        <w:t>日取得</w:t>
      </w:r>
      <w:r>
        <w:rPr>
          <w:rFonts w:ascii="Times New Roman" w:hAnsi="Times New Roman" w:cs="Times New Roman" w:eastAsia="Times New Roman" w:hint="default"/>
        </w:rPr>
        <w:t>GR201421000069</w:t>
      </w:r>
      <w:r>
        <w:rPr/>
        <w:t>号高新技术企业证书，有效期至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月。根据《中华人民共和国企业所得税</w:t>
      </w:r>
      <w:r>
        <w:rPr>
          <w:spacing w:val="-67"/>
        </w:rPr>
        <w:t> </w:t>
      </w:r>
      <w:r>
        <w:rPr>
          <w:spacing w:val="-67"/>
        </w:rPr>
      </w:r>
      <w:r>
        <w:rPr/>
        <w:t>法》及其实施条例的有关规定，本公司报告期内享受高新技术企业</w:t>
      </w:r>
      <w:r>
        <w:rPr>
          <w:rFonts w:ascii="Times New Roman" w:hAnsi="Times New Roman" w:cs="Times New Roman" w:eastAsia="Times New Roman" w:hint="default"/>
        </w:rPr>
        <w:t>15%</w:t>
      </w:r>
      <w:r>
        <w:rPr/>
        <w:t>的企业所得税率优惠。</w:t>
      </w:r>
    </w:p>
    <w:p>
      <w:pPr>
        <w:pStyle w:val="BodyText"/>
        <w:spacing w:line="312" w:lineRule="auto" w:before="13"/>
        <w:ind w:left="1133" w:right="1130" w:firstLine="360"/>
        <w:jc w:val="both"/>
      </w:pPr>
      <w:r>
        <w:rPr/>
        <w:t>（</w:t>
      </w:r>
      <w:r>
        <w:rPr>
          <w:rFonts w:ascii="Times New Roman" w:hAnsi="Times New Roman" w:cs="Times New Roman" w:eastAsia="Times New Roman" w:hint="default"/>
        </w:rPr>
        <w:t>3</w:t>
      </w:r>
      <w:r>
        <w:rPr/>
        <w:t>）上海米健经上海市科学技术委员会、上海市财政局、上海市国家税务局、上海市地方税务局联合认证为高新技术 企业，并于</w:t>
      </w:r>
      <w:r>
        <w:rPr>
          <w:rFonts w:ascii="宋体" w:hAnsi="宋体" w:cs="宋体" w:eastAsia="宋体" w:hint="default"/>
        </w:rPr>
        <w:t>2015</w:t>
      </w:r>
      <w:r>
        <w:rPr/>
        <w:t>年</w:t>
      </w:r>
      <w:r>
        <w:rPr>
          <w:rFonts w:ascii="宋体" w:hAnsi="宋体" w:cs="宋体" w:eastAsia="宋体" w:hint="default"/>
        </w:rPr>
        <w:t>8</w:t>
      </w:r>
      <w:r>
        <w:rPr/>
        <w:t>月</w:t>
      </w:r>
      <w:r>
        <w:rPr>
          <w:rFonts w:ascii="宋体" w:hAnsi="宋体" w:cs="宋体" w:eastAsia="宋体" w:hint="default"/>
        </w:rPr>
        <w:t>19</w:t>
      </w:r>
      <w:r>
        <w:rPr/>
        <w:t>日取得</w:t>
      </w:r>
      <w:r>
        <w:rPr>
          <w:rFonts w:ascii="宋体" w:hAnsi="宋体" w:cs="宋体" w:eastAsia="宋体" w:hint="default"/>
        </w:rPr>
        <w:t>GR201531000280</w:t>
      </w:r>
      <w:r>
        <w:rPr/>
        <w:t>号高新技术企业证书，有效期至</w:t>
      </w:r>
      <w:r>
        <w:rPr>
          <w:rFonts w:ascii="宋体" w:hAnsi="宋体" w:cs="宋体" w:eastAsia="宋体" w:hint="default"/>
        </w:rPr>
        <w:t>2017</w:t>
      </w:r>
      <w:r>
        <w:rPr/>
        <w:t>年</w:t>
      </w:r>
      <w:r>
        <w:rPr>
          <w:rFonts w:ascii="宋体" w:hAnsi="宋体" w:cs="宋体" w:eastAsia="宋体" w:hint="default"/>
        </w:rPr>
        <w:t>12</w:t>
      </w:r>
      <w:r>
        <w:rPr/>
        <w:t>月。根据《国务院关于经济特区和</w:t>
      </w:r>
      <w:r>
        <w:rPr>
          <w:spacing w:val="-84"/>
        </w:rPr>
        <w:t> </w:t>
      </w:r>
      <w:r>
        <w:rPr>
          <w:spacing w:val="-84"/>
        </w:rPr>
      </w:r>
      <w:r>
        <w:rPr>
          <w:spacing w:val="-2"/>
        </w:rPr>
        <w:t>上海浦东新区新设立高新技术企业实行过渡性税收优惠的通知》（国发</w:t>
      </w:r>
      <w:r>
        <w:rPr>
          <w:rFonts w:ascii="宋体" w:hAnsi="宋体" w:cs="宋体" w:eastAsia="宋体" w:hint="default"/>
          <w:spacing w:val="-2"/>
        </w:rPr>
        <w:t>[2007]40</w:t>
      </w:r>
      <w:r>
        <w:rPr>
          <w:spacing w:val="-2"/>
        </w:rPr>
        <w:t>号）的有关规定，上海米健于</w:t>
      </w:r>
      <w:r>
        <w:rPr>
          <w:rFonts w:ascii="宋体" w:hAnsi="宋体" w:cs="宋体" w:eastAsia="宋体" w:hint="default"/>
          <w:spacing w:val="-2"/>
        </w:rPr>
        <w:t>2015</w:t>
      </w:r>
      <w:r>
        <w:rPr>
          <w:spacing w:val="-2"/>
        </w:rPr>
        <w:t>年至</w:t>
      </w:r>
      <w:r>
        <w:rPr>
          <w:rFonts w:ascii="宋体" w:hAnsi="宋体" w:cs="宋体" w:eastAsia="宋体" w:hint="default"/>
          <w:spacing w:val="-2"/>
        </w:rPr>
        <w:t>2016</w:t>
      </w:r>
      <w:r>
        <w:rPr>
          <w:rFonts w:ascii="宋体" w:hAnsi="宋体" w:cs="宋体" w:eastAsia="宋体" w:hint="default"/>
          <w:spacing w:val="-49"/>
        </w:rPr>
        <w:t> </w:t>
      </w:r>
      <w:r>
        <w:rPr/>
        <w:t>年期间享受免征企业所得税优惠，于</w:t>
      </w:r>
      <w:r>
        <w:rPr>
          <w:rFonts w:ascii="宋体" w:hAnsi="宋体" w:cs="宋体" w:eastAsia="宋体" w:hint="default"/>
        </w:rPr>
        <w:t>2017</w:t>
      </w:r>
      <w:r>
        <w:rPr/>
        <w:t>年至</w:t>
      </w:r>
      <w:r>
        <w:rPr>
          <w:rFonts w:ascii="宋体" w:hAnsi="宋体" w:cs="宋体" w:eastAsia="宋体" w:hint="default"/>
        </w:rPr>
        <w:t>2019</w:t>
      </w:r>
      <w:r>
        <w:rPr/>
        <w:t>年期间享受减半征收企业所得税优惠。</w:t>
      </w:r>
    </w:p>
    <w:p>
      <w:pPr>
        <w:pStyle w:val="BodyText"/>
        <w:spacing w:line="312" w:lineRule="auto" w:before="22"/>
        <w:ind w:left="1133" w:right="1129" w:firstLine="360"/>
        <w:jc w:val="both"/>
      </w:pPr>
      <w:r>
        <w:rPr/>
        <w:t>（</w:t>
      </w:r>
      <w:r>
        <w:rPr>
          <w:rFonts w:ascii="Times New Roman" w:hAnsi="Times New Roman" w:cs="Times New Roman" w:eastAsia="Times New Roman" w:hint="default"/>
        </w:rPr>
        <w:t>4</w:t>
      </w:r>
      <w:r>
        <w:rPr/>
        <w:t>）根据《国家税务总局关于小型微利企业所得税优惠政策的通知》（财税</w:t>
      </w:r>
      <w:r>
        <w:rPr>
          <w:rFonts w:ascii="宋体" w:hAnsi="宋体" w:cs="宋体" w:eastAsia="宋体" w:hint="default"/>
        </w:rPr>
        <w:t>[2015]34</w:t>
      </w:r>
      <w:r>
        <w:rPr/>
        <w:t>号）的有关规定，自</w:t>
      </w:r>
      <w:r>
        <w:rPr>
          <w:rFonts w:ascii="宋体" w:hAnsi="宋体" w:cs="宋体" w:eastAsia="宋体" w:hint="default"/>
        </w:rPr>
        <w:t>2015</w:t>
      </w:r>
      <w:r>
        <w:rPr/>
        <w:t>年</w:t>
      </w:r>
      <w:r>
        <w:rPr>
          <w:rFonts w:ascii="宋体" w:hAnsi="宋体" w:cs="宋体" w:eastAsia="宋体" w:hint="default"/>
        </w:rPr>
        <w:t>1</w:t>
      </w:r>
      <w:r>
        <w:rPr/>
        <w:t>月</w:t>
      </w:r>
      <w:r>
        <w:rPr>
          <w:rFonts w:ascii="宋体" w:hAnsi="宋体" w:cs="宋体" w:eastAsia="宋体" w:hint="default"/>
        </w:rPr>
        <w:t>1 </w:t>
      </w:r>
      <w:r>
        <w:rPr/>
        <w:t>日至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日，对年应纳税所得额低于</w:t>
      </w:r>
      <w:r>
        <w:rPr>
          <w:rFonts w:ascii="宋体" w:hAnsi="宋体" w:cs="宋体" w:eastAsia="宋体" w:hint="default"/>
        </w:rPr>
        <w:t>20</w:t>
      </w:r>
      <w:r>
        <w:rPr/>
        <w:t>万元（含</w:t>
      </w:r>
      <w:r>
        <w:rPr>
          <w:rFonts w:ascii="宋体" w:hAnsi="宋体" w:cs="宋体" w:eastAsia="宋体" w:hint="default"/>
        </w:rPr>
        <w:t>20</w:t>
      </w:r>
      <w:r>
        <w:rPr/>
        <w:t>万元）的小型微利企业，其所得减按</w:t>
      </w:r>
      <w:r>
        <w:rPr>
          <w:rFonts w:ascii="宋体" w:hAnsi="宋体" w:cs="宋体" w:eastAsia="宋体" w:hint="default"/>
        </w:rPr>
        <w:t>50%</w:t>
      </w:r>
      <w:r>
        <w:rPr/>
        <w:t>计入应纳税所得额，按</w:t>
      </w:r>
      <w:r>
        <w:rPr>
          <w:spacing w:val="-83"/>
        </w:rPr>
        <w:t> </w:t>
      </w:r>
      <w:r>
        <w:rPr>
          <w:spacing w:val="-83"/>
        </w:rPr>
      </w:r>
      <w:r>
        <w:rPr>
          <w:rFonts w:ascii="宋体" w:hAnsi="宋体" w:cs="宋体" w:eastAsia="宋体" w:hint="default"/>
        </w:rPr>
        <w:t>20%</w:t>
      </w:r>
      <w:r>
        <w:rPr/>
        <w:t>的税率缴纳企业所得税。公司之二级子公司苏州易健医疗信息技术有限公司和北京米东信息技术有限公司适用前述税收</w:t>
      </w:r>
      <w:r>
        <w:rPr>
          <w:spacing w:val="-83"/>
        </w:rPr>
        <w:t> </w:t>
      </w:r>
      <w:r>
        <w:rPr>
          <w:spacing w:val="-83"/>
        </w:rPr>
      </w:r>
      <w:r>
        <w:rPr/>
        <w:t>优惠政策。</w:t>
      </w:r>
    </w:p>
    <w:p>
      <w:pPr>
        <w:pStyle w:val="BodyText"/>
        <w:spacing w:line="300" w:lineRule="auto" w:before="22"/>
        <w:ind w:right="1130" w:firstLine="360"/>
        <w:jc w:val="both"/>
      </w:pPr>
      <w:r>
        <w:rPr>
          <w:spacing w:val="-1"/>
        </w:rPr>
        <w:t>（</w:t>
      </w:r>
      <w:r>
        <w:rPr>
          <w:rFonts w:ascii="Times New Roman" w:hAnsi="Times New Roman" w:cs="Times New Roman" w:eastAsia="Times New Roman" w:hint="default"/>
          <w:spacing w:val="-1"/>
        </w:rPr>
        <w:t>5</w:t>
      </w:r>
      <w:r>
        <w:rPr>
          <w:spacing w:val="-1"/>
        </w:rPr>
        <w:t>）根据财政部、国家税务总局财税</w:t>
      </w:r>
      <w:r>
        <w:rPr>
          <w:rFonts w:ascii="Times New Roman" w:hAnsi="Times New Roman" w:cs="Times New Roman" w:eastAsia="Times New Roman" w:hint="default"/>
          <w:spacing w:val="-1"/>
        </w:rPr>
        <w:t>[2013]106</w:t>
      </w:r>
      <w:r>
        <w:rPr>
          <w:spacing w:val="-1"/>
        </w:rPr>
        <w:t>号《关于将铁路运输和邮政业纳入营业税改征增值税试点的通知》之附</w:t>
      </w:r>
      <w:r>
        <w:rPr/>
        <w:t> 件</w:t>
      </w:r>
      <w:r>
        <w:rPr>
          <w:rFonts w:ascii="Times New Roman" w:hAnsi="Times New Roman" w:cs="Times New Roman" w:eastAsia="Times New Roman" w:hint="default"/>
        </w:rPr>
        <w:t>3</w:t>
      </w:r>
      <w:r>
        <w:rPr/>
        <w:t>《营业税改征增值税试点过渡政策的规定》之规定，试点纳税人提供技术转让、技术开发和与之相关的技术咨询、技术</w:t>
      </w:r>
      <w:r>
        <w:rPr>
          <w:spacing w:val="-82"/>
        </w:rPr>
        <w:t> </w:t>
      </w:r>
      <w:r>
        <w:rPr>
          <w:spacing w:val="-82"/>
        </w:rPr>
      </w:r>
      <w:r>
        <w:rPr/>
        <w:t>服务免征增值税。</w:t>
      </w:r>
    </w:p>
    <w:p>
      <w:pPr>
        <w:pStyle w:val="BodyText"/>
        <w:spacing w:line="240" w:lineRule="auto" w:before="31"/>
        <w:ind w:left="1493" w:right="0"/>
        <w:jc w:val="left"/>
      </w:pPr>
      <w:r>
        <w:rPr/>
        <w:t>（</w:t>
      </w:r>
      <w:r>
        <w:rPr>
          <w:rFonts w:ascii="Times New Roman" w:hAnsi="Times New Roman" w:cs="Times New Roman" w:eastAsia="Times New Roman" w:hint="default"/>
        </w:rPr>
        <w:t>6</w:t>
      </w:r>
      <w:r>
        <w:rPr/>
        <w:t>）根据财政部、国家税务总局财税</w:t>
      </w:r>
      <w:r>
        <w:rPr>
          <w:rFonts w:ascii="Times New Roman" w:hAnsi="Times New Roman" w:cs="Times New Roman" w:eastAsia="Times New Roman" w:hint="default"/>
        </w:rPr>
        <w:t>[2011]100</w:t>
      </w:r>
      <w:r>
        <w:rPr/>
        <w:t>号《关于软件产品增值税政策的通知》的规定，对增值税一般纳税人销</w:t>
      </w:r>
    </w:p>
    <w:p>
      <w:pPr>
        <w:spacing w:after="0" w:line="240" w:lineRule="auto"/>
        <w:jc w:val="left"/>
        <w:sectPr>
          <w:pgSz w:w="11910" w:h="16840"/>
          <w:pgMar w:header="566" w:footer="979" w:top="1360" w:bottom="1160" w:left="0" w:right="0"/>
        </w:sectPr>
      </w:pPr>
    </w:p>
    <w:p>
      <w:pPr>
        <w:pStyle w:val="BodyText"/>
        <w:spacing w:line="240" w:lineRule="auto" w:before="81"/>
        <w:ind w:right="0"/>
        <w:jc w:val="left"/>
      </w:pPr>
      <w:r>
        <w:rPr/>
        <w:t>售其自行开发生产的软件产品，按</w:t>
      </w:r>
      <w:r>
        <w:rPr>
          <w:rFonts w:ascii="Times New Roman" w:hAnsi="Times New Roman" w:cs="Times New Roman" w:eastAsia="Times New Roman" w:hint="default"/>
        </w:rPr>
        <w:t>17%</w:t>
      </w:r>
      <w:r>
        <w:rPr/>
        <w:t>的法定税率征收增值税后，对其增值税实际税负超过</w:t>
      </w:r>
      <w:r>
        <w:rPr>
          <w:rFonts w:ascii="Times New Roman" w:hAnsi="Times New Roman" w:cs="Times New Roman" w:eastAsia="Times New Roman" w:hint="default"/>
        </w:rPr>
        <w:t>3%</w:t>
      </w:r>
      <w:r>
        <w:rPr/>
        <w:t>的部分实行即征即退政策。</w:t>
      </w:r>
    </w:p>
    <w:p>
      <w:pPr>
        <w:spacing w:line="240" w:lineRule="auto" w:before="11"/>
        <w:rPr>
          <w:rFonts w:ascii="宋体" w:hAnsi="宋体" w:cs="宋体" w:eastAsia="宋体" w:hint="default"/>
          <w:sz w:val="25"/>
          <w:szCs w:val="25"/>
        </w:rPr>
      </w:pPr>
    </w:p>
    <w:p>
      <w:pPr>
        <w:pStyle w:val="Heading3"/>
        <w:spacing w:line="240" w:lineRule="auto"/>
        <w:ind w:left="1133" w:right="0"/>
        <w:jc w:val="left"/>
        <w:rPr>
          <w:b w:val="0"/>
          <w:bCs w:val="0"/>
        </w:rPr>
      </w:pPr>
      <w:bookmarkStart w:name="3、其他" w:id="221"/>
      <w:bookmarkEnd w:id="221"/>
      <w:r>
        <w:rPr>
          <w:b w:val="0"/>
          <w:bCs w:val="0"/>
        </w:rPr>
      </w: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left="1134" w:right="0"/>
        <w:jc w:val="left"/>
        <w:rPr>
          <w:b w:val="0"/>
          <w:bCs w:val="0"/>
        </w:rPr>
      </w:pPr>
      <w:bookmarkStart w:name="七、合并财务报表项目注释" w:id="222"/>
      <w:bookmarkEnd w:id="222"/>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货币资金" w:id="223"/>
      <w:bookmarkEnd w:id="223"/>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74" w:type="dxa"/>
        <w:tblLayout w:type="fixed"/>
        <w:tblCellMar>
          <w:top w:w="0" w:type="dxa"/>
          <w:left w:w="0" w:type="dxa"/>
          <w:bottom w:w="0" w:type="dxa"/>
          <w:right w:w="0" w:type="dxa"/>
        </w:tblCellMar>
        <w:tblLook w:val="01E0"/>
      </w:tblPr>
      <w:tblGrid>
        <w:gridCol w:w="3166"/>
        <w:gridCol w:w="3202"/>
        <w:gridCol w:w="3191"/>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118,530.86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123,295.08</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307,350,227.90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128,817,663.04</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8,924,154.61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9,374,606.40</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316,392,913.37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138,315,564.52</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5,330,140.19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2,464,146.33</w:t>
            </w:r>
          </w:p>
        </w:tc>
      </w:tr>
    </w:tbl>
    <w:p>
      <w:pPr>
        <w:pStyle w:val="BodyText"/>
        <w:spacing w:line="240" w:lineRule="auto" w:before="51"/>
        <w:ind w:right="0"/>
        <w:jc w:val="left"/>
      </w:pPr>
      <w:r>
        <w:rPr/>
        <w:t>其他说明</w:t>
      </w:r>
    </w:p>
    <w:p>
      <w:pPr>
        <w:spacing w:line="240" w:lineRule="auto" w:before="0"/>
        <w:rPr>
          <w:rFonts w:ascii="宋体" w:hAnsi="宋体" w:cs="宋体" w:eastAsia="宋体" w:hint="default"/>
          <w:sz w:val="15"/>
          <w:szCs w:val="15"/>
        </w:rPr>
      </w:pPr>
    </w:p>
    <w:p>
      <w:pPr>
        <w:pStyle w:val="BodyText"/>
        <w:spacing w:line="300" w:lineRule="auto"/>
        <w:ind w:left="1133" w:right="1118"/>
        <w:jc w:val="left"/>
      </w:pPr>
      <w:r>
        <w:rPr/>
        <w:t>（</w:t>
      </w:r>
      <w:r>
        <w:rPr>
          <w:rFonts w:ascii="Times New Roman" w:hAnsi="Times New Roman" w:cs="Times New Roman" w:eastAsia="Times New Roman" w:hint="default"/>
        </w:rPr>
        <w:t>1</w:t>
      </w:r>
      <w:r>
        <w:rPr/>
        <w:t>）本项目期末余额较期初余额增加</w:t>
      </w:r>
      <w:r>
        <w:rPr>
          <w:rFonts w:ascii="Times New Roman" w:hAnsi="Times New Roman" w:cs="Times New Roman" w:eastAsia="Times New Roman" w:hint="default"/>
        </w:rPr>
        <w:t>178,077,348.85</w:t>
      </w:r>
      <w:r>
        <w:rPr/>
        <w:t>元，增幅</w:t>
      </w:r>
      <w:r>
        <w:rPr>
          <w:rFonts w:ascii="Times New Roman" w:hAnsi="Times New Roman" w:cs="Times New Roman" w:eastAsia="Times New Roman" w:hint="default"/>
        </w:rPr>
        <w:t>128.75%</w:t>
      </w:r>
      <w:r>
        <w:rPr/>
        <w:t>，主要系本公司于报告期非公开发行股票募集资金所</w:t>
      </w:r>
      <w:r>
        <w:rPr>
          <w:spacing w:val="-61"/>
        </w:rPr>
        <w:t> </w:t>
      </w:r>
      <w:r>
        <w:rPr>
          <w:spacing w:val="-61"/>
        </w:rPr>
      </w:r>
      <w:r>
        <w:rPr/>
        <w:t>致。</w:t>
      </w:r>
    </w:p>
    <w:p>
      <w:pPr>
        <w:pStyle w:val="BodyText"/>
        <w:spacing w:line="300" w:lineRule="auto" w:before="32"/>
        <w:ind w:right="1122"/>
        <w:jc w:val="left"/>
      </w:pPr>
      <w:r>
        <w:rPr/>
        <w:t>（</w:t>
      </w:r>
      <w:r>
        <w:rPr>
          <w:rFonts w:ascii="Times New Roman" w:hAnsi="Times New Roman" w:cs="Times New Roman" w:eastAsia="Times New Roman" w:hint="default"/>
        </w:rPr>
        <w:t>2</w:t>
      </w:r>
      <w:r>
        <w:rPr/>
        <w:t>）本项目其他货币资金期末余额主要为票据保证金存款及保函保证金存款，除前述资金外，本公司无其他因抵押或冻结</w:t>
      </w:r>
      <w:r>
        <w:rPr>
          <w:spacing w:val="-83"/>
        </w:rPr>
        <w:t> </w:t>
      </w:r>
      <w:r>
        <w:rPr>
          <w:spacing w:val="-83"/>
        </w:rPr>
      </w:r>
      <w:r>
        <w:rPr/>
        <w:t>等对使用有限制、有潜在回收风险的款项。</w:t>
      </w:r>
    </w:p>
    <w:p>
      <w:pPr>
        <w:spacing w:line="240" w:lineRule="auto" w:before="6"/>
        <w:rPr>
          <w:rFonts w:ascii="宋体" w:hAnsi="宋体" w:cs="宋体" w:eastAsia="宋体" w:hint="default"/>
          <w:sz w:val="23"/>
          <w:szCs w:val="23"/>
        </w:rPr>
      </w:pPr>
    </w:p>
    <w:p>
      <w:pPr>
        <w:pStyle w:val="Heading3"/>
        <w:spacing w:line="240" w:lineRule="auto"/>
        <w:ind w:left="1133" w:right="0"/>
        <w:jc w:val="left"/>
        <w:rPr>
          <w:b w:val="0"/>
          <w:bCs w:val="0"/>
        </w:rPr>
      </w:pPr>
      <w:bookmarkStart w:name="2、以公允价值计量且其变动计入当期损益的金融资产" w:id="224"/>
      <w:bookmarkEnd w:id="224"/>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3、衍生金融资产" w:id="225"/>
      <w:bookmarkEnd w:id="225"/>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应收票据" w:id="226"/>
      <w:bookmarkEnd w:id="226"/>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票据分类列示" w:id="227"/>
      <w:bookmarkEnd w:id="227"/>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74" w:type="dxa"/>
        <w:tblLayout w:type="fixed"/>
        <w:tblCellMar>
          <w:top w:w="0" w:type="dxa"/>
          <w:left w:w="0" w:type="dxa"/>
          <w:bottom w:w="0" w:type="dxa"/>
          <w:right w:w="0" w:type="dxa"/>
        </w:tblCellMar>
        <w:tblLook w:val="01E0"/>
      </w:tblPr>
      <w:tblGrid>
        <w:gridCol w:w="3166"/>
        <w:gridCol w:w="3202"/>
        <w:gridCol w:w="3191"/>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97"/>
              <w:jc w:val="right"/>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1,289,000.00</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97"/>
              <w:jc w:val="righ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1,289,000.00</w:t>
            </w:r>
          </w:p>
        </w:tc>
      </w:tr>
    </w:tbl>
    <w:p>
      <w:pPr>
        <w:spacing w:after="0" w:line="240" w:lineRule="auto"/>
        <w:jc w:val="right"/>
        <w:rPr>
          <w:rFonts w:ascii="Times New Roman" w:hAnsi="Times New Roman" w:cs="Times New Roman" w:eastAsia="Times New Roman" w:hint="default"/>
          <w:sz w:val="18"/>
          <w:szCs w:val="18"/>
        </w:rPr>
        <w:sectPr>
          <w:pgSz w:w="11910" w:h="16840"/>
          <w:pgMar w:header="566" w:footer="979" w:top="1360" w:bottom="1160" w:left="0" w:right="0"/>
        </w:sectPr>
      </w:pPr>
    </w:p>
    <w:p>
      <w:pPr>
        <w:pStyle w:val="Heading3"/>
        <w:spacing w:line="240" w:lineRule="auto" w:before="57"/>
        <w:ind w:right="0"/>
        <w:jc w:val="left"/>
        <w:rPr>
          <w:b w:val="0"/>
          <w:bCs w:val="0"/>
        </w:rPr>
      </w:pPr>
      <w:bookmarkStart w:name="（2）期末公司已质押的应收票据" w:id="228"/>
      <w:bookmarkEnd w:id="228"/>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期末公司已背书或贴现且在资产负债表日尚未到期的应收票据" w:id="229"/>
      <w:bookmarkEnd w:id="229"/>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74" w:type="dxa"/>
        <w:tblLayout w:type="fixed"/>
        <w:tblCellMar>
          <w:top w:w="0" w:type="dxa"/>
          <w:left w:w="0" w:type="dxa"/>
          <w:bottom w:w="0" w:type="dxa"/>
          <w:right w:w="0" w:type="dxa"/>
        </w:tblCellMar>
        <w:tblLook w:val="01E0"/>
      </w:tblPr>
      <w:tblGrid>
        <w:gridCol w:w="3166"/>
        <w:gridCol w:w="3202"/>
        <w:gridCol w:w="3191"/>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397"/>
              <w:jc w:val="right"/>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397"/>
              <w:jc w:val="righ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500,000.00</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期末公司因出票人未履约而将其转应收账款的票据" w:id="230"/>
      <w:bookmarkEnd w:id="230"/>
      <w:r>
        <w:rPr>
          <w:b w:val="0"/>
          <w:bCs w:val="0"/>
        </w:rPr>
      </w: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10032"/>
        <w:jc w:val="left"/>
      </w:pPr>
      <w:r>
        <w:rPr/>
        <w:t>无 其他说明</w:t>
      </w:r>
    </w:p>
    <w:p>
      <w:pPr>
        <w:pStyle w:val="BodyText"/>
        <w:spacing w:line="300" w:lineRule="auto" w:before="28"/>
        <w:ind w:right="1119"/>
        <w:jc w:val="left"/>
      </w:pPr>
      <w:r>
        <w:rPr/>
        <w:t>本项目期末余额较期初余额减少</w:t>
      </w:r>
      <w:r>
        <w:rPr>
          <w:spacing w:val="-49"/>
        </w:rPr>
        <w:t> </w:t>
      </w:r>
      <w:r>
        <w:rPr>
          <w:rFonts w:ascii="Times New Roman" w:hAnsi="Times New Roman" w:cs="Times New Roman" w:eastAsia="Times New Roman" w:hint="default"/>
        </w:rPr>
        <w:t>1,289,000.00</w:t>
      </w:r>
      <w:r>
        <w:rPr>
          <w:rFonts w:ascii="Times New Roman" w:hAnsi="Times New Roman" w:cs="Times New Roman" w:eastAsia="Times New Roman" w:hint="default"/>
          <w:spacing w:val="-4"/>
        </w:rPr>
        <w:t> </w:t>
      </w:r>
      <w:r>
        <w:rPr/>
        <w:t>元，减幅</w:t>
      </w:r>
      <w:r>
        <w:rPr>
          <w:spacing w:val="-49"/>
        </w:rPr>
        <w:t> </w:t>
      </w:r>
      <w:r>
        <w:rPr>
          <w:rFonts w:ascii="Times New Roman" w:hAnsi="Times New Roman" w:cs="Times New Roman" w:eastAsia="Times New Roman" w:hint="default"/>
        </w:rPr>
        <w:t>100.00%</w:t>
      </w:r>
      <w:r>
        <w:rPr/>
        <w:t>，主要系公司上年末的票据已到期结算或已背书且本报告期 内以票据结算的应收款项减少所致。</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bookmarkStart w:name="5、应收账款" w:id="231"/>
      <w:bookmarkEnd w:id="231"/>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账款分类披露" w:id="232"/>
      <w:bookmarkEnd w:id="232"/>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7" w:type="dxa"/>
        <w:tblLayout w:type="fixed"/>
        <w:tblCellMar>
          <w:top w:w="0" w:type="dxa"/>
          <w:left w:w="0" w:type="dxa"/>
          <w:bottom w:w="0" w:type="dxa"/>
          <w:right w:w="0" w:type="dxa"/>
        </w:tblCellMar>
        <w:tblLook w:val="01E0"/>
      </w:tblPr>
      <w:tblGrid>
        <w:gridCol w:w="1550"/>
        <w:gridCol w:w="1276"/>
        <w:gridCol w:w="566"/>
        <w:gridCol w:w="1134"/>
        <w:gridCol w:w="710"/>
        <w:gridCol w:w="1277"/>
        <w:gridCol w:w="1274"/>
        <w:gridCol w:w="710"/>
        <w:gridCol w:w="1134"/>
        <w:gridCol w:w="709"/>
        <w:gridCol w:w="1276"/>
      </w:tblGrid>
      <w:tr>
        <w:trPr>
          <w:trHeight w:val="397" w:hRule="exact"/>
        </w:trPr>
        <w:tc>
          <w:tcPr>
            <w:tcW w:w="1550" w:type="dxa"/>
            <w:vMerge w:val="restart"/>
            <w:tcBorders>
              <w:top w:val="single" w:sz="4" w:space="0" w:color="000000"/>
              <w:left w:val="single" w:sz="4" w:space="0" w:color="000000"/>
              <w:right w:val="single" w:sz="4" w:space="0" w:color="000000"/>
            </w:tcBorders>
            <w:shd w:val="clear" w:color="auto" w:fill="D2D2D2"/>
          </w:tcPr>
          <w:p>
            <w:pPr/>
          </w:p>
        </w:tc>
        <w:tc>
          <w:tcPr>
            <w:tcW w:w="496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510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550" w:type="dxa"/>
            <w:vMerge/>
            <w:tcBorders>
              <w:left w:val="single" w:sz="4" w:space="0" w:color="000000"/>
              <w:bottom w:val="nil" w:sz="6" w:space="0" w:color="auto"/>
              <w:right w:val="single" w:sz="4" w:space="0" w:color="000000"/>
            </w:tcBorders>
            <w:shd w:val="clear" w:color="auto" w:fill="D2D2D2"/>
          </w:tcPr>
          <w:p>
            <w:pPr/>
          </w:p>
        </w:tc>
        <w:tc>
          <w:tcPr>
            <w:tcW w:w="1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5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5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7" w:type="dxa"/>
            <w:vMerge w:val="restart"/>
            <w:tcBorders>
              <w:top w:val="single" w:sz="4" w:space="0" w:color="000000"/>
              <w:left w:val="single" w:sz="4" w:space="0" w:color="000000"/>
              <w:right w:val="single" w:sz="4" w:space="0" w:color="000000"/>
            </w:tcBorders>
            <w:shd w:val="clear" w:color="auto" w:fill="D2D2D2"/>
          </w:tcPr>
          <w:p>
            <w:pPr/>
          </w:p>
        </w:tc>
        <w:tc>
          <w:tcPr>
            <w:tcW w:w="19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5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6"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5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842" w:type="dxa"/>
            <w:gridSpan w:val="2"/>
            <w:vMerge/>
            <w:tcBorders>
              <w:left w:val="single" w:sz="4" w:space="0" w:color="000000"/>
              <w:bottom w:val="single" w:sz="4" w:space="0" w:color="000000"/>
              <w:right w:val="single" w:sz="4" w:space="0" w:color="000000"/>
            </w:tcBorders>
            <w:shd w:val="clear" w:color="auto" w:fill="D2D2D2"/>
          </w:tcPr>
          <w:p>
            <w:pPr/>
          </w:p>
        </w:tc>
        <w:tc>
          <w:tcPr>
            <w:tcW w:w="1844" w:type="dxa"/>
            <w:gridSpan w:val="2"/>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984" w:type="dxa"/>
            <w:gridSpan w:val="2"/>
            <w:vMerge/>
            <w:tcBorders>
              <w:left w:val="single" w:sz="4" w:space="0" w:color="000000"/>
              <w:bottom w:val="single" w:sz="4" w:space="0" w:color="000000"/>
              <w:right w:val="single" w:sz="4" w:space="0" w:color="000000"/>
            </w:tcBorders>
            <w:shd w:val="clear" w:color="auto" w:fill="D2D2D2"/>
          </w:tcPr>
          <w:p>
            <w:pPr/>
          </w:p>
        </w:tc>
        <w:tc>
          <w:tcPr>
            <w:tcW w:w="1843" w:type="dxa"/>
            <w:gridSpan w:val="2"/>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550" w:type="dxa"/>
            <w:vMerge/>
            <w:tcBorders>
              <w:left w:val="single" w:sz="4" w:space="0" w:color="000000"/>
              <w:bottom w:val="single" w:sz="4" w:space="0" w:color="FFFFFF"/>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4" w:right="-15" w:firstLine="56"/>
              <w:jc w:val="left"/>
              <w:rPr>
                <w:rFonts w:ascii="宋体" w:hAnsi="宋体" w:cs="宋体" w:eastAsia="宋体" w:hint="default"/>
                <w:sz w:val="18"/>
                <w:szCs w:val="18"/>
              </w:rPr>
            </w:pPr>
            <w:r>
              <w:rPr>
                <w:rFonts w:ascii="宋体" w:hAnsi="宋体" w:cs="宋体" w:eastAsia="宋体" w:hint="default"/>
                <w:sz w:val="18"/>
                <w:szCs w:val="18"/>
              </w:rPr>
              <w:t>计提比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7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74"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77"/>
              <w:ind w:left="9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2" w:right="-14" w:firstLine="56"/>
              <w:jc w:val="left"/>
              <w:rPr>
                <w:rFonts w:ascii="宋体" w:hAnsi="宋体" w:cs="宋体" w:eastAsia="宋体" w:hint="default"/>
                <w:sz w:val="18"/>
                <w:szCs w:val="18"/>
              </w:rPr>
            </w:pPr>
            <w:r>
              <w:rPr>
                <w:rFonts w:ascii="宋体" w:hAnsi="宋体" w:cs="宋体" w:eastAsia="宋体" w:hint="default"/>
                <w:sz w:val="18"/>
                <w:szCs w:val="18"/>
              </w:rPr>
              <w:t>计提比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7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550" w:type="dxa"/>
            <w:vMerge w:val="restart"/>
            <w:tcBorders>
              <w:top w:val="single" w:sz="4" w:space="0" w:color="FFFFFF"/>
              <w:left w:val="single" w:sz="4" w:space="0" w:color="000000"/>
              <w:right w:val="single" w:sz="4" w:space="0" w:color="000000"/>
            </w:tcBorders>
            <w:shd w:val="clear" w:color="auto" w:fill="D2D2D2"/>
          </w:tcPr>
          <w:p>
            <w:pPr/>
          </w:p>
        </w:tc>
        <w:tc>
          <w:tcPr>
            <w:tcW w:w="1276"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566"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10"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10"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09"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550"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550"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 w:right="87"/>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1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447,311,666.01</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29,374,851.26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417,936,814.75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340,723,884.12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15,238,780.22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325,485,103.90</w:t>
            </w:r>
          </w:p>
        </w:tc>
      </w:tr>
      <w:tr>
        <w:trPr>
          <w:trHeight w:val="402" w:hRule="exact"/>
        </w:trPr>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1"/>
              <w:jc w:val="center"/>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447,311,666.01</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29,374,851.26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417,936,814.75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340,723,884.12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15,238,780.22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325,485,103.90</w:t>
            </w:r>
          </w:p>
        </w:tc>
      </w:tr>
    </w:tbl>
    <w:p>
      <w:pPr>
        <w:spacing w:after="0" w:line="240" w:lineRule="auto"/>
        <w:jc w:val="right"/>
        <w:rPr>
          <w:rFonts w:ascii="Times New Roman" w:hAnsi="Times New Roman" w:cs="Times New Roman" w:eastAsia="Times New Roman" w:hint="default"/>
          <w:sz w:val="18"/>
          <w:szCs w:val="18"/>
        </w:rPr>
        <w:sectPr>
          <w:pgSz w:w="11910" w:h="16840"/>
          <w:pgMar w:header="566" w:footer="979" w:top="1360" w:bottom="1160" w:left="0" w:right="0"/>
        </w:sectPr>
      </w:pPr>
    </w:p>
    <w:p>
      <w:pPr>
        <w:pStyle w:val="BodyText"/>
        <w:spacing w:line="240" w:lineRule="auto" w:before="51"/>
        <w:ind w:right="-20"/>
        <w:jc w:val="left"/>
      </w:pPr>
      <w:r>
        <w:rPr/>
        <w:t>期末单项金额重大并单项计提坏账准备的应收账款：</w:t>
      </w:r>
    </w:p>
    <w:p>
      <w:pPr>
        <w:pStyle w:val="BodyText"/>
        <w:spacing w:line="338" w:lineRule="auto" w:before="117"/>
        <w:ind w:left="1133"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3"/>
        <w:ind w:left="1133"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275" w:space="3555"/>
            <w:col w:w="3080"/>
          </w:cols>
        </w:sectPr>
      </w:pPr>
    </w:p>
    <w:p>
      <w:pPr>
        <w:spacing w:line="240" w:lineRule="auto" w:before="0"/>
        <w:rPr>
          <w:rFonts w:ascii="宋体" w:hAnsi="宋体" w:cs="宋体" w:eastAsia="宋体" w:hint="default"/>
          <w:sz w:val="8"/>
          <w:szCs w:val="8"/>
        </w:rPr>
      </w:pPr>
    </w:p>
    <w:tbl>
      <w:tblPr>
        <w:tblW w:w="0" w:type="auto"/>
        <w:jc w:val="left"/>
        <w:tblInd w:w="1164" w:type="dxa"/>
        <w:tblLayout w:type="fixed"/>
        <w:tblCellMar>
          <w:top w:w="0" w:type="dxa"/>
          <w:left w:w="0" w:type="dxa"/>
          <w:bottom w:w="0" w:type="dxa"/>
          <w:right w:w="0" w:type="dxa"/>
        </w:tblCellMar>
        <w:tblLook w:val="01E0"/>
      </w:tblPr>
      <w:tblGrid>
        <w:gridCol w:w="2393"/>
        <w:gridCol w:w="2392"/>
        <w:gridCol w:w="2392"/>
        <w:gridCol w:w="2392"/>
      </w:tblGrid>
      <w:tr>
        <w:trPr>
          <w:trHeight w:val="402"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34" w:right="0"/>
              <w:jc w:val="left"/>
              <w:rPr>
                <w:rFonts w:ascii="Times New Roman" w:hAnsi="Times New Roman" w:cs="Times New Roman" w:eastAsia="Times New Roman" w:hint="default"/>
                <w:sz w:val="18"/>
                <w:szCs w:val="18"/>
              </w:rPr>
            </w:pPr>
            <w:r>
              <w:rPr>
                <w:rFonts w:ascii="Times New Roman"/>
                <w:sz w:val="18"/>
              </w:rPr>
              <w:t>297,688,004.23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14" w:right="0"/>
              <w:jc w:val="left"/>
              <w:rPr>
                <w:rFonts w:ascii="Times New Roman" w:hAnsi="Times New Roman" w:cs="Times New Roman" w:eastAsia="Times New Roman" w:hint="default"/>
                <w:sz w:val="18"/>
                <w:szCs w:val="18"/>
              </w:rPr>
            </w:pPr>
            <w:r>
              <w:rPr>
                <w:rFonts w:ascii="Times New Roman"/>
                <w:sz w:val="18"/>
              </w:rPr>
              <w:t>5,953,760.10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5"/>
          <w:szCs w:val="5"/>
        </w:rPr>
      </w:pPr>
    </w:p>
    <w:tbl>
      <w:tblPr>
        <w:tblW w:w="0" w:type="auto"/>
        <w:jc w:val="left"/>
        <w:tblInd w:w="1164" w:type="dxa"/>
        <w:tblLayout w:type="fixed"/>
        <w:tblCellMar>
          <w:top w:w="0" w:type="dxa"/>
          <w:left w:w="0" w:type="dxa"/>
          <w:bottom w:w="0" w:type="dxa"/>
          <w:right w:w="0" w:type="dxa"/>
        </w:tblCellMar>
        <w:tblLook w:val="01E0"/>
      </w:tblPr>
      <w:tblGrid>
        <w:gridCol w:w="2393"/>
        <w:gridCol w:w="2393"/>
        <w:gridCol w:w="2392"/>
        <w:gridCol w:w="2393"/>
      </w:tblGrid>
      <w:tr>
        <w:trPr>
          <w:trHeight w:val="402"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297,688,004.23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5,953,760.10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97,742,078.20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4,887,103.92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42,462,558.74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12,738,767.59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9,419,024.84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5,795,219.65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61.53%</w:t>
            </w:r>
          </w:p>
        </w:tc>
      </w:tr>
      <w:tr>
        <w:trPr>
          <w:trHeight w:val="402"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5,873,334.06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2,936,667.03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3,435,690.78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2,748,552.62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447,311,666.01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29,374,851.26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6.57%</w:t>
            </w:r>
          </w:p>
        </w:tc>
      </w:tr>
    </w:tbl>
    <w:p>
      <w:pPr>
        <w:pStyle w:val="BodyText"/>
        <w:spacing w:line="357" w:lineRule="auto" w:before="51"/>
        <w:ind w:right="8772"/>
        <w:jc w:val="left"/>
      </w:pPr>
      <w:r>
        <w:rPr/>
        <w:t>确定该组合依据的说明： 无</w:t>
      </w:r>
    </w:p>
    <w:p>
      <w:pPr>
        <w:pStyle w:val="BodyText"/>
        <w:spacing w:line="240" w:lineRule="auto" w:before="29"/>
        <w:ind w:right="0"/>
        <w:jc w:val="left"/>
      </w:pPr>
      <w:r>
        <w:rPr/>
        <w:t>组合中，采用余额百分比法计提坏账准备的应收账款：</w:t>
      </w:r>
    </w:p>
    <w:p>
      <w:pPr>
        <w:pStyle w:val="BodyText"/>
        <w:spacing w:line="348" w:lineRule="auto" w:before="117"/>
        <w:ind w:left="1133"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 无</w:t>
      </w: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2）本期计提、收回或转回的坏账准备情况" w:id="233"/>
      <w:bookmarkEnd w:id="233"/>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本期计提坏账准备金额</w:t>
      </w:r>
      <w:r>
        <w:rPr>
          <w:spacing w:val="-47"/>
        </w:rPr>
        <w:t> </w:t>
      </w:r>
      <w:r>
        <w:rPr>
          <w:rFonts w:ascii="Times New Roman" w:hAnsi="Times New Roman" w:cs="Times New Roman" w:eastAsia="Times New Roman" w:hint="default"/>
        </w:rPr>
        <w:t>14,107,238.17</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11"/>
        <w:rPr>
          <w:rFonts w:ascii="宋体" w:hAnsi="宋体" w:cs="宋体" w:eastAsia="宋体" w:hint="default"/>
          <w:sz w:val="25"/>
          <w:szCs w:val="25"/>
        </w:rPr>
      </w:pPr>
    </w:p>
    <w:p>
      <w:pPr>
        <w:pStyle w:val="Heading3"/>
        <w:spacing w:line="240" w:lineRule="auto"/>
        <w:ind w:left="1133" w:right="0"/>
        <w:jc w:val="left"/>
        <w:rPr>
          <w:b w:val="0"/>
          <w:bCs w:val="0"/>
        </w:rPr>
      </w:pPr>
      <w:bookmarkStart w:name="（3）本期实际核销的应收账款情况" w:id="234"/>
      <w:bookmarkEnd w:id="234"/>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4）按欠款方归集的期末余额前五名的应收账款情况" w:id="235"/>
      <w:bookmarkEnd w:id="235"/>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679"/>
        <w:jc w:val="right"/>
      </w:pPr>
      <w:r>
        <w:rPr/>
        <w:t>单位：元</w:t>
      </w:r>
    </w:p>
    <w:p>
      <w:pPr>
        <w:spacing w:line="240" w:lineRule="auto" w:before="0"/>
        <w:rPr>
          <w:rFonts w:ascii="宋体" w:hAnsi="宋体" w:cs="宋体" w:eastAsia="宋体" w:hint="default"/>
          <w:sz w:val="8"/>
          <w:szCs w:val="8"/>
        </w:rPr>
      </w:pPr>
    </w:p>
    <w:tbl>
      <w:tblPr>
        <w:tblW w:w="0" w:type="auto"/>
        <w:jc w:val="left"/>
        <w:tblInd w:w="1387" w:type="dxa"/>
        <w:tblLayout w:type="fixed"/>
        <w:tblCellMar>
          <w:top w:w="0" w:type="dxa"/>
          <w:left w:w="0" w:type="dxa"/>
          <w:bottom w:w="0" w:type="dxa"/>
          <w:right w:w="0" w:type="dxa"/>
        </w:tblCellMar>
        <w:tblLook w:val="01E0"/>
      </w:tblPr>
      <w:tblGrid>
        <w:gridCol w:w="2949"/>
        <w:gridCol w:w="1812"/>
        <w:gridCol w:w="2391"/>
        <w:gridCol w:w="1966"/>
      </w:tblGrid>
      <w:tr>
        <w:trPr>
          <w:trHeight w:val="658" w:hRule="exact"/>
        </w:trPr>
        <w:tc>
          <w:tcPr>
            <w:tcW w:w="294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81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536"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39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20"/>
              <w:ind w:left="496" w:right="373" w:hanging="122"/>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占应收账款期末余额</w:t>
            </w:r>
            <w:r>
              <w:rPr>
                <w:rFonts w:ascii="宋体" w:hAnsi="宋体" w:cs="宋体" w:eastAsia="宋体" w:hint="default"/>
                <w:b/>
                <w:bCs/>
                <w:w w:val="99"/>
                <w:sz w:val="18"/>
                <w:szCs w:val="18"/>
              </w:rPr>
              <w:t> </w:t>
            </w:r>
            <w:r>
              <w:rPr>
                <w:rFonts w:ascii="宋体" w:hAnsi="宋体" w:cs="宋体" w:eastAsia="宋体" w:hint="default"/>
                <w:b/>
                <w:bCs/>
                <w:sz w:val="18"/>
                <w:szCs w:val="18"/>
              </w:rPr>
              <w:t>合计数的比例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96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614"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347" w:hRule="exact"/>
        </w:trPr>
        <w:tc>
          <w:tcPr>
            <w:tcW w:w="2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沈阳市皇姑区教育局</w:t>
            </w:r>
          </w:p>
        </w:tc>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36,541,430.00</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8.16</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1,705,664.50</w:t>
            </w:r>
          </w:p>
        </w:tc>
      </w:tr>
      <w:tr>
        <w:trPr>
          <w:trHeight w:val="347" w:hRule="exact"/>
        </w:trPr>
        <w:tc>
          <w:tcPr>
            <w:tcW w:w="2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抚顺银行股份有限公司</w:t>
            </w:r>
          </w:p>
        </w:tc>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26,822,100.00</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6.00</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536,442.00</w:t>
            </w:r>
          </w:p>
        </w:tc>
      </w:tr>
      <w:tr>
        <w:trPr>
          <w:trHeight w:val="348" w:hRule="exact"/>
        </w:trPr>
        <w:tc>
          <w:tcPr>
            <w:tcW w:w="2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锦州市教育信息中心</w:t>
            </w:r>
          </w:p>
        </w:tc>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18,998,880.00</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4.25</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379,977.60</w:t>
            </w:r>
          </w:p>
        </w:tc>
      </w:tr>
      <w:tr>
        <w:trPr>
          <w:trHeight w:val="347" w:hRule="exact"/>
        </w:trPr>
        <w:tc>
          <w:tcPr>
            <w:tcW w:w="2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辽宁省卫生厅</w:t>
            </w:r>
          </w:p>
        </w:tc>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16,786,000.00</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3.75</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4,145,800.00</w:t>
            </w:r>
          </w:p>
        </w:tc>
      </w:tr>
      <w:tr>
        <w:trPr>
          <w:trHeight w:val="347" w:hRule="exact"/>
        </w:trPr>
        <w:tc>
          <w:tcPr>
            <w:tcW w:w="2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辽阳银行股份有限公司</w:t>
            </w:r>
          </w:p>
        </w:tc>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12,239,842.00</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2.74</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557,270.97</w:t>
            </w:r>
          </w:p>
        </w:tc>
      </w:tr>
      <w:tr>
        <w:trPr>
          <w:trHeight w:val="348" w:hRule="exact"/>
        </w:trPr>
        <w:tc>
          <w:tcPr>
            <w:tcW w:w="294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111,388,252.00</w:t>
            </w:r>
            <w:r>
              <w:rPr>
                <w:rFonts w:ascii="Times New Roman"/>
                <w:spacing w:val="-1"/>
                <w:sz w:val="18"/>
              </w:rPr>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z w:val="18"/>
              </w:rPr>
              <w:t>24.90</w:t>
            </w:r>
            <w:r>
              <w:rPr>
                <w:rFonts w:ascii="Times New Roman"/>
                <w:sz w:val="18"/>
              </w:rPr>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7,325,155.07</w:t>
            </w:r>
            <w:r>
              <w:rPr>
                <w:rFonts w:ascii="Times New Roman"/>
                <w:spacing w:val="-1"/>
                <w:sz w:val="18"/>
              </w:rPr>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因金融资产转移而终止确认的应收账款" w:id="236"/>
      <w:bookmarkEnd w:id="236"/>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566" w:footer="979" w:top="1360" w:bottom="1160" w:left="0" w:right="0"/>
        </w:sectPr>
      </w:pPr>
    </w:p>
    <w:p>
      <w:pPr>
        <w:pStyle w:val="Heading3"/>
        <w:spacing w:line="240" w:lineRule="auto" w:before="57"/>
        <w:ind w:right="0"/>
        <w:jc w:val="left"/>
        <w:rPr>
          <w:b w:val="0"/>
          <w:bCs w:val="0"/>
        </w:rPr>
      </w:pPr>
      <w:bookmarkStart w:name="（6）转移应收账款且继续涉入形成的资产、负债金额" w:id="237"/>
      <w:bookmarkEnd w:id="237"/>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9852"/>
        <w:jc w:val="left"/>
      </w:pPr>
      <w:r>
        <w:rPr/>
        <w:t>无 其他说明：</w:t>
      </w:r>
    </w:p>
    <w:p>
      <w:pPr>
        <w:pStyle w:val="BodyText"/>
        <w:spacing w:line="240" w:lineRule="auto" w:before="26"/>
        <w:ind w:left="1133" w:right="0"/>
        <w:jc w:val="left"/>
      </w:pPr>
      <w:r>
        <w:rPr/>
        <w:t>应收账款期末账面余额较期初账面余额增加</w:t>
      </w:r>
      <w:r>
        <w:rPr>
          <w:rFonts w:ascii="Times New Roman" w:hAnsi="Times New Roman" w:cs="Times New Roman" w:eastAsia="Times New Roman" w:hint="default"/>
        </w:rPr>
        <w:t>106,587,781.89</w:t>
      </w:r>
      <w:r>
        <w:rPr/>
        <w:t>元，增幅</w:t>
      </w:r>
      <w:r>
        <w:rPr>
          <w:rFonts w:ascii="Times New Roman" w:hAnsi="Times New Roman" w:cs="Times New Roman" w:eastAsia="Times New Roman" w:hint="default"/>
        </w:rPr>
        <w:t>31.28%</w:t>
      </w:r>
      <w:r>
        <w:rPr/>
        <w:t>，主要系公司本报告期业务规模扩大所致。</w:t>
      </w:r>
    </w:p>
    <w:p>
      <w:pPr>
        <w:spacing w:line="240" w:lineRule="auto" w:before="11"/>
        <w:rPr>
          <w:rFonts w:ascii="宋体" w:hAnsi="宋体" w:cs="宋体" w:eastAsia="宋体" w:hint="default"/>
          <w:sz w:val="25"/>
          <w:szCs w:val="25"/>
        </w:rPr>
      </w:pPr>
    </w:p>
    <w:p>
      <w:pPr>
        <w:pStyle w:val="Heading3"/>
        <w:spacing w:line="240" w:lineRule="auto"/>
        <w:ind w:left="1133" w:right="0"/>
        <w:jc w:val="left"/>
        <w:rPr>
          <w:b w:val="0"/>
          <w:bCs w:val="0"/>
        </w:rPr>
      </w:pPr>
      <w:bookmarkStart w:name="6、预付款项" w:id="238"/>
      <w:bookmarkEnd w:id="238"/>
      <w:r>
        <w:rPr>
          <w:b w:val="0"/>
          <w:bCs w:val="0"/>
        </w:rPr>
      </w:r>
      <w:r>
        <w:rPr>
          <w:rFonts w:ascii="Times New Roman" w:hAnsi="Times New Roman" w:cs="Times New Roman" w:eastAsia="Times New Roman" w:hint="default"/>
        </w:rPr>
        <w:t>6</w:t>
      </w:r>
      <w:r>
        <w:rPr/>
        <w:t>、预付款项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预付款项按账龄列示" w:id="239"/>
      <w:bookmarkEnd w:id="239"/>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74" w:type="dxa"/>
        <w:tblLayout w:type="fixed"/>
        <w:tblCellMar>
          <w:top w:w="0" w:type="dxa"/>
          <w:left w:w="0" w:type="dxa"/>
          <w:bottom w:w="0" w:type="dxa"/>
          <w:right w:w="0" w:type="dxa"/>
        </w:tblCellMar>
        <w:tblLook w:val="01E0"/>
      </w:tblPr>
      <w:tblGrid>
        <w:gridCol w:w="1901"/>
        <w:gridCol w:w="1916"/>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0"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7,877,792.13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36" w:right="0"/>
              <w:jc w:val="lef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7,809,667.23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81.75%</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1,743,800.00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18.25%</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pacing w:val="-1"/>
                <w:sz w:val="18"/>
              </w:rPr>
              <w:t>7,877,792.13</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pacing w:val="-1"/>
                <w:sz w:val="18"/>
              </w:rPr>
              <w:t>9,553,467.23</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按预付对象归集的期末余额前五名的预付款情况" w:id="240"/>
      <w:bookmarkEnd w:id="240"/>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336" w:type="dxa"/>
        <w:tblLayout w:type="fixed"/>
        <w:tblCellMar>
          <w:top w:w="0" w:type="dxa"/>
          <w:left w:w="0" w:type="dxa"/>
          <w:bottom w:w="0" w:type="dxa"/>
          <w:right w:w="0" w:type="dxa"/>
        </w:tblCellMar>
        <w:tblLook w:val="01E0"/>
      </w:tblPr>
      <w:tblGrid>
        <w:gridCol w:w="3517"/>
        <w:gridCol w:w="2437"/>
        <w:gridCol w:w="3261"/>
      </w:tblGrid>
      <w:tr>
        <w:trPr>
          <w:trHeight w:val="352" w:hRule="exact"/>
        </w:trPr>
        <w:tc>
          <w:tcPr>
            <w:tcW w:w="3517"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2437"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期末金额</w:t>
            </w:r>
            <w:r>
              <w:rPr>
                <w:rFonts w:ascii="宋体" w:hAnsi="宋体" w:cs="宋体" w:eastAsia="宋体" w:hint="default"/>
                <w:sz w:val="18"/>
                <w:szCs w:val="18"/>
              </w:rPr>
            </w:r>
          </w:p>
        </w:tc>
        <w:tc>
          <w:tcPr>
            <w:tcW w:w="3261"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left="116"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占预付账款期末余额合计数的比例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352" w:hRule="exact"/>
        </w:trPr>
        <w:tc>
          <w:tcPr>
            <w:tcW w:w="35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沈阳睿力达科技有限公司</w:t>
            </w:r>
          </w:p>
        </w:tc>
        <w:tc>
          <w:tcPr>
            <w:tcW w:w="24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1,101,459.60</w:t>
            </w:r>
          </w:p>
        </w:tc>
        <w:tc>
          <w:tcPr>
            <w:tcW w:w="3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13.99</w:t>
            </w:r>
          </w:p>
        </w:tc>
      </w:tr>
      <w:tr>
        <w:trPr>
          <w:trHeight w:val="353" w:hRule="exact"/>
        </w:trPr>
        <w:tc>
          <w:tcPr>
            <w:tcW w:w="35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深圳市视汇通电子有限公司</w:t>
            </w:r>
          </w:p>
        </w:tc>
        <w:tc>
          <w:tcPr>
            <w:tcW w:w="24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1,032,750.00</w:t>
            </w:r>
          </w:p>
        </w:tc>
        <w:tc>
          <w:tcPr>
            <w:tcW w:w="3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13.11</w:t>
            </w:r>
          </w:p>
        </w:tc>
      </w:tr>
      <w:tr>
        <w:trPr>
          <w:trHeight w:val="352" w:hRule="exact"/>
        </w:trPr>
        <w:tc>
          <w:tcPr>
            <w:tcW w:w="35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上海虹桥国际医疗旅游服务有限公司</w:t>
            </w:r>
          </w:p>
        </w:tc>
        <w:tc>
          <w:tcPr>
            <w:tcW w:w="24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980,000.00</w:t>
            </w:r>
          </w:p>
        </w:tc>
        <w:tc>
          <w:tcPr>
            <w:tcW w:w="3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12.44</w:t>
            </w:r>
          </w:p>
        </w:tc>
      </w:tr>
      <w:tr>
        <w:trPr>
          <w:trHeight w:val="352" w:hRule="exact"/>
        </w:trPr>
        <w:tc>
          <w:tcPr>
            <w:tcW w:w="35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left"/>
              <w:rPr>
                <w:rFonts w:ascii="Times New Roman" w:hAnsi="Times New Roman" w:cs="Times New Roman" w:eastAsia="Times New Roman" w:hint="default"/>
                <w:sz w:val="18"/>
                <w:szCs w:val="18"/>
              </w:rPr>
            </w:pPr>
            <w:r>
              <w:rPr>
                <w:rFonts w:ascii="Times New Roman"/>
                <w:sz w:val="18"/>
              </w:rPr>
              <w:t>NewJ&amp;AInvestmentManagementCo.,Ltd</w:t>
            </w:r>
          </w:p>
        </w:tc>
        <w:tc>
          <w:tcPr>
            <w:tcW w:w="24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974,040.00</w:t>
            </w:r>
          </w:p>
        </w:tc>
        <w:tc>
          <w:tcPr>
            <w:tcW w:w="3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12.36</w:t>
            </w:r>
          </w:p>
        </w:tc>
      </w:tr>
      <w:tr>
        <w:trPr>
          <w:trHeight w:val="353" w:hRule="exact"/>
        </w:trPr>
        <w:tc>
          <w:tcPr>
            <w:tcW w:w="35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沈阳博晟峰商贸有限公司</w:t>
            </w:r>
          </w:p>
        </w:tc>
        <w:tc>
          <w:tcPr>
            <w:tcW w:w="24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626,500.00</w:t>
            </w:r>
          </w:p>
        </w:tc>
        <w:tc>
          <w:tcPr>
            <w:tcW w:w="3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7.95</w:t>
            </w:r>
          </w:p>
        </w:tc>
      </w:tr>
      <w:tr>
        <w:trPr>
          <w:trHeight w:val="353" w:hRule="exact"/>
        </w:trPr>
        <w:tc>
          <w:tcPr>
            <w:tcW w:w="3517"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4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4,714,749.60</w:t>
            </w:r>
            <w:r>
              <w:rPr>
                <w:rFonts w:ascii="Times New Roman"/>
                <w:spacing w:val="-1"/>
                <w:sz w:val="18"/>
              </w:rPr>
            </w:r>
          </w:p>
        </w:tc>
        <w:tc>
          <w:tcPr>
            <w:tcW w:w="3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b/>
                <w:sz w:val="18"/>
              </w:rPr>
              <w:t>59.85</w:t>
            </w:r>
            <w:r>
              <w:rPr>
                <w:rFonts w:ascii="Times New Roman"/>
                <w:sz w:val="18"/>
              </w:rPr>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7、应收利息" w:id="241"/>
      <w:bookmarkEnd w:id="241"/>
      <w:r>
        <w:rPr>
          <w:b w:val="0"/>
          <w:bCs w:val="0"/>
        </w:rPr>
      </w:r>
      <w:r>
        <w:rPr>
          <w:rFonts w:ascii="Times New Roman" w:hAnsi="Times New Roman" w:cs="Times New Roman" w:eastAsia="Times New Roman" w:hint="default"/>
        </w:rPr>
        <w:t>7</w:t>
      </w:r>
      <w:r>
        <w:rPr/>
        <w:t>、应收利息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8、应收股利" w:id="242"/>
      <w:bookmarkEnd w:id="242"/>
      <w:r>
        <w:rPr>
          <w:b w:val="0"/>
          <w:bCs w:val="0"/>
        </w:rPr>
      </w:r>
      <w:r>
        <w:rPr>
          <w:rFonts w:ascii="Times New Roman" w:hAnsi="Times New Roman" w:cs="Times New Roman" w:eastAsia="Times New Roman" w:hint="default"/>
        </w:rPr>
        <w:t>8</w:t>
      </w:r>
      <w:r>
        <w:rPr/>
        <w:t>、应收股利</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9、其他应收款" w:id="243"/>
      <w:bookmarkEnd w:id="243"/>
      <w:r>
        <w:rPr>
          <w:b w:val="0"/>
          <w:bCs w:val="0"/>
        </w:rPr>
      </w:r>
      <w:r>
        <w:rPr>
          <w:rFonts w:ascii="Times New Roman" w:hAnsi="Times New Roman" w:cs="Times New Roman" w:eastAsia="Times New Roman" w:hint="default"/>
        </w:rPr>
        <w:t>9</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244"/>
      <w:bookmarkEnd w:id="244"/>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472" w:type="dxa"/>
        <w:tblLayout w:type="fixed"/>
        <w:tblCellMar>
          <w:top w:w="0" w:type="dxa"/>
          <w:left w:w="0" w:type="dxa"/>
          <w:bottom w:w="0" w:type="dxa"/>
          <w:right w:w="0" w:type="dxa"/>
        </w:tblCellMar>
        <w:tblLook w:val="01E0"/>
      </w:tblPr>
      <w:tblGrid>
        <w:gridCol w:w="1383"/>
        <w:gridCol w:w="4821"/>
        <w:gridCol w:w="4746"/>
      </w:tblGrid>
      <w:tr>
        <w:trPr>
          <w:trHeight w:val="402" w:hRule="exact"/>
        </w:trPr>
        <w:tc>
          <w:tcPr>
            <w:tcW w:w="1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4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7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566" w:footer="979" w:top="1360" w:bottom="1160" w:left="0" w:right="0"/>
        </w:sectPr>
      </w:pPr>
    </w:p>
    <w:p>
      <w:pPr>
        <w:spacing w:line="240" w:lineRule="auto" w:before="6"/>
        <w:rPr>
          <w:rFonts w:ascii="宋体" w:hAnsi="宋体" w:cs="宋体" w:eastAsia="宋体" w:hint="default"/>
          <w:sz w:val="5"/>
          <w:szCs w:val="5"/>
        </w:rPr>
      </w:pPr>
    </w:p>
    <w:tbl>
      <w:tblPr>
        <w:tblW w:w="0" w:type="auto"/>
        <w:jc w:val="left"/>
        <w:tblInd w:w="472" w:type="dxa"/>
        <w:tblLayout w:type="fixed"/>
        <w:tblCellMar>
          <w:top w:w="0" w:type="dxa"/>
          <w:left w:w="0" w:type="dxa"/>
          <w:bottom w:w="0" w:type="dxa"/>
          <w:right w:w="0" w:type="dxa"/>
        </w:tblCellMar>
        <w:tblLook w:val="01E0"/>
      </w:tblPr>
      <w:tblGrid>
        <w:gridCol w:w="1372"/>
        <w:gridCol w:w="1146"/>
        <w:gridCol w:w="709"/>
        <w:gridCol w:w="1134"/>
        <w:gridCol w:w="710"/>
        <w:gridCol w:w="1134"/>
        <w:gridCol w:w="1134"/>
        <w:gridCol w:w="708"/>
        <w:gridCol w:w="1039"/>
        <w:gridCol w:w="662"/>
        <w:gridCol w:w="1203"/>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
        </w:tc>
        <w:tc>
          <w:tcPr>
            <w:tcW w:w="185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84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0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1" w:hRule="exact"/>
        </w:trPr>
        <w:tc>
          <w:tcPr>
            <w:tcW w:w="1372" w:type="dxa"/>
            <w:vMerge/>
            <w:tcBorders>
              <w:left w:val="single" w:sz="4" w:space="0" w:color="000000"/>
              <w:right w:val="single" w:sz="4" w:space="0" w:color="000000"/>
            </w:tcBorders>
            <w:shd w:val="clear" w:color="auto" w:fill="D2D2D2"/>
          </w:tcPr>
          <w:p>
            <w:pPr/>
          </w:p>
        </w:tc>
        <w:tc>
          <w:tcPr>
            <w:tcW w:w="114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59" w:right="78"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0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9"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35" w:right="5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2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3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1" w:hRule="exact"/>
        </w:trPr>
        <w:tc>
          <w:tcPr>
            <w:tcW w:w="1372" w:type="dxa"/>
            <w:vMerge/>
            <w:tcBorders>
              <w:left w:val="single" w:sz="4" w:space="0" w:color="000000"/>
              <w:right w:val="single" w:sz="4" w:space="0" w:color="000000"/>
            </w:tcBorders>
            <w:shd w:val="clear" w:color="auto" w:fill="D2D2D2"/>
          </w:tcPr>
          <w:p>
            <w:pPr/>
          </w:p>
        </w:tc>
        <w:tc>
          <w:tcPr>
            <w:tcW w:w="11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10"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3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62" w:type="dxa"/>
            <w:vMerge/>
            <w:tcBorders>
              <w:left w:val="single" w:sz="4" w:space="0" w:color="000000"/>
              <w:right w:val="single" w:sz="4" w:space="0" w:color="000000"/>
            </w:tcBorders>
            <w:shd w:val="clear" w:color="auto" w:fill="D2D2D2"/>
          </w:tcPr>
          <w:p>
            <w:pPr/>
          </w:p>
        </w:tc>
        <w:tc>
          <w:tcPr>
            <w:tcW w:w="1203"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72" w:type="dxa"/>
            <w:vMerge/>
            <w:tcBorders>
              <w:left w:val="single" w:sz="4" w:space="0" w:color="000000"/>
              <w:right w:val="single" w:sz="4" w:space="0" w:color="000000"/>
            </w:tcBorders>
            <w:shd w:val="clear" w:color="auto" w:fill="D2D2D2"/>
          </w:tcPr>
          <w:p>
            <w:pPr/>
          </w:p>
        </w:tc>
        <w:tc>
          <w:tcPr>
            <w:tcW w:w="1146" w:type="dxa"/>
            <w:vMerge/>
            <w:tcBorders>
              <w:left w:val="single" w:sz="4" w:space="0" w:color="000000"/>
              <w:bottom w:val="nil" w:sz="6" w:space="0" w:color="auto"/>
              <w:right w:val="single" w:sz="4" w:space="0" w:color="000000"/>
            </w:tcBorders>
            <w:shd w:val="clear" w:color="auto" w:fill="D2D2D2"/>
          </w:tcPr>
          <w:p>
            <w:pPr/>
          </w:p>
        </w:tc>
        <w:tc>
          <w:tcPr>
            <w:tcW w:w="709"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1039"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120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146"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9"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vMerge/>
            <w:tcBorders>
              <w:left w:val="single" w:sz="4" w:space="0" w:color="000000"/>
              <w:bottom w:val="single" w:sz="4" w:space="0" w:color="000000"/>
              <w:right w:val="single" w:sz="4" w:space="0" w:color="000000"/>
            </w:tcBorders>
            <w:shd w:val="clear" w:color="auto" w:fill="D2D2D2"/>
          </w:tcPr>
          <w:p>
            <w:pPr/>
          </w:p>
        </w:tc>
        <w:tc>
          <w:tcPr>
            <w:tcW w:w="1203"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76"/>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备的其他应收款</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14,076,992.19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2,705,418.61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19.22%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11,371,573.58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6" w:right="0"/>
              <w:jc w:val="left"/>
              <w:rPr>
                <w:rFonts w:ascii="Times New Roman" w:hAnsi="Times New Roman" w:cs="Times New Roman" w:eastAsia="Times New Roman" w:hint="default"/>
                <w:sz w:val="18"/>
                <w:szCs w:val="18"/>
              </w:rPr>
            </w:pPr>
            <w:r>
              <w:rPr>
                <w:rFonts w:ascii="Times New Roman"/>
                <w:sz w:val="18"/>
              </w:rPr>
              <w:t>19,300,971.25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100.00%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2,593,845.88</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13.44%</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16,707,125.37</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14,076,992.19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2,705,418.61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19.22%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11,371,573.58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 w:right="0"/>
              <w:jc w:val="left"/>
              <w:rPr>
                <w:rFonts w:ascii="Times New Roman" w:hAnsi="Times New Roman" w:cs="Times New Roman" w:eastAsia="Times New Roman" w:hint="default"/>
                <w:sz w:val="18"/>
                <w:szCs w:val="18"/>
              </w:rPr>
            </w:pPr>
            <w:r>
              <w:rPr>
                <w:rFonts w:ascii="Times New Roman"/>
                <w:sz w:val="18"/>
              </w:rPr>
              <w:t>19,300,971.25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100.00%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2,593,845.88</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13.44%</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16,707,125.37</w:t>
            </w:r>
          </w:p>
        </w:tc>
      </w:tr>
    </w:tbl>
    <w:p>
      <w:pPr>
        <w:spacing w:after="0" w:line="240" w:lineRule="auto"/>
        <w:jc w:val="right"/>
        <w:rPr>
          <w:rFonts w:ascii="Times New Roman" w:hAnsi="Times New Roman" w:cs="Times New Roman" w:eastAsia="Times New Roman" w:hint="default"/>
          <w:sz w:val="18"/>
          <w:szCs w:val="18"/>
        </w:rPr>
        <w:sectPr>
          <w:pgSz w:w="11910" w:h="16840"/>
          <w:pgMar w:header="566" w:footer="979" w:top="1360" w:bottom="1160" w:left="0" w:right="0"/>
        </w:sectPr>
      </w:pPr>
    </w:p>
    <w:p>
      <w:pPr>
        <w:pStyle w:val="BodyText"/>
        <w:spacing w:line="240" w:lineRule="auto" w:before="51"/>
        <w:ind w:right="-20"/>
        <w:jc w:val="left"/>
      </w:pPr>
      <w:r>
        <w:rPr/>
        <w:t>期末单项金额重大并单项计提坏账准备的其他应收款：</w:t>
      </w:r>
    </w:p>
    <w:p>
      <w:pPr>
        <w:pStyle w:val="BodyText"/>
        <w:spacing w:line="338" w:lineRule="auto" w:before="117"/>
        <w:ind w:left="1133"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455" w:space="3375"/>
            <w:col w:w="3080"/>
          </w:cols>
        </w:sectPr>
      </w:pPr>
    </w:p>
    <w:p>
      <w:pPr>
        <w:spacing w:line="240" w:lineRule="auto" w:before="0"/>
        <w:rPr>
          <w:rFonts w:ascii="宋体" w:hAnsi="宋体" w:cs="宋体" w:eastAsia="宋体" w:hint="default"/>
          <w:sz w:val="8"/>
          <w:szCs w:val="8"/>
        </w:rPr>
      </w:pPr>
    </w:p>
    <w:tbl>
      <w:tblPr>
        <w:tblW w:w="0" w:type="auto"/>
        <w:jc w:val="left"/>
        <w:tblInd w:w="1164" w:type="dxa"/>
        <w:tblLayout w:type="fixed"/>
        <w:tblCellMar>
          <w:top w:w="0" w:type="dxa"/>
          <w:left w:w="0" w:type="dxa"/>
          <w:bottom w:w="0" w:type="dxa"/>
          <w:right w:w="0" w:type="dxa"/>
        </w:tblCellMar>
        <w:tblLook w:val="01E0"/>
      </w:tblPr>
      <w:tblGrid>
        <w:gridCol w:w="2392"/>
        <w:gridCol w:w="2393"/>
        <w:gridCol w:w="2392"/>
        <w:gridCol w:w="2393"/>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8,537,632.21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170,752.65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8,537,632.21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170,752.65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2,593,168.12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129,658.40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382,091.86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114,627.56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2,564,100.00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2,290,380.00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89.32%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1,361,100.00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1,088,880.00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14,076,992.19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2,705,418.61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19.22%</w:t>
            </w:r>
          </w:p>
        </w:tc>
      </w:tr>
    </w:tbl>
    <w:p>
      <w:pPr>
        <w:pStyle w:val="BodyText"/>
        <w:spacing w:line="357" w:lineRule="auto" w:before="51"/>
        <w:ind w:right="6252"/>
        <w:jc w:val="left"/>
      </w:pPr>
      <w:r>
        <w:rPr/>
        <w:t>确定该组合依据的说明： 组合中，采用余额百分比法计提坏账准备的其他应收款：</w:t>
      </w:r>
    </w:p>
    <w:p>
      <w:pPr>
        <w:pStyle w:val="BodyText"/>
        <w:spacing w:line="338" w:lineRule="auto" w:before="29"/>
        <w:ind w:left="1133"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133" w:right="0"/>
        <w:jc w:val="left"/>
        <w:rPr>
          <w:b w:val="0"/>
          <w:bCs w:val="0"/>
        </w:rPr>
      </w:pPr>
      <w:bookmarkStart w:name="（2）本期计提、收回或转回的坏账准备情况" w:id="245"/>
      <w:bookmarkEnd w:id="245"/>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本期计提坏账准备金额</w:t>
      </w:r>
      <w:r>
        <w:rPr>
          <w:spacing w:val="-46"/>
        </w:rPr>
        <w:t> </w:t>
      </w:r>
      <w:r>
        <w:rPr>
          <w:rFonts w:ascii="Times New Roman" w:hAnsi="Times New Roman" w:cs="Times New Roman" w:eastAsia="Times New Roman" w:hint="default"/>
        </w:rPr>
        <w:t>90,771.36</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1"/>
        <w:rPr>
          <w:rFonts w:ascii="宋体" w:hAnsi="宋体" w:cs="宋体" w:eastAsia="宋体" w:hint="default"/>
          <w:sz w:val="25"/>
          <w:szCs w:val="25"/>
        </w:rPr>
      </w:pPr>
    </w:p>
    <w:p>
      <w:pPr>
        <w:pStyle w:val="Heading3"/>
        <w:spacing w:line="240" w:lineRule="auto"/>
        <w:ind w:left="1133" w:right="0"/>
        <w:jc w:val="left"/>
        <w:rPr>
          <w:b w:val="0"/>
          <w:bCs w:val="0"/>
        </w:rPr>
      </w:pPr>
      <w:bookmarkStart w:name="（3）本期实际核销的其他应收款情况" w:id="246"/>
      <w:bookmarkEnd w:id="246"/>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0"/>
        <w:jc w:val="left"/>
      </w:pPr>
      <w:r>
        <w:rPr/>
        <w:t>无</w:t>
      </w:r>
    </w:p>
    <w:p>
      <w:pPr>
        <w:spacing w:after="0" w:line="240" w:lineRule="auto"/>
        <w:jc w:val="left"/>
        <w:sectPr>
          <w:type w:val="continuous"/>
          <w:pgSz w:w="11910" w:h="16840"/>
          <w:pgMar w:top="1060" w:bottom="1160" w:left="0" w:right="0"/>
        </w:sectPr>
      </w:pPr>
    </w:p>
    <w:p>
      <w:pPr>
        <w:pStyle w:val="Heading3"/>
        <w:spacing w:line="240" w:lineRule="auto" w:before="57"/>
        <w:ind w:right="0"/>
        <w:jc w:val="left"/>
        <w:rPr>
          <w:b w:val="0"/>
          <w:bCs w:val="0"/>
        </w:rPr>
      </w:pPr>
      <w:bookmarkStart w:name="（4）其他应收款按款项性质分类情况" w:id="247"/>
      <w:bookmarkEnd w:id="247"/>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62" w:type="dxa"/>
        <w:tblLayout w:type="fixed"/>
        <w:tblCellMar>
          <w:top w:w="0" w:type="dxa"/>
          <w:left w:w="0" w:type="dxa"/>
          <w:bottom w:w="0" w:type="dxa"/>
          <w:right w:w="0" w:type="dxa"/>
        </w:tblCellMar>
        <w:tblLook w:val="01E0"/>
      </w:tblPr>
      <w:tblGrid>
        <w:gridCol w:w="3188"/>
        <w:gridCol w:w="3191"/>
        <w:gridCol w:w="3192"/>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1,178,632.67</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1,288,418.51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保证金、抵押金等</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10,754,652.77</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11,503,849.15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代垫及代付款项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1,773,140.66</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1,733,614.34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有息信用借款本息</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292,212.00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4,678,263.09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64,500.00</w:t>
            </w:r>
          </w:p>
        </w:tc>
        <w:tc>
          <w:tcPr>
            <w:tcW w:w="31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13,854.09</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96,826.16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14,076,992.19</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19,300,971.25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按欠款方归集的期末余额前五名的其他应收款情况" w:id="248"/>
      <w:bookmarkEnd w:id="248"/>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35" w:type="dxa"/>
        <w:tblLayout w:type="fixed"/>
        <w:tblCellMar>
          <w:top w:w="0" w:type="dxa"/>
          <w:left w:w="0" w:type="dxa"/>
          <w:bottom w:w="0" w:type="dxa"/>
          <w:right w:w="0" w:type="dxa"/>
        </w:tblCellMar>
        <w:tblLook w:val="01E0"/>
      </w:tblPr>
      <w:tblGrid>
        <w:gridCol w:w="3404"/>
        <w:gridCol w:w="1986"/>
        <w:gridCol w:w="1274"/>
        <w:gridCol w:w="2410"/>
        <w:gridCol w:w="1277"/>
        <w:gridCol w:w="1276"/>
      </w:tblGrid>
      <w:tr>
        <w:trPr>
          <w:trHeight w:val="1026"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37"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3" w:right="91"/>
              <w:jc w:val="center"/>
              <w:rPr>
                <w:rFonts w:ascii="宋体" w:hAnsi="宋体" w:cs="宋体" w:eastAsia="宋体" w:hint="default"/>
                <w:sz w:val="18"/>
                <w:szCs w:val="18"/>
              </w:rPr>
            </w:pPr>
            <w:r>
              <w:rPr>
                <w:rFonts w:ascii="宋体" w:hAnsi="宋体" w:cs="宋体" w:eastAsia="宋体" w:hint="default"/>
                <w:sz w:val="18"/>
                <w:szCs w:val="18"/>
              </w:rPr>
              <w:t>占其他应收款 期末余额合计 数的比例</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52" w:right="93" w:hanging="360"/>
              <w:jc w:val="left"/>
              <w:rPr>
                <w:rFonts w:ascii="宋体" w:hAnsi="宋体" w:cs="宋体" w:eastAsia="宋体" w:hint="default"/>
                <w:sz w:val="18"/>
                <w:szCs w:val="18"/>
              </w:rPr>
            </w:pPr>
            <w:r>
              <w:rPr>
                <w:rFonts w:ascii="宋体" w:hAnsi="宋体" w:cs="宋体" w:eastAsia="宋体" w:hint="default"/>
                <w:sz w:val="18"/>
                <w:szCs w:val="18"/>
              </w:rPr>
              <w:t>坏账准备期末 余额</w:t>
            </w:r>
          </w:p>
        </w:tc>
      </w:tr>
      <w:tr>
        <w:trPr>
          <w:trHeight w:val="40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中国刑事警察学院</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1,451,054.19</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85,435.25</w:t>
            </w:r>
          </w:p>
        </w:tc>
      </w:tr>
      <w:tr>
        <w:trPr>
          <w:trHeight w:val="40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辽宁东方瑞德建筑装饰工程有限公司</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垫付款</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w:t>
            </w:r>
          </w:p>
        </w:tc>
      </w:tr>
      <w:tr>
        <w:trPr>
          <w:trHeight w:val="40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沈阳市苏家屯区公共资源交易中心</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5"/>
                <w:sz w:val="18"/>
                <w:szCs w:val="18"/>
              </w:rPr>
              <w:t>投标保证金、履约保证金</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1,123,000.00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22,460.00</w:t>
            </w:r>
          </w:p>
        </w:tc>
      </w:tr>
      <w:tr>
        <w:trPr>
          <w:trHeight w:val="40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德惠市教育技术服务中心</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742,000.00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14,840.00</w:t>
            </w:r>
          </w:p>
        </w:tc>
      </w:tr>
      <w:tr>
        <w:trPr>
          <w:trHeight w:val="40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辽宁轨道交通职业学院</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670,000.00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536,000.00</w:t>
            </w:r>
          </w:p>
        </w:tc>
      </w:tr>
      <w:tr>
        <w:trPr>
          <w:trHeight w:val="402"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5,186,054.19</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36.84%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1,858,735.25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涉及政府补助的应收款项" w:id="249"/>
      <w:bookmarkEnd w:id="249"/>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7）因金融资产转移而终止确认的其他应收款" w:id="250"/>
      <w:bookmarkEnd w:id="250"/>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8）转移其他应收款且继续涉入形成的资产、负债金额" w:id="251"/>
      <w:bookmarkEnd w:id="251"/>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0"/>
        <w:jc w:val="left"/>
      </w:pPr>
      <w:r>
        <w:rPr/>
        <w:t>无</w:t>
      </w:r>
    </w:p>
    <w:p>
      <w:pPr>
        <w:spacing w:after="0" w:line="240" w:lineRule="auto"/>
        <w:jc w:val="left"/>
        <w:sectPr>
          <w:pgSz w:w="11910" w:h="16840"/>
          <w:pgMar w:header="566" w:footer="979" w:top="1360" w:bottom="1160" w:left="0" w:right="0"/>
        </w:sectPr>
      </w:pPr>
    </w:p>
    <w:p>
      <w:pPr>
        <w:pStyle w:val="Heading3"/>
        <w:spacing w:line="240" w:lineRule="auto" w:before="57"/>
        <w:ind w:right="0"/>
        <w:jc w:val="left"/>
        <w:rPr>
          <w:b w:val="0"/>
          <w:bCs w:val="0"/>
        </w:rPr>
      </w:pPr>
      <w:bookmarkStart w:name="10、存货" w:id="252"/>
      <w:bookmarkEnd w:id="252"/>
      <w:r>
        <w:rPr>
          <w:b w:val="0"/>
          <w:bCs w:val="0"/>
        </w:rPr>
      </w:r>
      <w:r>
        <w:rPr>
          <w:rFonts w:ascii="Times New Roman" w:hAnsi="Times New Roman" w:cs="Times New Roman" w:eastAsia="Times New Roman" w:hint="default"/>
        </w:rPr>
        <w:t>10</w:t>
      </w:r>
      <w:r>
        <w:rPr/>
        <w:t>、存货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存货分类" w:id="253"/>
      <w:bookmarkEnd w:id="253"/>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62" w:type="dxa"/>
        <w:tblLayout w:type="fixed"/>
        <w:tblCellMar>
          <w:top w:w="0" w:type="dxa"/>
          <w:left w:w="0" w:type="dxa"/>
          <w:bottom w:w="0" w:type="dxa"/>
          <w:right w:w="0" w:type="dxa"/>
        </w:tblCellMar>
        <w:tblLook w:val="01E0"/>
      </w:tblPr>
      <w:tblGrid>
        <w:gridCol w:w="1368"/>
        <w:gridCol w:w="1369"/>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9D9D9"/>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5,351,995.15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5,351,995.15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5,332,452.11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5,332,452.11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17,413.15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17,413.15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51,429.85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51,429.85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开发成本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42,239,635.28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42,239,635.28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35,911,385.51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35,911,385.51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47,609,043.58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47,609,043.58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41,295,267.47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41,295,267.47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存货跌价准备" w:id="254"/>
      <w:bookmarkEnd w:id="254"/>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本公司期末各项存货均不存在减值因素，故未计提存货跌价准备。</w:t>
      </w:r>
    </w:p>
    <w:p>
      <w:pPr>
        <w:spacing w:line="240" w:lineRule="auto" w:before="12"/>
        <w:rPr>
          <w:rFonts w:ascii="宋体" w:hAnsi="宋体" w:cs="宋体" w:eastAsia="宋体" w:hint="default"/>
          <w:sz w:val="26"/>
          <w:szCs w:val="26"/>
        </w:rPr>
      </w:pPr>
    </w:p>
    <w:p>
      <w:pPr>
        <w:pStyle w:val="Heading3"/>
        <w:spacing w:line="240" w:lineRule="auto"/>
        <w:ind w:left="1133" w:right="0"/>
        <w:jc w:val="left"/>
        <w:rPr>
          <w:b w:val="0"/>
          <w:bCs w:val="0"/>
        </w:rPr>
      </w:pPr>
      <w:bookmarkStart w:name="（3）存货期末余额含有借款费用资本化金额的说明" w:id="255"/>
      <w:bookmarkEnd w:id="255"/>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0"/>
        <w:jc w:val="left"/>
      </w:pPr>
      <w:r>
        <w:rPr/>
        <w:t>本公司期末存货余额中无借款费用资本化金额。</w:t>
      </w:r>
    </w:p>
    <w:p>
      <w:pPr>
        <w:spacing w:line="240" w:lineRule="auto" w:before="12"/>
        <w:rPr>
          <w:rFonts w:ascii="宋体" w:hAnsi="宋体" w:cs="宋体" w:eastAsia="宋体" w:hint="default"/>
          <w:sz w:val="26"/>
          <w:szCs w:val="26"/>
        </w:rPr>
      </w:pPr>
    </w:p>
    <w:p>
      <w:pPr>
        <w:pStyle w:val="Heading3"/>
        <w:spacing w:line="240" w:lineRule="auto"/>
        <w:ind w:left="1133" w:right="0"/>
        <w:jc w:val="left"/>
        <w:rPr>
          <w:b w:val="0"/>
          <w:bCs w:val="0"/>
        </w:rPr>
      </w:pPr>
      <w:bookmarkStart w:name="（4）期末建造合同形成的已完工未结算资产情况" w:id="256"/>
      <w:bookmarkEnd w:id="256"/>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11、划分为持有待售的资产" w:id="257"/>
      <w:bookmarkEnd w:id="257"/>
      <w:r>
        <w:rPr>
          <w:b w:val="0"/>
          <w:bCs w:val="0"/>
        </w:rPr>
      </w:r>
      <w:r>
        <w:rPr>
          <w:rFonts w:ascii="Times New Roman" w:hAnsi="Times New Roman" w:cs="Times New Roman" w:eastAsia="Times New Roman" w:hint="default"/>
        </w:rPr>
        <w:t>11</w:t>
      </w:r>
      <w:r>
        <w:rPr/>
        <w:t>、划分为持有待售的资产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12、一年内到期的非流动资产" w:id="258"/>
      <w:bookmarkEnd w:id="258"/>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13、其他流动资产" w:id="259"/>
      <w:bookmarkEnd w:id="259"/>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62" w:type="dxa"/>
        <w:tblLayout w:type="fixed"/>
        <w:tblCellMar>
          <w:top w:w="0" w:type="dxa"/>
          <w:left w:w="0" w:type="dxa"/>
          <w:bottom w:w="0" w:type="dxa"/>
          <w:right w:w="0" w:type="dxa"/>
        </w:tblCellMar>
        <w:tblLook w:val="01E0"/>
      </w:tblPr>
      <w:tblGrid>
        <w:gridCol w:w="3188"/>
        <w:gridCol w:w="3191"/>
        <w:gridCol w:w="3192"/>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406"/>
              <w:jc w:val="right"/>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353"/>
              <w:jc w:val="right"/>
              <w:rPr>
                <w:rFonts w:ascii="宋体" w:hAnsi="宋体" w:cs="宋体" w:eastAsia="宋体" w:hint="default"/>
                <w:sz w:val="18"/>
                <w:szCs w:val="18"/>
              </w:rPr>
            </w:pPr>
            <w:r>
              <w:rPr>
                <w:rFonts w:ascii="宋体" w:hAnsi="宋体" w:cs="宋体" w:eastAsia="宋体" w:hint="default"/>
                <w:sz w:val="18"/>
                <w:szCs w:val="18"/>
              </w:rPr>
              <w:t>留抵税额及预缴税款等</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1,245,545.32</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1,540,215.17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406"/>
              <w:jc w:val="righ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1,245,545.32</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1,540,215.17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4、可供出售金融资产" w:id="260"/>
      <w:bookmarkEnd w:id="260"/>
      <w:r>
        <w:rPr>
          <w:b w:val="0"/>
          <w:bCs w:val="0"/>
        </w:rPr>
      </w:r>
      <w:r>
        <w:rPr>
          <w:rFonts w:ascii="Times New Roman" w:hAnsi="Times New Roman" w:cs="Times New Roman" w:eastAsia="Times New Roman" w:hint="default"/>
        </w:rPr>
        <w:t>14</w:t>
      </w:r>
      <w:r>
        <w:rPr/>
        <w:t>、可供出售金融资产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footerReference w:type="default" r:id="rId37"/>
          <w:pgSz w:w="11910" w:h="16840"/>
          <w:pgMar w:footer="979" w:header="566" w:top="1360" w:bottom="1160" w:left="0" w:right="0"/>
        </w:sectPr>
      </w:pPr>
    </w:p>
    <w:p>
      <w:pPr>
        <w:pStyle w:val="Heading3"/>
        <w:spacing w:line="240" w:lineRule="auto" w:before="57"/>
        <w:ind w:right="0"/>
        <w:jc w:val="left"/>
        <w:rPr>
          <w:b w:val="0"/>
          <w:bCs w:val="0"/>
        </w:rPr>
      </w:pPr>
      <w:bookmarkStart w:name="15、持有至到期投资" w:id="261"/>
      <w:bookmarkEnd w:id="261"/>
      <w:r>
        <w:rPr>
          <w:b w:val="0"/>
          <w:bCs w:val="0"/>
        </w:rPr>
      </w:r>
      <w:r>
        <w:rPr>
          <w:rFonts w:ascii="Times New Roman" w:hAnsi="Times New Roman" w:cs="Times New Roman" w:eastAsia="Times New Roman" w:hint="default"/>
        </w:rPr>
        <w:t>15</w:t>
      </w:r>
      <w:r>
        <w:rPr/>
        <w:t>、持有至到期投资</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16、长期应收款" w:id="262"/>
      <w:bookmarkEnd w:id="262"/>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17、长期股权投资" w:id="263"/>
      <w:bookmarkEnd w:id="263"/>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18、投资性房地产" w:id="264"/>
      <w:bookmarkEnd w:id="264"/>
      <w:r>
        <w:rPr>
          <w:b w:val="0"/>
          <w:bCs w:val="0"/>
        </w:rPr>
      </w:r>
      <w:r>
        <w:rPr>
          <w:rFonts w:ascii="Times New Roman" w:hAnsi="Times New Roman" w:cs="Times New Roman" w:eastAsia="Times New Roman" w:hint="default"/>
        </w:rPr>
        <w:t>18</w:t>
      </w:r>
      <w:r>
        <w:rPr/>
        <w:t>、投资性房地产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19、固定资产" w:id="265"/>
      <w:bookmarkEnd w:id="265"/>
      <w:r>
        <w:rPr>
          <w:b w:val="0"/>
          <w:bCs w:val="0"/>
        </w:rPr>
      </w:r>
      <w:r>
        <w:rPr>
          <w:rFonts w:ascii="Times New Roman" w:hAnsi="Times New Roman" w:cs="Times New Roman" w:eastAsia="Times New Roman" w:hint="default"/>
        </w:rPr>
        <w:t>19</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固定资产情况" w:id="266"/>
      <w:bookmarkEnd w:id="266"/>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678" w:type="dxa"/>
        <w:tblLayout w:type="fixed"/>
        <w:tblCellMar>
          <w:top w:w="0" w:type="dxa"/>
          <w:left w:w="0" w:type="dxa"/>
          <w:bottom w:w="0" w:type="dxa"/>
          <w:right w:w="0" w:type="dxa"/>
        </w:tblCellMar>
        <w:tblLook w:val="01E0"/>
      </w:tblPr>
      <w:tblGrid>
        <w:gridCol w:w="2337"/>
        <w:gridCol w:w="1379"/>
        <w:gridCol w:w="1367"/>
        <w:gridCol w:w="1367"/>
        <w:gridCol w:w="1367"/>
        <w:gridCol w:w="1368"/>
        <w:gridCol w:w="1367"/>
      </w:tblGrid>
      <w:tr>
        <w:trPr>
          <w:trHeight w:val="402" w:hRule="exact"/>
        </w:trPr>
        <w:tc>
          <w:tcPr>
            <w:tcW w:w="23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0"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3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9" w:type="dxa"/>
            <w:tcBorders>
              <w:top w:val="single" w:sz="4" w:space="0" w:color="000000"/>
              <w:left w:val="single" w:sz="13" w:space="0" w:color="D9D9D9"/>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49,605,499.08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1,216,615.41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42,259,366.32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4,971,468.00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3,680,079.78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101,733,028.59</w:t>
            </w:r>
          </w:p>
        </w:tc>
      </w:tr>
      <w:tr>
        <w:trPr>
          <w:trHeight w:val="402" w:hRule="exact"/>
        </w:trPr>
        <w:tc>
          <w:tcPr>
            <w:tcW w:w="23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79" w:type="dxa"/>
            <w:tcBorders>
              <w:top w:val="single" w:sz="4" w:space="0" w:color="000000"/>
              <w:left w:val="single" w:sz="13" w:space="0" w:color="D9D9D9"/>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2,587,067.17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910,196.58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180,882.13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3,678,145.88</w:t>
            </w:r>
          </w:p>
        </w:tc>
      </w:tr>
      <w:tr>
        <w:trPr>
          <w:trHeight w:val="402" w:hRule="exact"/>
        </w:trPr>
        <w:tc>
          <w:tcPr>
            <w:tcW w:w="23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79" w:type="dxa"/>
            <w:tcBorders>
              <w:top w:val="single" w:sz="4" w:space="0" w:color="000000"/>
              <w:left w:val="single" w:sz="13" w:space="0" w:color="D9D9D9"/>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1,695,569.97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910,196.58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81,540.25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2,687,306.80</w:t>
            </w:r>
          </w:p>
        </w:tc>
      </w:tr>
      <w:tr>
        <w:trPr>
          <w:trHeight w:val="402" w:hRule="exact"/>
        </w:trPr>
        <w:tc>
          <w:tcPr>
            <w:tcW w:w="23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379" w:type="dxa"/>
            <w:tcBorders>
              <w:top w:val="single" w:sz="4" w:space="0" w:color="000000"/>
              <w:left w:val="single" w:sz="13" w:space="0" w:color="D9D9D9"/>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379" w:type="dxa"/>
            <w:tcBorders>
              <w:top w:val="single" w:sz="4" w:space="0" w:color="000000"/>
              <w:left w:val="single" w:sz="13" w:space="0" w:color="D9D9D9"/>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891,497.20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99,341.88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990,839.08</w:t>
            </w:r>
          </w:p>
        </w:tc>
      </w:tr>
      <w:tr>
        <w:trPr>
          <w:trHeight w:val="402" w:hRule="exact"/>
        </w:trPr>
        <w:tc>
          <w:tcPr>
            <w:tcW w:w="23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14,749,854.00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257,428.32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883,572.00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15,890,854.32</w:t>
            </w:r>
          </w:p>
        </w:tc>
      </w:tr>
      <w:tr>
        <w:trPr>
          <w:trHeight w:val="402" w:hRule="exact"/>
        </w:trPr>
        <w:tc>
          <w:tcPr>
            <w:tcW w:w="23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379" w:type="dxa"/>
            <w:tcBorders>
              <w:top w:val="single" w:sz="4" w:space="0" w:color="000000"/>
              <w:left w:val="single" w:sz="13" w:space="0" w:color="D9D9D9"/>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257,428.32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883,572.00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1,141,000.32</w:t>
            </w:r>
          </w:p>
        </w:tc>
      </w:tr>
      <w:tr>
        <w:trPr>
          <w:trHeight w:val="402" w:hRule="exact"/>
        </w:trPr>
        <w:tc>
          <w:tcPr>
            <w:tcW w:w="23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）转出至在建工程</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14,749,854.00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14,749,854.00</w:t>
            </w:r>
          </w:p>
        </w:tc>
      </w:tr>
      <w:tr>
        <w:trPr>
          <w:trHeight w:val="402" w:hRule="exact"/>
        </w:trPr>
        <w:tc>
          <w:tcPr>
            <w:tcW w:w="23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34,855,645.08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1,216,615.41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44,589,005.17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4,998,092.58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3,860,961.91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89,520,320.15</w:t>
            </w:r>
          </w:p>
        </w:tc>
      </w:tr>
      <w:tr>
        <w:trPr>
          <w:trHeight w:val="402" w:hRule="exact"/>
        </w:trPr>
        <w:tc>
          <w:tcPr>
            <w:tcW w:w="23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79" w:type="dxa"/>
            <w:tcBorders>
              <w:top w:val="single" w:sz="4" w:space="0" w:color="000000"/>
              <w:left w:val="single" w:sz="13" w:space="0" w:color="D9D9D9"/>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3,197,060.76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434,657.92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7,262,138.04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2,596,243.67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703,707.78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14,193,808.17</w:t>
            </w:r>
          </w:p>
        </w:tc>
      </w:tr>
      <w:tr>
        <w:trPr>
          <w:trHeight w:val="402" w:hRule="exact"/>
        </w:trPr>
        <w:tc>
          <w:tcPr>
            <w:tcW w:w="23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1,109,547.55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115,335.12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6,583,864.40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1,129,033.73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740,338.34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9,678,119.14</w:t>
            </w:r>
          </w:p>
        </w:tc>
      </w:tr>
      <w:tr>
        <w:trPr>
          <w:trHeight w:val="402" w:hRule="exact"/>
        </w:trPr>
        <w:tc>
          <w:tcPr>
            <w:tcW w:w="23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1,109,547.55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115,335.12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6,201,841.46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1,129,033.73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720,300.85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9,276,058.71</w:t>
            </w:r>
          </w:p>
        </w:tc>
      </w:tr>
      <w:tr>
        <w:trPr>
          <w:trHeight w:val="402" w:hRule="exact"/>
        </w:trPr>
        <w:tc>
          <w:tcPr>
            <w:tcW w:w="23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）企业合并增加</w:t>
            </w:r>
          </w:p>
        </w:tc>
        <w:tc>
          <w:tcPr>
            <w:tcW w:w="1379" w:type="dxa"/>
            <w:tcBorders>
              <w:top w:val="single" w:sz="4" w:space="0" w:color="000000"/>
              <w:left w:val="single" w:sz="13" w:space="0" w:color="D9D9D9"/>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382,022.94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20,037.49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402,060.43</w:t>
            </w:r>
          </w:p>
        </w:tc>
      </w:tr>
      <w:tr>
        <w:trPr>
          <w:trHeight w:val="402" w:hRule="exact"/>
        </w:trPr>
        <w:tc>
          <w:tcPr>
            <w:tcW w:w="23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340,721.60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233,885.63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749,956.51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1,324,563.74</w:t>
            </w:r>
          </w:p>
        </w:tc>
      </w:tr>
      <w:tr>
        <w:trPr>
          <w:trHeight w:val="402" w:hRule="exact"/>
        </w:trPr>
        <w:tc>
          <w:tcPr>
            <w:tcW w:w="23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379" w:type="dxa"/>
            <w:tcBorders>
              <w:top w:val="single" w:sz="4" w:space="0" w:color="000000"/>
              <w:left w:val="single" w:sz="13" w:space="0" w:color="D9D9D9"/>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233,885.63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749,956.51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983,842.14</w:t>
            </w:r>
          </w:p>
        </w:tc>
      </w:tr>
    </w:tbl>
    <w:p>
      <w:pPr>
        <w:spacing w:after="0" w:line="240" w:lineRule="auto"/>
        <w:jc w:val="right"/>
        <w:rPr>
          <w:rFonts w:ascii="Times New Roman" w:hAnsi="Times New Roman" w:cs="Times New Roman" w:eastAsia="Times New Roman" w:hint="default"/>
          <w:sz w:val="18"/>
          <w:szCs w:val="18"/>
        </w:rPr>
        <w:sectPr>
          <w:footerReference w:type="default" r:id="rId38"/>
          <w:pgSz w:w="11910" w:h="16840"/>
          <w:pgMar w:footer="979" w:header="566" w:top="1360" w:bottom="1160" w:left="0" w:right="0"/>
          <w:pgNumType w:start="101"/>
        </w:sectPr>
      </w:pPr>
    </w:p>
    <w:p>
      <w:pPr>
        <w:spacing w:line="240" w:lineRule="auto" w:before="6"/>
        <w:rPr>
          <w:rFonts w:ascii="宋体" w:hAnsi="宋体" w:cs="宋体" w:eastAsia="宋体" w:hint="default"/>
          <w:sz w:val="5"/>
          <w:szCs w:val="5"/>
        </w:rPr>
      </w:pPr>
    </w:p>
    <w:tbl>
      <w:tblPr>
        <w:tblW w:w="0" w:type="auto"/>
        <w:jc w:val="left"/>
        <w:tblInd w:w="667" w:type="dxa"/>
        <w:tblLayout w:type="fixed"/>
        <w:tblCellMar>
          <w:top w:w="0" w:type="dxa"/>
          <w:left w:w="0" w:type="dxa"/>
          <w:bottom w:w="0" w:type="dxa"/>
          <w:right w:w="0" w:type="dxa"/>
        </w:tblCellMar>
        <w:tblLook w:val="01E0"/>
      </w:tblPr>
      <w:tblGrid>
        <w:gridCol w:w="2360"/>
        <w:gridCol w:w="1367"/>
        <w:gridCol w:w="1367"/>
        <w:gridCol w:w="1367"/>
        <w:gridCol w:w="1367"/>
        <w:gridCol w:w="1368"/>
        <w:gridCol w:w="1367"/>
      </w:tblGrid>
      <w:tr>
        <w:trPr>
          <w:trHeight w:val="402" w:hRule="exact"/>
        </w:trPr>
        <w:tc>
          <w:tcPr>
            <w:tcW w:w="23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）转出至在建工程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340,721.60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340,721.60</w:t>
            </w:r>
          </w:p>
        </w:tc>
      </w:tr>
      <w:tr>
        <w:trPr>
          <w:trHeight w:val="402" w:hRule="exact"/>
        </w:trPr>
        <w:tc>
          <w:tcPr>
            <w:tcW w:w="23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3,965,886.71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549,993.04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13,612,116.81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2,975,320.89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1,444,046.12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22,547,363.57</w:t>
            </w:r>
          </w:p>
        </w:tc>
      </w:tr>
      <w:tr>
        <w:trPr>
          <w:trHeight w:val="402" w:hRule="exact"/>
        </w:trPr>
        <w:tc>
          <w:tcPr>
            <w:tcW w:w="23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30,889,758.37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666,622.37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30,976,888.36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2,022,771.69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2,416,915.79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66,972,956.58</w:t>
            </w:r>
          </w:p>
        </w:tc>
      </w:tr>
      <w:tr>
        <w:trPr>
          <w:trHeight w:val="402" w:hRule="exact"/>
        </w:trPr>
        <w:tc>
          <w:tcPr>
            <w:tcW w:w="23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46,408,438.32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781,957.49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34,997,228.28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2,375,224.33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2,976,372.00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87,539,220.42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暂时闲置的固定资产情况" w:id="267"/>
      <w:bookmarkEnd w:id="267"/>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通过融资租赁租入的固定资产情况" w:id="268"/>
      <w:bookmarkEnd w:id="268"/>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通过经营租赁租出的固定资产" w:id="269"/>
      <w:bookmarkEnd w:id="269"/>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未办妥产权证书的固定资产情况" w:id="270"/>
      <w:bookmarkEnd w:id="270"/>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9852"/>
        <w:jc w:val="left"/>
      </w:pPr>
      <w:r>
        <w:rPr/>
        <w:t>无 其他说明：</w:t>
      </w:r>
    </w:p>
    <w:p>
      <w:pPr>
        <w:pStyle w:val="BodyText"/>
        <w:spacing w:line="300" w:lineRule="auto" w:before="29"/>
        <w:ind w:left="1133" w:right="1115"/>
        <w:jc w:val="left"/>
      </w:pPr>
      <w:r>
        <w:rPr/>
        <w:t>①</w:t>
      </w:r>
      <w:r>
        <w:rPr>
          <w:spacing w:val="-18"/>
        </w:rPr>
        <w:t> </w:t>
      </w:r>
      <w:r>
        <w:rPr/>
        <w:t>报告期内，公司因实施研发中心及综合办公楼建设项目，而将需要改扩建的原值为</w:t>
      </w:r>
      <w:r>
        <w:rPr>
          <w:spacing w:val="-55"/>
        </w:rPr>
        <w:t> </w:t>
      </w:r>
      <w:r>
        <w:rPr>
          <w:rFonts w:ascii="Times New Roman" w:hAnsi="Times New Roman" w:cs="Times New Roman" w:eastAsia="Times New Roman" w:hint="default"/>
        </w:rPr>
        <w:t>14,749,854.00</w:t>
      </w:r>
      <w:r>
        <w:rPr>
          <w:rFonts w:ascii="Times New Roman" w:hAnsi="Times New Roman" w:cs="Times New Roman" w:eastAsia="Times New Roman" w:hint="default"/>
          <w:spacing w:val="-9"/>
        </w:rPr>
        <w:t> </w:t>
      </w:r>
      <w:r>
        <w:rPr/>
        <w:t>元的房屋建筑物由固定 资产转入在建工程。</w:t>
      </w:r>
    </w:p>
    <w:p>
      <w:pPr>
        <w:pStyle w:val="BodyText"/>
        <w:spacing w:line="240" w:lineRule="auto" w:before="72"/>
        <w:ind w:left="1133" w:right="0"/>
        <w:jc w:val="left"/>
      </w:pPr>
      <w:r>
        <w:rPr/>
        <w:t>②本公司期末固定资产均在正常使用中，不存在减值因素，故未计提减值准备。</w:t>
      </w:r>
    </w:p>
    <w:p>
      <w:pPr>
        <w:spacing w:line="240" w:lineRule="auto" w:before="10"/>
        <w:rPr>
          <w:rFonts w:ascii="宋体" w:hAnsi="宋体" w:cs="宋体" w:eastAsia="宋体" w:hint="default"/>
          <w:sz w:val="26"/>
          <w:szCs w:val="26"/>
        </w:rPr>
      </w:pPr>
    </w:p>
    <w:p>
      <w:pPr>
        <w:pStyle w:val="Heading3"/>
        <w:spacing w:line="240" w:lineRule="auto"/>
        <w:ind w:left="1133" w:right="0"/>
        <w:jc w:val="left"/>
        <w:rPr>
          <w:b w:val="0"/>
          <w:bCs w:val="0"/>
        </w:rPr>
      </w:pPr>
      <w:bookmarkStart w:name="20、在建工程" w:id="271"/>
      <w:bookmarkEnd w:id="271"/>
      <w:r>
        <w:rPr>
          <w:b w:val="0"/>
          <w:bCs w:val="0"/>
        </w:rPr>
      </w:r>
      <w:r>
        <w:rPr>
          <w:rFonts w:ascii="Times New Roman" w:hAnsi="Times New Roman" w:cs="Times New Roman" w:eastAsia="Times New Roman" w:hint="default"/>
        </w:rPr>
        <w:t>20</w:t>
      </w:r>
      <w:r>
        <w:rPr/>
        <w:t>、在建工程</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在建工程情况" w:id="272"/>
      <w:bookmarkEnd w:id="272"/>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736" w:type="dxa"/>
        <w:tblLayout w:type="fixed"/>
        <w:tblCellMar>
          <w:top w:w="0" w:type="dxa"/>
          <w:left w:w="0" w:type="dxa"/>
          <w:bottom w:w="0" w:type="dxa"/>
          <w:right w:w="0" w:type="dxa"/>
        </w:tblCellMar>
        <w:tblLook w:val="01E0"/>
      </w:tblPr>
      <w:tblGrid>
        <w:gridCol w:w="3262"/>
        <w:gridCol w:w="1276"/>
        <w:gridCol w:w="1277"/>
        <w:gridCol w:w="1274"/>
        <w:gridCol w:w="1134"/>
        <w:gridCol w:w="1134"/>
        <w:gridCol w:w="1066"/>
      </w:tblGrid>
      <w:tr>
        <w:trPr>
          <w:trHeight w:val="402" w:hRule="exact"/>
        </w:trPr>
        <w:tc>
          <w:tcPr>
            <w:tcW w:w="32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2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3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262"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研发中心及综合办公楼建设项目</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30,075,558.32</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7" w:right="0"/>
              <w:jc w:val="left"/>
              <w:rPr>
                <w:rFonts w:ascii="Times New Roman" w:hAnsi="Times New Roman" w:cs="Times New Roman" w:eastAsia="Times New Roman" w:hint="default"/>
                <w:sz w:val="18"/>
                <w:szCs w:val="18"/>
              </w:rPr>
            </w:pPr>
            <w:r>
              <w:rPr>
                <w:rFonts w:ascii="Times New Roman"/>
                <w:sz w:val="18"/>
              </w:rPr>
              <w:t>30,075,558.32</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30,075,558.32</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7" w:right="0"/>
              <w:jc w:val="left"/>
              <w:rPr>
                <w:rFonts w:ascii="Times New Roman" w:hAnsi="Times New Roman" w:cs="Times New Roman" w:eastAsia="Times New Roman" w:hint="default"/>
                <w:sz w:val="18"/>
                <w:szCs w:val="18"/>
              </w:rPr>
            </w:pPr>
            <w:r>
              <w:rPr>
                <w:rFonts w:ascii="Times New Roman"/>
                <w:sz w:val="18"/>
              </w:rPr>
              <w:t>30,075,558.32</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重要在建工程项目本期变动情况" w:id="273"/>
      <w:bookmarkEnd w:id="273"/>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632" w:type="dxa"/>
        <w:tblLayout w:type="fixed"/>
        <w:tblCellMar>
          <w:top w:w="0" w:type="dxa"/>
          <w:left w:w="0" w:type="dxa"/>
          <w:bottom w:w="0" w:type="dxa"/>
          <w:right w:w="0" w:type="dxa"/>
        </w:tblCellMar>
        <w:tblLook w:val="01E0"/>
      </w:tblPr>
      <w:tblGrid>
        <w:gridCol w:w="2836"/>
        <w:gridCol w:w="1277"/>
        <w:gridCol w:w="1276"/>
        <w:gridCol w:w="1274"/>
        <w:gridCol w:w="1277"/>
        <w:gridCol w:w="851"/>
        <w:gridCol w:w="850"/>
        <w:gridCol w:w="980"/>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60" w:right="0"/>
              <w:jc w:val="left"/>
              <w:rPr>
                <w:rFonts w:ascii="宋体" w:hAnsi="宋体" w:cs="宋体" w:eastAsia="宋体" w:hint="default"/>
                <w:sz w:val="18"/>
                <w:szCs w:val="18"/>
              </w:rPr>
            </w:pPr>
            <w:r>
              <w:rPr>
                <w:rFonts w:ascii="宋体" w:hAnsi="宋体" w:cs="宋体" w:eastAsia="宋体" w:hint="default"/>
                <w:sz w:val="18"/>
                <w:szCs w:val="18"/>
              </w:rPr>
              <w:t>工程累计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工程进度</w:t>
            </w:r>
          </w:p>
        </w:tc>
        <w:tc>
          <w:tcPr>
            <w:tcW w:w="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资金来源</w:t>
            </w:r>
          </w:p>
        </w:tc>
      </w:tr>
    </w:tbl>
    <w:p>
      <w:pPr>
        <w:spacing w:after="0" w:line="240" w:lineRule="auto"/>
        <w:jc w:val="left"/>
        <w:rPr>
          <w:rFonts w:ascii="宋体" w:hAnsi="宋体" w:cs="宋体" w:eastAsia="宋体" w:hint="default"/>
          <w:sz w:val="18"/>
          <w:szCs w:val="18"/>
        </w:rPr>
        <w:sectPr>
          <w:pgSz w:w="11910" w:h="16840"/>
          <w:pgMar w:header="566" w:footer="979" w:top="1360" w:bottom="1160" w:left="0" w:right="0"/>
        </w:sectPr>
      </w:pPr>
    </w:p>
    <w:p>
      <w:pPr>
        <w:spacing w:line="240" w:lineRule="auto" w:before="6"/>
        <w:rPr>
          <w:rFonts w:ascii="宋体" w:hAnsi="宋体" w:cs="宋体" w:eastAsia="宋体" w:hint="default"/>
          <w:sz w:val="5"/>
          <w:szCs w:val="5"/>
        </w:rPr>
      </w:pPr>
    </w:p>
    <w:tbl>
      <w:tblPr>
        <w:tblW w:w="0" w:type="auto"/>
        <w:jc w:val="left"/>
        <w:tblInd w:w="632" w:type="dxa"/>
        <w:tblLayout w:type="fixed"/>
        <w:tblCellMar>
          <w:top w:w="0" w:type="dxa"/>
          <w:left w:w="0" w:type="dxa"/>
          <w:bottom w:w="0" w:type="dxa"/>
          <w:right w:w="0" w:type="dxa"/>
        </w:tblCellMar>
        <w:tblLook w:val="01E0"/>
      </w:tblPr>
      <w:tblGrid>
        <w:gridCol w:w="2836"/>
        <w:gridCol w:w="1277"/>
        <w:gridCol w:w="1276"/>
        <w:gridCol w:w="1274"/>
        <w:gridCol w:w="1277"/>
        <w:gridCol w:w="851"/>
        <w:gridCol w:w="850"/>
        <w:gridCol w:w="992"/>
      </w:tblGrid>
      <w:tr>
        <w:trPr>
          <w:trHeight w:val="67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50" w:right="59" w:hanging="90"/>
              <w:jc w:val="left"/>
              <w:rPr>
                <w:rFonts w:ascii="宋体" w:hAnsi="宋体" w:cs="宋体" w:eastAsia="宋体" w:hint="default"/>
                <w:sz w:val="18"/>
                <w:szCs w:val="18"/>
              </w:rPr>
            </w:pPr>
            <w:r>
              <w:rPr>
                <w:rFonts w:ascii="宋体" w:hAnsi="宋体" w:cs="宋体" w:eastAsia="宋体" w:hint="default"/>
                <w:sz w:val="18"/>
                <w:szCs w:val="18"/>
              </w:rPr>
              <w:t>投入占预 算比例</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研发中心及综合办公楼建设项目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5"/>
              <w:jc w:val="right"/>
              <w:rPr>
                <w:rFonts w:ascii="Times New Roman" w:hAnsi="Times New Roman" w:cs="Times New Roman" w:eastAsia="Times New Roman" w:hint="default"/>
                <w:sz w:val="18"/>
                <w:szCs w:val="18"/>
              </w:rPr>
            </w:pPr>
            <w:r>
              <w:rPr>
                <w:rFonts w:ascii="Times New Roman"/>
                <w:spacing w:val="-1"/>
                <w:sz w:val="18"/>
              </w:rPr>
              <w:t>87,580,000.00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30,075,558.32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30,075,558.32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3" w:right="0"/>
              <w:jc w:val="left"/>
              <w:rPr>
                <w:rFonts w:ascii="Times New Roman" w:hAnsi="Times New Roman" w:cs="Times New Roman" w:eastAsia="Times New Roman" w:hint="default"/>
                <w:sz w:val="18"/>
                <w:szCs w:val="18"/>
              </w:rPr>
            </w:pPr>
            <w:r>
              <w:rPr>
                <w:rFonts w:ascii="Times New Roman"/>
                <w:sz w:val="18"/>
              </w:rPr>
              <w:t>34.34%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2" w:right="0"/>
              <w:jc w:val="left"/>
              <w:rPr>
                <w:rFonts w:ascii="Times New Roman" w:hAnsi="Times New Roman" w:cs="Times New Roman" w:eastAsia="Times New Roman" w:hint="default"/>
                <w:sz w:val="18"/>
                <w:szCs w:val="18"/>
              </w:rPr>
            </w:pPr>
            <w:r>
              <w:rPr>
                <w:rFonts w:ascii="Times New Roman"/>
                <w:sz w:val="18"/>
              </w:rPr>
              <w:t>35.00%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募股资金</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5"/>
              <w:jc w:val="right"/>
              <w:rPr>
                <w:rFonts w:ascii="Times New Roman" w:hAnsi="Times New Roman" w:cs="Times New Roman" w:eastAsia="Times New Roman" w:hint="default"/>
                <w:sz w:val="18"/>
                <w:szCs w:val="18"/>
              </w:rPr>
            </w:pPr>
            <w:r>
              <w:rPr>
                <w:rFonts w:ascii="Times New Roman"/>
                <w:spacing w:val="-1"/>
                <w:sz w:val="18"/>
              </w:rPr>
              <w:t>87,580,000.00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30,075,558.32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30,075,558.32</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本期计提在建工程减值准备情况" w:id="274"/>
      <w:bookmarkEnd w:id="274"/>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本报告期末，公司在建工程无迹象表明发生减值，故未计提在建工程减值准备。</w:t>
      </w:r>
    </w:p>
    <w:p>
      <w:pPr>
        <w:spacing w:line="240" w:lineRule="auto" w:before="10"/>
        <w:rPr>
          <w:rFonts w:ascii="宋体" w:hAnsi="宋体" w:cs="宋体" w:eastAsia="宋体" w:hint="default"/>
          <w:sz w:val="26"/>
          <w:szCs w:val="26"/>
        </w:rPr>
      </w:pPr>
    </w:p>
    <w:p>
      <w:pPr>
        <w:pStyle w:val="Heading3"/>
        <w:spacing w:line="240" w:lineRule="auto"/>
        <w:ind w:left="1133" w:right="0"/>
        <w:jc w:val="left"/>
        <w:rPr>
          <w:b w:val="0"/>
          <w:bCs w:val="0"/>
        </w:rPr>
      </w:pPr>
      <w:bookmarkStart w:name="21、工程物资" w:id="275"/>
      <w:bookmarkEnd w:id="275"/>
      <w:r>
        <w:rPr>
          <w:b w:val="0"/>
          <w:bCs w:val="0"/>
        </w:rPr>
      </w:r>
      <w:r>
        <w:rPr>
          <w:rFonts w:ascii="Times New Roman" w:hAnsi="Times New Roman" w:cs="Times New Roman" w:eastAsia="Times New Roman" w:hint="default"/>
        </w:rPr>
        <w:t>21</w:t>
      </w:r>
      <w:r>
        <w:rPr/>
        <w:t>、工程物资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2、固定资产清理" w:id="276"/>
      <w:bookmarkEnd w:id="276"/>
      <w:r>
        <w:rPr>
          <w:b w:val="0"/>
          <w:bCs w:val="0"/>
        </w:rPr>
      </w:r>
      <w:r>
        <w:rPr>
          <w:rFonts w:ascii="Times New Roman" w:hAnsi="Times New Roman" w:cs="Times New Roman" w:eastAsia="Times New Roman" w:hint="default"/>
        </w:rPr>
        <w:t>22</w:t>
      </w:r>
      <w:r>
        <w:rPr/>
        <w:t>、固定资产清理</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3、生产性生物资产" w:id="277"/>
      <w:bookmarkEnd w:id="277"/>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3"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4、油气资产" w:id="278"/>
      <w:bookmarkEnd w:id="278"/>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5、无形资产" w:id="279"/>
      <w:bookmarkEnd w:id="279"/>
      <w:r>
        <w:rPr>
          <w:b w:val="0"/>
          <w:bCs w:val="0"/>
        </w:rPr>
      </w:r>
      <w:r>
        <w:rPr>
          <w:rFonts w:ascii="Times New Roman" w:hAnsi="Times New Roman" w:cs="Times New Roman" w:eastAsia="Times New Roman" w:hint="default"/>
        </w:rPr>
        <w:t>25</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无形资产情况" w:id="280"/>
      <w:bookmarkEnd w:id="280"/>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678" w:type="dxa"/>
        <w:tblLayout w:type="fixed"/>
        <w:tblCellMar>
          <w:top w:w="0" w:type="dxa"/>
          <w:left w:w="0" w:type="dxa"/>
          <w:bottom w:w="0" w:type="dxa"/>
          <w:right w:w="0" w:type="dxa"/>
        </w:tblCellMar>
        <w:tblLook w:val="01E0"/>
      </w:tblPr>
      <w:tblGrid>
        <w:gridCol w:w="2337"/>
        <w:gridCol w:w="1379"/>
        <w:gridCol w:w="1367"/>
        <w:gridCol w:w="1367"/>
        <w:gridCol w:w="1367"/>
        <w:gridCol w:w="1368"/>
        <w:gridCol w:w="1367"/>
      </w:tblGrid>
      <w:tr>
        <w:trPr>
          <w:trHeight w:val="402" w:hRule="exact"/>
        </w:trPr>
        <w:tc>
          <w:tcPr>
            <w:tcW w:w="23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0"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07"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软件</w:t>
            </w:r>
          </w:p>
        </w:tc>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09"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3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9" w:type="dxa"/>
            <w:tcBorders>
              <w:top w:val="single" w:sz="4" w:space="0" w:color="000000"/>
              <w:left w:val="single" w:sz="13" w:space="0" w:color="D9D9D9"/>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14,040,000.00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1,851,119.88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3,675,911.09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19,567,030.97</w:t>
            </w:r>
          </w:p>
        </w:tc>
      </w:tr>
      <w:tr>
        <w:trPr>
          <w:trHeight w:val="402" w:hRule="exact"/>
        </w:trPr>
        <w:tc>
          <w:tcPr>
            <w:tcW w:w="23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79" w:type="dxa"/>
            <w:tcBorders>
              <w:top w:val="single" w:sz="4" w:space="0" w:color="000000"/>
              <w:left w:val="single" w:sz="13" w:space="0" w:color="D9D9D9"/>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1,231,940.11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3,332,051.31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1,988,200.00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6,552,191.42</w:t>
            </w:r>
          </w:p>
        </w:tc>
      </w:tr>
      <w:tr>
        <w:trPr>
          <w:trHeight w:val="402" w:hRule="exact"/>
        </w:trPr>
        <w:tc>
          <w:tcPr>
            <w:tcW w:w="23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79" w:type="dxa"/>
            <w:tcBorders>
              <w:top w:val="single" w:sz="4" w:space="0" w:color="000000"/>
              <w:left w:val="single" w:sz="13" w:space="0" w:color="D9D9D9"/>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113,323.99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3,332,051.31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3,445,375.30</w:t>
            </w:r>
          </w:p>
        </w:tc>
      </w:tr>
      <w:tr>
        <w:trPr>
          <w:trHeight w:val="402" w:hRule="exact"/>
        </w:trPr>
        <w:tc>
          <w:tcPr>
            <w:tcW w:w="23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）企业合并增加</w:t>
            </w:r>
          </w:p>
        </w:tc>
        <w:tc>
          <w:tcPr>
            <w:tcW w:w="1379" w:type="dxa"/>
            <w:tcBorders>
              <w:top w:val="single" w:sz="4" w:space="0" w:color="000000"/>
              <w:left w:val="single" w:sz="13" w:space="0" w:color="D9D9D9"/>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1,118,616.12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1,988,200.00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3,106,816.12</w:t>
            </w:r>
          </w:p>
        </w:tc>
      </w:tr>
      <w:tr>
        <w:trPr>
          <w:trHeight w:val="402" w:hRule="exact"/>
        </w:trPr>
        <w:tc>
          <w:tcPr>
            <w:tcW w:w="23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79" w:type="dxa"/>
            <w:tcBorders>
              <w:top w:val="single" w:sz="4" w:space="0" w:color="000000"/>
              <w:left w:val="single" w:sz="13" w:space="0" w:color="D9D9D9"/>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14,040,000.00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3,083,059.99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7,007,962.40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1,988,200.00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26,119,222.39</w:t>
            </w:r>
          </w:p>
        </w:tc>
      </w:tr>
      <w:tr>
        <w:trPr>
          <w:trHeight w:val="402" w:hRule="exact"/>
        </w:trPr>
        <w:tc>
          <w:tcPr>
            <w:tcW w:w="23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79" w:type="dxa"/>
            <w:tcBorders>
              <w:top w:val="single" w:sz="4" w:space="0" w:color="000000"/>
              <w:left w:val="single" w:sz="13" w:space="0" w:color="D9D9D9"/>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92,368.41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661,918.44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754,286.85</w:t>
            </w:r>
          </w:p>
        </w:tc>
      </w:tr>
      <w:tr>
        <w:trPr>
          <w:trHeight w:val="402" w:hRule="exact"/>
        </w:trPr>
        <w:tc>
          <w:tcPr>
            <w:tcW w:w="23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369,473.64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58,833.33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396,782.63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36,818.52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861,908.12</w:t>
            </w:r>
          </w:p>
        </w:tc>
      </w:tr>
    </w:tbl>
    <w:p>
      <w:pPr>
        <w:spacing w:after="0" w:line="240" w:lineRule="auto"/>
        <w:jc w:val="right"/>
        <w:rPr>
          <w:rFonts w:ascii="Times New Roman" w:hAnsi="Times New Roman" w:cs="Times New Roman" w:eastAsia="Times New Roman" w:hint="default"/>
          <w:sz w:val="18"/>
          <w:szCs w:val="18"/>
        </w:rPr>
        <w:sectPr>
          <w:pgSz w:w="11910" w:h="16840"/>
          <w:pgMar w:header="566" w:footer="979" w:top="1360" w:bottom="1160" w:left="0" w:right="0"/>
        </w:sectPr>
      </w:pPr>
    </w:p>
    <w:p>
      <w:pPr>
        <w:spacing w:line="240" w:lineRule="auto" w:before="6"/>
        <w:rPr>
          <w:rFonts w:ascii="宋体" w:hAnsi="宋体" w:cs="宋体" w:eastAsia="宋体" w:hint="default"/>
          <w:sz w:val="5"/>
          <w:szCs w:val="5"/>
        </w:rPr>
      </w:pPr>
    </w:p>
    <w:tbl>
      <w:tblPr>
        <w:tblW w:w="0" w:type="auto"/>
        <w:jc w:val="left"/>
        <w:tblInd w:w="667" w:type="dxa"/>
        <w:tblLayout w:type="fixed"/>
        <w:tblCellMar>
          <w:top w:w="0" w:type="dxa"/>
          <w:left w:w="0" w:type="dxa"/>
          <w:bottom w:w="0" w:type="dxa"/>
          <w:right w:w="0" w:type="dxa"/>
        </w:tblCellMar>
        <w:tblLook w:val="01E0"/>
      </w:tblPr>
      <w:tblGrid>
        <w:gridCol w:w="2360"/>
        <w:gridCol w:w="1367"/>
        <w:gridCol w:w="1367"/>
        <w:gridCol w:w="1367"/>
        <w:gridCol w:w="1367"/>
        <w:gridCol w:w="1368"/>
        <w:gridCol w:w="1367"/>
      </w:tblGrid>
      <w:tr>
        <w:trPr>
          <w:trHeight w:val="402" w:hRule="exact"/>
        </w:trPr>
        <w:tc>
          <w:tcPr>
            <w:tcW w:w="23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369,473.64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37,287.21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396,782.63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36,818.52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840,362.00</w:t>
            </w:r>
          </w:p>
        </w:tc>
      </w:tr>
      <w:tr>
        <w:trPr>
          <w:trHeight w:val="402" w:hRule="exact"/>
        </w:trPr>
        <w:tc>
          <w:tcPr>
            <w:tcW w:w="23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）企业合并增加</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21,546.12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21,546.12</w:t>
            </w:r>
          </w:p>
        </w:tc>
      </w:tr>
      <w:tr>
        <w:trPr>
          <w:trHeight w:val="402" w:hRule="exact"/>
        </w:trPr>
        <w:tc>
          <w:tcPr>
            <w:tcW w:w="23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461,842.05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58,833.33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1,058,701.07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36,818.52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1,616,194.97</w:t>
            </w:r>
          </w:p>
        </w:tc>
      </w:tr>
      <w:tr>
        <w:trPr>
          <w:trHeight w:val="402" w:hRule="exact"/>
        </w:trPr>
        <w:tc>
          <w:tcPr>
            <w:tcW w:w="23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13,578,157.95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3,024,226.66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5,949,261.33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1,951,381.48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24,503,027.42</w:t>
            </w:r>
          </w:p>
        </w:tc>
      </w:tr>
      <w:tr>
        <w:trPr>
          <w:trHeight w:val="402" w:hRule="exact"/>
        </w:trPr>
        <w:tc>
          <w:tcPr>
            <w:tcW w:w="23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13,947,631.59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1,851,119.88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3,013,992.65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18,812,744.12</w:t>
            </w:r>
          </w:p>
        </w:tc>
      </w:tr>
    </w:tbl>
    <w:p>
      <w:pPr>
        <w:pStyle w:val="BodyText"/>
        <w:spacing w:line="240" w:lineRule="auto" w:before="51"/>
        <w:ind w:right="0"/>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0.00%</w:t>
      </w:r>
      <w:r>
        <w:rPr/>
        <w:t>。</w:t>
      </w:r>
    </w:p>
    <w:p>
      <w:pPr>
        <w:spacing w:line="240" w:lineRule="auto" w:before="10"/>
        <w:rPr>
          <w:rFonts w:ascii="宋体" w:hAnsi="宋体" w:cs="宋体" w:eastAsia="宋体" w:hint="default"/>
          <w:sz w:val="25"/>
          <w:szCs w:val="25"/>
        </w:rPr>
      </w:pPr>
    </w:p>
    <w:p>
      <w:pPr>
        <w:pStyle w:val="Heading3"/>
        <w:spacing w:line="240" w:lineRule="auto"/>
        <w:ind w:left="1133" w:right="0"/>
        <w:jc w:val="left"/>
        <w:rPr>
          <w:b w:val="0"/>
          <w:bCs w:val="0"/>
        </w:rPr>
      </w:pPr>
      <w:bookmarkStart w:name="（2）未办妥产权证书的土地使用权情况" w:id="281"/>
      <w:bookmarkEnd w:id="281"/>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9852"/>
        <w:jc w:val="left"/>
      </w:pPr>
      <w:r>
        <w:rPr/>
        <w:t>无 其他说明：</w:t>
      </w:r>
    </w:p>
    <w:p>
      <w:pPr>
        <w:pStyle w:val="BodyText"/>
        <w:spacing w:line="237" w:lineRule="exact"/>
        <w:ind w:left="1133" w:right="0"/>
        <w:jc w:val="left"/>
      </w:pPr>
      <w:r>
        <w:rPr/>
        <w:t>①无形资产期末原值较期初原值增加</w:t>
      </w:r>
      <w:r>
        <w:rPr>
          <w:rFonts w:ascii="Times New Roman" w:hAnsi="Times New Roman" w:cs="Times New Roman" w:eastAsia="Times New Roman" w:hint="default"/>
        </w:rPr>
        <w:t>6,552,191.42</w:t>
      </w:r>
      <w:r>
        <w:rPr/>
        <w:t>元，增幅</w:t>
      </w:r>
      <w:r>
        <w:rPr>
          <w:rFonts w:ascii="Times New Roman" w:hAnsi="Times New Roman" w:cs="Times New Roman" w:eastAsia="Times New Roman" w:hint="default"/>
        </w:rPr>
        <w:t>33.49%</w:t>
      </w:r>
      <w:r>
        <w:rPr/>
        <w:t>，主要系本报告期内收购子公司而合并的无形资产增加以</w:t>
      </w:r>
    </w:p>
    <w:p>
      <w:pPr>
        <w:pStyle w:val="BodyText"/>
        <w:spacing w:line="240" w:lineRule="auto" w:before="63"/>
        <w:ind w:right="0"/>
        <w:jc w:val="left"/>
      </w:pPr>
      <w:r>
        <w:rPr/>
        <w:t>及购置软件增加所致。</w:t>
      </w:r>
    </w:p>
    <w:p>
      <w:pPr>
        <w:pStyle w:val="BodyText"/>
        <w:spacing w:line="240" w:lineRule="auto" w:before="76"/>
        <w:ind w:right="0"/>
        <w:jc w:val="left"/>
      </w:pPr>
      <w:r>
        <w:rPr/>
        <w:t>②本公司期末无形资产均在正常使用中，不存在减值因素，故未计提减值准备。</w:t>
      </w:r>
    </w:p>
    <w:p>
      <w:pPr>
        <w:pStyle w:val="BodyText"/>
        <w:spacing w:line="240" w:lineRule="auto" w:before="76"/>
        <w:ind w:left="1133" w:right="0"/>
        <w:jc w:val="left"/>
      </w:pPr>
      <w:r>
        <w:rPr/>
        <w:t>③本公司期末无形资产不存在抵押、质押等所有权受到限制的情况。</w:t>
      </w:r>
    </w:p>
    <w:p>
      <w:pPr>
        <w:spacing w:line="240" w:lineRule="auto" w:before="12"/>
        <w:rPr>
          <w:rFonts w:ascii="宋体" w:hAnsi="宋体" w:cs="宋体" w:eastAsia="宋体" w:hint="default"/>
          <w:sz w:val="26"/>
          <w:szCs w:val="26"/>
        </w:rPr>
      </w:pPr>
    </w:p>
    <w:p>
      <w:pPr>
        <w:pStyle w:val="Heading3"/>
        <w:spacing w:line="240" w:lineRule="auto"/>
        <w:ind w:left="1133" w:right="0"/>
        <w:jc w:val="left"/>
        <w:rPr>
          <w:b w:val="0"/>
          <w:bCs w:val="0"/>
        </w:rPr>
      </w:pPr>
      <w:bookmarkStart w:name="26、开发支出" w:id="282"/>
      <w:bookmarkEnd w:id="282"/>
      <w:r>
        <w:rPr>
          <w:b w:val="0"/>
          <w:bCs w:val="0"/>
        </w:rPr>
      </w:r>
      <w:r>
        <w:rPr>
          <w:rFonts w:ascii="Times New Roman" w:hAnsi="Times New Roman" w:cs="Times New Roman" w:eastAsia="Times New Roman" w:hint="default"/>
        </w:rPr>
        <w:t>26</w:t>
      </w:r>
      <w:r>
        <w:rPr/>
        <w:t>、开发支出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643" w:type="dxa"/>
        <w:tblLayout w:type="fixed"/>
        <w:tblCellMar>
          <w:top w:w="0" w:type="dxa"/>
          <w:left w:w="0" w:type="dxa"/>
          <w:bottom w:w="0" w:type="dxa"/>
          <w:right w:w="0" w:type="dxa"/>
        </w:tblCellMar>
        <w:tblLook w:val="01E0"/>
      </w:tblPr>
      <w:tblGrid>
        <w:gridCol w:w="2045"/>
        <w:gridCol w:w="923"/>
        <w:gridCol w:w="1204"/>
        <w:gridCol w:w="922"/>
        <w:gridCol w:w="1277"/>
        <w:gridCol w:w="1416"/>
        <w:gridCol w:w="1560"/>
        <w:gridCol w:w="1276"/>
      </w:tblGrid>
      <w:tr>
        <w:trPr>
          <w:trHeight w:val="206" w:hRule="exact"/>
        </w:trPr>
        <w:tc>
          <w:tcPr>
            <w:tcW w:w="2045" w:type="dxa"/>
            <w:tcBorders>
              <w:top w:val="single" w:sz="4" w:space="0" w:color="000000"/>
              <w:left w:val="single" w:sz="4" w:space="0" w:color="000000"/>
              <w:bottom w:val="nil" w:sz="6" w:space="0" w:color="auto"/>
              <w:right w:val="single" w:sz="4" w:space="0" w:color="000000"/>
            </w:tcBorders>
            <w:shd w:val="clear" w:color="auto" w:fill="D2D2D2"/>
          </w:tcPr>
          <w:p>
            <w:pPr/>
          </w:p>
        </w:tc>
        <w:tc>
          <w:tcPr>
            <w:tcW w:w="923" w:type="dxa"/>
            <w:tcBorders>
              <w:top w:val="single" w:sz="4" w:space="0" w:color="000000"/>
              <w:left w:val="single" w:sz="4" w:space="0" w:color="000000"/>
              <w:bottom w:val="nil" w:sz="6" w:space="0" w:color="auto"/>
              <w:right w:val="single" w:sz="4" w:space="0" w:color="000000"/>
            </w:tcBorders>
            <w:shd w:val="clear" w:color="auto" w:fill="D2D2D2"/>
          </w:tcPr>
          <w:p>
            <w:pPr/>
          </w:p>
        </w:tc>
        <w:tc>
          <w:tcPr>
            <w:tcW w:w="34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本期增加金额</w:t>
            </w:r>
          </w:p>
        </w:tc>
        <w:tc>
          <w:tcPr>
            <w:tcW w:w="297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94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20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9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402" w:type="dxa"/>
            <w:gridSpan w:val="3"/>
            <w:vMerge/>
            <w:tcBorders>
              <w:left w:val="single" w:sz="4" w:space="0" w:color="000000"/>
              <w:bottom w:val="single" w:sz="4" w:space="0" w:color="000000"/>
              <w:right w:val="single" w:sz="4" w:space="0" w:color="000000"/>
            </w:tcBorders>
            <w:shd w:val="clear" w:color="auto" w:fill="D2D2D2"/>
          </w:tcPr>
          <w:p>
            <w:pPr/>
          </w:p>
        </w:tc>
        <w:tc>
          <w:tcPr>
            <w:tcW w:w="2976" w:type="dxa"/>
            <w:gridSpan w:val="2"/>
            <w:vMerge/>
            <w:tcBorders>
              <w:left w:val="single" w:sz="4" w:space="0" w:color="000000"/>
              <w:bottom w:val="single" w:sz="4" w:space="0" w:color="000000"/>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7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045" w:type="dxa"/>
            <w:vMerge/>
            <w:tcBorders>
              <w:left w:val="single" w:sz="4" w:space="0" w:color="000000"/>
              <w:bottom w:val="nil" w:sz="6" w:space="0" w:color="auto"/>
              <w:right w:val="single" w:sz="4" w:space="0" w:color="000000"/>
            </w:tcBorders>
            <w:shd w:val="clear" w:color="auto" w:fill="D2D2D2"/>
          </w:tcPr>
          <w:p>
            <w:pPr/>
          </w:p>
        </w:tc>
        <w:tc>
          <w:tcPr>
            <w:tcW w:w="923" w:type="dxa"/>
            <w:vMerge/>
            <w:tcBorders>
              <w:left w:val="single" w:sz="4" w:space="0" w:color="000000"/>
              <w:bottom w:val="nil" w:sz="6" w:space="0" w:color="auto"/>
              <w:right w:val="single" w:sz="4" w:space="0" w:color="000000"/>
            </w:tcBorders>
            <w:shd w:val="clear" w:color="auto" w:fill="D2D2D2"/>
          </w:tcPr>
          <w:p>
            <w:pPr/>
          </w:p>
        </w:tc>
        <w:tc>
          <w:tcPr>
            <w:tcW w:w="12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6" w:right="0"/>
              <w:jc w:val="left"/>
              <w:rPr>
                <w:rFonts w:ascii="宋体" w:hAnsi="宋体" w:cs="宋体" w:eastAsia="宋体" w:hint="default"/>
                <w:sz w:val="18"/>
                <w:szCs w:val="18"/>
              </w:rPr>
            </w:pPr>
            <w:r>
              <w:rPr>
                <w:rFonts w:ascii="宋体" w:hAnsi="宋体" w:cs="宋体" w:eastAsia="宋体" w:hint="default"/>
                <w:sz w:val="18"/>
                <w:szCs w:val="18"/>
              </w:rPr>
              <w:t>内部开发支出</w:t>
            </w:r>
          </w:p>
        </w:tc>
        <w:tc>
          <w:tcPr>
            <w:tcW w:w="9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7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7" w:type="dxa"/>
            <w:vMerge w:val="restart"/>
            <w:tcBorders>
              <w:top w:val="single" w:sz="4" w:space="0" w:color="000000"/>
              <w:left w:val="single" w:sz="13" w:space="0" w:color="D2D2D2"/>
              <w:right w:val="single" w:sz="4" w:space="0" w:color="000000"/>
            </w:tcBorders>
            <w:shd w:val="clear" w:color="auto" w:fill="D9D9D9"/>
          </w:tcPr>
          <w:p>
            <w:pPr>
              <w:pStyle w:val="TableParagraph"/>
              <w:spacing w:line="240" w:lineRule="auto" w:before="52"/>
              <w:ind w:left="81" w:right="0"/>
              <w:jc w:val="left"/>
              <w:rPr>
                <w:rFonts w:ascii="宋体" w:hAnsi="宋体" w:cs="宋体" w:eastAsia="宋体" w:hint="default"/>
                <w:sz w:val="18"/>
                <w:szCs w:val="18"/>
              </w:rPr>
            </w:pPr>
            <w:r>
              <w:rPr>
                <w:rFonts w:ascii="宋体" w:hAnsi="宋体" w:cs="宋体" w:eastAsia="宋体" w:hint="default"/>
                <w:sz w:val="18"/>
                <w:szCs w:val="18"/>
              </w:rPr>
              <w:t>企业合并增加</w:t>
            </w:r>
          </w:p>
        </w:tc>
        <w:tc>
          <w:tcPr>
            <w:tcW w:w="1416" w:type="dxa"/>
            <w:vMerge w:val="restart"/>
            <w:tcBorders>
              <w:top w:val="single" w:sz="4" w:space="0" w:color="000000"/>
              <w:left w:val="single" w:sz="4" w:space="0" w:color="000000"/>
              <w:right w:val="single" w:sz="13" w:space="0" w:color="D2D2D2"/>
            </w:tcBorders>
            <w:shd w:val="clear" w:color="auto" w:fill="D9D9D9"/>
          </w:tcPr>
          <w:p>
            <w:pPr>
              <w:pStyle w:val="TableParagraph"/>
              <w:spacing w:line="240" w:lineRule="auto" w:before="52"/>
              <w:ind w:left="73"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5" w:right="0"/>
              <w:jc w:val="left"/>
              <w:rPr>
                <w:rFonts w:ascii="宋体" w:hAnsi="宋体" w:cs="宋体" w:eastAsia="宋体" w:hint="default"/>
                <w:sz w:val="18"/>
                <w:szCs w:val="18"/>
              </w:rPr>
            </w:pPr>
            <w:r>
              <w:rPr>
                <w:rFonts w:ascii="宋体" w:hAnsi="宋体" w:cs="宋体" w:eastAsia="宋体" w:hint="default"/>
                <w:sz w:val="18"/>
                <w:szCs w:val="18"/>
              </w:rPr>
              <w:t>转入当期损益</w:t>
            </w:r>
          </w:p>
        </w:tc>
        <w:tc>
          <w:tcPr>
            <w:tcW w:w="1276"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2045" w:type="dxa"/>
            <w:tcBorders>
              <w:top w:val="nil" w:sz="6" w:space="0" w:color="auto"/>
              <w:left w:val="single" w:sz="4" w:space="0" w:color="000000"/>
              <w:bottom w:val="single" w:sz="4" w:space="0" w:color="000000"/>
              <w:right w:val="single" w:sz="4" w:space="0" w:color="000000"/>
            </w:tcBorders>
            <w:shd w:val="clear" w:color="auto" w:fill="D2D2D2"/>
          </w:tcPr>
          <w:p>
            <w:pPr/>
          </w:p>
        </w:tc>
        <w:tc>
          <w:tcPr>
            <w:tcW w:w="923"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4" w:type="dxa"/>
            <w:vMerge/>
            <w:tcBorders>
              <w:left w:val="single" w:sz="4" w:space="0" w:color="000000"/>
              <w:bottom w:val="single" w:sz="4" w:space="0" w:color="000000"/>
              <w:right w:val="single" w:sz="4" w:space="0" w:color="000000"/>
            </w:tcBorders>
            <w:shd w:val="clear" w:color="auto" w:fill="D2D2D2"/>
          </w:tcPr>
          <w:p>
            <w:pPr/>
          </w:p>
        </w:tc>
        <w:tc>
          <w:tcPr>
            <w:tcW w:w="922"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13" w:space="0" w:color="D2D2D2"/>
              <w:bottom w:val="single" w:sz="4" w:space="0" w:color="000000"/>
              <w:right w:val="single" w:sz="4" w:space="0" w:color="000000"/>
            </w:tcBorders>
            <w:shd w:val="clear" w:color="auto" w:fill="D9D9D9"/>
          </w:tcPr>
          <w:p>
            <w:pPr/>
          </w:p>
        </w:tc>
        <w:tc>
          <w:tcPr>
            <w:tcW w:w="1416" w:type="dxa"/>
            <w:vMerge/>
            <w:tcBorders>
              <w:left w:val="single" w:sz="4" w:space="0" w:color="000000"/>
              <w:bottom w:val="single" w:sz="4" w:space="0" w:color="000000"/>
              <w:right w:val="single" w:sz="13" w:space="0" w:color="D2D2D2"/>
            </w:tcBorders>
            <w:shd w:val="clear" w:color="auto" w:fill="D9D9D9"/>
          </w:tcPr>
          <w:p>
            <w:pPr/>
          </w:p>
        </w:tc>
        <w:tc>
          <w:tcPr>
            <w:tcW w:w="1560"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20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急诊医疗信息系统</w:t>
            </w:r>
          </w:p>
        </w:tc>
        <w:tc>
          <w:tcPr>
            <w:tcW w:w="923"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462,282.53</w:t>
            </w:r>
          </w:p>
        </w:tc>
        <w:tc>
          <w:tcPr>
            <w:tcW w:w="92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1,530,678.47</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38,806.95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1,954,154.05</w:t>
            </w:r>
          </w:p>
        </w:tc>
      </w:tr>
      <w:tr>
        <w:trPr>
          <w:trHeight w:val="402" w:hRule="exact"/>
        </w:trPr>
        <w:tc>
          <w:tcPr>
            <w:tcW w:w="20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重症医学临床信息系统</w:t>
            </w:r>
          </w:p>
        </w:tc>
        <w:tc>
          <w:tcPr>
            <w:tcW w:w="923"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279,720.30</w:t>
            </w:r>
          </w:p>
        </w:tc>
        <w:tc>
          <w:tcPr>
            <w:tcW w:w="92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854,108.31</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9,418.89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1,124,409.72</w:t>
            </w:r>
          </w:p>
        </w:tc>
      </w:tr>
      <w:tr>
        <w:trPr>
          <w:trHeight w:val="402" w:hRule="exact"/>
        </w:trPr>
        <w:tc>
          <w:tcPr>
            <w:tcW w:w="20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手术室麻醉临床信息系统</w:t>
            </w:r>
          </w:p>
        </w:tc>
        <w:tc>
          <w:tcPr>
            <w:tcW w:w="923"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115,457.97</w:t>
            </w:r>
          </w:p>
        </w:tc>
        <w:tc>
          <w:tcPr>
            <w:tcW w:w="92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624,019.50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21,577.04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717,900.43</w:t>
            </w:r>
          </w:p>
        </w:tc>
      </w:tr>
      <w:tr>
        <w:trPr>
          <w:trHeight w:val="403" w:hRule="exact"/>
        </w:trPr>
        <w:tc>
          <w:tcPr>
            <w:tcW w:w="2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2"/>
              <w:jc w:val="center"/>
              <w:rPr>
                <w:rFonts w:ascii="宋体" w:hAnsi="宋体" w:cs="宋体" w:eastAsia="宋体" w:hint="default"/>
                <w:sz w:val="18"/>
                <w:szCs w:val="18"/>
              </w:rPr>
            </w:pPr>
            <w:r>
              <w:rPr>
                <w:rFonts w:ascii="宋体" w:hAnsi="宋体" w:cs="宋体" w:eastAsia="宋体" w:hint="default"/>
                <w:sz w:val="18"/>
                <w:szCs w:val="18"/>
              </w:rPr>
              <w:t>合计</w:t>
            </w:r>
          </w:p>
        </w:tc>
        <w:tc>
          <w:tcPr>
            <w:tcW w:w="923"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857,460.80</w:t>
            </w:r>
          </w:p>
        </w:tc>
        <w:tc>
          <w:tcPr>
            <w:tcW w:w="92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3,008,806.28</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69,802.88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3,796,464.20</w:t>
            </w:r>
          </w:p>
        </w:tc>
      </w:tr>
    </w:tbl>
    <w:p>
      <w:pPr>
        <w:pStyle w:val="BodyText"/>
        <w:spacing w:line="240" w:lineRule="auto" w:before="51"/>
        <w:ind w:right="0"/>
        <w:jc w:val="left"/>
      </w:pPr>
      <w:r>
        <w:rPr/>
        <w:t>其他说明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40" w:lineRule="auto" w:before="44"/>
        <w:ind w:left="0" w:right="555"/>
        <w:jc w:val="right"/>
      </w:pPr>
      <w:r>
        <w:rPr/>
        <w:pict>
          <v:shape style="position:absolute;margin-left:31.559999pt;margin-top:-47.498287pt;width:532.7pt;height:69.6pt;mso-position-horizontal-relative:page;mso-position-vertical-relative:paragraph;z-index:19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26"/>
                    <w:gridCol w:w="1843"/>
                    <w:gridCol w:w="2268"/>
                    <w:gridCol w:w="4395"/>
                  </w:tblGrid>
                  <w:tr>
                    <w:trPr>
                      <w:trHeight w:val="335" w:hRule="exact"/>
                    </w:trPr>
                    <w:tc>
                      <w:tcPr>
                        <w:tcW w:w="21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4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281"/>
                          <w:jc w:val="right"/>
                          <w:rPr>
                            <w:rFonts w:ascii="宋体" w:hAnsi="宋体" w:cs="宋体" w:eastAsia="宋体" w:hint="default"/>
                            <w:sz w:val="18"/>
                            <w:szCs w:val="18"/>
                          </w:rPr>
                        </w:pPr>
                        <w:r>
                          <w:rPr>
                            <w:rFonts w:ascii="宋体" w:hAnsi="宋体" w:cs="宋体" w:eastAsia="宋体" w:hint="default"/>
                            <w:b/>
                            <w:bCs/>
                            <w:w w:val="95"/>
                            <w:sz w:val="18"/>
                            <w:szCs w:val="18"/>
                          </w:rPr>
                          <w:t>资本化开始时点</w:t>
                        </w:r>
                        <w:r>
                          <w:rPr>
                            <w:rFonts w:ascii="宋体" w:hAnsi="宋体" w:cs="宋体" w:eastAsia="宋体" w:hint="default"/>
                            <w:sz w:val="18"/>
                            <w:szCs w:val="18"/>
                          </w:rPr>
                        </w:r>
                      </w:p>
                    </w:tc>
                    <w:tc>
                      <w:tcPr>
                        <w:tcW w:w="22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b/>
                            <w:bCs/>
                            <w:sz w:val="18"/>
                            <w:szCs w:val="18"/>
                          </w:rPr>
                          <w:t>截至期末的研发进度</w:t>
                        </w:r>
                        <w:r>
                          <w:rPr>
                            <w:rFonts w:ascii="宋体" w:hAnsi="宋体" w:cs="宋体" w:eastAsia="宋体" w:hint="default"/>
                            <w:sz w:val="18"/>
                            <w:szCs w:val="18"/>
                          </w:rPr>
                        </w:r>
                      </w:p>
                    </w:tc>
                    <w:tc>
                      <w:tcPr>
                        <w:tcW w:w="439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b/>
                            <w:bCs/>
                            <w:sz w:val="18"/>
                            <w:szCs w:val="18"/>
                          </w:rPr>
                          <w:t>资本化具体依据</w:t>
                        </w:r>
                        <w:r>
                          <w:rPr>
                            <w:rFonts w:ascii="宋体" w:hAnsi="宋体" w:cs="宋体" w:eastAsia="宋体" w:hint="default"/>
                            <w:sz w:val="18"/>
                            <w:szCs w:val="18"/>
                          </w:rPr>
                        </w:r>
                      </w:p>
                    </w:tc>
                  </w:tr>
                  <w:tr>
                    <w:trPr>
                      <w:trHeight w:val="347" w:hRule="exact"/>
                    </w:trPr>
                    <w:tc>
                      <w:tcPr>
                        <w:tcW w:w="21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急诊医疗信息系统</w:t>
                        </w:r>
                      </w:p>
                    </w:tc>
                    <w:tc>
                      <w:tcPr>
                        <w:tcW w:w="1843"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4"/>
                          <w:ind w:right="326"/>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2268"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阶段性研发中期</w:t>
                        </w:r>
                      </w:p>
                    </w:tc>
                    <w:tc>
                      <w:tcPr>
                        <w:tcW w:w="4395" w:type="dxa"/>
                        <w:vMerge w:val="restart"/>
                        <w:tcBorders>
                          <w:top w:val="single" w:sz="10" w:space="0" w:color="000000"/>
                          <w:left w:val="single" w:sz="6" w:space="0" w:color="000000"/>
                          <w:right w:val="single" w:sz="6" w:space="0" w:color="000000"/>
                        </w:tcBorders>
                      </w:tcPr>
                      <w:p>
                        <w:pPr>
                          <w:pStyle w:val="TableParagraph"/>
                          <w:spacing w:line="316" w:lineRule="auto" w:before="14"/>
                          <w:ind w:left="3" w:right="54"/>
                          <w:jc w:val="both"/>
                          <w:rPr>
                            <w:rFonts w:ascii="宋体" w:hAnsi="宋体" w:cs="宋体" w:eastAsia="宋体" w:hint="default"/>
                            <w:sz w:val="18"/>
                            <w:szCs w:val="18"/>
                          </w:rPr>
                        </w:pPr>
                        <w:r>
                          <w:rPr>
                            <w:rFonts w:ascii="宋体" w:hAnsi="宋体" w:cs="宋体" w:eastAsia="宋体" w:hint="default"/>
                            <w:sz w:val="18"/>
                            <w:szCs w:val="18"/>
                          </w:rPr>
                          <w:t>评审形成立项报告后，研发项目组完成软件设计、代码 编写、系统测试、通过内部的验收评审并完成了产品化 </w:t>
                        </w:r>
                        <w:r>
                          <w:rPr>
                            <w:rFonts w:ascii="宋体" w:hAnsi="宋体" w:cs="宋体" w:eastAsia="宋体" w:hint="default"/>
                            <w:spacing w:val="-2"/>
                            <w:sz w:val="18"/>
                            <w:szCs w:val="18"/>
                          </w:rPr>
                          <w:t>需要的各类文档等工作，可以达到可使用或可销售状态</w:t>
                        </w:r>
                      </w:p>
                    </w:tc>
                  </w:tr>
                  <w:tr>
                    <w:trPr>
                      <w:trHeight w:val="347" w:hRule="exact"/>
                    </w:trPr>
                    <w:tc>
                      <w:tcPr>
                        <w:tcW w:w="21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重症医学临床信息系统</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72"/>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阶段性成果</w:t>
                        </w:r>
                      </w:p>
                    </w:tc>
                    <w:tc>
                      <w:tcPr>
                        <w:tcW w:w="4395" w:type="dxa"/>
                        <w:vMerge/>
                        <w:tcBorders>
                          <w:left w:val="single" w:sz="6" w:space="0" w:color="000000"/>
                          <w:right w:val="single" w:sz="6" w:space="0" w:color="000000"/>
                        </w:tcBorders>
                      </w:tcPr>
                      <w:p>
                        <w:pPr/>
                      </w:p>
                    </w:tc>
                  </w:tr>
                  <w:tr>
                    <w:trPr>
                      <w:trHeight w:val="348" w:hRule="exact"/>
                    </w:trPr>
                    <w:tc>
                      <w:tcPr>
                        <w:tcW w:w="21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手术室麻醉临床信息系统</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26"/>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阶段性研发中期</w:t>
                        </w:r>
                      </w:p>
                    </w:tc>
                    <w:tc>
                      <w:tcPr>
                        <w:tcW w:w="4395" w:type="dxa"/>
                        <w:vMerge/>
                        <w:tcBorders>
                          <w:left w:val="single" w:sz="6" w:space="0" w:color="000000"/>
                          <w:bottom w:val="single" w:sz="6" w:space="0" w:color="000000"/>
                          <w:right w:val="single" w:sz="6" w:space="0" w:color="000000"/>
                        </w:tcBorders>
                      </w:tcPr>
                      <w:p>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pStyle w:val="Heading3"/>
        <w:spacing w:line="240" w:lineRule="auto" w:before="186"/>
        <w:ind w:right="0"/>
        <w:jc w:val="left"/>
        <w:rPr>
          <w:b w:val="0"/>
          <w:bCs w:val="0"/>
        </w:rPr>
      </w:pPr>
      <w:bookmarkStart w:name="27、商誉" w:id="283"/>
      <w:bookmarkEnd w:id="283"/>
      <w:r>
        <w:rPr>
          <w:b w:val="0"/>
          <w:bCs w:val="0"/>
        </w:rPr>
      </w:r>
      <w:r>
        <w:rPr>
          <w:rFonts w:ascii="Times New Roman" w:hAnsi="Times New Roman" w:cs="Times New Roman" w:eastAsia="Times New Roman" w:hint="default"/>
        </w:rPr>
        <w:t>27</w:t>
      </w:r>
      <w:r>
        <w:rPr/>
        <w:t>、商誉</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商誉账面原值" w:id="284"/>
      <w:bookmarkEnd w:id="284"/>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632" w:type="dxa"/>
        <w:tblLayout w:type="fixed"/>
        <w:tblCellMar>
          <w:top w:w="0" w:type="dxa"/>
          <w:left w:w="0" w:type="dxa"/>
          <w:bottom w:w="0" w:type="dxa"/>
          <w:right w:w="0" w:type="dxa"/>
        </w:tblCellMar>
        <w:tblLook w:val="01E0"/>
      </w:tblPr>
      <w:tblGrid>
        <w:gridCol w:w="2361"/>
        <w:gridCol w:w="1367"/>
        <w:gridCol w:w="2734"/>
        <w:gridCol w:w="1367"/>
        <w:gridCol w:w="2804"/>
      </w:tblGrid>
      <w:tr>
        <w:trPr>
          <w:trHeight w:val="402" w:hRule="exact"/>
        </w:trPr>
        <w:tc>
          <w:tcPr>
            <w:tcW w:w="23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1"/>
              <w:ind w:left="94"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8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center"/>
        <w:rPr>
          <w:rFonts w:ascii="宋体" w:hAnsi="宋体" w:cs="宋体" w:eastAsia="宋体" w:hint="default"/>
          <w:sz w:val="18"/>
          <w:szCs w:val="18"/>
        </w:rPr>
        <w:sectPr>
          <w:pgSz w:w="11910" w:h="16840"/>
          <w:pgMar w:header="566" w:footer="979" w:top="1360" w:bottom="1160" w:left="0" w:right="0"/>
        </w:sectPr>
      </w:pPr>
    </w:p>
    <w:p>
      <w:pPr>
        <w:spacing w:line="240" w:lineRule="auto" w:before="6"/>
        <w:rPr>
          <w:rFonts w:ascii="宋体" w:hAnsi="宋体" w:cs="宋体" w:eastAsia="宋体" w:hint="default"/>
          <w:sz w:val="5"/>
          <w:szCs w:val="5"/>
        </w:rPr>
      </w:pPr>
    </w:p>
    <w:tbl>
      <w:tblPr>
        <w:tblW w:w="0" w:type="auto"/>
        <w:jc w:val="left"/>
        <w:tblInd w:w="632" w:type="dxa"/>
        <w:tblLayout w:type="fixed"/>
        <w:tblCellMar>
          <w:top w:w="0" w:type="dxa"/>
          <w:left w:w="0" w:type="dxa"/>
          <w:bottom w:w="0" w:type="dxa"/>
          <w:right w:w="0" w:type="dxa"/>
        </w:tblCellMar>
        <w:tblLook w:val="01E0"/>
      </w:tblPr>
      <w:tblGrid>
        <w:gridCol w:w="2361"/>
        <w:gridCol w:w="1367"/>
        <w:gridCol w:w="1367"/>
        <w:gridCol w:w="1367"/>
        <w:gridCol w:w="1367"/>
        <w:gridCol w:w="2804"/>
      </w:tblGrid>
      <w:tr>
        <w:trPr>
          <w:trHeight w:val="402" w:hRule="exact"/>
        </w:trPr>
        <w:tc>
          <w:tcPr>
            <w:tcW w:w="23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的事项</w:t>
            </w:r>
          </w:p>
        </w:tc>
        <w:tc>
          <w:tcPr>
            <w:tcW w:w="1367" w:type="dxa"/>
            <w:tcBorders>
              <w:top w:val="single" w:sz="4" w:space="0" w:color="000000"/>
              <w:left w:val="single" w:sz="4" w:space="0" w:color="000000"/>
              <w:bottom w:val="single" w:sz="4" w:space="0" w:color="000000"/>
              <w:right w:val="single" w:sz="9" w:space="0" w:color="D2D2D2"/>
            </w:tcBorders>
            <w:shd w:val="clear" w:color="auto" w:fill="D9D9D9"/>
          </w:tcPr>
          <w:p>
            <w:pPr/>
          </w:p>
        </w:tc>
        <w:tc>
          <w:tcPr>
            <w:tcW w:w="1367" w:type="dxa"/>
            <w:tcBorders>
              <w:top w:val="single" w:sz="4" w:space="0" w:color="000000"/>
              <w:left w:val="single" w:sz="4" w:space="0" w:color="000000"/>
              <w:bottom w:val="single" w:sz="4" w:space="0" w:color="000000"/>
              <w:right w:val="single" w:sz="9" w:space="0" w:color="D9D9D9"/>
            </w:tcBorders>
            <w:shd w:val="clear" w:color="auto" w:fill="D2D2D2"/>
          </w:tcPr>
          <w:p>
            <w:pPr>
              <w:pStyle w:val="TableParagraph"/>
              <w:spacing w:line="240" w:lineRule="auto" w:before="51"/>
              <w:ind w:right="42"/>
              <w:jc w:val="righ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处置</w:t>
            </w:r>
          </w:p>
        </w:tc>
        <w:tc>
          <w:tcPr>
            <w:tcW w:w="2804" w:type="dxa"/>
            <w:tcBorders>
              <w:top w:val="single" w:sz="4" w:space="0" w:color="000000"/>
              <w:left w:val="single" w:sz="4" w:space="0" w:color="000000"/>
              <w:bottom w:val="single" w:sz="4" w:space="0" w:color="000000"/>
              <w:right w:val="single" w:sz="4" w:space="0" w:color="000000"/>
            </w:tcBorders>
            <w:shd w:val="clear" w:color="auto" w:fill="D9D9D9"/>
          </w:tcPr>
          <w:p>
            <w:pPr/>
          </w:p>
        </w:tc>
      </w:tr>
      <w:tr>
        <w:trPr>
          <w:trHeight w:val="402" w:hRule="exact"/>
        </w:trPr>
        <w:tc>
          <w:tcPr>
            <w:tcW w:w="23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享云科技公司</w:t>
            </w:r>
          </w:p>
        </w:tc>
        <w:tc>
          <w:tcPr>
            <w:tcW w:w="1367"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8,616,399.34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8,616,399.34</w:t>
            </w:r>
          </w:p>
        </w:tc>
      </w:tr>
      <w:tr>
        <w:trPr>
          <w:trHeight w:val="402" w:hRule="exact"/>
        </w:trPr>
        <w:tc>
          <w:tcPr>
            <w:tcW w:w="23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上海米健</w:t>
            </w:r>
          </w:p>
        </w:tc>
        <w:tc>
          <w:tcPr>
            <w:tcW w:w="1367" w:type="dxa"/>
            <w:tcBorders>
              <w:top w:val="single" w:sz="4" w:space="0" w:color="000000"/>
              <w:left w:val="single" w:sz="13" w:space="0" w:color="D9D9D9"/>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126,125,037.69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126,125,037.69</w:t>
            </w:r>
          </w:p>
        </w:tc>
      </w:tr>
      <w:tr>
        <w:trPr>
          <w:trHeight w:val="402" w:hRule="exact"/>
        </w:trPr>
        <w:tc>
          <w:tcPr>
            <w:tcW w:w="2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8,616,399.34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126,125,037.69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134,741,437.03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商誉减值准备" w:id="285"/>
      <w:bookmarkEnd w:id="285"/>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133" w:right="4273"/>
        <w:jc w:val="left"/>
      </w:pPr>
      <w:r>
        <w:rPr/>
        <w:t>公司于期末对商誉进行减值测试，未发现商誉存在减值，故未计提商誉减值准备。 其他说明：</w:t>
      </w:r>
    </w:p>
    <w:p>
      <w:pPr>
        <w:pStyle w:val="BodyText"/>
        <w:spacing w:line="302" w:lineRule="auto" w:before="25"/>
        <w:ind w:left="1133" w:right="1154"/>
        <w:jc w:val="left"/>
      </w:pPr>
      <w:r>
        <w:rPr/>
        <w:t>报告期内，本公司收购上海米健信息技术有限公司</w:t>
      </w:r>
      <w:r>
        <w:rPr>
          <w:spacing w:val="-46"/>
        </w:rPr>
        <w:t> </w:t>
      </w:r>
      <w:r>
        <w:rPr>
          <w:rFonts w:ascii="Times New Roman" w:hAnsi="Times New Roman" w:cs="Times New Roman" w:eastAsia="Times New Roman" w:hint="default"/>
          <w:spacing w:val="-5"/>
        </w:rPr>
        <w:t>51.00%</w:t>
      </w:r>
      <w:r>
        <w:rPr>
          <w:spacing w:val="-5"/>
        </w:rPr>
        <w:t>股权，详见本报告第十节、八、</w:t>
      </w:r>
      <w:r>
        <w:rPr>
          <w:rFonts w:ascii="Times New Roman" w:hAnsi="Times New Roman" w:cs="Times New Roman" w:eastAsia="Times New Roman" w:hint="default"/>
          <w:spacing w:val="-5"/>
        </w:rPr>
        <w:t>1</w:t>
      </w:r>
      <w:r>
        <w:rPr>
          <w:spacing w:val="-5"/>
        </w:rPr>
        <w:t>、（</w:t>
      </w:r>
      <w:r>
        <w:rPr>
          <w:rFonts w:ascii="Times New Roman" w:hAnsi="Times New Roman" w:cs="Times New Roman" w:eastAsia="Times New Roman" w:hint="default"/>
          <w:spacing w:val="-5"/>
        </w:rPr>
        <w:t>2</w:t>
      </w:r>
      <w:r>
        <w:rPr>
          <w:spacing w:val="-5"/>
        </w:rPr>
        <w:t>），本公司按非同一控制下</w:t>
      </w:r>
      <w:r>
        <w:rPr/>
        <w:t> 的企业合并将合并成本与确认的被收购方可辨认净资产公允价值份额之间的差额确认为商誉。</w:t>
      </w:r>
    </w:p>
    <w:p>
      <w:pPr>
        <w:spacing w:line="240" w:lineRule="auto" w:before="2"/>
        <w:rPr>
          <w:rFonts w:ascii="宋体" w:hAnsi="宋体" w:cs="宋体" w:eastAsia="宋体" w:hint="default"/>
          <w:sz w:val="23"/>
          <w:szCs w:val="23"/>
        </w:rPr>
      </w:pPr>
    </w:p>
    <w:p>
      <w:pPr>
        <w:pStyle w:val="Heading3"/>
        <w:spacing w:line="240" w:lineRule="auto"/>
        <w:ind w:left="1133" w:right="0"/>
        <w:jc w:val="left"/>
        <w:rPr>
          <w:b w:val="0"/>
          <w:bCs w:val="0"/>
        </w:rPr>
      </w:pPr>
      <w:bookmarkStart w:name="28、长期待摊费用" w:id="286"/>
      <w:bookmarkEnd w:id="286"/>
      <w:r>
        <w:rPr>
          <w:b w:val="0"/>
          <w:bCs w:val="0"/>
        </w:rPr>
      </w:r>
      <w:r>
        <w:rPr>
          <w:rFonts w:ascii="Times New Roman" w:hAnsi="Times New Roman" w:cs="Times New Roman" w:eastAsia="Times New Roman" w:hint="default"/>
        </w:rPr>
        <w:t>28</w:t>
      </w:r>
      <w:r>
        <w:rPr/>
        <w:t>、长期待摊费用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8" w:type="dxa"/>
        <w:tblLayout w:type="fixed"/>
        <w:tblCellMar>
          <w:top w:w="0" w:type="dxa"/>
          <w:left w:w="0" w:type="dxa"/>
          <w:bottom w:w="0" w:type="dxa"/>
          <w:right w:w="0" w:type="dxa"/>
        </w:tblCellMar>
        <w:tblLook w:val="01E0"/>
      </w:tblPr>
      <w:tblGrid>
        <w:gridCol w:w="2978"/>
        <w:gridCol w:w="1702"/>
        <w:gridCol w:w="1700"/>
        <w:gridCol w:w="1559"/>
        <w:gridCol w:w="1702"/>
      </w:tblGrid>
      <w:tr>
        <w:trPr>
          <w:trHeight w:val="401"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302"/>
              <w:jc w:val="right"/>
              <w:rPr>
                <w:rFonts w:ascii="宋体" w:hAnsi="宋体" w:cs="宋体" w:eastAsia="宋体" w:hint="default"/>
                <w:sz w:val="18"/>
                <w:szCs w:val="18"/>
              </w:rPr>
            </w:pPr>
            <w:r>
              <w:rPr>
                <w:rFonts w:ascii="宋体" w:hAnsi="宋体" w:cs="宋体" w:eastAsia="宋体" w:hint="default"/>
                <w:sz w:val="18"/>
                <w:szCs w:val="18"/>
              </w:rPr>
              <w:t>项目</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04"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租赁资产装修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2,144,860.00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490,560.00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1,654,300.00</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信息公告费</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339,622.64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14,150.94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325,471.70</w:t>
            </w:r>
          </w:p>
        </w:tc>
      </w:tr>
      <w:tr>
        <w:trPr>
          <w:trHeight w:val="403"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302"/>
              <w:jc w:val="right"/>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2,144,860.00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339,622.64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504,710.94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1,979,771.70</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9、递延所得税资产/递延所得税负债" w:id="287"/>
      <w:bookmarkEnd w:id="287"/>
      <w:r>
        <w:rPr>
          <w:b w:val="0"/>
          <w:bCs w:val="0"/>
        </w:rPr>
      </w: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未经抵销的递延所得税资产" w:id="288"/>
      <w:bookmarkEnd w:id="288"/>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808" w:type="dxa"/>
        <w:tblLayout w:type="fixed"/>
        <w:tblCellMar>
          <w:top w:w="0" w:type="dxa"/>
          <w:left w:w="0" w:type="dxa"/>
          <w:bottom w:w="0" w:type="dxa"/>
          <w:right w:w="0" w:type="dxa"/>
        </w:tblCellMar>
        <w:tblLook w:val="01E0"/>
      </w:tblPr>
      <w:tblGrid>
        <w:gridCol w:w="2621"/>
        <w:gridCol w:w="1916"/>
        <w:gridCol w:w="1914"/>
        <w:gridCol w:w="1914"/>
        <w:gridCol w:w="1914"/>
      </w:tblGrid>
      <w:tr>
        <w:trPr>
          <w:trHeight w:val="402" w:hRule="exact"/>
        </w:trPr>
        <w:tc>
          <w:tcPr>
            <w:tcW w:w="2621" w:type="dxa"/>
            <w:vMerge w:val="restart"/>
            <w:tcBorders>
              <w:top w:val="single" w:sz="4" w:space="0" w:color="000000"/>
              <w:left w:val="single" w:sz="4" w:space="0" w:color="000000"/>
              <w:right w:val="single" w:sz="9" w:space="0" w:color="D2D2D2"/>
            </w:tcBorders>
            <w:shd w:val="clear" w:color="auto" w:fill="D9D9D9"/>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621" w:type="dxa"/>
            <w:vMerge/>
            <w:tcBorders>
              <w:left w:val="single" w:sz="4" w:space="0" w:color="000000"/>
              <w:bottom w:val="single" w:sz="4" w:space="0" w:color="000000"/>
              <w:right w:val="single" w:sz="9" w:space="0" w:color="D2D2D2"/>
            </w:tcBorders>
            <w:shd w:val="clear" w:color="auto" w:fill="D9D9D9"/>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32,080,165.38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4,885,354.55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17,832,626.10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2,726,962.17</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4,910,000.00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736,500.00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315,000.00</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36,990,165.38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5,621,854.55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19,932,626.10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3,041,962.17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未经抵销的递延所得税负债" w:id="289"/>
      <w:bookmarkEnd w:id="289"/>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807" w:type="dxa"/>
        <w:tblLayout w:type="fixed"/>
        <w:tblCellMar>
          <w:top w:w="0" w:type="dxa"/>
          <w:left w:w="0" w:type="dxa"/>
          <w:bottom w:w="0" w:type="dxa"/>
          <w:right w:w="0" w:type="dxa"/>
        </w:tblCellMar>
        <w:tblLook w:val="01E0"/>
      </w:tblPr>
      <w:tblGrid>
        <w:gridCol w:w="2837"/>
        <w:gridCol w:w="1984"/>
        <w:gridCol w:w="1843"/>
        <w:gridCol w:w="1844"/>
        <w:gridCol w:w="1772"/>
      </w:tblGrid>
      <w:tr>
        <w:trPr>
          <w:trHeight w:val="402" w:hRule="exact"/>
        </w:trPr>
        <w:tc>
          <w:tcPr>
            <w:tcW w:w="28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6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6"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5"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02" w:hRule="exact"/>
        </w:trPr>
        <w:tc>
          <w:tcPr>
            <w:tcW w:w="28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未实现固定资产处置损益</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1,750,198.84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437,549.72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1,808,793.23</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452,198.32</w:t>
            </w:r>
          </w:p>
        </w:tc>
      </w:tr>
      <w:tr>
        <w:trPr>
          <w:trHeight w:val="402" w:hRule="exact"/>
        </w:trPr>
        <w:tc>
          <w:tcPr>
            <w:tcW w:w="28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非同一控制企业合并资产评估增值</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3,150,028.89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472,504.33</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4,900,227.73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910,054.05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1,808,793.23</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452,198.32</w:t>
            </w:r>
          </w:p>
        </w:tc>
      </w:tr>
    </w:tbl>
    <w:p>
      <w:pPr>
        <w:spacing w:after="0" w:line="240" w:lineRule="auto"/>
        <w:jc w:val="right"/>
        <w:rPr>
          <w:rFonts w:ascii="Times New Roman" w:hAnsi="Times New Roman" w:cs="Times New Roman" w:eastAsia="Times New Roman" w:hint="default"/>
          <w:sz w:val="18"/>
          <w:szCs w:val="18"/>
        </w:rPr>
        <w:sectPr>
          <w:pgSz w:w="11910" w:h="16840"/>
          <w:pgMar w:header="566" w:footer="979" w:top="1360" w:bottom="1160" w:left="0" w:right="0"/>
        </w:sectPr>
      </w:pPr>
    </w:p>
    <w:p>
      <w:pPr>
        <w:pStyle w:val="Heading3"/>
        <w:spacing w:line="240" w:lineRule="auto" w:before="57"/>
        <w:ind w:right="0"/>
        <w:jc w:val="left"/>
        <w:rPr>
          <w:b w:val="0"/>
          <w:bCs w:val="0"/>
        </w:rPr>
      </w:pPr>
      <w:bookmarkStart w:name="（3）以抵销后净额列示的递延所得税资产或负债" w:id="290"/>
      <w:bookmarkEnd w:id="290"/>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74" w:type="dxa"/>
        <w:tblLayout w:type="fixed"/>
        <w:tblCellMar>
          <w:top w:w="0" w:type="dxa"/>
          <w:left w:w="0" w:type="dxa"/>
          <w:bottom w:w="0" w:type="dxa"/>
          <w:right w:w="0" w:type="dxa"/>
        </w:tblCellMar>
        <w:tblLook w:val="01E0"/>
      </w:tblPr>
      <w:tblGrid>
        <w:gridCol w:w="1901"/>
        <w:gridCol w:w="1916"/>
        <w:gridCol w:w="1914"/>
        <w:gridCol w:w="1914"/>
        <w:gridCol w:w="1914"/>
      </w:tblGrid>
      <w:tr>
        <w:trPr>
          <w:trHeight w:val="162"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322" w:right="49"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412"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322" w:right="49"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5,621,854.55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3,041,962.17</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910,054.05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452,198.32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未确认递延所得税资产明细" w:id="291"/>
      <w:bookmarkEnd w:id="291"/>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74" w:type="dxa"/>
        <w:tblLayout w:type="fixed"/>
        <w:tblCellMar>
          <w:top w:w="0" w:type="dxa"/>
          <w:left w:w="0" w:type="dxa"/>
          <w:bottom w:w="0" w:type="dxa"/>
          <w:right w:w="0" w:type="dxa"/>
        </w:tblCellMar>
        <w:tblLook w:val="01E0"/>
      </w:tblPr>
      <w:tblGrid>
        <w:gridCol w:w="3164"/>
        <w:gridCol w:w="3205"/>
        <w:gridCol w:w="3190"/>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95"/>
              <w:jc w:val="right"/>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4,273,709.80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2,393,239.37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95"/>
              <w:jc w:val="righ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4,273,709.80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2,393,239.37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未确认递延所得税资产的可抵扣亏损将于以下年度到期" w:id="292"/>
      <w:bookmarkEnd w:id="292"/>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64" w:type="dxa"/>
        <w:tblLayout w:type="fixed"/>
        <w:tblCellMar>
          <w:top w:w="0" w:type="dxa"/>
          <w:left w:w="0" w:type="dxa"/>
          <w:bottom w:w="0" w:type="dxa"/>
          <w:right w:w="0" w:type="dxa"/>
        </w:tblCellMar>
        <w:tblLook w:val="01E0"/>
      </w:tblPr>
      <w:tblGrid>
        <w:gridCol w:w="2390"/>
        <w:gridCol w:w="2396"/>
        <w:gridCol w:w="2392"/>
        <w:gridCol w:w="2393"/>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2017</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224,156.11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224,156.11</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2018</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512,035.70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512,035.70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2019</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1,657,047.56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1,657,047.56</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2020</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1,880,470.43</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4,273,709.80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2,393,239.37</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pStyle w:val="BodyText"/>
        <w:spacing w:line="302" w:lineRule="auto" w:before="116"/>
        <w:ind w:left="1133" w:right="1201"/>
        <w:jc w:val="left"/>
      </w:pPr>
      <w:r>
        <w:rPr/>
        <w:t>①递延所得税资产期末余额较期初余额增加</w:t>
      </w:r>
      <w:r>
        <w:rPr>
          <w:spacing w:val="-46"/>
        </w:rPr>
        <w:t> </w:t>
      </w:r>
      <w:r>
        <w:rPr>
          <w:rFonts w:ascii="Times New Roman" w:hAnsi="Times New Roman" w:cs="Times New Roman" w:eastAsia="Times New Roman" w:hint="default"/>
        </w:rPr>
        <w:t>2,579,892.38</w:t>
      </w:r>
      <w:r>
        <w:rPr>
          <w:rFonts w:ascii="Times New Roman" w:hAnsi="Times New Roman" w:cs="Times New Roman" w:eastAsia="Times New Roman" w:hint="default"/>
          <w:spacing w:val="-1"/>
        </w:rPr>
        <w:t> </w:t>
      </w:r>
      <w:r>
        <w:rPr/>
        <w:t>元，增幅</w:t>
      </w:r>
      <w:r>
        <w:rPr>
          <w:spacing w:val="-46"/>
        </w:rPr>
        <w:t> </w:t>
      </w:r>
      <w:r>
        <w:rPr>
          <w:rFonts w:ascii="Times New Roman" w:hAnsi="Times New Roman" w:cs="Times New Roman" w:eastAsia="Times New Roman" w:hint="default"/>
        </w:rPr>
        <w:t>84.81%</w:t>
      </w:r>
      <w:r>
        <w:rPr/>
        <w:t>，主要系本报告期坏账准备金额增加，可抵扣暂 时性差异金额相应增加所致。</w:t>
      </w:r>
    </w:p>
    <w:p>
      <w:pPr>
        <w:pStyle w:val="BodyText"/>
        <w:spacing w:line="302" w:lineRule="auto" w:before="68"/>
        <w:ind w:left="1133" w:right="1118"/>
        <w:jc w:val="left"/>
      </w:pPr>
      <w:r>
        <w:rPr/>
        <w:t>②递延所得税负债期末余额较期初余额增加</w:t>
      </w:r>
      <w:r>
        <w:rPr>
          <w:spacing w:val="-54"/>
        </w:rPr>
        <w:t> </w:t>
      </w:r>
      <w:r>
        <w:rPr>
          <w:rFonts w:ascii="Times New Roman" w:hAnsi="Times New Roman" w:cs="Times New Roman" w:eastAsia="Times New Roman" w:hint="default"/>
        </w:rPr>
        <w:t>457,855.73</w:t>
      </w:r>
      <w:r>
        <w:rPr>
          <w:rFonts w:ascii="Times New Roman" w:hAnsi="Times New Roman" w:cs="Times New Roman" w:eastAsia="Times New Roman" w:hint="default"/>
          <w:spacing w:val="-9"/>
        </w:rPr>
        <w:t> </w:t>
      </w:r>
      <w:r>
        <w:rPr>
          <w:spacing w:val="-7"/>
        </w:rPr>
        <w:t>元，增幅</w:t>
      </w:r>
      <w:r>
        <w:rPr>
          <w:spacing w:val="-54"/>
        </w:rPr>
        <w:t> </w:t>
      </w:r>
      <w:r>
        <w:rPr>
          <w:rFonts w:ascii="Times New Roman" w:hAnsi="Times New Roman" w:cs="Times New Roman" w:eastAsia="Times New Roman" w:hint="default"/>
        </w:rPr>
        <w:t>101.25%</w:t>
      </w:r>
      <w:r>
        <w:rPr/>
        <w:t>，主要系报告期内非同一控制下企业合并资产评估 增值所致。</w:t>
      </w:r>
    </w:p>
    <w:p>
      <w:pPr>
        <w:spacing w:line="240" w:lineRule="auto" w:before="3"/>
        <w:rPr>
          <w:rFonts w:ascii="宋体" w:hAnsi="宋体" w:cs="宋体" w:eastAsia="宋体" w:hint="default"/>
          <w:sz w:val="23"/>
          <w:szCs w:val="23"/>
        </w:rPr>
      </w:pPr>
    </w:p>
    <w:p>
      <w:pPr>
        <w:pStyle w:val="Heading3"/>
        <w:spacing w:line="240" w:lineRule="auto"/>
        <w:ind w:left="1133" w:right="0"/>
        <w:jc w:val="left"/>
        <w:rPr>
          <w:b w:val="0"/>
          <w:bCs w:val="0"/>
        </w:rPr>
      </w:pPr>
      <w:bookmarkStart w:name="30、其他非流动资产" w:id="293"/>
      <w:bookmarkEnd w:id="293"/>
      <w:r>
        <w:rPr>
          <w:b w:val="0"/>
          <w:bCs w:val="0"/>
        </w:rPr>
      </w:r>
      <w:r>
        <w:rPr>
          <w:rFonts w:ascii="Times New Roman" w:hAnsi="Times New Roman" w:cs="Times New Roman" w:eastAsia="Times New Roman" w:hint="default"/>
        </w:rPr>
        <w:t>30</w:t>
      </w:r>
      <w:r>
        <w:rPr/>
        <w:t>、其他非流动资产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31、短期借款" w:id="294"/>
      <w:bookmarkEnd w:id="294"/>
      <w:r>
        <w:rPr>
          <w:b w:val="0"/>
          <w:bCs w:val="0"/>
        </w:rPr>
      </w:r>
      <w:r>
        <w:rPr>
          <w:rFonts w:ascii="Times New Roman" w:hAnsi="Times New Roman" w:cs="Times New Roman" w:eastAsia="Times New Roman" w:hint="default"/>
        </w:rPr>
        <w:t>31</w:t>
      </w:r>
      <w:r>
        <w:rPr/>
        <w:t>、短期借款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短期借款分类" w:id="295"/>
      <w:bookmarkEnd w:id="295"/>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62"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566" w:footer="979" w:top="1360" w:bottom="1160" w:left="0" w:right="0"/>
        </w:sectPr>
      </w:pPr>
    </w:p>
    <w:p>
      <w:pPr>
        <w:spacing w:line="240" w:lineRule="auto" w:before="6"/>
        <w:rPr>
          <w:rFonts w:ascii="宋体" w:hAnsi="宋体" w:cs="宋体" w:eastAsia="宋体" w:hint="default"/>
          <w:sz w:val="5"/>
          <w:szCs w:val="5"/>
        </w:rPr>
      </w:pPr>
    </w:p>
    <w:tbl>
      <w:tblPr>
        <w:tblW w:w="0" w:type="auto"/>
        <w:jc w:val="left"/>
        <w:tblInd w:w="1162" w:type="dxa"/>
        <w:tblLayout w:type="fixed"/>
        <w:tblCellMar>
          <w:top w:w="0" w:type="dxa"/>
          <w:left w:w="0" w:type="dxa"/>
          <w:bottom w:w="0" w:type="dxa"/>
          <w:right w:w="0" w:type="dxa"/>
        </w:tblCellMar>
        <w:tblLook w:val="01E0"/>
      </w:tblPr>
      <w:tblGrid>
        <w:gridCol w:w="3188"/>
        <w:gridCol w:w="3194"/>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12,841,079.40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71,600,000.00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34,233,893.68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12,841,079.40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113,833,893.68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已逾期未偿还的短期借款情况" w:id="296"/>
      <w:bookmarkEnd w:id="296"/>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9852"/>
        <w:jc w:val="left"/>
      </w:pPr>
      <w:r>
        <w:rPr/>
        <w:t>无 其他说明：</w:t>
      </w:r>
    </w:p>
    <w:p>
      <w:pPr>
        <w:pStyle w:val="BodyText"/>
        <w:spacing w:line="240" w:lineRule="auto" w:before="26"/>
        <w:ind w:left="1133" w:right="0"/>
        <w:jc w:val="left"/>
      </w:pPr>
      <w:r>
        <w:rPr/>
        <w:t>短期借款期末余额较期初余额减少</w:t>
      </w:r>
      <w:r>
        <w:rPr>
          <w:spacing w:val="-47"/>
        </w:rPr>
        <w:t> </w:t>
      </w:r>
      <w:r>
        <w:rPr>
          <w:rFonts w:ascii="Times New Roman" w:hAnsi="Times New Roman" w:cs="Times New Roman" w:eastAsia="Times New Roman" w:hint="default"/>
        </w:rPr>
        <w:t>100,992,814.28</w:t>
      </w:r>
      <w:r>
        <w:rPr>
          <w:rFonts w:ascii="Times New Roman" w:hAnsi="Times New Roman" w:cs="Times New Roman" w:eastAsia="Times New Roman" w:hint="default"/>
          <w:spacing w:val="-1"/>
        </w:rPr>
        <w:t> </w:t>
      </w:r>
      <w:r>
        <w:rPr/>
        <w:t>元，减幅</w:t>
      </w:r>
      <w:r>
        <w:rPr>
          <w:spacing w:val="-47"/>
        </w:rPr>
        <w:t> </w:t>
      </w:r>
      <w:r>
        <w:rPr>
          <w:rFonts w:ascii="Times New Roman" w:hAnsi="Times New Roman" w:cs="Times New Roman" w:eastAsia="Times New Roman" w:hint="default"/>
        </w:rPr>
        <w:t>88.72%</w:t>
      </w:r>
      <w:r>
        <w:rPr/>
        <w:t>，主要系公司本报告期归还借款所致。</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2、以公允价值计量且其变动计入当期损益的金融负债" w:id="297"/>
      <w:bookmarkEnd w:id="297"/>
      <w:r>
        <w:rPr>
          <w:b w:val="0"/>
          <w:bCs w:val="0"/>
        </w:rPr>
      </w: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3"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33、衍生金融负债" w:id="298"/>
      <w:bookmarkEnd w:id="298"/>
      <w:r>
        <w:rPr>
          <w:b w:val="0"/>
          <w:bCs w:val="0"/>
        </w:rPr>
      </w:r>
      <w:r>
        <w:rPr>
          <w:rFonts w:ascii="Times New Roman" w:hAnsi="Times New Roman" w:cs="Times New Roman" w:eastAsia="Times New Roman" w:hint="default"/>
        </w:rPr>
        <w:t>33</w:t>
      </w:r>
      <w:r>
        <w:rPr/>
        <w:t>、衍生金融负债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4、应付票据" w:id="299"/>
      <w:bookmarkEnd w:id="299"/>
      <w:r>
        <w:rPr>
          <w:b w:val="0"/>
          <w:bCs w:val="0"/>
        </w:rPr>
      </w:r>
      <w:r>
        <w:rPr>
          <w:rFonts w:ascii="Times New Roman" w:hAnsi="Times New Roman" w:cs="Times New Roman" w:eastAsia="Times New Roman" w:hint="default"/>
        </w:rPr>
        <w:t>34</w:t>
      </w:r>
      <w:r>
        <w:rPr/>
        <w:t>、应付票据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74" w:type="dxa"/>
        <w:tblLayout w:type="fixed"/>
        <w:tblCellMar>
          <w:top w:w="0" w:type="dxa"/>
          <w:left w:w="0" w:type="dxa"/>
          <w:bottom w:w="0" w:type="dxa"/>
          <w:right w:w="0" w:type="dxa"/>
        </w:tblCellMar>
        <w:tblLook w:val="01E0"/>
      </w:tblPr>
      <w:tblGrid>
        <w:gridCol w:w="3164"/>
        <w:gridCol w:w="3205"/>
        <w:gridCol w:w="3190"/>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95"/>
              <w:jc w:val="right"/>
              <w:rPr>
                <w:rFonts w:ascii="宋体" w:hAnsi="宋体" w:cs="宋体" w:eastAsia="宋体" w:hint="default"/>
                <w:sz w:val="18"/>
                <w:szCs w:val="18"/>
              </w:rPr>
            </w:pPr>
            <w:r>
              <w:rPr>
                <w:rFonts w:ascii="宋体" w:hAnsi="宋体" w:cs="宋体" w:eastAsia="宋体" w:hint="default"/>
                <w:sz w:val="18"/>
                <w:szCs w:val="18"/>
              </w:rPr>
              <w:t>种类</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26,730,489.00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21,004,366.00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95"/>
              <w:jc w:val="righ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26,730,489.00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21,004,366.00</w:t>
            </w:r>
          </w:p>
        </w:tc>
      </w:tr>
    </w:tbl>
    <w:p>
      <w:pPr>
        <w:pStyle w:val="BodyText"/>
        <w:spacing w:line="240" w:lineRule="auto" w:before="51"/>
        <w:ind w:right="0"/>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5、应付账款" w:id="300"/>
      <w:bookmarkEnd w:id="300"/>
      <w:r>
        <w:rPr>
          <w:b w:val="0"/>
          <w:bCs w:val="0"/>
        </w:rPr>
      </w:r>
      <w:r>
        <w:rPr>
          <w:rFonts w:ascii="Times New Roman" w:hAnsi="Times New Roman" w:cs="Times New Roman" w:eastAsia="Times New Roman" w:hint="default"/>
        </w:rPr>
        <w:t>35</w:t>
      </w:r>
      <w:r>
        <w:rPr/>
        <w:t>、应付账款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付账款列示" w:id="301"/>
      <w:bookmarkEnd w:id="301"/>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62" w:type="dxa"/>
        <w:tblLayout w:type="fixed"/>
        <w:tblCellMar>
          <w:top w:w="0" w:type="dxa"/>
          <w:left w:w="0" w:type="dxa"/>
          <w:bottom w:w="0" w:type="dxa"/>
          <w:right w:w="0" w:type="dxa"/>
        </w:tblCellMar>
        <w:tblLook w:val="01E0"/>
      </w:tblPr>
      <w:tblGrid>
        <w:gridCol w:w="3188"/>
        <w:gridCol w:w="3194"/>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406"/>
              <w:jc w:val="right"/>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97,221,516.80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47,539,721.70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7,019,194.12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994,751.36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406"/>
              <w:jc w:val="righ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104,240,710.92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48,534,473.06</w:t>
            </w:r>
          </w:p>
        </w:tc>
      </w:tr>
    </w:tbl>
    <w:p>
      <w:pPr>
        <w:spacing w:after="0" w:line="240" w:lineRule="auto"/>
        <w:jc w:val="right"/>
        <w:rPr>
          <w:rFonts w:ascii="Times New Roman" w:hAnsi="Times New Roman" w:cs="Times New Roman" w:eastAsia="Times New Roman" w:hint="default"/>
          <w:sz w:val="18"/>
          <w:szCs w:val="18"/>
        </w:rPr>
        <w:sectPr>
          <w:pgSz w:w="11910" w:h="16840"/>
          <w:pgMar w:header="566" w:footer="979" w:top="1360" w:bottom="1160" w:left="0" w:right="0"/>
        </w:sectPr>
      </w:pPr>
    </w:p>
    <w:p>
      <w:pPr>
        <w:pStyle w:val="Heading3"/>
        <w:spacing w:line="240" w:lineRule="auto" w:before="57"/>
        <w:ind w:right="0"/>
        <w:jc w:val="left"/>
        <w:rPr>
          <w:b w:val="0"/>
          <w:bCs w:val="0"/>
        </w:rPr>
      </w:pPr>
      <w:bookmarkStart w:name="（2）账龄超过1年的重要应付账款" w:id="302"/>
      <w:bookmarkEnd w:id="302"/>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62" w:type="dxa"/>
        <w:tblLayout w:type="fixed"/>
        <w:tblCellMar>
          <w:top w:w="0" w:type="dxa"/>
          <w:left w:w="0" w:type="dxa"/>
          <w:bottom w:w="0" w:type="dxa"/>
          <w:right w:w="0" w:type="dxa"/>
        </w:tblCellMar>
        <w:tblLook w:val="01E0"/>
      </w:tblPr>
      <w:tblGrid>
        <w:gridCol w:w="3188"/>
        <w:gridCol w:w="3194"/>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北京广行世纪科技有限公司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3,969,764.10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3,969,764.10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pStyle w:val="BodyText"/>
        <w:spacing w:line="302" w:lineRule="auto" w:before="115"/>
        <w:ind w:right="1211"/>
        <w:jc w:val="left"/>
      </w:pPr>
      <w:r>
        <w:rPr/>
        <w:t>本项目期末余额较期初余额增加</w:t>
      </w:r>
      <w:r>
        <w:rPr>
          <w:spacing w:val="-50"/>
        </w:rPr>
        <w:t> </w:t>
      </w:r>
      <w:r>
        <w:rPr>
          <w:rFonts w:ascii="Times New Roman" w:hAnsi="Times New Roman" w:cs="Times New Roman" w:eastAsia="Times New Roman" w:hint="default"/>
        </w:rPr>
        <w:t>55,706,237.86</w:t>
      </w:r>
      <w:r>
        <w:rPr>
          <w:rFonts w:ascii="Times New Roman" w:hAnsi="Times New Roman" w:cs="Times New Roman" w:eastAsia="Times New Roman" w:hint="default"/>
          <w:spacing w:val="-4"/>
        </w:rPr>
        <w:t> </w:t>
      </w:r>
      <w:r>
        <w:rPr/>
        <w:t>元，增幅</w:t>
      </w:r>
      <w:r>
        <w:rPr>
          <w:spacing w:val="-50"/>
        </w:rPr>
        <w:t> </w:t>
      </w:r>
      <w:r>
        <w:rPr>
          <w:rFonts w:ascii="Times New Roman" w:hAnsi="Times New Roman" w:cs="Times New Roman" w:eastAsia="Times New Roman" w:hint="default"/>
        </w:rPr>
        <w:t>114.78%</w:t>
      </w:r>
      <w:r>
        <w:rPr/>
        <w:t>，主要系公司业务规模扩大，采购量增加，相应应付款项 增加所致。</w:t>
      </w:r>
    </w:p>
    <w:p>
      <w:pPr>
        <w:spacing w:line="240" w:lineRule="auto" w:before="3"/>
        <w:rPr>
          <w:rFonts w:ascii="宋体" w:hAnsi="宋体" w:cs="宋体" w:eastAsia="宋体" w:hint="default"/>
          <w:sz w:val="23"/>
          <w:szCs w:val="23"/>
        </w:rPr>
      </w:pPr>
    </w:p>
    <w:p>
      <w:pPr>
        <w:pStyle w:val="Heading3"/>
        <w:spacing w:line="240" w:lineRule="auto"/>
        <w:ind w:right="0"/>
        <w:jc w:val="left"/>
        <w:rPr>
          <w:b w:val="0"/>
          <w:bCs w:val="0"/>
        </w:rPr>
      </w:pPr>
      <w:bookmarkStart w:name="36、预收款项" w:id="303"/>
      <w:bookmarkEnd w:id="303"/>
      <w:r>
        <w:rPr>
          <w:b w:val="0"/>
          <w:bCs w:val="0"/>
        </w:rPr>
      </w:r>
      <w:r>
        <w:rPr>
          <w:rFonts w:ascii="Times New Roman" w:hAnsi="Times New Roman" w:cs="Times New Roman" w:eastAsia="Times New Roman" w:hint="default"/>
        </w:rPr>
        <w:t>36</w:t>
      </w:r>
      <w:r>
        <w:rPr/>
        <w:t>、预收款项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预收款项列示" w:id="304"/>
      <w:bookmarkEnd w:id="304"/>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62" w:type="dxa"/>
        <w:tblLayout w:type="fixed"/>
        <w:tblCellMar>
          <w:top w:w="0" w:type="dxa"/>
          <w:left w:w="0" w:type="dxa"/>
          <w:bottom w:w="0" w:type="dxa"/>
          <w:right w:w="0" w:type="dxa"/>
        </w:tblCellMar>
        <w:tblLook w:val="01E0"/>
      </w:tblPr>
      <w:tblGrid>
        <w:gridCol w:w="3188"/>
        <w:gridCol w:w="3194"/>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406"/>
              <w:jc w:val="right"/>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9,904,371.95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5,057,219.48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53,459.12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556,150.00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404,650.00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406"/>
              <w:jc w:val="righ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10,362,481.07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5,613,369.48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预收款项" w:id="305"/>
      <w:bookmarkEnd w:id="305"/>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期末建造合同形成的已结算未完工项目情况" w:id="306"/>
      <w:bookmarkEnd w:id="306"/>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9852"/>
        <w:jc w:val="left"/>
      </w:pPr>
      <w:r>
        <w:rPr/>
        <w:t>无 其他说明：</w:t>
      </w:r>
    </w:p>
    <w:p>
      <w:pPr>
        <w:pStyle w:val="BodyText"/>
        <w:spacing w:line="240" w:lineRule="auto" w:before="26"/>
        <w:ind w:left="1133" w:right="0"/>
        <w:jc w:val="left"/>
      </w:pPr>
      <w:r>
        <w:rPr/>
        <w:t>预收账款期末余额较期初余额增加</w:t>
      </w:r>
      <w:r>
        <w:rPr>
          <w:rFonts w:ascii="Times New Roman" w:hAnsi="Times New Roman" w:cs="Times New Roman" w:eastAsia="Times New Roman" w:hint="default"/>
        </w:rPr>
        <w:t>4,749,111.59</w:t>
      </w:r>
      <w:r>
        <w:rPr/>
        <w:t>元，增幅</w:t>
      </w:r>
      <w:r>
        <w:rPr>
          <w:rFonts w:ascii="Times New Roman" w:hAnsi="Times New Roman" w:cs="Times New Roman" w:eastAsia="Times New Roman" w:hint="default"/>
        </w:rPr>
        <w:t>84.60%</w:t>
      </w:r>
      <w:r>
        <w:rPr/>
        <w:t>，主要系公司业务规模扩大所致。</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37、应付职工薪酬" w:id="307"/>
      <w:bookmarkEnd w:id="307"/>
      <w:r>
        <w:rPr>
          <w:b w:val="0"/>
          <w:bCs w:val="0"/>
        </w:rPr>
      </w:r>
      <w:r>
        <w:rPr>
          <w:rFonts w:ascii="Times New Roman" w:hAnsi="Times New Roman" w:cs="Times New Roman" w:eastAsia="Times New Roman" w:hint="default"/>
        </w:rPr>
        <w:t>37</w:t>
      </w:r>
      <w:r>
        <w:rPr/>
        <w:t>、应付职工薪酬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付职工薪酬列示" w:id="308"/>
      <w:bookmarkEnd w:id="308"/>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748" w:type="dxa"/>
        <w:tblLayout w:type="fixed"/>
        <w:tblCellMar>
          <w:top w:w="0" w:type="dxa"/>
          <w:left w:w="0" w:type="dxa"/>
          <w:bottom w:w="0" w:type="dxa"/>
          <w:right w:w="0" w:type="dxa"/>
        </w:tblCellMar>
        <w:tblLook w:val="01E0"/>
      </w:tblPr>
      <w:tblGrid>
        <w:gridCol w:w="2740"/>
        <w:gridCol w:w="1929"/>
        <w:gridCol w:w="1914"/>
        <w:gridCol w:w="1914"/>
        <w:gridCol w:w="1914"/>
      </w:tblGrid>
      <w:tr>
        <w:trPr>
          <w:trHeight w:val="402" w:hRule="exact"/>
        </w:trPr>
        <w:tc>
          <w:tcPr>
            <w:tcW w:w="2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3,148,034.60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54,144,126.71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53,114,539.08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4,177,622.23</w:t>
            </w:r>
          </w:p>
        </w:tc>
      </w:tr>
      <w:tr>
        <w:trPr>
          <w:trHeight w:val="402" w:hRule="exact"/>
        </w:trPr>
        <w:tc>
          <w:tcPr>
            <w:tcW w:w="2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设定提存计划</w:t>
            </w:r>
          </w:p>
        </w:tc>
        <w:tc>
          <w:tcPr>
            <w:tcW w:w="19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24,660.93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5,086,903.57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5,076,364.51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35,199.99</w:t>
            </w:r>
          </w:p>
        </w:tc>
      </w:tr>
    </w:tbl>
    <w:p>
      <w:pPr>
        <w:spacing w:after="0" w:line="240" w:lineRule="auto"/>
        <w:jc w:val="right"/>
        <w:rPr>
          <w:rFonts w:ascii="Times New Roman" w:hAnsi="Times New Roman" w:cs="Times New Roman" w:eastAsia="Times New Roman" w:hint="default"/>
          <w:sz w:val="18"/>
          <w:szCs w:val="18"/>
        </w:rPr>
        <w:sectPr>
          <w:pgSz w:w="11910" w:h="16840"/>
          <w:pgMar w:header="566" w:footer="979" w:top="1360" w:bottom="1160" w:left="0" w:right="0"/>
        </w:sectPr>
      </w:pPr>
    </w:p>
    <w:p>
      <w:pPr>
        <w:spacing w:line="240" w:lineRule="auto" w:before="6"/>
        <w:rPr>
          <w:rFonts w:ascii="宋体" w:hAnsi="宋体" w:cs="宋体" w:eastAsia="宋体" w:hint="default"/>
          <w:sz w:val="5"/>
          <w:szCs w:val="5"/>
        </w:rPr>
      </w:pPr>
    </w:p>
    <w:tbl>
      <w:tblPr>
        <w:tblW w:w="0" w:type="auto"/>
        <w:jc w:val="left"/>
        <w:tblInd w:w="736" w:type="dxa"/>
        <w:tblLayout w:type="fixed"/>
        <w:tblCellMar>
          <w:top w:w="0" w:type="dxa"/>
          <w:left w:w="0" w:type="dxa"/>
          <w:bottom w:w="0" w:type="dxa"/>
          <w:right w:w="0" w:type="dxa"/>
        </w:tblCellMar>
        <w:tblLook w:val="01E0"/>
      </w:tblPr>
      <w:tblGrid>
        <w:gridCol w:w="2764"/>
        <w:gridCol w:w="1917"/>
        <w:gridCol w:w="1914"/>
        <w:gridCol w:w="1914"/>
        <w:gridCol w:w="1916"/>
      </w:tblGrid>
      <w:tr>
        <w:trPr>
          <w:trHeight w:val="402" w:hRule="exact"/>
        </w:trPr>
        <w:tc>
          <w:tcPr>
            <w:tcW w:w="2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8" w:right="0"/>
              <w:jc w:val="left"/>
              <w:rPr>
                <w:rFonts w:ascii="Times New Roman" w:hAnsi="Times New Roman" w:cs="Times New Roman" w:eastAsia="Times New Roman" w:hint="default"/>
                <w:sz w:val="18"/>
                <w:szCs w:val="18"/>
              </w:rPr>
            </w:pPr>
            <w:r>
              <w:rPr>
                <w:rFonts w:ascii="Times New Roman"/>
                <w:sz w:val="18"/>
              </w:rPr>
              <w:t>3,172,695.53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59,231,030.28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58,190,903.59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5" w:right="0"/>
              <w:jc w:val="left"/>
              <w:rPr>
                <w:rFonts w:ascii="Times New Roman" w:hAnsi="Times New Roman" w:cs="Times New Roman" w:eastAsia="Times New Roman" w:hint="default"/>
                <w:sz w:val="18"/>
                <w:szCs w:val="18"/>
              </w:rPr>
            </w:pPr>
            <w:r>
              <w:rPr>
                <w:rFonts w:ascii="Times New Roman"/>
                <w:sz w:val="18"/>
              </w:rPr>
              <w:t>4,212,822.22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短期薪酬列示" w:id="309"/>
      <w:bookmarkEnd w:id="309"/>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748" w:type="dxa"/>
        <w:tblLayout w:type="fixed"/>
        <w:tblCellMar>
          <w:top w:w="0" w:type="dxa"/>
          <w:left w:w="0" w:type="dxa"/>
          <w:bottom w:w="0" w:type="dxa"/>
          <w:right w:w="0" w:type="dxa"/>
        </w:tblCellMar>
        <w:tblLook w:val="01E0"/>
      </w:tblPr>
      <w:tblGrid>
        <w:gridCol w:w="2740"/>
        <w:gridCol w:w="1929"/>
        <w:gridCol w:w="1914"/>
        <w:gridCol w:w="1914"/>
        <w:gridCol w:w="1914"/>
      </w:tblGrid>
      <w:tr>
        <w:trPr>
          <w:trHeight w:val="402" w:hRule="exact"/>
        </w:trPr>
        <w:tc>
          <w:tcPr>
            <w:tcW w:w="2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、工资、奖金、津贴和补贴</w:t>
            </w:r>
          </w:p>
        </w:tc>
        <w:tc>
          <w:tcPr>
            <w:tcW w:w="19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3,130,079.76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46,900,185.63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45,873,850.34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4,156,415.05</w:t>
            </w:r>
          </w:p>
        </w:tc>
      </w:tr>
      <w:tr>
        <w:trPr>
          <w:trHeight w:val="402" w:hRule="exact"/>
        </w:trPr>
        <w:tc>
          <w:tcPr>
            <w:tcW w:w="2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9" w:type="dxa"/>
            <w:tcBorders>
              <w:top w:val="single" w:sz="4" w:space="0" w:color="000000"/>
              <w:left w:val="single" w:sz="10"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226,968.93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226,968.93</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16,439.29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2,378,097.43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2,375,429.54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19,107.18</w:t>
            </w:r>
          </w:p>
        </w:tc>
      </w:tr>
      <w:tr>
        <w:trPr>
          <w:trHeight w:val="402" w:hRule="exact"/>
        </w:trPr>
        <w:tc>
          <w:tcPr>
            <w:tcW w:w="2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11,914.40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2,011,854.93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2,006,860.33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16,909.00</w:t>
            </w:r>
          </w:p>
        </w:tc>
      </w:tr>
      <w:tr>
        <w:trPr>
          <w:trHeight w:val="402" w:hRule="exact"/>
        </w:trPr>
        <w:tc>
          <w:tcPr>
            <w:tcW w:w="2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工伤保险费</w:t>
            </w:r>
          </w:p>
        </w:tc>
        <w:tc>
          <w:tcPr>
            <w:tcW w:w="19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3,571.74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219,444.35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222,170.61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845.48</w:t>
            </w:r>
          </w:p>
        </w:tc>
      </w:tr>
      <w:tr>
        <w:trPr>
          <w:trHeight w:val="402" w:hRule="exact"/>
        </w:trPr>
        <w:tc>
          <w:tcPr>
            <w:tcW w:w="2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生育保险费</w:t>
            </w:r>
          </w:p>
        </w:tc>
        <w:tc>
          <w:tcPr>
            <w:tcW w:w="19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953.15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146,798.15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146,398.60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1,352.70</w:t>
            </w:r>
          </w:p>
        </w:tc>
      </w:tr>
      <w:tr>
        <w:trPr>
          <w:trHeight w:val="402" w:hRule="exact"/>
        </w:trPr>
        <w:tc>
          <w:tcPr>
            <w:tcW w:w="2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9" w:type="dxa"/>
            <w:tcBorders>
              <w:top w:val="single" w:sz="4" w:space="0" w:color="000000"/>
              <w:left w:val="single" w:sz="10"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3,714,135.98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3,712,035.98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2,100.00</w:t>
            </w:r>
          </w:p>
        </w:tc>
      </w:tr>
      <w:tr>
        <w:trPr>
          <w:trHeight w:val="402" w:hRule="exact"/>
        </w:trPr>
        <w:tc>
          <w:tcPr>
            <w:tcW w:w="2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、工会经费和职工教育经费</w:t>
            </w:r>
          </w:p>
        </w:tc>
        <w:tc>
          <w:tcPr>
            <w:tcW w:w="19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1,515.55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924,738.74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926,254.29</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3,148,034.60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54,144,126.71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53,114,539.08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4,177,622.23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设定提存计划列示" w:id="310"/>
      <w:bookmarkEnd w:id="310"/>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74"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23,486.60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4,842,967.58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4,832,930.38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33,523.80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1,174.33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243,935.99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243,434.13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1,676.19</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24,660.93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5,086,903.57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5,076,364.51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35,199.99</w:t>
            </w:r>
          </w:p>
        </w:tc>
      </w:tr>
    </w:tbl>
    <w:p>
      <w:pPr>
        <w:pStyle w:val="BodyText"/>
        <w:spacing w:line="338" w:lineRule="auto" w:before="51"/>
        <w:ind w:left="1133" w:right="1118"/>
        <w:jc w:val="left"/>
      </w:pPr>
      <w:r>
        <w:rPr/>
        <w:t>其他说明： </w:t>
      </w:r>
      <w:r>
        <w:rPr>
          <w:spacing w:val="-2"/>
        </w:rPr>
        <w:t>应付职工薪酬期末余额较期初余额增加</w:t>
      </w:r>
      <w:r>
        <w:rPr>
          <w:rFonts w:ascii="宋体" w:hAnsi="宋体" w:cs="宋体" w:eastAsia="宋体" w:hint="default"/>
          <w:spacing w:val="-2"/>
        </w:rPr>
        <w:t>1,040,126.69</w:t>
      </w:r>
      <w:r>
        <w:rPr>
          <w:spacing w:val="-2"/>
        </w:rPr>
        <w:t>元，增幅</w:t>
      </w:r>
      <w:r>
        <w:rPr>
          <w:rFonts w:ascii="宋体" w:hAnsi="宋体" w:cs="宋体" w:eastAsia="宋体" w:hint="default"/>
          <w:spacing w:val="-2"/>
        </w:rPr>
        <w:t>32.78%</w:t>
      </w:r>
      <w:r>
        <w:rPr>
          <w:spacing w:val="-2"/>
        </w:rPr>
        <w:t>，主要系本报告期收购子公司而并入的未付薪酬增加所</w:t>
      </w:r>
      <w:r>
        <w:rPr>
          <w:spacing w:val="-46"/>
        </w:rPr>
        <w:t> </w:t>
      </w:r>
      <w:r>
        <w:rPr>
          <w:spacing w:val="-46"/>
        </w:rPr>
      </w:r>
      <w:r>
        <w:rPr/>
        <w:t>致。</w:t>
      </w:r>
    </w:p>
    <w:p>
      <w:pPr>
        <w:spacing w:line="240" w:lineRule="auto" w:before="4"/>
        <w:rPr>
          <w:rFonts w:ascii="宋体" w:hAnsi="宋体" w:cs="宋体" w:eastAsia="宋体" w:hint="default"/>
          <w:sz w:val="21"/>
          <w:szCs w:val="21"/>
        </w:rPr>
      </w:pPr>
    </w:p>
    <w:p>
      <w:pPr>
        <w:pStyle w:val="Heading3"/>
        <w:spacing w:line="240" w:lineRule="auto"/>
        <w:ind w:right="0"/>
        <w:jc w:val="left"/>
        <w:rPr>
          <w:b w:val="0"/>
          <w:bCs w:val="0"/>
        </w:rPr>
      </w:pPr>
      <w:bookmarkStart w:name="38、应交税费" w:id="311"/>
      <w:bookmarkEnd w:id="311"/>
      <w:r>
        <w:rPr>
          <w:b w:val="0"/>
          <w:bCs w:val="0"/>
        </w:rPr>
      </w:r>
      <w:r>
        <w:rPr>
          <w:rFonts w:ascii="Times New Roman" w:hAnsi="Times New Roman" w:cs="Times New Roman" w:eastAsia="Times New Roman" w:hint="default"/>
        </w:rPr>
        <w:t>38</w:t>
      </w:r>
      <w:r>
        <w:rPr/>
        <w:t>、应交税费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62" w:type="dxa"/>
        <w:tblLayout w:type="fixed"/>
        <w:tblCellMar>
          <w:top w:w="0" w:type="dxa"/>
          <w:left w:w="0" w:type="dxa"/>
          <w:bottom w:w="0" w:type="dxa"/>
          <w:right w:w="0" w:type="dxa"/>
        </w:tblCellMar>
        <w:tblLook w:val="01E0"/>
      </w:tblPr>
      <w:tblGrid>
        <w:gridCol w:w="3188"/>
        <w:gridCol w:w="3194"/>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12,778,232.98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8,719,253.35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19,039.99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11,464.99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3,998,400.53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4,527,499.51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795,280.48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611,150.05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383,736.61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261,921.41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地方教育费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256,127.03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174,614.31</w:t>
            </w:r>
          </w:p>
        </w:tc>
      </w:tr>
    </w:tbl>
    <w:p>
      <w:pPr>
        <w:spacing w:after="0" w:line="240" w:lineRule="auto"/>
        <w:jc w:val="right"/>
        <w:rPr>
          <w:rFonts w:ascii="Times New Roman" w:hAnsi="Times New Roman" w:cs="Times New Roman" w:eastAsia="Times New Roman" w:hint="default"/>
          <w:sz w:val="18"/>
          <w:szCs w:val="18"/>
        </w:rPr>
        <w:sectPr>
          <w:pgSz w:w="11910" w:h="16840"/>
          <w:pgMar w:header="566" w:footer="979" w:top="1360" w:bottom="1160" w:left="0" w:right="0"/>
        </w:sectPr>
      </w:pPr>
    </w:p>
    <w:p>
      <w:pPr>
        <w:spacing w:line="240" w:lineRule="auto" w:before="6"/>
        <w:rPr>
          <w:rFonts w:ascii="宋体" w:hAnsi="宋体" w:cs="宋体" w:eastAsia="宋体" w:hint="default"/>
          <w:sz w:val="5"/>
          <w:szCs w:val="5"/>
        </w:rPr>
      </w:pPr>
    </w:p>
    <w:tbl>
      <w:tblPr>
        <w:tblW w:w="0" w:type="auto"/>
        <w:jc w:val="left"/>
        <w:tblInd w:w="1162" w:type="dxa"/>
        <w:tblLayout w:type="fixed"/>
        <w:tblCellMar>
          <w:top w:w="0" w:type="dxa"/>
          <w:left w:w="0" w:type="dxa"/>
          <w:bottom w:w="0" w:type="dxa"/>
          <w:right w:w="0" w:type="dxa"/>
        </w:tblCellMar>
        <w:tblLook w:val="01E0"/>
      </w:tblPr>
      <w:tblGrid>
        <w:gridCol w:w="3188"/>
        <w:gridCol w:w="3194"/>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37,567.99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35,725.94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155,627.66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76,597.00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18,424,013.27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14,418,226.56</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9、应付利息" w:id="312"/>
      <w:bookmarkEnd w:id="312"/>
      <w:r>
        <w:rPr>
          <w:b w:val="0"/>
          <w:bCs w:val="0"/>
        </w:rPr>
      </w:r>
      <w:r>
        <w:rPr>
          <w:rFonts w:ascii="Times New Roman" w:hAnsi="Times New Roman" w:cs="Times New Roman" w:eastAsia="Times New Roman" w:hint="default"/>
        </w:rPr>
        <w:t>39</w:t>
      </w:r>
      <w:r>
        <w:rPr/>
        <w:t>、应付利息</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40、应付股利" w:id="313"/>
      <w:bookmarkEnd w:id="313"/>
      <w:r>
        <w:rPr>
          <w:b w:val="0"/>
          <w:bCs w:val="0"/>
        </w:rPr>
      </w:r>
      <w:r>
        <w:rPr>
          <w:rFonts w:ascii="Times New Roman" w:hAnsi="Times New Roman" w:cs="Times New Roman" w:eastAsia="Times New Roman" w:hint="default"/>
        </w:rPr>
        <w:t>40</w:t>
      </w:r>
      <w:r>
        <w:rPr/>
        <w:t>、应付股利</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41、其他应付款" w:id="314"/>
      <w:bookmarkEnd w:id="314"/>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按款项性质列示其他应付款" w:id="315"/>
      <w:bookmarkEnd w:id="315"/>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62" w:type="dxa"/>
        <w:tblLayout w:type="fixed"/>
        <w:tblCellMar>
          <w:top w:w="0" w:type="dxa"/>
          <w:left w:w="0" w:type="dxa"/>
          <w:bottom w:w="0" w:type="dxa"/>
          <w:right w:w="0" w:type="dxa"/>
        </w:tblCellMar>
        <w:tblLook w:val="01E0"/>
      </w:tblPr>
      <w:tblGrid>
        <w:gridCol w:w="3188"/>
        <w:gridCol w:w="3194"/>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非公开发行股票股份认购保证金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1,588,027.19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1,184,626.16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379,226.70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70,023.00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应付股权转让款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8,500,034.00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731,049.30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74,499.07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11,198,337.19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2,629,148.23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其他应付款" w:id="316"/>
      <w:bookmarkEnd w:id="316"/>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42、划分为持有待售的负债" w:id="317"/>
      <w:bookmarkEnd w:id="317"/>
      <w:r>
        <w:rPr>
          <w:b w:val="0"/>
          <w:bCs w:val="0"/>
        </w:rPr>
      </w:r>
      <w:r>
        <w:rPr>
          <w:rFonts w:ascii="Times New Roman" w:hAnsi="Times New Roman" w:cs="Times New Roman" w:eastAsia="Times New Roman" w:hint="default"/>
        </w:rPr>
        <w:t>42</w:t>
      </w:r>
      <w:r>
        <w:rPr/>
        <w:t>、划分为持有待售的负债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43、一年内到期的非流动负债" w:id="318"/>
      <w:bookmarkEnd w:id="318"/>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3"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44、其他流动负债" w:id="319"/>
      <w:bookmarkEnd w:id="319"/>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566" w:footer="979" w:top="1360" w:bottom="1160" w:left="0" w:right="0"/>
        </w:sectPr>
      </w:pPr>
    </w:p>
    <w:p>
      <w:pPr>
        <w:spacing w:line="240" w:lineRule="auto" w:before="6"/>
        <w:rPr>
          <w:rFonts w:ascii="宋体" w:hAnsi="宋体" w:cs="宋体" w:eastAsia="宋体" w:hint="default"/>
          <w:sz w:val="5"/>
          <w:szCs w:val="5"/>
        </w:rPr>
      </w:pPr>
    </w:p>
    <w:tbl>
      <w:tblPr>
        <w:tblW w:w="0" w:type="auto"/>
        <w:jc w:val="left"/>
        <w:tblInd w:w="1162" w:type="dxa"/>
        <w:tblLayout w:type="fixed"/>
        <w:tblCellMar>
          <w:top w:w="0" w:type="dxa"/>
          <w:left w:w="0" w:type="dxa"/>
          <w:bottom w:w="0" w:type="dxa"/>
          <w:right w:w="0" w:type="dxa"/>
        </w:tblCellMar>
        <w:tblLook w:val="01E0"/>
      </w:tblPr>
      <w:tblGrid>
        <w:gridCol w:w="3188"/>
        <w:gridCol w:w="3194"/>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政府补助（与收益相关）</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2,100,000.00</w:t>
            </w:r>
          </w:p>
        </w:tc>
      </w:tr>
    </w:tbl>
    <w:p>
      <w:pPr>
        <w:pStyle w:val="BodyText"/>
        <w:spacing w:line="240" w:lineRule="auto" w:before="51"/>
        <w:ind w:right="0"/>
        <w:jc w:val="left"/>
      </w:pPr>
      <w:r>
        <w:rPr/>
        <w:t>其他说明：</w:t>
      </w:r>
    </w:p>
    <w:p>
      <w:pPr>
        <w:pStyle w:val="BodyText"/>
        <w:spacing w:line="240" w:lineRule="auto" w:before="117"/>
        <w:ind w:left="0" w:right="1139"/>
        <w:jc w:val="right"/>
      </w:pPr>
      <w:r>
        <w:rPr/>
        <w:t>单位：元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2837"/>
        <w:gridCol w:w="1418"/>
        <w:gridCol w:w="1275"/>
        <w:gridCol w:w="1276"/>
        <w:gridCol w:w="1277"/>
        <w:gridCol w:w="1276"/>
        <w:gridCol w:w="2268"/>
      </w:tblGrid>
      <w:tr>
        <w:trPr>
          <w:trHeight w:val="174" w:hRule="exact"/>
        </w:trPr>
        <w:tc>
          <w:tcPr>
            <w:tcW w:w="2837" w:type="dxa"/>
            <w:tcBorders>
              <w:top w:val="single" w:sz="6" w:space="0" w:color="000000"/>
              <w:left w:val="single" w:sz="6" w:space="0" w:color="000000"/>
              <w:bottom w:val="nil" w:sz="6" w:space="0" w:color="auto"/>
              <w:right w:val="single" w:sz="6" w:space="0" w:color="000000"/>
            </w:tcBorders>
            <w:shd w:val="clear" w:color="auto" w:fill="D9D9D9"/>
          </w:tcPr>
          <w:p>
            <w:pPr/>
          </w:p>
        </w:tc>
        <w:tc>
          <w:tcPr>
            <w:tcW w:w="1418" w:type="dxa"/>
            <w:tcBorders>
              <w:top w:val="single" w:sz="6" w:space="0" w:color="000000"/>
              <w:left w:val="single" w:sz="6" w:space="0" w:color="000000"/>
              <w:bottom w:val="nil" w:sz="6" w:space="0" w:color="auto"/>
              <w:right w:val="single" w:sz="6" w:space="0" w:color="000000"/>
            </w:tcBorders>
            <w:shd w:val="clear" w:color="auto" w:fill="D9D9D9"/>
          </w:tcPr>
          <w:p>
            <w:pPr/>
          </w:p>
        </w:tc>
        <w:tc>
          <w:tcPr>
            <w:tcW w:w="1275" w:type="dxa"/>
            <w:vMerge w:val="restart"/>
            <w:tcBorders>
              <w:top w:val="single" w:sz="6" w:space="0" w:color="000000"/>
              <w:left w:val="single" w:sz="6" w:space="0" w:color="000000"/>
              <w:right w:val="single" w:sz="6" w:space="0" w:color="000000"/>
            </w:tcBorders>
            <w:shd w:val="clear" w:color="auto" w:fill="D9D9D9"/>
          </w:tcPr>
          <w:p>
            <w:pPr>
              <w:pStyle w:val="TableParagraph"/>
              <w:spacing w:line="316" w:lineRule="auto" w:before="21"/>
              <w:ind w:left="269" w:right="88" w:hanging="180"/>
              <w:jc w:val="left"/>
              <w:rPr>
                <w:rFonts w:ascii="宋体" w:hAnsi="宋体" w:cs="宋体" w:eastAsia="宋体" w:hint="default"/>
                <w:sz w:val="18"/>
                <w:szCs w:val="18"/>
              </w:rPr>
            </w:pPr>
            <w:r>
              <w:rPr>
                <w:rFonts w:ascii="宋体" w:hAnsi="宋体" w:cs="宋体" w:eastAsia="宋体" w:hint="default"/>
                <w:sz w:val="18"/>
                <w:szCs w:val="18"/>
              </w:rPr>
              <w:t>本期合并增加 补助金额</w:t>
            </w:r>
          </w:p>
        </w:tc>
        <w:tc>
          <w:tcPr>
            <w:tcW w:w="1276" w:type="dxa"/>
            <w:vMerge w:val="restart"/>
            <w:tcBorders>
              <w:top w:val="single" w:sz="6" w:space="0" w:color="000000"/>
              <w:left w:val="single" w:sz="6" w:space="0" w:color="000000"/>
              <w:right w:val="single" w:sz="6" w:space="0" w:color="000000"/>
            </w:tcBorders>
            <w:shd w:val="clear" w:color="auto" w:fill="D9D9D9"/>
          </w:tcPr>
          <w:p>
            <w:pPr>
              <w:pStyle w:val="TableParagraph"/>
              <w:spacing w:line="316" w:lineRule="auto" w:before="21"/>
              <w:ind w:left="449" w:right="89" w:hanging="360"/>
              <w:jc w:val="left"/>
              <w:rPr>
                <w:rFonts w:ascii="宋体" w:hAnsi="宋体" w:cs="宋体" w:eastAsia="宋体" w:hint="default"/>
                <w:sz w:val="18"/>
                <w:szCs w:val="18"/>
              </w:rPr>
            </w:pPr>
            <w:r>
              <w:rPr>
                <w:rFonts w:ascii="宋体" w:hAnsi="宋体" w:cs="宋体" w:eastAsia="宋体" w:hint="default"/>
                <w:sz w:val="18"/>
                <w:szCs w:val="18"/>
              </w:rPr>
              <w:t>本期新增补助 金额</w:t>
            </w:r>
          </w:p>
        </w:tc>
        <w:tc>
          <w:tcPr>
            <w:tcW w:w="1277" w:type="dxa"/>
            <w:vMerge w:val="restart"/>
            <w:tcBorders>
              <w:top w:val="single" w:sz="6" w:space="0" w:color="000000"/>
              <w:left w:val="single" w:sz="6" w:space="0" w:color="000000"/>
              <w:right w:val="single" w:sz="6" w:space="0" w:color="000000"/>
            </w:tcBorders>
            <w:shd w:val="clear" w:color="auto" w:fill="D9D9D9"/>
          </w:tcPr>
          <w:p>
            <w:pPr>
              <w:pStyle w:val="TableParagraph"/>
              <w:spacing w:line="316" w:lineRule="auto" w:before="21"/>
              <w:ind w:left="181" w:right="89" w:hanging="90"/>
              <w:jc w:val="left"/>
              <w:rPr>
                <w:rFonts w:ascii="宋体" w:hAnsi="宋体" w:cs="宋体" w:eastAsia="宋体" w:hint="default"/>
                <w:sz w:val="18"/>
                <w:szCs w:val="18"/>
              </w:rPr>
            </w:pPr>
            <w:r>
              <w:rPr>
                <w:rFonts w:ascii="宋体" w:hAnsi="宋体" w:cs="宋体" w:eastAsia="宋体" w:hint="default"/>
                <w:sz w:val="18"/>
                <w:szCs w:val="18"/>
              </w:rPr>
              <w:t>本期计入营业 外收入金额</w:t>
            </w:r>
          </w:p>
        </w:tc>
        <w:tc>
          <w:tcPr>
            <w:tcW w:w="1276" w:type="dxa"/>
            <w:tcBorders>
              <w:top w:val="single" w:sz="6" w:space="0" w:color="000000"/>
              <w:left w:val="single" w:sz="6" w:space="0" w:color="000000"/>
              <w:bottom w:val="nil" w:sz="6" w:space="0" w:color="auto"/>
              <w:right w:val="single" w:sz="6" w:space="0" w:color="000000"/>
            </w:tcBorders>
            <w:shd w:val="clear" w:color="auto" w:fill="D9D9D9"/>
          </w:tcPr>
          <w:p>
            <w:pPr/>
          </w:p>
        </w:tc>
        <w:tc>
          <w:tcPr>
            <w:tcW w:w="2268" w:type="dxa"/>
            <w:tcBorders>
              <w:top w:val="single" w:sz="6" w:space="0" w:color="000000"/>
              <w:left w:val="single" w:sz="6" w:space="0" w:color="000000"/>
              <w:bottom w:val="nil" w:sz="6" w:space="0" w:color="auto"/>
              <w:right w:val="single" w:sz="6" w:space="0" w:color="000000"/>
            </w:tcBorders>
            <w:shd w:val="clear" w:color="auto" w:fill="D9D9D9"/>
          </w:tcPr>
          <w:p>
            <w:pPr/>
          </w:p>
        </w:tc>
      </w:tr>
      <w:tr>
        <w:trPr>
          <w:trHeight w:val="485" w:hRule="exact"/>
        </w:trPr>
        <w:tc>
          <w:tcPr>
            <w:tcW w:w="2837" w:type="dxa"/>
            <w:tcBorders>
              <w:top w:val="nil" w:sz="6" w:space="0" w:color="auto"/>
              <w:left w:val="single" w:sz="6" w:space="0" w:color="000000"/>
              <w:bottom w:val="single" w:sz="6" w:space="0" w:color="000000"/>
              <w:right w:val="single" w:sz="6" w:space="0" w:color="000000"/>
            </w:tcBorders>
            <w:shd w:val="clear" w:color="auto" w:fill="D9D9D9"/>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8" w:type="dxa"/>
            <w:tcBorders>
              <w:top w:val="nil" w:sz="6" w:space="0" w:color="auto"/>
              <w:left w:val="single" w:sz="6" w:space="0" w:color="000000"/>
              <w:bottom w:val="single" w:sz="6" w:space="0" w:color="000000"/>
              <w:right w:val="single" w:sz="6" w:space="0" w:color="000000"/>
            </w:tcBorders>
            <w:shd w:val="clear" w:color="auto" w:fill="D9D9D9"/>
          </w:tcPr>
          <w:p>
            <w:pPr>
              <w:pStyle w:val="TableParagraph"/>
              <w:spacing w:line="240" w:lineRule="auto" w:before="10"/>
              <w:ind w:left="34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75" w:type="dxa"/>
            <w:vMerge/>
            <w:tcBorders>
              <w:left w:val="single" w:sz="6" w:space="0" w:color="000000"/>
              <w:bottom w:val="single" w:sz="6" w:space="0" w:color="000000"/>
              <w:right w:val="single" w:sz="6" w:space="0" w:color="000000"/>
            </w:tcBorders>
            <w:shd w:val="clear" w:color="auto" w:fill="D9D9D9"/>
          </w:tcPr>
          <w:p>
            <w:pPr/>
          </w:p>
        </w:tc>
        <w:tc>
          <w:tcPr>
            <w:tcW w:w="1276" w:type="dxa"/>
            <w:vMerge/>
            <w:tcBorders>
              <w:left w:val="single" w:sz="6" w:space="0" w:color="000000"/>
              <w:bottom w:val="single" w:sz="6" w:space="0" w:color="000000"/>
              <w:right w:val="single" w:sz="6" w:space="0" w:color="000000"/>
            </w:tcBorders>
            <w:shd w:val="clear" w:color="auto" w:fill="D9D9D9"/>
          </w:tcPr>
          <w:p>
            <w:pPr/>
          </w:p>
        </w:tc>
        <w:tc>
          <w:tcPr>
            <w:tcW w:w="1277" w:type="dxa"/>
            <w:vMerge/>
            <w:tcBorders>
              <w:left w:val="single" w:sz="6" w:space="0" w:color="000000"/>
              <w:bottom w:val="single" w:sz="6" w:space="0" w:color="000000"/>
              <w:right w:val="single" w:sz="6" w:space="0" w:color="000000"/>
            </w:tcBorders>
            <w:shd w:val="clear" w:color="auto" w:fill="D9D9D9"/>
          </w:tcPr>
          <w:p>
            <w:pPr/>
          </w:p>
        </w:tc>
        <w:tc>
          <w:tcPr>
            <w:tcW w:w="1276" w:type="dxa"/>
            <w:tcBorders>
              <w:top w:val="nil" w:sz="6" w:space="0" w:color="auto"/>
              <w:left w:val="single" w:sz="6" w:space="0" w:color="000000"/>
              <w:bottom w:val="single" w:sz="6" w:space="0" w:color="000000"/>
              <w:right w:val="single" w:sz="6" w:space="0" w:color="000000"/>
            </w:tcBorders>
            <w:shd w:val="clear" w:color="auto" w:fill="D9D9D9"/>
          </w:tcPr>
          <w:p>
            <w:pPr>
              <w:pStyle w:val="TableParagraph"/>
              <w:spacing w:line="240" w:lineRule="auto" w:before="10"/>
              <w:ind w:left="27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268" w:type="dxa"/>
            <w:tcBorders>
              <w:top w:val="nil" w:sz="6" w:space="0" w:color="auto"/>
              <w:left w:val="single" w:sz="6" w:space="0" w:color="000000"/>
              <w:bottom w:val="single" w:sz="6" w:space="0" w:color="000000"/>
              <w:right w:val="single" w:sz="6" w:space="0" w:color="000000"/>
            </w:tcBorders>
            <w:shd w:val="clear" w:color="auto" w:fill="D9D9D9"/>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48" w:hRule="exact"/>
        </w:trPr>
        <w:tc>
          <w:tcPr>
            <w:tcW w:w="283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1418"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83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大数据模式下的健康云服务平台</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2,100,000.00</w:t>
            </w:r>
          </w:p>
        </w:tc>
        <w:tc>
          <w:tcPr>
            <w:tcW w:w="127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2,100,000.00</w:t>
            </w:r>
          </w:p>
        </w:tc>
        <w:tc>
          <w:tcPr>
            <w:tcW w:w="1276"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沈财指企</w:t>
            </w:r>
            <w:r>
              <w:rPr>
                <w:rFonts w:ascii="Times New Roman" w:hAnsi="Times New Roman" w:cs="Times New Roman" w:eastAsia="Times New Roman" w:hint="default"/>
                <w:sz w:val="18"/>
                <w:szCs w:val="18"/>
              </w:rPr>
              <w:t>[2014]1422</w:t>
            </w:r>
            <w:r>
              <w:rPr>
                <w:rFonts w:ascii="宋体" w:hAnsi="宋体" w:cs="宋体" w:eastAsia="宋体" w:hint="default"/>
                <w:sz w:val="18"/>
                <w:szCs w:val="18"/>
              </w:rPr>
              <w:t>号</w:t>
            </w:r>
          </w:p>
        </w:tc>
      </w:tr>
      <w:tr>
        <w:trPr>
          <w:trHeight w:val="659" w:hRule="exact"/>
        </w:trPr>
        <w:tc>
          <w:tcPr>
            <w:tcW w:w="283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21"/>
              <w:ind w:left="3" w:right="3"/>
              <w:jc w:val="left"/>
              <w:rPr>
                <w:rFonts w:ascii="宋体" w:hAnsi="宋体" w:cs="宋体" w:eastAsia="宋体" w:hint="default"/>
                <w:sz w:val="18"/>
                <w:szCs w:val="18"/>
              </w:rPr>
            </w:pPr>
            <w:r>
              <w:rPr>
                <w:rFonts w:ascii="宋体" w:hAnsi="宋体" w:cs="宋体" w:eastAsia="宋体" w:hint="default"/>
                <w:spacing w:val="7"/>
                <w:sz w:val="18"/>
                <w:szCs w:val="18"/>
              </w:rPr>
              <w:t>构建智慧医疗信息服务平台及移动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医疗旅游</w:t>
            </w:r>
            <w:r>
              <w:rPr>
                <w:rFonts w:ascii="Times New Roman" w:hAnsi="Times New Roman" w:cs="Times New Roman" w:eastAsia="Times New Roman" w:hint="default"/>
                <w:sz w:val="18"/>
                <w:szCs w:val="18"/>
              </w:rPr>
              <w:t>APP</w:t>
            </w:r>
            <w:r>
              <w:rPr>
                <w:rFonts w:ascii="宋体" w:hAnsi="宋体" w:cs="宋体" w:eastAsia="宋体" w:hint="default"/>
                <w:sz w:val="18"/>
                <w:szCs w:val="18"/>
              </w:rPr>
              <w:t>大数据系统项目</w:t>
            </w:r>
          </w:p>
        </w:tc>
        <w:tc>
          <w:tcPr>
            <w:tcW w:w="1418"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1,400,000.00</w:t>
            </w:r>
          </w:p>
        </w:tc>
        <w:tc>
          <w:tcPr>
            <w:tcW w:w="127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1,400,000.00</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沪经信推</w:t>
            </w:r>
            <w:r>
              <w:rPr>
                <w:rFonts w:ascii="Times New Roman" w:hAnsi="Times New Roman" w:cs="Times New Roman" w:eastAsia="Times New Roman" w:hint="default"/>
                <w:sz w:val="18"/>
                <w:szCs w:val="18"/>
              </w:rPr>
              <w:t>[2014]851</w:t>
            </w:r>
            <w:r>
              <w:rPr>
                <w:rFonts w:ascii="宋体" w:hAnsi="宋体" w:cs="宋体" w:eastAsia="宋体" w:hint="default"/>
                <w:sz w:val="18"/>
                <w:szCs w:val="18"/>
              </w:rPr>
              <w:t>号</w:t>
            </w:r>
          </w:p>
        </w:tc>
      </w:tr>
      <w:tr>
        <w:trPr>
          <w:trHeight w:val="659" w:hRule="exact"/>
        </w:trPr>
        <w:tc>
          <w:tcPr>
            <w:tcW w:w="283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21"/>
              <w:ind w:left="3" w:right="3"/>
              <w:jc w:val="left"/>
              <w:rPr>
                <w:rFonts w:ascii="宋体" w:hAnsi="宋体" w:cs="宋体" w:eastAsia="宋体" w:hint="default"/>
                <w:sz w:val="18"/>
                <w:szCs w:val="18"/>
              </w:rPr>
            </w:pPr>
            <w:r>
              <w:rPr>
                <w:rFonts w:ascii="宋体" w:hAnsi="宋体" w:cs="宋体" w:eastAsia="宋体" w:hint="default"/>
                <w:spacing w:val="7"/>
                <w:sz w:val="18"/>
                <w:szCs w:val="18"/>
              </w:rPr>
              <w:t>基于云计算和移动终端的居民电子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健康档案系统项目</w:t>
            </w:r>
          </w:p>
        </w:tc>
        <w:tc>
          <w:tcPr>
            <w:tcW w:w="1418"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130,000.00</w:t>
            </w:r>
          </w:p>
        </w:tc>
        <w:tc>
          <w:tcPr>
            <w:tcW w:w="127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130,000.00</w:t>
            </w:r>
          </w:p>
        </w:tc>
        <w:tc>
          <w:tcPr>
            <w:tcW w:w="2268"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83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2,100,000.00</w:t>
            </w:r>
            <w:r>
              <w:rPr>
                <w:rFonts w:ascii="Times New Roman"/>
                <w:spacing w:val="-1"/>
                <w:sz w:val="18"/>
              </w:rPr>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1,530,000.00</w:t>
            </w:r>
            <w:r>
              <w:rPr>
                <w:rFonts w:ascii="Times New Roman"/>
                <w:spacing w:val="-1"/>
                <w:sz w:val="18"/>
              </w:rPr>
            </w:r>
          </w:p>
        </w:tc>
        <w:tc>
          <w:tcPr>
            <w:tcW w:w="127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2,100,000.00</w:t>
            </w:r>
            <w:r>
              <w:rPr>
                <w:rFonts w:ascii="Times New Roman"/>
                <w:spacing w:val="-1"/>
                <w:sz w:val="18"/>
              </w:rPr>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1,530,000.00</w:t>
            </w:r>
            <w:r>
              <w:rPr>
                <w:rFonts w:ascii="Times New Roman"/>
                <w:spacing w:val="-1"/>
                <w:sz w:val="18"/>
              </w:rPr>
            </w:r>
          </w:p>
        </w:tc>
        <w:tc>
          <w:tcPr>
            <w:tcW w:w="2268"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5、长期借款" w:id="320"/>
      <w:bookmarkEnd w:id="320"/>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46、应付债券" w:id="321"/>
      <w:bookmarkEnd w:id="321"/>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47、长期应付款" w:id="322"/>
      <w:bookmarkEnd w:id="322"/>
      <w:r>
        <w:rPr>
          <w:b w:val="0"/>
          <w:bCs w:val="0"/>
        </w:rPr>
      </w:r>
      <w:r>
        <w:rPr>
          <w:rFonts w:ascii="Times New Roman" w:hAnsi="Times New Roman" w:cs="Times New Roman" w:eastAsia="Times New Roman" w:hint="default"/>
        </w:rPr>
        <w:t>47</w:t>
      </w:r>
      <w:r>
        <w:rPr/>
        <w:t>、长期应付款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48、长期应付职工薪酬" w:id="323"/>
      <w:bookmarkEnd w:id="323"/>
      <w:r>
        <w:rPr>
          <w:b w:val="0"/>
          <w:bCs w:val="0"/>
        </w:rPr>
      </w:r>
      <w:r>
        <w:rPr>
          <w:rFonts w:ascii="Times New Roman" w:hAnsi="Times New Roman" w:cs="Times New Roman" w:eastAsia="Times New Roman" w:hint="default"/>
        </w:rPr>
        <w:t>48</w:t>
      </w:r>
      <w:r>
        <w:rPr/>
        <w:t>、长期应付职工薪酬</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49、专项应付款" w:id="324"/>
      <w:bookmarkEnd w:id="324"/>
      <w:r>
        <w:rPr>
          <w:b w:val="0"/>
          <w:bCs w:val="0"/>
        </w:rPr>
      </w:r>
      <w:r>
        <w:rPr>
          <w:rFonts w:ascii="Times New Roman" w:hAnsi="Times New Roman" w:cs="Times New Roman" w:eastAsia="Times New Roman" w:hint="default"/>
        </w:rPr>
        <w:t>49</w:t>
      </w:r>
      <w:r>
        <w:rPr/>
        <w:t>、专项应付款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50、预计负债" w:id="325"/>
      <w:bookmarkEnd w:id="325"/>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51、递延收益" w:id="326"/>
      <w:bookmarkEnd w:id="326"/>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566" w:footer="979" w:top="1360" w:bottom="1160" w:left="0" w:right="0"/>
        </w:sectPr>
      </w:pPr>
    </w:p>
    <w:p>
      <w:pPr>
        <w:spacing w:line="240" w:lineRule="auto" w:before="6"/>
        <w:rPr>
          <w:rFonts w:ascii="宋体" w:hAnsi="宋体" w:cs="宋体" w:eastAsia="宋体" w:hint="default"/>
          <w:sz w:val="5"/>
          <w:szCs w:val="5"/>
        </w:rPr>
      </w:pPr>
    </w:p>
    <w:tbl>
      <w:tblPr>
        <w:tblW w:w="0" w:type="auto"/>
        <w:jc w:val="left"/>
        <w:tblInd w:w="1176" w:type="dxa"/>
        <w:tblLayout w:type="fixed"/>
        <w:tblCellMar>
          <w:top w:w="0" w:type="dxa"/>
          <w:left w:w="0" w:type="dxa"/>
          <w:bottom w:w="0" w:type="dxa"/>
          <w:right w:w="0" w:type="dxa"/>
        </w:tblCellMar>
        <w:tblLook w:val="01E0"/>
      </w:tblPr>
      <w:tblGrid>
        <w:gridCol w:w="1571"/>
        <w:gridCol w:w="1607"/>
        <w:gridCol w:w="1595"/>
        <w:gridCol w:w="1594"/>
        <w:gridCol w:w="1594"/>
        <w:gridCol w:w="1595"/>
      </w:tblGrid>
      <w:tr>
        <w:trPr>
          <w:trHeight w:val="402"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98"/>
              <w:jc w:val="right"/>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项目未到验收期</w:t>
            </w:r>
          </w:p>
        </w:tc>
      </w:tr>
      <w:tr>
        <w:trPr>
          <w:trHeight w:val="402"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98"/>
              <w:jc w:val="righ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4,910,000.00</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涉及政府补助的项目：</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278" w:type="dxa"/>
        <w:tblLayout w:type="fixed"/>
        <w:tblCellMar>
          <w:top w:w="0" w:type="dxa"/>
          <w:left w:w="0" w:type="dxa"/>
          <w:bottom w:w="0" w:type="dxa"/>
          <w:right w:w="0" w:type="dxa"/>
        </w:tblCellMar>
        <w:tblLook w:val="01E0"/>
      </w:tblPr>
      <w:tblGrid>
        <w:gridCol w:w="4113"/>
        <w:gridCol w:w="1275"/>
        <w:gridCol w:w="1134"/>
        <w:gridCol w:w="1276"/>
        <w:gridCol w:w="993"/>
        <w:gridCol w:w="1134"/>
        <w:gridCol w:w="1276"/>
      </w:tblGrid>
      <w:tr>
        <w:trPr>
          <w:trHeight w:val="713" w:hRule="exact"/>
        </w:trPr>
        <w:tc>
          <w:tcPr>
            <w:tcW w:w="41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负债项目</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91" w:right="110"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本期计入营业 外收入金额</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72" w:right="66" w:hanging="20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 收益相关</w:t>
            </w:r>
          </w:p>
        </w:tc>
      </w:tr>
      <w:tr>
        <w:trPr>
          <w:trHeight w:val="402"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军民融合的综合健康服务平台研发及应用示范</w:t>
            </w:r>
          </w:p>
        </w:tc>
        <w:tc>
          <w:tcPr>
            <w:tcW w:w="127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3,910,000.00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5" w:right="0"/>
              <w:jc w:val="left"/>
              <w:rPr>
                <w:rFonts w:ascii="Times New Roman" w:hAnsi="Times New Roman" w:cs="Times New Roman" w:eastAsia="Times New Roman" w:hint="default"/>
                <w:sz w:val="18"/>
                <w:szCs w:val="18"/>
              </w:rPr>
            </w:pPr>
            <w:r>
              <w:rPr>
                <w:rFonts w:ascii="Times New Roman"/>
                <w:sz w:val="18"/>
              </w:rPr>
              <w:t>3,910,000.00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基于大数据应用的综合健康服务平台研发及应用</w:t>
            </w:r>
          </w:p>
        </w:tc>
        <w:tc>
          <w:tcPr>
            <w:tcW w:w="127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5" w:right="0"/>
              <w:jc w:val="left"/>
              <w:rPr>
                <w:rFonts w:ascii="Times New Roman" w:hAnsi="Times New Roman" w:cs="Times New Roman" w:eastAsia="Times New Roman" w:hint="default"/>
                <w:sz w:val="18"/>
                <w:szCs w:val="18"/>
              </w:rPr>
            </w:pPr>
            <w:r>
              <w:rPr>
                <w:rFonts w:ascii="Times New Roman"/>
                <w:sz w:val="18"/>
              </w:rPr>
              <w:t>1,000,000.00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41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5" w:type="dxa"/>
            <w:tcBorders>
              <w:top w:val="single" w:sz="4" w:space="0" w:color="000000"/>
              <w:left w:val="single" w:sz="13" w:space="0" w:color="D2D2D2"/>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4,910,000.00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5" w:right="0"/>
              <w:jc w:val="left"/>
              <w:rPr>
                <w:rFonts w:ascii="Times New Roman" w:hAnsi="Times New Roman" w:cs="Times New Roman" w:eastAsia="Times New Roman" w:hint="default"/>
                <w:sz w:val="18"/>
                <w:szCs w:val="18"/>
              </w:rPr>
            </w:pPr>
            <w:r>
              <w:rPr>
                <w:rFonts w:ascii="Times New Roman"/>
                <w:sz w:val="18"/>
              </w:rPr>
              <w:t>4,910,000.00</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2、其他非流动负债" w:id="327"/>
      <w:bookmarkEnd w:id="327"/>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53、股本" w:id="328"/>
      <w:bookmarkEnd w:id="328"/>
      <w:r>
        <w:rPr>
          <w:b w:val="0"/>
          <w:bCs w:val="0"/>
        </w:rPr>
      </w:r>
      <w:r>
        <w:rPr>
          <w:rFonts w:ascii="Times New Roman" w:hAnsi="Times New Roman" w:cs="Times New Roman" w:eastAsia="Times New Roman" w:hint="default"/>
        </w:rPr>
        <w:t>53</w:t>
      </w:r>
      <w:r>
        <w:rPr/>
        <w:t>、股本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75" w:type="dxa"/>
        <w:tblLayout w:type="fixed"/>
        <w:tblCellMar>
          <w:top w:w="0" w:type="dxa"/>
          <w:left w:w="0" w:type="dxa"/>
          <w:bottom w:w="0" w:type="dxa"/>
          <w:right w:w="0" w:type="dxa"/>
        </w:tblCellMar>
        <w:tblLook w:val="01E0"/>
      </w:tblPr>
      <w:tblGrid>
        <w:gridCol w:w="1184"/>
        <w:gridCol w:w="1209"/>
        <w:gridCol w:w="1184"/>
        <w:gridCol w:w="1197"/>
        <w:gridCol w:w="1196"/>
        <w:gridCol w:w="1196"/>
        <w:gridCol w:w="1184"/>
        <w:gridCol w:w="1208"/>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9"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7"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7" w:type="dxa"/>
            <w:gridSpan w:val="5"/>
            <w:vMerge/>
            <w:tcBorders>
              <w:left w:val="single" w:sz="4" w:space="0" w:color="000000"/>
              <w:bottom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9"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136,000,000.00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24,714,826.00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160,714,826.00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185,429,652.00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321,429,652.00</w:t>
            </w:r>
          </w:p>
        </w:tc>
      </w:tr>
    </w:tbl>
    <w:p>
      <w:pPr>
        <w:pStyle w:val="BodyText"/>
        <w:spacing w:line="240" w:lineRule="auto" w:before="51"/>
        <w:ind w:right="0"/>
        <w:jc w:val="both"/>
      </w:pPr>
      <w:r>
        <w:rPr/>
        <w:t>其他说明：</w:t>
      </w:r>
    </w:p>
    <w:p>
      <w:pPr>
        <w:pStyle w:val="BodyText"/>
        <w:spacing w:line="240" w:lineRule="auto" w:before="116"/>
        <w:ind w:left="1133" w:right="0"/>
        <w:jc w:val="both"/>
      </w:pPr>
      <w:r>
        <w:rPr/>
        <w:t>（</w:t>
      </w:r>
      <w:r>
        <w:rPr>
          <w:rFonts w:ascii="Times New Roman" w:hAnsi="Times New Roman" w:cs="Times New Roman" w:eastAsia="Times New Roman" w:hint="default"/>
        </w:rPr>
        <w:t>1</w:t>
      </w:r>
      <w:r>
        <w:rPr/>
        <w:t>）报告期内，本公司向特定投资者非公开发行人民币普通股</w:t>
      </w:r>
      <w:r>
        <w:rPr>
          <w:spacing w:val="-46"/>
        </w:rPr>
        <w:t> </w:t>
      </w:r>
      <w:r>
        <w:rPr>
          <w:rFonts w:ascii="Times New Roman" w:hAnsi="Times New Roman" w:cs="Times New Roman" w:eastAsia="Times New Roman" w:hint="default"/>
        </w:rPr>
        <w:t>24,714,826</w:t>
      </w:r>
      <w:r>
        <w:rPr>
          <w:rFonts w:ascii="Times New Roman" w:hAnsi="Times New Roman" w:cs="Times New Roman" w:eastAsia="Times New Roman" w:hint="default"/>
          <w:spacing w:val="-2"/>
        </w:rPr>
        <w:t> </w:t>
      </w:r>
      <w:r>
        <w:rPr/>
        <w:t>股，募集资金总额</w:t>
      </w:r>
      <w:r>
        <w:rPr>
          <w:spacing w:val="-47"/>
        </w:rPr>
        <w:t> </w:t>
      </w:r>
      <w:r>
        <w:rPr>
          <w:rFonts w:ascii="Times New Roman" w:hAnsi="Times New Roman" w:cs="Times New Roman" w:eastAsia="Times New Roman" w:hint="default"/>
        </w:rPr>
        <w:t>389,999,954.28</w:t>
      </w:r>
      <w:r>
        <w:rPr>
          <w:rFonts w:ascii="Times New Roman" w:hAnsi="Times New Roman" w:cs="Times New Roman" w:eastAsia="Times New Roman" w:hint="default"/>
          <w:spacing w:val="-2"/>
        </w:rPr>
        <w:t> </w:t>
      </w:r>
      <w:r>
        <w:rPr/>
        <w:t>元，扣除与发</w:t>
      </w:r>
    </w:p>
    <w:p>
      <w:pPr>
        <w:pStyle w:val="BodyText"/>
        <w:spacing w:line="300" w:lineRule="auto" w:before="63"/>
        <w:ind w:left="1133" w:right="1093"/>
        <w:jc w:val="both"/>
      </w:pPr>
      <w:r>
        <w:rPr/>
        <w:t>行有关的费用人民币</w:t>
      </w:r>
      <w:r>
        <w:rPr>
          <w:spacing w:val="-47"/>
        </w:rPr>
        <w:t> </w:t>
      </w:r>
      <w:r>
        <w:rPr>
          <w:rFonts w:ascii="Times New Roman" w:hAnsi="Times New Roman" w:cs="Times New Roman" w:eastAsia="Times New Roman" w:hint="default"/>
        </w:rPr>
        <w:t>6,142,327.47</w:t>
      </w:r>
      <w:r>
        <w:rPr>
          <w:rFonts w:ascii="Times New Roman" w:hAnsi="Times New Roman" w:cs="Times New Roman" w:eastAsia="Times New Roman" w:hint="default"/>
          <w:spacing w:val="-1"/>
        </w:rPr>
        <w:t> </w:t>
      </w:r>
      <w:r>
        <w:rPr/>
        <w:t>元，公司实际募集资金净额为人民币</w:t>
      </w:r>
      <w:r>
        <w:rPr>
          <w:spacing w:val="-47"/>
        </w:rPr>
        <w:t> </w:t>
      </w:r>
      <w:r>
        <w:rPr>
          <w:rFonts w:ascii="Times New Roman" w:hAnsi="Times New Roman" w:cs="Times New Roman" w:eastAsia="Times New Roman" w:hint="default"/>
        </w:rPr>
        <w:t>383,857,626.81</w:t>
      </w:r>
      <w:r>
        <w:rPr>
          <w:rFonts w:ascii="Times New Roman" w:hAnsi="Times New Roman" w:cs="Times New Roman" w:eastAsia="Times New Roman" w:hint="default"/>
          <w:spacing w:val="-1"/>
        </w:rPr>
        <w:t> </w:t>
      </w:r>
      <w:r>
        <w:rPr/>
        <w:t>元，其中计入股本</w:t>
      </w:r>
      <w:r>
        <w:rPr>
          <w:spacing w:val="-47"/>
        </w:rPr>
        <w:t> </w:t>
      </w:r>
      <w:r>
        <w:rPr>
          <w:rFonts w:ascii="Times New Roman" w:hAnsi="Times New Roman" w:cs="Times New Roman" w:eastAsia="Times New Roman" w:hint="default"/>
        </w:rPr>
        <w:t>24,714,826.00</w:t>
      </w:r>
      <w:r>
        <w:rPr>
          <w:rFonts w:ascii="Times New Roman" w:hAnsi="Times New Roman" w:cs="Times New Roman" w:eastAsia="Times New Roman" w:hint="default"/>
          <w:spacing w:val="-1"/>
        </w:rPr>
        <w:t> </w:t>
      </w:r>
      <w:r>
        <w:rPr/>
        <w:t>元，</w:t>
      </w:r>
      <w:r>
        <w:rPr>
          <w:spacing w:val="1"/>
        </w:rPr>
        <w:t> </w:t>
      </w:r>
      <w:r>
        <w:rPr/>
        <w:t>计入资本公积</w:t>
      </w:r>
      <w:r>
        <w:rPr>
          <w:spacing w:val="-60"/>
        </w:rPr>
        <w:t> </w:t>
      </w:r>
      <w:r>
        <w:rPr>
          <w:rFonts w:ascii="Times New Roman" w:hAnsi="Times New Roman" w:cs="Times New Roman" w:eastAsia="Times New Roman" w:hint="default"/>
        </w:rPr>
        <w:t>359,142,800.81</w:t>
      </w:r>
      <w:r>
        <w:rPr>
          <w:rFonts w:ascii="Times New Roman" w:hAnsi="Times New Roman" w:cs="Times New Roman" w:eastAsia="Times New Roman" w:hint="default"/>
          <w:spacing w:val="-14"/>
        </w:rPr>
        <w:t> </w:t>
      </w:r>
      <w:r>
        <w:rPr/>
        <w:t>元。前述出资业经华普天健会计师事务所（特殊普通合伙）会验字</w:t>
      </w:r>
      <w:r>
        <w:rPr>
          <w:rFonts w:ascii="Times New Roman" w:hAnsi="Times New Roman" w:cs="Times New Roman" w:eastAsia="Times New Roman" w:hint="default"/>
        </w:rPr>
        <w:t>[2015]2882</w:t>
      </w:r>
      <w:r>
        <w:rPr>
          <w:rFonts w:ascii="Times New Roman" w:hAnsi="Times New Roman" w:cs="Times New Roman" w:eastAsia="Times New Roman" w:hint="default"/>
          <w:spacing w:val="17"/>
        </w:rPr>
        <w:t> </w:t>
      </w:r>
      <w:r>
        <w:rPr/>
        <w:t>号验资报告予以 验证。</w:t>
      </w:r>
    </w:p>
    <w:p>
      <w:pPr>
        <w:pStyle w:val="BodyText"/>
        <w:spacing w:line="300" w:lineRule="auto" w:before="70"/>
        <w:ind w:left="1133" w:right="1132"/>
        <w:jc w:val="both"/>
      </w:pPr>
      <w:r>
        <w:rPr/>
        <w:t>（</w:t>
      </w:r>
      <w:r>
        <w:rPr>
          <w:rFonts w:ascii="Times New Roman" w:hAnsi="Times New Roman" w:cs="Times New Roman" w:eastAsia="Times New Roman" w:hint="default"/>
        </w:rPr>
        <w:t>2</w:t>
      </w:r>
      <w:r>
        <w:rPr/>
        <w:t>）报告期内，本公司以截至</w:t>
      </w:r>
      <w:r>
        <w:rPr>
          <w:spacing w:val="-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0"/>
        </w:rPr>
        <w:t> </w:t>
      </w:r>
      <w:r>
        <w:rPr/>
        <w:t>年</w:t>
      </w:r>
      <w:r>
        <w:rPr>
          <w:spacing w:val="-49"/>
        </w:rPr>
        <w:t> </w:t>
      </w:r>
      <w:r>
        <w:rPr>
          <w:rFonts w:ascii="Times New Roman" w:hAnsi="Times New Roman" w:cs="Times New Roman" w:eastAsia="Times New Roman" w:hint="default"/>
        </w:rPr>
        <w:t>6</w:t>
      </w:r>
      <w:r>
        <w:rPr>
          <w:rFonts w:ascii="Times New Roman" w:hAnsi="Times New Roman" w:cs="Times New Roman" w:eastAsia="Times New Roman" w:hint="default"/>
          <w:spacing w:val="40"/>
        </w:rPr>
        <w:t> </w:t>
      </w:r>
      <w:r>
        <w:rPr/>
        <w:t>月</w:t>
      </w:r>
      <w:r>
        <w:rPr>
          <w:spacing w:val="-49"/>
        </w:rPr>
        <w:t> </w:t>
      </w:r>
      <w:r>
        <w:rPr>
          <w:rFonts w:ascii="Times New Roman" w:hAnsi="Times New Roman" w:cs="Times New Roman" w:eastAsia="Times New Roman" w:hint="default"/>
        </w:rPr>
        <w:t>30</w:t>
      </w:r>
      <w:r>
        <w:rPr>
          <w:rFonts w:ascii="Times New Roman" w:hAnsi="Times New Roman" w:cs="Times New Roman" w:eastAsia="Times New Roman" w:hint="default"/>
          <w:spacing w:val="40"/>
        </w:rPr>
        <w:t> </w:t>
      </w:r>
      <w:r>
        <w:rPr/>
        <w:t>日的总股本</w:t>
      </w:r>
      <w:r>
        <w:rPr>
          <w:spacing w:val="-49"/>
        </w:rPr>
        <w:t> </w:t>
      </w:r>
      <w:r>
        <w:rPr>
          <w:rFonts w:ascii="Times New Roman" w:hAnsi="Times New Roman" w:cs="Times New Roman" w:eastAsia="Times New Roman" w:hint="default"/>
        </w:rPr>
        <w:t>160,714,826</w:t>
      </w:r>
      <w:r>
        <w:rPr>
          <w:rFonts w:ascii="Times New Roman" w:hAnsi="Times New Roman" w:cs="Times New Roman" w:eastAsia="Times New Roman" w:hint="default"/>
          <w:spacing w:val="-4"/>
        </w:rPr>
        <w:t> </w:t>
      </w:r>
      <w:r>
        <w:rPr/>
        <w:t>股为基数，以资本公积向全体股东每</w:t>
      </w:r>
      <w:r>
        <w:rPr>
          <w:spacing w:val="-49"/>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股转增</w:t>
      </w:r>
      <w:r>
        <w:rPr>
          <w:spacing w:val="-49"/>
        </w:rPr>
        <w:t> </w:t>
      </w:r>
      <w:r>
        <w:rPr>
          <w:rFonts w:ascii="Times New Roman" w:hAnsi="Times New Roman" w:cs="Times New Roman" w:eastAsia="Times New Roman" w:hint="default"/>
        </w:rPr>
        <w:t>10 </w:t>
      </w:r>
      <w:r>
        <w:rPr>
          <w:spacing w:val="-7"/>
        </w:rPr>
        <w:t>股，共计转增</w:t>
      </w:r>
      <w:r>
        <w:rPr>
          <w:spacing w:val="-28"/>
        </w:rPr>
        <w:t> </w:t>
      </w:r>
      <w:r>
        <w:rPr>
          <w:rFonts w:ascii="Times New Roman" w:hAnsi="Times New Roman" w:cs="Times New Roman" w:eastAsia="Times New Roman" w:hint="default"/>
        </w:rPr>
        <w:t>160,714,826</w:t>
      </w:r>
      <w:r>
        <w:rPr>
          <w:rFonts w:ascii="Times New Roman" w:hAnsi="Times New Roman" w:cs="Times New Roman" w:eastAsia="Times New Roman" w:hint="default"/>
          <w:spacing w:val="18"/>
        </w:rPr>
        <w:t> </w:t>
      </w:r>
      <w:r>
        <w:rPr>
          <w:spacing w:val="-6"/>
        </w:rPr>
        <w:t>股（以下简称转增股本）。前述出资业经华普天健会计师事务所（特殊普通合伙）会验字</w:t>
      </w:r>
      <w:r>
        <w:rPr>
          <w:rFonts w:ascii="Times New Roman" w:hAnsi="Times New Roman" w:cs="Times New Roman" w:eastAsia="Times New Roman" w:hint="default"/>
          <w:spacing w:val="-6"/>
        </w:rPr>
        <w:t>[2015]3560</w:t>
      </w:r>
      <w:r>
        <w:rPr>
          <w:rFonts w:ascii="Times New Roman" w:hAnsi="Times New Roman" w:cs="Times New Roman" w:eastAsia="Times New Roman" w:hint="default"/>
          <w:spacing w:val="-41"/>
        </w:rPr>
        <w:t> </w:t>
      </w:r>
      <w:r>
        <w:rPr>
          <w:rFonts w:ascii="Times New Roman" w:hAnsi="Times New Roman" w:cs="Times New Roman" w:eastAsia="Times New Roman" w:hint="default"/>
          <w:spacing w:val="-41"/>
        </w:rPr>
      </w:r>
      <w:r>
        <w:rPr/>
        <w:t>号验资报告予以验证。</w:t>
      </w:r>
    </w:p>
    <w:p>
      <w:pPr>
        <w:pStyle w:val="BodyText"/>
        <w:spacing w:line="309" w:lineRule="auto" w:before="71"/>
        <w:ind w:right="1130"/>
        <w:jc w:val="both"/>
      </w:pPr>
      <w:r>
        <w:rPr/>
        <w:t>（</w:t>
      </w:r>
      <w:r>
        <w:rPr>
          <w:rFonts w:ascii="Times New Roman" w:hAnsi="Times New Roman" w:cs="Times New Roman" w:eastAsia="Times New Roman" w:hint="default"/>
        </w:rPr>
        <w:t>3</w:t>
      </w:r>
      <w:r>
        <w:rPr/>
        <w:t>）付艳杰、崔万涛分别将其持有的公司有限售条件流通股</w:t>
      </w:r>
      <w:r>
        <w:rPr>
          <w:spacing w:val="-45"/>
        </w:rPr>
        <w:t> </w:t>
      </w:r>
      <w:r>
        <w:rPr>
          <w:rFonts w:ascii="Times New Roman" w:hAnsi="Times New Roman" w:cs="Times New Roman" w:eastAsia="Times New Roman" w:hint="default"/>
        </w:rPr>
        <w:t>5,200,000</w:t>
      </w:r>
      <w:r>
        <w:rPr>
          <w:rFonts w:ascii="Times New Roman" w:hAnsi="Times New Roman" w:cs="Times New Roman" w:eastAsia="Times New Roman" w:hint="default"/>
          <w:spacing w:val="-1"/>
        </w:rPr>
        <w:t> </w:t>
      </w:r>
      <w:r>
        <w:rPr/>
        <w:t>股、</w:t>
      </w:r>
      <w:r>
        <w:rPr>
          <w:rFonts w:ascii="Times New Roman" w:hAnsi="Times New Roman" w:cs="Times New Roman" w:eastAsia="Times New Roman" w:hint="default"/>
        </w:rPr>
        <w:t>7,060,000</w:t>
      </w:r>
      <w:r>
        <w:rPr>
          <w:rFonts w:ascii="Times New Roman" w:hAnsi="Times New Roman" w:cs="Times New Roman" w:eastAsia="Times New Roman" w:hint="default"/>
          <w:spacing w:val="-2"/>
        </w:rPr>
        <w:t> </w:t>
      </w:r>
      <w:r>
        <w:rPr/>
        <w:t>股（前述股数系在原合同约定的质押 </w:t>
      </w:r>
      <w:r>
        <w:rPr>
          <w:spacing w:val="-2"/>
        </w:rPr>
        <w:t>股数基础上，根据转增股本情况调整后确定的股数，下同）与华泰证券股份有限公司、平安证券有限责任公司进行股票质押</w:t>
      </w:r>
      <w:r>
        <w:rPr>
          <w:spacing w:val="-66"/>
        </w:rPr>
        <w:t> </w:t>
      </w:r>
      <w:r>
        <w:rPr>
          <w:spacing w:val="-66"/>
        </w:rPr>
      </w:r>
      <w:r>
        <w:rPr/>
        <w:t>式回购交易，质押期限分别为</w:t>
      </w:r>
      <w:r>
        <w:rPr>
          <w:spacing w:val="-49"/>
        </w:rPr>
        <w:t> </w:t>
      </w:r>
      <w:r>
        <w:rPr>
          <w:rFonts w:ascii="Times New Roman" w:hAnsi="Times New Roman" w:cs="Times New Roman" w:eastAsia="Times New Roman" w:hint="default"/>
        </w:rPr>
        <w:t>365</w:t>
      </w:r>
      <w:r>
        <w:rPr>
          <w:rFonts w:ascii="Times New Roman" w:hAnsi="Times New Roman" w:cs="Times New Roman" w:eastAsia="Times New Roman" w:hint="default"/>
          <w:spacing w:val="-4"/>
        </w:rPr>
        <w:t> </w:t>
      </w:r>
      <w:r>
        <w:rPr>
          <w:spacing w:val="-3"/>
        </w:rPr>
        <w:t>天、</w:t>
      </w:r>
      <w:r>
        <w:rPr>
          <w:rFonts w:ascii="Times New Roman" w:hAnsi="Times New Roman" w:cs="Times New Roman" w:eastAsia="Times New Roman" w:hint="default"/>
          <w:spacing w:val="-3"/>
        </w:rPr>
        <w:t>364 </w:t>
      </w:r>
      <w:r>
        <w:rPr/>
        <w:t>天，相关股权质押登记手续已于</w:t>
      </w:r>
      <w:r>
        <w:rPr>
          <w:spacing w:val="-49"/>
        </w:rPr>
        <w:t> </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w:t>
      </w:r>
      <w:r>
        <w:rPr>
          <w:spacing w:val="-48"/>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月</w:t>
      </w:r>
      <w:r>
        <w:rPr>
          <w:spacing w:val="-49"/>
        </w:rPr>
        <w:t> </w:t>
      </w:r>
      <w:r>
        <w:rPr>
          <w:rFonts w:ascii="Times New Roman" w:hAnsi="Times New Roman" w:cs="Times New Roman" w:eastAsia="Times New Roman" w:hint="default"/>
        </w:rPr>
        <w:t>21</w:t>
      </w:r>
      <w:r>
        <w:rPr>
          <w:rFonts w:ascii="Times New Roman" w:hAnsi="Times New Roman" w:cs="Times New Roman" w:eastAsia="Times New Roman" w:hint="default"/>
          <w:spacing w:val="-4"/>
        </w:rPr>
        <w:t> </w:t>
      </w:r>
      <w:r>
        <w:rPr/>
        <w:t>日通过中国证券登记结算有限公</w:t>
      </w:r>
    </w:p>
    <w:p>
      <w:pPr>
        <w:pStyle w:val="BodyText"/>
        <w:spacing w:line="240" w:lineRule="auto" w:before="5"/>
        <w:ind w:left="1133" w:right="0"/>
        <w:jc w:val="both"/>
      </w:pPr>
      <w:r>
        <w:rPr/>
        <w:t>司深圳分公司办理。</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日，付艳杰将前述有限售条件股</w:t>
      </w:r>
      <w:r>
        <w:rPr>
          <w:spacing w:val="-46"/>
        </w:rPr>
        <w:t> </w:t>
      </w:r>
      <w:r>
        <w:rPr>
          <w:rFonts w:ascii="Times New Roman" w:hAnsi="Times New Roman" w:cs="Times New Roman" w:eastAsia="Times New Roman" w:hint="default"/>
        </w:rPr>
        <w:t>5,200,000</w:t>
      </w:r>
      <w:r>
        <w:rPr>
          <w:rFonts w:ascii="Times New Roman" w:hAnsi="Times New Roman" w:cs="Times New Roman" w:eastAsia="Times New Roman" w:hint="default"/>
          <w:spacing w:val="-1"/>
        </w:rPr>
        <w:t> </w:t>
      </w:r>
      <w:r>
        <w:rPr/>
        <w:t>股与华泰证券办理了股份质押延期业务，将</w:t>
      </w:r>
    </w:p>
    <w:p>
      <w:pPr>
        <w:pStyle w:val="BodyText"/>
        <w:spacing w:line="240" w:lineRule="auto" w:before="63"/>
        <w:ind w:left="1133" w:right="0"/>
        <w:jc w:val="both"/>
      </w:pPr>
      <w:r>
        <w:rPr/>
        <w:t>回购交易日延期至</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7 </w:t>
      </w:r>
      <w:r>
        <w:rPr/>
        <w:t>月</w:t>
      </w:r>
      <w:r>
        <w:rPr>
          <w:spacing w:val="-46"/>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t>日，崔万涛将前述有限售条件股</w:t>
      </w:r>
      <w:r>
        <w:rPr>
          <w:spacing w:val="-46"/>
        </w:rPr>
        <w:t> </w:t>
      </w:r>
      <w:r>
        <w:rPr>
          <w:rFonts w:ascii="Times New Roman" w:hAnsi="Times New Roman" w:cs="Times New Roman" w:eastAsia="Times New Roman" w:hint="default"/>
        </w:rPr>
        <w:t>7,060,000</w:t>
      </w:r>
      <w:r>
        <w:rPr>
          <w:rFonts w:ascii="Times New Roman" w:hAnsi="Times New Roman" w:cs="Times New Roman" w:eastAsia="Times New Roman" w:hint="default"/>
          <w:spacing w:val="-1"/>
        </w:rPr>
        <w:t> </w:t>
      </w:r>
      <w:r>
        <w:rPr/>
        <w:t>股与平安证券办理了股份质押延期业务，将回</w:t>
      </w:r>
    </w:p>
    <w:p>
      <w:pPr>
        <w:pStyle w:val="BodyText"/>
        <w:spacing w:line="240" w:lineRule="auto" w:before="64"/>
        <w:ind w:left="1133" w:right="0"/>
        <w:jc w:val="both"/>
      </w:pPr>
      <w:r>
        <w:rPr/>
        <w:t>购交易日延期至</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日，其他质押事项不变。</w:t>
      </w:r>
    </w:p>
    <w:p>
      <w:pPr>
        <w:pStyle w:val="BodyText"/>
        <w:spacing w:line="240" w:lineRule="auto" w:before="101"/>
        <w:ind w:left="1133" w:right="0"/>
        <w:jc w:val="both"/>
      </w:pPr>
      <w:r>
        <w:rPr>
          <w:spacing w:val="-2"/>
        </w:rPr>
        <w:t>（</w:t>
      </w:r>
      <w:r>
        <w:rPr>
          <w:rFonts w:ascii="Times New Roman" w:hAnsi="Times New Roman" w:cs="Times New Roman" w:eastAsia="Times New Roman" w:hint="default"/>
          <w:spacing w:val="-2"/>
        </w:rPr>
        <w:t>4</w:t>
      </w:r>
      <w:r>
        <w:rPr>
          <w:spacing w:val="-2"/>
        </w:rPr>
        <w:t>）崔万涛将其持有的公司有限售条件流通股</w:t>
      </w:r>
      <w:r>
        <w:rPr>
          <w:spacing w:val="-38"/>
        </w:rPr>
        <w:t> </w:t>
      </w:r>
      <w:r>
        <w:rPr>
          <w:rFonts w:ascii="Times New Roman" w:hAnsi="Times New Roman" w:cs="Times New Roman" w:eastAsia="Times New Roman" w:hint="default"/>
        </w:rPr>
        <w:t>2,800,000</w:t>
      </w:r>
      <w:r>
        <w:rPr>
          <w:rFonts w:ascii="Times New Roman" w:hAnsi="Times New Roman" w:cs="Times New Roman" w:eastAsia="Times New Roman" w:hint="default"/>
          <w:spacing w:val="9"/>
        </w:rPr>
        <w:t> </w:t>
      </w:r>
      <w:r>
        <w:rPr>
          <w:spacing w:val="-2"/>
        </w:rPr>
        <w:t>股与华泰证券股份有限公司进行股票质押式回购交易，质押期限为</w:t>
      </w:r>
    </w:p>
    <w:p>
      <w:pPr>
        <w:pStyle w:val="BodyText"/>
        <w:spacing w:line="240" w:lineRule="auto" w:before="63"/>
        <w:ind w:left="1133" w:right="0"/>
        <w:jc w:val="both"/>
      </w:pPr>
      <w:r>
        <w:rPr>
          <w:rFonts w:ascii="Times New Roman" w:hAnsi="Times New Roman" w:cs="Times New Roman" w:eastAsia="Times New Roman" w:hint="default"/>
        </w:rPr>
        <w:t>365</w:t>
      </w:r>
      <w:r>
        <w:rPr>
          <w:rFonts w:ascii="Times New Roman" w:hAnsi="Times New Roman" w:cs="Times New Roman" w:eastAsia="Times New Roman" w:hint="default"/>
          <w:spacing w:val="-5"/>
        </w:rPr>
        <w:t> </w:t>
      </w:r>
      <w:r>
        <w:rPr>
          <w:spacing w:val="-3"/>
        </w:rPr>
        <w:t>天，相关股权质押登记手续已于</w:t>
      </w:r>
      <w:r>
        <w:rPr>
          <w:spacing w:val="-50"/>
        </w:rPr>
        <w:t> </w:t>
      </w: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t>年</w:t>
      </w:r>
      <w:r>
        <w:rPr>
          <w:spacing w:val="-49"/>
        </w:rPr>
        <w:t> </w:t>
      </w:r>
      <w:r>
        <w:rPr>
          <w:rFonts w:ascii="Times New Roman" w:hAnsi="Times New Roman" w:cs="Times New Roman" w:eastAsia="Times New Roman" w:hint="default"/>
        </w:rPr>
        <w:t>8</w:t>
      </w:r>
      <w:r>
        <w:rPr>
          <w:rFonts w:ascii="Times New Roman" w:hAnsi="Times New Roman" w:cs="Times New Roman" w:eastAsia="Times New Roman" w:hint="default"/>
          <w:spacing w:val="-5"/>
        </w:rPr>
        <w:t> </w:t>
      </w:r>
      <w:r>
        <w:rPr/>
        <w:t>月</w:t>
      </w:r>
      <w:r>
        <w:rPr>
          <w:spacing w:val="-50"/>
        </w:rPr>
        <w:t> </w:t>
      </w:r>
      <w:r>
        <w:rPr>
          <w:rFonts w:ascii="Times New Roman" w:hAnsi="Times New Roman" w:cs="Times New Roman" w:eastAsia="Times New Roman" w:hint="default"/>
        </w:rPr>
        <w:t>20</w:t>
      </w:r>
      <w:r>
        <w:rPr>
          <w:rFonts w:ascii="Times New Roman" w:hAnsi="Times New Roman" w:cs="Times New Roman" w:eastAsia="Times New Roman" w:hint="default"/>
          <w:spacing w:val="-5"/>
        </w:rPr>
        <w:t> </w:t>
      </w:r>
      <w:r>
        <w:rPr/>
        <w:t>日通过中国证券登记结算有限公司深圳分公司办理。</w:t>
      </w: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w:t>
      </w:r>
      <w:r>
        <w:rPr>
          <w:spacing w:val="-50"/>
        </w:rPr>
        <w:t> </w:t>
      </w:r>
      <w:r>
        <w:rPr>
          <w:rFonts w:ascii="Times New Roman" w:hAnsi="Times New Roman" w:cs="Times New Roman" w:eastAsia="Times New Roman" w:hint="default"/>
        </w:rPr>
        <w:t>21</w:t>
      </w:r>
      <w:r>
        <w:rPr>
          <w:rFonts w:ascii="Times New Roman" w:hAnsi="Times New Roman" w:cs="Times New Roman" w:eastAsia="Times New Roman" w:hint="default"/>
          <w:spacing w:val="-5"/>
        </w:rPr>
        <w:t> </w:t>
      </w:r>
      <w:r>
        <w:rPr/>
        <w:t>日，</w:t>
      </w:r>
    </w:p>
    <w:p>
      <w:pPr>
        <w:pStyle w:val="BodyText"/>
        <w:spacing w:line="302" w:lineRule="auto" w:before="63"/>
        <w:ind w:right="1141"/>
        <w:jc w:val="both"/>
      </w:pPr>
      <w:r>
        <w:rPr/>
        <w:t>崔万涛将前述有限售条件股</w:t>
      </w:r>
      <w:r>
        <w:rPr>
          <w:spacing w:val="-47"/>
        </w:rPr>
        <w:t> </w:t>
      </w:r>
      <w:r>
        <w:rPr>
          <w:rFonts w:ascii="Times New Roman" w:hAnsi="Times New Roman" w:cs="Times New Roman" w:eastAsia="Times New Roman" w:hint="default"/>
        </w:rPr>
        <w:t>2,800,000</w:t>
      </w:r>
      <w:r>
        <w:rPr>
          <w:rFonts w:ascii="Times New Roman" w:hAnsi="Times New Roman" w:cs="Times New Roman" w:eastAsia="Times New Roman" w:hint="default"/>
          <w:spacing w:val="-2"/>
        </w:rPr>
        <w:t> </w:t>
      </w:r>
      <w:r>
        <w:rPr/>
        <w:t>股与华泰证券办理了股份质押延期业务，将回购交易日延期至</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t>日，其 他质押事项不变。</w:t>
      </w:r>
    </w:p>
    <w:p>
      <w:pPr>
        <w:pStyle w:val="BodyText"/>
        <w:spacing w:line="240" w:lineRule="auto" w:before="68"/>
        <w:ind w:right="0"/>
        <w:jc w:val="both"/>
      </w:pPr>
      <w:r>
        <w:rPr/>
        <w:t>（</w:t>
      </w:r>
      <w:r>
        <w:rPr>
          <w:rFonts w:ascii="Times New Roman" w:hAnsi="Times New Roman" w:cs="Times New Roman" w:eastAsia="Times New Roman" w:hint="default"/>
        </w:rPr>
        <w:t>5</w:t>
      </w:r>
      <w:r>
        <w:rPr/>
        <w:t>）崔万涛将其持有的公司有限售条件流通股</w:t>
      </w:r>
      <w:r>
        <w:rPr>
          <w:spacing w:val="-47"/>
        </w:rPr>
        <w:t> </w:t>
      </w:r>
      <w:r>
        <w:rPr>
          <w:rFonts w:ascii="Times New Roman" w:hAnsi="Times New Roman" w:cs="Times New Roman" w:eastAsia="Times New Roman" w:hint="default"/>
        </w:rPr>
        <w:t>13,452,000</w:t>
      </w:r>
      <w:r>
        <w:rPr>
          <w:rFonts w:ascii="Times New Roman" w:hAnsi="Times New Roman" w:cs="Times New Roman" w:eastAsia="Times New Roman" w:hint="default"/>
          <w:spacing w:val="-1"/>
        </w:rPr>
        <w:t> </w:t>
      </w:r>
      <w:r>
        <w:rPr/>
        <w:t>股与海通证券股份有限公司进行股票质押式回购交易，质押期限</w:t>
      </w:r>
    </w:p>
    <w:p>
      <w:pPr>
        <w:spacing w:after="0" w:line="240" w:lineRule="auto"/>
        <w:jc w:val="both"/>
        <w:sectPr>
          <w:pgSz w:w="11910" w:h="16840"/>
          <w:pgMar w:header="566" w:footer="979" w:top="1360" w:bottom="1160" w:left="0" w:right="0"/>
        </w:sectPr>
      </w:pPr>
    </w:p>
    <w:p>
      <w:pPr>
        <w:pStyle w:val="BodyText"/>
        <w:spacing w:line="240" w:lineRule="auto" w:before="81"/>
        <w:ind w:right="0"/>
        <w:jc w:val="both"/>
        <w:rPr>
          <w:rFonts w:ascii="Times New Roman" w:hAnsi="Times New Roman" w:cs="Times New Roman" w:eastAsia="Times New Roman" w:hint="default"/>
        </w:rPr>
      </w:pPr>
      <w:r>
        <w:rPr/>
        <w:t>为</w:t>
      </w:r>
      <w:r>
        <w:rPr>
          <w:spacing w:val="-46"/>
        </w:rPr>
        <w:t> </w:t>
      </w:r>
      <w:r>
        <w:rPr>
          <w:rFonts w:ascii="Times New Roman" w:hAnsi="Times New Roman" w:cs="Times New Roman" w:eastAsia="Times New Roman" w:hint="default"/>
        </w:rPr>
        <w:t>365</w:t>
      </w:r>
      <w:r>
        <w:rPr>
          <w:rFonts w:ascii="Times New Roman" w:hAnsi="Times New Roman" w:cs="Times New Roman" w:eastAsia="Times New Roman" w:hint="default"/>
          <w:spacing w:val="-1"/>
        </w:rPr>
        <w:t> </w:t>
      </w:r>
      <w:r>
        <w:rPr/>
        <w:t>天，相关股权质押登记手续已于</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日通过中国证券登记结算有限公司深圳分公司办理。</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w:t>
      </w:r>
    </w:p>
    <w:p>
      <w:pPr>
        <w:pStyle w:val="BodyText"/>
        <w:spacing w:line="240" w:lineRule="auto" w:before="63"/>
        <w:ind w:right="0"/>
        <w:jc w:val="both"/>
        <w:rPr>
          <w:rFonts w:ascii="Times New Roman" w:hAnsi="Times New Roman" w:cs="Times New Roman" w:eastAsia="Times New Roman" w:hint="default"/>
        </w:rPr>
      </w:pPr>
      <w:r>
        <w:rPr/>
        <w:t>日，崔万涛将前述有限售条件股</w:t>
      </w:r>
      <w:r>
        <w:rPr>
          <w:spacing w:val="-47"/>
        </w:rPr>
        <w:t> </w:t>
      </w:r>
      <w:r>
        <w:rPr>
          <w:rFonts w:ascii="Times New Roman" w:hAnsi="Times New Roman" w:cs="Times New Roman" w:eastAsia="Times New Roman" w:hint="default"/>
        </w:rPr>
        <w:t>13,452,000</w:t>
      </w:r>
      <w:r>
        <w:rPr>
          <w:rFonts w:ascii="Times New Roman" w:hAnsi="Times New Roman" w:cs="Times New Roman" w:eastAsia="Times New Roman" w:hint="default"/>
          <w:spacing w:val="-2"/>
        </w:rPr>
        <w:t> </w:t>
      </w:r>
      <w:r>
        <w:rPr/>
        <w:t>股与海通证券办理了股份质押延期业务，将回购交易日延期至</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1</w:t>
      </w:r>
    </w:p>
    <w:p>
      <w:pPr>
        <w:pStyle w:val="BodyText"/>
        <w:spacing w:line="240" w:lineRule="auto" w:before="64"/>
        <w:ind w:right="0"/>
        <w:jc w:val="both"/>
      </w:pPr>
      <w:r>
        <w:rPr/>
        <w:t>日，其他质押事项不变。</w:t>
      </w:r>
    </w:p>
    <w:p>
      <w:pPr>
        <w:pStyle w:val="BodyText"/>
        <w:spacing w:line="302" w:lineRule="auto" w:before="115"/>
        <w:ind w:right="1132"/>
        <w:jc w:val="both"/>
      </w:pPr>
      <w:r>
        <w:rPr/>
        <w:t>（</w:t>
      </w:r>
      <w:r>
        <w:rPr>
          <w:rFonts w:ascii="Times New Roman" w:hAnsi="Times New Roman" w:cs="Times New Roman" w:eastAsia="Times New Roman" w:hint="default"/>
        </w:rPr>
        <w:t>6</w:t>
      </w:r>
      <w:r>
        <w:rPr/>
        <w:t>）付艳杰、崔万涛分别将其持有的公司无限售流通股</w:t>
      </w:r>
      <w:r>
        <w:rPr>
          <w:spacing w:val="-46"/>
        </w:rPr>
        <w:t> </w:t>
      </w:r>
      <w:r>
        <w:rPr>
          <w:rFonts w:ascii="Times New Roman" w:hAnsi="Times New Roman" w:cs="Times New Roman" w:eastAsia="Times New Roman" w:hint="default"/>
        </w:rPr>
        <w:t>10,800,000</w:t>
      </w:r>
      <w:r>
        <w:rPr>
          <w:rFonts w:ascii="Times New Roman" w:hAnsi="Times New Roman" w:cs="Times New Roman" w:eastAsia="Times New Roman" w:hint="default"/>
          <w:spacing w:val="-2"/>
        </w:rPr>
        <w:t> </w:t>
      </w:r>
      <w:r>
        <w:rPr/>
        <w:t>股、</w:t>
      </w:r>
      <w:r>
        <w:rPr>
          <w:rFonts w:ascii="Times New Roman" w:hAnsi="Times New Roman" w:cs="Times New Roman" w:eastAsia="Times New Roman" w:hint="default"/>
        </w:rPr>
        <w:t>10,000,000</w:t>
      </w:r>
      <w:r>
        <w:rPr>
          <w:rFonts w:ascii="Times New Roman" w:hAnsi="Times New Roman" w:cs="Times New Roman" w:eastAsia="Times New Roman" w:hint="default"/>
          <w:spacing w:val="-2"/>
        </w:rPr>
        <w:t> </w:t>
      </w:r>
      <w:r>
        <w:rPr/>
        <w:t>股与广发证券资产管理（广东）有限公 司、中信建投证券股份有限公司进行股票质押式回购交易，质押期限分别为</w:t>
      </w:r>
      <w:r>
        <w:rPr>
          <w:spacing w:val="-58"/>
        </w:rPr>
        <w:t> </w:t>
      </w:r>
      <w:r>
        <w:rPr>
          <w:rFonts w:ascii="Times New Roman" w:hAnsi="Times New Roman" w:cs="Times New Roman" w:eastAsia="Times New Roman" w:hint="default"/>
        </w:rPr>
        <w:t>365</w:t>
      </w:r>
      <w:r>
        <w:rPr>
          <w:rFonts w:ascii="Times New Roman" w:hAnsi="Times New Roman" w:cs="Times New Roman" w:eastAsia="Times New Roman" w:hint="default"/>
          <w:spacing w:val="-13"/>
        </w:rPr>
        <w:t> </w:t>
      </w:r>
      <w:r>
        <w:rPr/>
        <w:t>天、</w:t>
      </w:r>
      <w:r>
        <w:rPr>
          <w:rFonts w:ascii="Times New Roman" w:hAnsi="Times New Roman" w:cs="Times New Roman" w:eastAsia="Times New Roman" w:hint="default"/>
        </w:rPr>
        <w:t>360</w:t>
      </w:r>
      <w:r>
        <w:rPr>
          <w:rFonts w:ascii="Times New Roman" w:hAnsi="Times New Roman" w:cs="Times New Roman" w:eastAsia="Times New Roman" w:hint="default"/>
          <w:spacing w:val="-13"/>
        </w:rPr>
        <w:t> </w:t>
      </w:r>
      <w:r>
        <w:rPr/>
        <w:t>天，相关股权质押登记手续已分别 于</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日通过中国证券登记结算有限公司深圳分公司办理。</w:t>
      </w:r>
    </w:p>
    <w:p>
      <w:pPr>
        <w:pStyle w:val="BodyText"/>
        <w:spacing w:line="240" w:lineRule="auto" w:before="50"/>
        <w:ind w:left="1133" w:right="0"/>
        <w:jc w:val="both"/>
      </w:pPr>
      <w:r>
        <w:rPr/>
        <w:t>（</w:t>
      </w:r>
      <w:r>
        <w:rPr>
          <w:rFonts w:ascii="Times New Roman" w:hAnsi="Times New Roman" w:cs="Times New Roman" w:eastAsia="Times New Roman" w:hint="default"/>
        </w:rPr>
        <w:t>7</w:t>
      </w:r>
      <w:r>
        <w:rPr/>
        <w:t>）付艳杰将其持有的公司有限售条件流通股</w:t>
      </w:r>
      <w:r>
        <w:rPr>
          <w:spacing w:val="-47"/>
        </w:rPr>
        <w:t> </w:t>
      </w:r>
      <w:r>
        <w:rPr>
          <w:rFonts w:ascii="Times New Roman" w:hAnsi="Times New Roman" w:cs="Times New Roman" w:eastAsia="Times New Roman" w:hint="default"/>
        </w:rPr>
        <w:t>10,500,000</w:t>
      </w:r>
      <w:r>
        <w:rPr>
          <w:rFonts w:ascii="Times New Roman" w:hAnsi="Times New Roman" w:cs="Times New Roman" w:eastAsia="Times New Roman" w:hint="default"/>
          <w:spacing w:val="-1"/>
        </w:rPr>
        <w:t> </w:t>
      </w:r>
      <w:r>
        <w:rPr/>
        <w:t>股与华泰证券（上海）资产管理有限公司进行股票质押式回购交</w:t>
      </w:r>
    </w:p>
    <w:p>
      <w:pPr>
        <w:pStyle w:val="BodyText"/>
        <w:spacing w:line="240" w:lineRule="auto" w:before="64"/>
        <w:ind w:right="0"/>
        <w:jc w:val="both"/>
      </w:pPr>
      <w:r>
        <w:rPr/>
        <w:t>易，质押期限为</w:t>
      </w:r>
      <w:r>
        <w:rPr>
          <w:spacing w:val="-46"/>
        </w:rPr>
        <w:t> </w:t>
      </w:r>
      <w:r>
        <w:rPr>
          <w:rFonts w:ascii="Times New Roman" w:hAnsi="Times New Roman" w:cs="Times New Roman" w:eastAsia="Times New Roman" w:hint="default"/>
        </w:rPr>
        <w:t>365</w:t>
      </w:r>
      <w:r>
        <w:rPr>
          <w:rFonts w:ascii="Times New Roman" w:hAnsi="Times New Roman" w:cs="Times New Roman" w:eastAsia="Times New Roman" w:hint="default"/>
          <w:spacing w:val="-1"/>
        </w:rPr>
        <w:t> </w:t>
      </w:r>
      <w:r>
        <w:rPr/>
        <w:t>天，相关股权质押登记手续已于</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3 </w:t>
      </w:r>
      <w:r>
        <w:rPr/>
        <w:t>月</w:t>
      </w:r>
      <w:r>
        <w:rPr>
          <w:spacing w:val="-46"/>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t>日通过中国证券登记结算有限公司深圳分公司办理。</w:t>
      </w:r>
    </w:p>
    <w:p>
      <w:pPr>
        <w:pStyle w:val="BodyText"/>
        <w:spacing w:line="240" w:lineRule="auto" w:before="101"/>
        <w:ind w:right="0"/>
        <w:jc w:val="both"/>
      </w:pPr>
      <w:r>
        <w:rPr>
          <w:spacing w:val="-2"/>
        </w:rPr>
        <w:t>（</w:t>
      </w:r>
      <w:r>
        <w:rPr>
          <w:rFonts w:ascii="Times New Roman" w:hAnsi="Times New Roman" w:cs="Times New Roman" w:eastAsia="Times New Roman" w:hint="default"/>
          <w:spacing w:val="-2"/>
        </w:rPr>
        <w:t>8</w:t>
      </w:r>
      <w:r>
        <w:rPr>
          <w:spacing w:val="-2"/>
        </w:rPr>
        <w:t>）崔万涛将其持有的公司有限售条件流通股</w:t>
      </w:r>
      <w:r>
        <w:rPr>
          <w:spacing w:val="-38"/>
        </w:rPr>
        <w:t> </w:t>
      </w:r>
      <w:r>
        <w:rPr>
          <w:rFonts w:ascii="Times New Roman" w:hAnsi="Times New Roman" w:cs="Times New Roman" w:eastAsia="Times New Roman" w:hint="default"/>
        </w:rPr>
        <w:t>4,000,000</w:t>
      </w:r>
      <w:r>
        <w:rPr>
          <w:rFonts w:ascii="Times New Roman" w:hAnsi="Times New Roman" w:cs="Times New Roman" w:eastAsia="Times New Roman" w:hint="default"/>
          <w:spacing w:val="9"/>
        </w:rPr>
        <w:t> </w:t>
      </w:r>
      <w:r>
        <w:rPr>
          <w:spacing w:val="-2"/>
        </w:rPr>
        <w:t>股与华泰证券股份有限公司进行股票质押式回购交易，质押期限为</w:t>
      </w:r>
    </w:p>
    <w:p>
      <w:pPr>
        <w:pStyle w:val="BodyText"/>
        <w:spacing w:line="240" w:lineRule="auto" w:before="64"/>
        <w:ind w:left="1133" w:right="0"/>
        <w:jc w:val="both"/>
      </w:pPr>
      <w:r>
        <w:rPr>
          <w:rFonts w:ascii="Times New Roman" w:hAnsi="Times New Roman" w:cs="Times New Roman" w:eastAsia="Times New Roman" w:hint="default"/>
        </w:rPr>
        <w:t>365</w:t>
      </w:r>
      <w:r>
        <w:rPr>
          <w:rFonts w:ascii="Times New Roman" w:hAnsi="Times New Roman" w:cs="Times New Roman" w:eastAsia="Times New Roman" w:hint="default"/>
          <w:spacing w:val="-1"/>
        </w:rPr>
        <w:t> </w:t>
      </w:r>
      <w:r>
        <w:rPr/>
        <w:t>天，相关股权质押登记手续已于</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t>日通过中国证券登记结算有限公司深圳分公司办理。</w:t>
      </w:r>
    </w:p>
    <w:p>
      <w:pPr>
        <w:pStyle w:val="BodyText"/>
        <w:spacing w:line="240" w:lineRule="auto" w:before="101"/>
        <w:ind w:right="0"/>
        <w:jc w:val="both"/>
      </w:pPr>
      <w:r>
        <w:rPr/>
        <w:t>（</w:t>
      </w:r>
      <w:r>
        <w:rPr>
          <w:rFonts w:ascii="Times New Roman" w:hAnsi="Times New Roman" w:cs="Times New Roman" w:eastAsia="Times New Roman" w:hint="default"/>
        </w:rPr>
        <w:t>9</w:t>
      </w:r>
      <w:r>
        <w:rPr/>
        <w:t>）付艳杰将其持有的公司有限售条件流通股</w:t>
      </w:r>
      <w:r>
        <w:rPr>
          <w:spacing w:val="-47"/>
        </w:rPr>
        <w:t> </w:t>
      </w:r>
      <w:r>
        <w:rPr>
          <w:rFonts w:ascii="Times New Roman" w:hAnsi="Times New Roman" w:cs="Times New Roman" w:eastAsia="Times New Roman" w:hint="default"/>
        </w:rPr>
        <w:t>18,400,000</w:t>
      </w:r>
      <w:r>
        <w:rPr>
          <w:rFonts w:ascii="Times New Roman" w:hAnsi="Times New Roman" w:cs="Times New Roman" w:eastAsia="Times New Roman" w:hint="default"/>
          <w:spacing w:val="-1"/>
        </w:rPr>
        <w:t> </w:t>
      </w:r>
      <w:r>
        <w:rPr/>
        <w:t>股与广发证券资产管理（广东）有限公司进行股票质押式回购交</w:t>
      </w:r>
    </w:p>
    <w:p>
      <w:pPr>
        <w:pStyle w:val="BodyText"/>
        <w:spacing w:line="240" w:lineRule="auto" w:before="64"/>
        <w:ind w:right="0"/>
        <w:jc w:val="both"/>
      </w:pPr>
      <w:r>
        <w:rPr/>
        <w:t>易，质押期限为</w:t>
      </w:r>
      <w:r>
        <w:rPr>
          <w:spacing w:val="-46"/>
        </w:rPr>
        <w:t> </w:t>
      </w:r>
      <w:r>
        <w:rPr>
          <w:rFonts w:ascii="Times New Roman" w:hAnsi="Times New Roman" w:cs="Times New Roman" w:eastAsia="Times New Roman" w:hint="default"/>
        </w:rPr>
        <w:t>365</w:t>
      </w:r>
      <w:r>
        <w:rPr>
          <w:rFonts w:ascii="Times New Roman" w:hAnsi="Times New Roman" w:cs="Times New Roman" w:eastAsia="Times New Roman" w:hint="default"/>
          <w:spacing w:val="-1"/>
        </w:rPr>
        <w:t> </w:t>
      </w:r>
      <w:r>
        <w:rPr/>
        <w:t>天，相关股权质押登记手续已于</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6 </w:t>
      </w:r>
      <w:r>
        <w:rPr/>
        <w:t>月</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日通过中国证券登记结算有限公司深圳分公司办理。</w:t>
      </w:r>
    </w:p>
    <w:p>
      <w:pPr>
        <w:pStyle w:val="BodyText"/>
        <w:spacing w:line="300" w:lineRule="auto" w:before="102"/>
        <w:ind w:right="1132"/>
        <w:jc w:val="both"/>
      </w:pPr>
      <w:r>
        <w:rPr/>
        <w:t>（</w:t>
      </w:r>
      <w:r>
        <w:rPr>
          <w:rFonts w:ascii="Times New Roman" w:hAnsi="Times New Roman" w:cs="Times New Roman" w:eastAsia="Times New Roman" w:hint="default"/>
        </w:rPr>
        <w:t>10</w:t>
      </w:r>
      <w:r>
        <w:rPr/>
        <w:t>）付艳杰、崔万涛分别将其持有的公司部分有限售条件流通股</w:t>
      </w:r>
      <w:r>
        <w:rPr>
          <w:spacing w:val="-46"/>
        </w:rPr>
        <w:t> </w:t>
      </w:r>
      <w:r>
        <w:rPr>
          <w:rFonts w:ascii="Times New Roman" w:hAnsi="Times New Roman" w:cs="Times New Roman" w:eastAsia="Times New Roman" w:hint="default"/>
        </w:rPr>
        <w:t>4,000,000</w:t>
      </w:r>
      <w:r>
        <w:rPr>
          <w:rFonts w:ascii="Times New Roman" w:hAnsi="Times New Roman" w:cs="Times New Roman" w:eastAsia="Times New Roman" w:hint="default"/>
          <w:spacing w:val="-2"/>
        </w:rPr>
        <w:t> </w:t>
      </w:r>
      <w:r>
        <w:rPr/>
        <w:t>股、</w:t>
      </w:r>
      <w:r>
        <w:rPr>
          <w:rFonts w:ascii="Times New Roman" w:hAnsi="Times New Roman" w:cs="Times New Roman" w:eastAsia="Times New Roman" w:hint="default"/>
        </w:rPr>
        <w:t>24,480,000</w:t>
      </w:r>
      <w:r>
        <w:rPr>
          <w:rFonts w:ascii="Times New Roman" w:hAnsi="Times New Roman" w:cs="Times New Roman" w:eastAsia="Times New Roman" w:hint="default"/>
          <w:spacing w:val="-1"/>
        </w:rPr>
        <w:t> </w:t>
      </w:r>
      <w:r>
        <w:rPr/>
        <w:t>股与中国银河证券股份有限公 </w:t>
      </w:r>
      <w:r>
        <w:rPr>
          <w:spacing w:val="-3"/>
        </w:rPr>
        <w:t>司进行股票质押式回购交易，质押期限为</w:t>
      </w:r>
      <w:r>
        <w:rPr>
          <w:spacing w:val="-45"/>
        </w:rPr>
        <w:t> </w:t>
      </w:r>
      <w:r>
        <w:rPr>
          <w:rFonts w:ascii="Times New Roman" w:hAnsi="Times New Roman" w:cs="Times New Roman" w:eastAsia="Times New Roman" w:hint="default"/>
        </w:rPr>
        <w:t>308 </w:t>
      </w:r>
      <w:r>
        <w:rPr>
          <w:spacing w:val="-3"/>
        </w:rPr>
        <w:t>天，相关股权质押登记手续已于</w:t>
      </w:r>
      <w:r>
        <w:rPr>
          <w:spacing w:val="-45"/>
        </w:rPr>
        <w:t> </w:t>
      </w:r>
      <w:r>
        <w:rPr>
          <w:rFonts w:ascii="Times New Roman" w:hAnsi="Times New Roman" w:cs="Times New Roman" w:eastAsia="Times New Roman" w:hint="default"/>
        </w:rPr>
        <w:t>2015 </w:t>
      </w:r>
      <w:r>
        <w:rPr/>
        <w:t>年</w:t>
      </w:r>
      <w:r>
        <w:rPr>
          <w:spacing w:val="-44"/>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10 </w:t>
      </w:r>
      <w:r>
        <w:rPr/>
        <w:t>日通过中国证券登记结算有限 公司深圳分公司办理。</w:t>
      </w:r>
    </w:p>
    <w:p>
      <w:pPr>
        <w:pStyle w:val="BodyText"/>
        <w:spacing w:line="240" w:lineRule="auto" w:before="70"/>
        <w:ind w:right="0"/>
        <w:jc w:val="both"/>
      </w:pPr>
      <w:r>
        <w:rPr/>
        <w:t>（</w:t>
      </w:r>
      <w:r>
        <w:rPr>
          <w:rFonts w:ascii="Times New Roman" w:hAnsi="Times New Roman" w:cs="Times New Roman" w:eastAsia="Times New Roman" w:hint="default"/>
        </w:rPr>
        <w:t>11</w:t>
      </w:r>
      <w:r>
        <w:rPr/>
        <w:t>）付艳杰将其持有的公司有限售条件流通股</w:t>
      </w:r>
      <w:r>
        <w:rPr>
          <w:spacing w:val="-51"/>
        </w:rPr>
        <w:t> </w:t>
      </w:r>
      <w:r>
        <w:rPr>
          <w:rFonts w:ascii="Times New Roman" w:hAnsi="Times New Roman" w:cs="Times New Roman" w:eastAsia="Times New Roman" w:hint="default"/>
        </w:rPr>
        <w:t>5,200,000</w:t>
      </w:r>
      <w:r>
        <w:rPr>
          <w:rFonts w:ascii="Times New Roman" w:hAnsi="Times New Roman" w:cs="Times New Roman" w:eastAsia="Times New Roman" w:hint="default"/>
          <w:spacing w:val="-6"/>
        </w:rPr>
        <w:t> </w:t>
      </w:r>
      <w:r>
        <w:rPr/>
        <w:t>股与中国银河证券股份有限公司进行股票质押式回购交易，质押</w:t>
      </w:r>
    </w:p>
    <w:p>
      <w:pPr>
        <w:pStyle w:val="BodyText"/>
        <w:spacing w:line="240" w:lineRule="auto" w:before="64"/>
        <w:ind w:right="0"/>
        <w:jc w:val="both"/>
      </w:pPr>
      <w:r>
        <w:rPr/>
        <w:t>期限为</w:t>
      </w:r>
      <w:r>
        <w:rPr>
          <w:spacing w:val="-46"/>
        </w:rPr>
        <w:t> </w:t>
      </w:r>
      <w:r>
        <w:rPr>
          <w:rFonts w:ascii="Times New Roman" w:hAnsi="Times New Roman" w:cs="Times New Roman" w:eastAsia="Times New Roman" w:hint="default"/>
        </w:rPr>
        <w:t>366</w:t>
      </w:r>
      <w:r>
        <w:rPr>
          <w:rFonts w:ascii="Times New Roman" w:hAnsi="Times New Roman" w:cs="Times New Roman" w:eastAsia="Times New Roman" w:hint="default"/>
          <w:spacing w:val="-1"/>
        </w:rPr>
        <w:t> </w:t>
      </w:r>
      <w:r>
        <w:rPr/>
        <w:t>天，相关股权质押登记手续已于</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日通过中国证券登记结算有限公司深圳分公司办理。</w:t>
      </w:r>
    </w:p>
    <w:p>
      <w:pPr>
        <w:pStyle w:val="BodyText"/>
        <w:spacing w:line="240" w:lineRule="auto" w:before="101"/>
        <w:ind w:right="0"/>
        <w:jc w:val="both"/>
      </w:pPr>
      <w:r>
        <w:rPr>
          <w:spacing w:val="-3"/>
        </w:rPr>
        <w:t>（</w:t>
      </w:r>
      <w:r>
        <w:rPr>
          <w:rFonts w:ascii="Times New Roman" w:hAnsi="Times New Roman" w:cs="Times New Roman" w:eastAsia="Times New Roman" w:hint="default"/>
          <w:spacing w:val="-3"/>
        </w:rPr>
        <w:t>12</w:t>
      </w:r>
      <w:r>
        <w:rPr>
          <w:spacing w:val="-3"/>
        </w:rPr>
        <w:t>）付艳杰于</w:t>
      </w:r>
      <w:r>
        <w:rPr>
          <w:spacing w:val="-51"/>
        </w:rPr>
        <w:t> </w:t>
      </w:r>
      <w:r>
        <w:rPr>
          <w:rFonts w:ascii="Times New Roman" w:hAnsi="Times New Roman" w:cs="Times New Roman" w:eastAsia="Times New Roman" w:hint="default"/>
        </w:rPr>
        <w:t>2015</w:t>
      </w:r>
      <w:r>
        <w:rPr>
          <w:rFonts w:ascii="Times New Roman" w:hAnsi="Times New Roman" w:cs="Times New Roman" w:eastAsia="Times New Roman" w:hint="default"/>
          <w:spacing w:val="-6"/>
        </w:rPr>
        <w:t> </w:t>
      </w:r>
      <w:r>
        <w:rPr/>
        <w:t>年</w:t>
      </w:r>
      <w:r>
        <w:rPr>
          <w:spacing w:val="-50"/>
        </w:rPr>
        <w:t> </w:t>
      </w: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t>月</w:t>
      </w:r>
      <w:r>
        <w:rPr>
          <w:spacing w:val="-50"/>
        </w:rPr>
        <w:t> </w:t>
      </w:r>
      <w:r>
        <w:rPr>
          <w:rFonts w:ascii="Times New Roman" w:hAnsi="Times New Roman" w:cs="Times New Roman" w:eastAsia="Times New Roman" w:hint="default"/>
        </w:rPr>
        <w:t>27</w:t>
      </w:r>
      <w:r>
        <w:rPr>
          <w:rFonts w:ascii="Times New Roman" w:hAnsi="Times New Roman" w:cs="Times New Roman" w:eastAsia="Times New Roman" w:hint="default"/>
          <w:spacing w:val="-6"/>
        </w:rPr>
        <w:t> </w:t>
      </w:r>
      <w:r>
        <w:rPr/>
        <w:t>日质押给广发证券资产管理（广东）有限公司的有限售条件流通股</w:t>
      </w:r>
      <w:r>
        <w:rPr>
          <w:spacing w:val="-50"/>
        </w:rPr>
        <w:t> </w:t>
      </w:r>
      <w:r>
        <w:rPr>
          <w:rFonts w:ascii="Times New Roman" w:hAnsi="Times New Roman" w:cs="Times New Roman" w:eastAsia="Times New Roman" w:hint="default"/>
        </w:rPr>
        <w:t>10,800,000</w:t>
      </w:r>
      <w:r>
        <w:rPr>
          <w:rFonts w:ascii="Times New Roman" w:hAnsi="Times New Roman" w:cs="Times New Roman" w:eastAsia="Times New Roman" w:hint="default"/>
          <w:spacing w:val="-6"/>
        </w:rPr>
        <w:t> </w:t>
      </w:r>
      <w:r>
        <w:rPr>
          <w:spacing w:val="-4"/>
        </w:rPr>
        <w:t>股，由于质押</w:t>
      </w:r>
    </w:p>
    <w:p>
      <w:pPr>
        <w:pStyle w:val="BodyText"/>
        <w:spacing w:line="302" w:lineRule="auto" w:before="63"/>
        <w:ind w:right="1120"/>
        <w:jc w:val="left"/>
      </w:pPr>
      <w:r>
        <w:rPr>
          <w:spacing w:val="-3"/>
        </w:rPr>
        <w:t>股份市值的减少，根据相关协议，付艳杰需增加质押股份</w:t>
      </w:r>
      <w:r>
        <w:rPr>
          <w:spacing w:val="-46"/>
        </w:rPr>
        <w:t> </w:t>
      </w:r>
      <w:r>
        <w:rPr>
          <w:rFonts w:ascii="Times New Roman" w:hAnsi="Times New Roman" w:cs="Times New Roman" w:eastAsia="Times New Roman" w:hint="default"/>
        </w:rPr>
        <w:t>4,000,000</w:t>
      </w:r>
      <w:r>
        <w:rPr>
          <w:rFonts w:ascii="Times New Roman" w:hAnsi="Times New Roman" w:cs="Times New Roman" w:eastAsia="Times New Roman" w:hint="default"/>
          <w:spacing w:val="-2"/>
        </w:rPr>
        <w:t> </w:t>
      </w:r>
      <w:r>
        <w:rPr/>
        <w:t>股，相关股权质押登记手续已于</w:t>
      </w:r>
      <w:r>
        <w:rPr>
          <w:spacing w:val="-47"/>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日通过中 国证券登记结算有限公司深圳分公司办理。</w:t>
      </w:r>
    </w:p>
    <w:p>
      <w:pPr>
        <w:pStyle w:val="BodyText"/>
        <w:spacing w:line="240" w:lineRule="auto" w:before="69"/>
        <w:ind w:right="0"/>
        <w:jc w:val="both"/>
      </w:pPr>
      <w:r>
        <w:rPr/>
        <w:t>（</w:t>
      </w:r>
      <w:r>
        <w:rPr>
          <w:rFonts w:ascii="Times New Roman" w:hAnsi="Times New Roman" w:cs="Times New Roman" w:eastAsia="Times New Roman" w:hint="default"/>
        </w:rPr>
        <w:t>13</w:t>
      </w:r>
      <w:r>
        <w:rPr/>
        <w:t>）付艳杰将其持有的公司有限售条件流通股</w:t>
      </w:r>
      <w:r>
        <w:rPr>
          <w:spacing w:val="-47"/>
        </w:rPr>
        <w:t> </w:t>
      </w:r>
      <w:r>
        <w:rPr>
          <w:rFonts w:ascii="Times New Roman" w:hAnsi="Times New Roman" w:cs="Times New Roman" w:eastAsia="Times New Roman" w:hint="default"/>
        </w:rPr>
        <w:t>7,400,000</w:t>
      </w:r>
      <w:r>
        <w:rPr>
          <w:rFonts w:ascii="Times New Roman" w:hAnsi="Times New Roman" w:cs="Times New Roman" w:eastAsia="Times New Roman" w:hint="default"/>
          <w:spacing w:val="-2"/>
        </w:rPr>
        <w:t> </w:t>
      </w:r>
      <w:r>
        <w:rPr/>
        <w:t>股与民生证券股份有限公司进行股票质押式回购交易，质押期限</w:t>
      </w:r>
    </w:p>
    <w:p>
      <w:pPr>
        <w:pStyle w:val="BodyText"/>
        <w:spacing w:line="240" w:lineRule="auto" w:before="64"/>
        <w:ind w:right="0"/>
        <w:jc w:val="both"/>
      </w:pPr>
      <w:r>
        <w:rPr/>
        <w:t>为</w:t>
      </w:r>
      <w:r>
        <w:rPr>
          <w:spacing w:val="-46"/>
        </w:rPr>
        <w:t> </w:t>
      </w:r>
      <w:r>
        <w:rPr>
          <w:rFonts w:ascii="Times New Roman" w:hAnsi="Times New Roman" w:cs="Times New Roman" w:eastAsia="Times New Roman" w:hint="default"/>
        </w:rPr>
        <w:t>365</w:t>
      </w:r>
      <w:r>
        <w:rPr>
          <w:rFonts w:ascii="Times New Roman" w:hAnsi="Times New Roman" w:cs="Times New Roman" w:eastAsia="Times New Roman" w:hint="default"/>
          <w:spacing w:val="-1"/>
        </w:rPr>
        <w:t> </w:t>
      </w:r>
      <w:r>
        <w:rPr/>
        <w:t>天，相关股权质押登记手续已于</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日通过中国证券登记结算有限公司深圳分公司办理。</w:t>
      </w:r>
    </w:p>
    <w:p>
      <w:pPr>
        <w:spacing w:line="240" w:lineRule="auto" w:before="9"/>
        <w:rPr>
          <w:rFonts w:ascii="宋体" w:hAnsi="宋体" w:cs="宋体" w:eastAsia="宋体" w:hint="default"/>
          <w:sz w:val="25"/>
          <w:szCs w:val="25"/>
        </w:rPr>
      </w:pPr>
    </w:p>
    <w:p>
      <w:pPr>
        <w:pStyle w:val="Heading3"/>
        <w:spacing w:line="240" w:lineRule="auto"/>
        <w:ind w:right="0"/>
        <w:jc w:val="both"/>
        <w:rPr>
          <w:b w:val="0"/>
          <w:bCs w:val="0"/>
        </w:rPr>
      </w:pPr>
      <w:bookmarkStart w:name="54、其他权益工具" w:id="329"/>
      <w:bookmarkEnd w:id="329"/>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3" w:right="0"/>
        <w:jc w:val="both"/>
      </w:pPr>
      <w:r>
        <w:rPr/>
        <w:t>无</w:t>
      </w:r>
    </w:p>
    <w:p>
      <w:pPr>
        <w:spacing w:line="240" w:lineRule="auto" w:before="12"/>
        <w:rPr>
          <w:rFonts w:ascii="宋体" w:hAnsi="宋体" w:cs="宋体" w:eastAsia="宋体" w:hint="default"/>
          <w:sz w:val="26"/>
          <w:szCs w:val="26"/>
        </w:rPr>
      </w:pPr>
    </w:p>
    <w:p>
      <w:pPr>
        <w:pStyle w:val="Heading3"/>
        <w:spacing w:line="240" w:lineRule="auto"/>
        <w:ind w:right="0"/>
        <w:jc w:val="both"/>
        <w:rPr>
          <w:b w:val="0"/>
          <w:bCs w:val="0"/>
        </w:rPr>
      </w:pPr>
      <w:bookmarkStart w:name="55、资本公积" w:id="330"/>
      <w:bookmarkEnd w:id="330"/>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74"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center"/>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96,985,081.42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359,142,800.81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160,714,826.00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295,413,056.23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96,985,081.42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359,142,800.81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160,714,826.00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295,413,056.23</w:t>
            </w:r>
          </w:p>
        </w:tc>
      </w:tr>
    </w:tbl>
    <w:p>
      <w:pPr>
        <w:pStyle w:val="BodyText"/>
        <w:spacing w:line="240" w:lineRule="auto" w:before="51"/>
        <w:ind w:right="0"/>
        <w:jc w:val="left"/>
      </w:pPr>
      <w:r>
        <w:rPr/>
        <w:t>其他说明，包括本期增减变动情况、变动原因说明：</w:t>
      </w:r>
    </w:p>
    <w:p>
      <w:pPr>
        <w:spacing w:line="240" w:lineRule="auto" w:before="0"/>
        <w:rPr>
          <w:rFonts w:ascii="宋体" w:hAnsi="宋体" w:cs="宋体" w:eastAsia="宋体" w:hint="default"/>
          <w:sz w:val="15"/>
          <w:szCs w:val="15"/>
        </w:rPr>
      </w:pPr>
    </w:p>
    <w:p>
      <w:pPr>
        <w:pStyle w:val="BodyText"/>
        <w:spacing w:line="300" w:lineRule="auto"/>
        <w:ind w:left="1133" w:right="1117"/>
        <w:jc w:val="left"/>
      </w:pPr>
      <w:r>
        <w:rPr/>
        <w:t>（</w:t>
      </w:r>
      <w:r>
        <w:rPr>
          <w:rFonts w:ascii="Times New Roman" w:hAnsi="Times New Roman" w:cs="Times New Roman" w:eastAsia="Times New Roman" w:hint="default"/>
        </w:rPr>
        <w:t>1</w:t>
      </w:r>
      <w:r>
        <w:rPr/>
        <w:t>）</w:t>
      </w:r>
      <w:r>
        <w:rPr>
          <w:spacing w:val="-33"/>
        </w:rPr>
        <w:t> </w:t>
      </w:r>
      <w:r>
        <w:rPr>
          <w:spacing w:val="-1"/>
        </w:rPr>
        <w:t>本项目股本溢价增加额系公司本报告期非公开发行股票形成的募集资金净额与确认的股本之间的差额，详见本报告第</w:t>
      </w:r>
      <w:r>
        <w:rPr/>
        <w:t> </w:t>
      </w:r>
      <w:r>
        <w:rPr>
          <w:spacing w:val="-23"/>
        </w:rPr>
        <w:t>十节、七、</w:t>
      </w:r>
      <w:r>
        <w:rPr>
          <w:rFonts w:ascii="Times New Roman" w:hAnsi="Times New Roman" w:cs="Times New Roman" w:eastAsia="Times New Roman" w:hint="default"/>
          <w:spacing w:val="-23"/>
        </w:rPr>
        <w:t>53</w:t>
      </w:r>
      <w:r>
        <w:rPr>
          <w:spacing w:val="-23"/>
        </w:rPr>
        <w:t>、（</w:t>
      </w:r>
      <w:r>
        <w:rPr>
          <w:rFonts w:ascii="Times New Roman" w:hAnsi="Times New Roman" w:cs="Times New Roman" w:eastAsia="Times New Roman" w:hint="default"/>
          <w:spacing w:val="-23"/>
        </w:rPr>
        <w:t>1</w:t>
      </w:r>
      <w:r>
        <w:rPr>
          <w:spacing w:val="-23"/>
        </w:rPr>
        <w:t>）。</w:t>
      </w:r>
      <w:r>
        <w:rPr/>
      </w:r>
    </w:p>
    <w:p>
      <w:pPr>
        <w:pStyle w:val="BodyText"/>
        <w:spacing w:line="240" w:lineRule="auto" w:before="13"/>
        <w:ind w:right="0"/>
        <w:jc w:val="left"/>
      </w:pPr>
      <w:r>
        <w:rPr/>
        <w:t>（</w:t>
      </w:r>
      <w:r>
        <w:rPr>
          <w:rFonts w:ascii="Times New Roman" w:hAnsi="Times New Roman" w:cs="Times New Roman" w:eastAsia="Times New Roman" w:hint="default"/>
        </w:rPr>
        <w:t>2</w:t>
      </w:r>
      <w:r>
        <w:rPr/>
        <w:t>） 本项目本期减少额系公司本报告期资本公积转增股本金额，详见本报告第十节、七、</w:t>
      </w:r>
      <w:r>
        <w:rPr>
          <w:rFonts w:ascii="Times New Roman" w:hAnsi="Times New Roman" w:cs="Times New Roman" w:eastAsia="Times New Roman" w:hint="default"/>
        </w:rPr>
        <w:t>53</w:t>
      </w:r>
      <w:r>
        <w:rPr>
          <w:spacing w:val="-90"/>
        </w:rPr>
        <w:t>、</w:t>
      </w:r>
      <w:r>
        <w:rPr/>
        <w:t>（</w:t>
      </w:r>
      <w:r>
        <w:rPr>
          <w:rFonts w:ascii="Times New Roman" w:hAnsi="Times New Roman" w:cs="Times New Roman" w:eastAsia="Times New Roman" w:hint="default"/>
        </w:rPr>
        <w:t>2</w:t>
      </w:r>
      <w:r>
        <w:rPr>
          <w:spacing w:val="-90"/>
        </w:rPr>
        <w:t>）。</w:t>
      </w:r>
      <w:r>
        <w:rPr/>
      </w:r>
    </w:p>
    <w:p>
      <w:pPr>
        <w:spacing w:line="240" w:lineRule="auto" w:before="12"/>
        <w:rPr>
          <w:rFonts w:ascii="宋体" w:hAnsi="宋体" w:cs="宋体" w:eastAsia="宋体" w:hint="default"/>
          <w:sz w:val="25"/>
          <w:szCs w:val="25"/>
        </w:rPr>
      </w:pPr>
    </w:p>
    <w:p>
      <w:pPr>
        <w:pStyle w:val="Heading3"/>
        <w:spacing w:line="240" w:lineRule="auto"/>
        <w:ind w:left="1133" w:right="0"/>
        <w:jc w:val="left"/>
        <w:rPr>
          <w:b w:val="0"/>
          <w:bCs w:val="0"/>
        </w:rPr>
      </w:pPr>
      <w:bookmarkStart w:name="56、库存股" w:id="331"/>
      <w:bookmarkEnd w:id="331"/>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566" w:footer="979" w:top="1360" w:bottom="1160" w:left="0" w:right="0"/>
        </w:sectPr>
      </w:pPr>
    </w:p>
    <w:p>
      <w:pPr>
        <w:pStyle w:val="Heading3"/>
        <w:spacing w:line="240" w:lineRule="auto" w:before="57"/>
        <w:ind w:right="0"/>
        <w:jc w:val="left"/>
        <w:rPr>
          <w:b w:val="0"/>
          <w:bCs w:val="0"/>
        </w:rPr>
      </w:pPr>
      <w:bookmarkStart w:name="57、其他综合收益" w:id="332"/>
      <w:bookmarkEnd w:id="332"/>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749" w:type="dxa"/>
        <w:tblLayout w:type="fixed"/>
        <w:tblCellMar>
          <w:top w:w="0" w:type="dxa"/>
          <w:left w:w="0" w:type="dxa"/>
          <w:bottom w:w="0" w:type="dxa"/>
          <w:right w:w="0" w:type="dxa"/>
        </w:tblCellMar>
        <w:tblLook w:val="01E0"/>
      </w:tblPr>
      <w:tblGrid>
        <w:gridCol w:w="3392"/>
        <w:gridCol w:w="993"/>
        <w:gridCol w:w="991"/>
        <w:gridCol w:w="1134"/>
        <w:gridCol w:w="852"/>
        <w:gridCol w:w="1134"/>
        <w:gridCol w:w="991"/>
        <w:gridCol w:w="922"/>
      </w:tblGrid>
      <w:tr>
        <w:trPr>
          <w:trHeight w:val="398" w:hRule="exact"/>
        </w:trPr>
        <w:tc>
          <w:tcPr>
            <w:tcW w:w="3392" w:type="dxa"/>
            <w:vMerge w:val="restart"/>
            <w:tcBorders>
              <w:top w:val="single" w:sz="4" w:space="0" w:color="000000"/>
              <w:left w:val="single" w:sz="4" w:space="0" w:color="000000"/>
              <w:right w:val="single" w:sz="4" w:space="0" w:color="000000"/>
            </w:tcBorders>
            <w:shd w:val="clear" w:color="auto" w:fill="D2D2D2"/>
          </w:tcPr>
          <w:p>
            <w:pPr/>
          </w:p>
        </w:tc>
        <w:tc>
          <w:tcPr>
            <w:tcW w:w="993" w:type="dxa"/>
            <w:vMerge w:val="restart"/>
            <w:tcBorders>
              <w:top w:val="single" w:sz="4" w:space="0" w:color="000000"/>
              <w:left w:val="single" w:sz="4" w:space="0" w:color="000000"/>
              <w:right w:val="single" w:sz="4" w:space="0" w:color="000000"/>
            </w:tcBorders>
            <w:shd w:val="clear" w:color="auto" w:fill="D2D2D2"/>
          </w:tcPr>
          <w:p>
            <w:pPr/>
          </w:p>
        </w:tc>
        <w:tc>
          <w:tcPr>
            <w:tcW w:w="510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922" w:type="dxa"/>
            <w:vMerge w:val="restart"/>
            <w:tcBorders>
              <w:top w:val="single" w:sz="4" w:space="0" w:color="000000"/>
              <w:left w:val="single" w:sz="4" w:space="0" w:color="000000"/>
              <w:right w:val="single" w:sz="4" w:space="0" w:color="000000"/>
            </w:tcBorders>
            <w:shd w:val="clear" w:color="auto" w:fill="D2D2D2"/>
          </w:tcPr>
          <w:p>
            <w:pPr/>
          </w:p>
        </w:tc>
      </w:tr>
      <w:tr>
        <w:trPr>
          <w:trHeight w:val="300" w:hRule="exact"/>
        </w:trPr>
        <w:tc>
          <w:tcPr>
            <w:tcW w:w="3392" w:type="dxa"/>
            <w:vMerge/>
            <w:tcBorders>
              <w:left w:val="single" w:sz="4" w:space="0" w:color="000000"/>
              <w:bottom w:val="nil" w:sz="6" w:space="0" w:color="auto"/>
              <w:right w:val="single" w:sz="4" w:space="0" w:color="000000"/>
            </w:tcBorders>
            <w:shd w:val="clear" w:color="auto" w:fill="D2D2D2"/>
          </w:tcPr>
          <w:p>
            <w:pPr/>
          </w:p>
        </w:tc>
        <w:tc>
          <w:tcPr>
            <w:tcW w:w="993" w:type="dxa"/>
            <w:vMerge/>
            <w:tcBorders>
              <w:left w:val="single" w:sz="4" w:space="0" w:color="000000"/>
              <w:bottom w:val="nil" w:sz="6" w:space="0" w:color="auto"/>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23" w:right="20"/>
              <w:jc w:val="center"/>
              <w:rPr>
                <w:rFonts w:ascii="宋体" w:hAnsi="宋体" w:cs="宋体" w:eastAsia="宋体" w:hint="default"/>
                <w:sz w:val="18"/>
                <w:szCs w:val="18"/>
              </w:rPr>
            </w:pPr>
            <w:r>
              <w:rPr>
                <w:rFonts w:ascii="宋体" w:hAnsi="宋体" w:cs="宋体" w:eastAsia="宋体" w:hint="default"/>
                <w:sz w:val="18"/>
                <w:szCs w:val="18"/>
              </w:rPr>
              <w:t>减：前期计入 其他综合收 益当期转入 损益</w:t>
            </w:r>
          </w:p>
        </w:tc>
        <w:tc>
          <w:tcPr>
            <w:tcW w:w="8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922" w:type="dxa"/>
            <w:vMerge/>
            <w:tcBorders>
              <w:left w:val="single" w:sz="4" w:space="0" w:color="000000"/>
              <w:bottom w:val="nil" w:sz="6" w:space="0" w:color="auto"/>
              <w:right w:val="single" w:sz="4" w:space="0" w:color="000000"/>
            </w:tcBorders>
            <w:shd w:val="clear" w:color="auto" w:fill="D2D2D2"/>
          </w:tcPr>
          <w:p>
            <w:pPr/>
          </w:p>
        </w:tc>
      </w:tr>
      <w:tr>
        <w:trPr>
          <w:trHeight w:val="370" w:hRule="exact"/>
        </w:trPr>
        <w:tc>
          <w:tcPr>
            <w:tcW w:w="3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9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3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130" w:right="38" w:hanging="90"/>
              <w:jc w:val="left"/>
              <w:rPr>
                <w:rFonts w:ascii="宋体" w:hAnsi="宋体" w:cs="宋体" w:eastAsia="宋体" w:hint="default"/>
                <w:sz w:val="18"/>
                <w:szCs w:val="18"/>
              </w:rPr>
            </w:pPr>
            <w:r>
              <w:rPr>
                <w:rFonts w:ascii="宋体" w:hAnsi="宋体" w:cs="宋体" w:eastAsia="宋体" w:hint="default"/>
                <w:sz w:val="18"/>
                <w:szCs w:val="18"/>
              </w:rPr>
              <w:t>本期所得税 前发生额</w:t>
            </w:r>
          </w:p>
        </w:tc>
        <w:tc>
          <w:tcPr>
            <w:tcW w:w="1134"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151" w:right="59" w:hanging="90"/>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291" w:right="110" w:hanging="180"/>
              <w:jc w:val="left"/>
              <w:rPr>
                <w:rFonts w:ascii="宋体" w:hAnsi="宋体" w:cs="宋体" w:eastAsia="宋体" w:hint="default"/>
                <w:sz w:val="18"/>
                <w:szCs w:val="18"/>
              </w:rPr>
            </w:pPr>
            <w:r>
              <w:rPr>
                <w:rFonts w:ascii="宋体" w:hAnsi="宋体" w:cs="宋体" w:eastAsia="宋体" w:hint="default"/>
                <w:sz w:val="18"/>
                <w:szCs w:val="18"/>
              </w:rPr>
              <w:t>税后归属于 母公司</w:t>
            </w: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130" w:right="38" w:hanging="90"/>
              <w:jc w:val="left"/>
              <w:rPr>
                <w:rFonts w:ascii="宋体" w:hAnsi="宋体" w:cs="宋体" w:eastAsia="宋体" w:hint="default"/>
                <w:sz w:val="18"/>
                <w:szCs w:val="18"/>
              </w:rPr>
            </w:pPr>
            <w:r>
              <w:rPr>
                <w:rFonts w:ascii="宋体" w:hAnsi="宋体" w:cs="宋体" w:eastAsia="宋体" w:hint="default"/>
                <w:sz w:val="18"/>
                <w:szCs w:val="18"/>
              </w:rPr>
              <w:t>税后归属于 少数股东</w:t>
            </w:r>
          </w:p>
        </w:tc>
        <w:tc>
          <w:tcPr>
            <w:tcW w:w="9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6" w:hRule="exact"/>
        </w:trPr>
        <w:tc>
          <w:tcPr>
            <w:tcW w:w="3392" w:type="dxa"/>
            <w:vMerge w:val="restart"/>
            <w:tcBorders>
              <w:top w:val="nil" w:sz="6" w:space="0" w:color="auto"/>
              <w:left w:val="single" w:sz="4" w:space="0" w:color="000000"/>
              <w:right w:val="single" w:sz="4" w:space="0" w:color="000000"/>
            </w:tcBorders>
            <w:shd w:val="clear" w:color="auto" w:fill="D2D2D2"/>
          </w:tcPr>
          <w:p>
            <w:pPr/>
          </w:p>
        </w:tc>
        <w:tc>
          <w:tcPr>
            <w:tcW w:w="993" w:type="dxa"/>
            <w:vMerge w:val="restart"/>
            <w:tcBorders>
              <w:top w:val="nil" w:sz="6" w:space="0" w:color="auto"/>
              <w:left w:val="single" w:sz="4" w:space="0" w:color="000000"/>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922" w:type="dxa"/>
            <w:vMerge w:val="restart"/>
            <w:tcBorders>
              <w:top w:val="nil" w:sz="6" w:space="0" w:color="auto"/>
              <w:left w:val="single" w:sz="4" w:space="0" w:color="000000"/>
              <w:right w:val="single" w:sz="4" w:space="0" w:color="000000"/>
            </w:tcBorders>
            <w:shd w:val="clear" w:color="auto" w:fill="D2D2D2"/>
          </w:tcPr>
          <w:p>
            <w:pPr/>
          </w:p>
        </w:tc>
      </w:tr>
      <w:tr>
        <w:trPr>
          <w:trHeight w:val="317" w:hRule="exact"/>
        </w:trPr>
        <w:tc>
          <w:tcPr>
            <w:tcW w:w="3392" w:type="dxa"/>
            <w:vMerge/>
            <w:tcBorders>
              <w:left w:val="single" w:sz="4" w:space="0" w:color="000000"/>
              <w:bottom w:val="single" w:sz="4" w:space="0" w:color="000000"/>
              <w:right w:val="single" w:sz="4" w:space="0" w:color="000000"/>
            </w:tcBorders>
            <w:shd w:val="clear" w:color="auto" w:fill="D2D2D2"/>
          </w:tcPr>
          <w:p>
            <w:pPr/>
          </w:p>
        </w:tc>
        <w:tc>
          <w:tcPr>
            <w:tcW w:w="993" w:type="dxa"/>
            <w:vMerge/>
            <w:tcBorders>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shd w:val="clear" w:color="auto" w:fill="D2D2D2"/>
          </w:tcPr>
          <w:p>
            <w:pPr/>
          </w:p>
        </w:tc>
        <w:tc>
          <w:tcPr>
            <w:tcW w:w="922"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3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一、以后将重分类进损益的其他综合收益</w:t>
            </w:r>
          </w:p>
        </w:tc>
        <w:tc>
          <w:tcPr>
            <w:tcW w:w="9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67" w:right="0"/>
              <w:jc w:val="left"/>
              <w:rPr>
                <w:rFonts w:ascii="Times New Roman" w:hAnsi="Times New Roman" w:cs="Times New Roman" w:eastAsia="Times New Roman" w:hint="default"/>
                <w:sz w:val="18"/>
                <w:szCs w:val="18"/>
              </w:rPr>
            </w:pPr>
            <w:r>
              <w:rPr>
                <w:rFonts w:ascii="Times New Roman"/>
                <w:sz w:val="18"/>
              </w:rPr>
              <w:t>-24,990.77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926,758.01</w:t>
            </w:r>
          </w:p>
        </w:tc>
        <w:tc>
          <w:tcPr>
            <w:tcW w:w="113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471,441.80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455,316.21</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 w:right="0"/>
              <w:jc w:val="center"/>
              <w:rPr>
                <w:rFonts w:ascii="Times New Roman" w:hAnsi="Times New Roman" w:cs="Times New Roman" w:eastAsia="Times New Roman" w:hint="default"/>
                <w:sz w:val="18"/>
                <w:szCs w:val="18"/>
              </w:rPr>
            </w:pPr>
            <w:r>
              <w:rPr>
                <w:rFonts w:ascii="Times New Roman"/>
                <w:sz w:val="18"/>
              </w:rPr>
              <w:t>446,451.03</w:t>
            </w:r>
          </w:p>
        </w:tc>
      </w:tr>
      <w:tr>
        <w:trPr>
          <w:trHeight w:val="402" w:hRule="exact"/>
        </w:trPr>
        <w:tc>
          <w:tcPr>
            <w:tcW w:w="3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9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67" w:right="0"/>
              <w:jc w:val="left"/>
              <w:rPr>
                <w:rFonts w:ascii="Times New Roman" w:hAnsi="Times New Roman" w:cs="Times New Roman" w:eastAsia="Times New Roman" w:hint="default"/>
                <w:sz w:val="18"/>
                <w:szCs w:val="18"/>
              </w:rPr>
            </w:pPr>
            <w:r>
              <w:rPr>
                <w:rFonts w:ascii="Times New Roman"/>
                <w:sz w:val="18"/>
              </w:rPr>
              <w:t>-24,990.77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926,758.01</w:t>
            </w:r>
          </w:p>
        </w:tc>
        <w:tc>
          <w:tcPr>
            <w:tcW w:w="113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471,441.80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455,316.21</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4" w:right="0"/>
              <w:jc w:val="center"/>
              <w:rPr>
                <w:rFonts w:ascii="Times New Roman" w:hAnsi="Times New Roman" w:cs="Times New Roman" w:eastAsia="Times New Roman" w:hint="default"/>
                <w:sz w:val="18"/>
                <w:szCs w:val="18"/>
              </w:rPr>
            </w:pPr>
            <w:r>
              <w:rPr>
                <w:rFonts w:ascii="Times New Roman"/>
                <w:sz w:val="18"/>
              </w:rPr>
              <w:t>446,451.03</w:t>
            </w:r>
          </w:p>
        </w:tc>
      </w:tr>
      <w:tr>
        <w:trPr>
          <w:trHeight w:val="403" w:hRule="exact"/>
        </w:trPr>
        <w:tc>
          <w:tcPr>
            <w:tcW w:w="3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4"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9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67" w:right="0"/>
              <w:jc w:val="left"/>
              <w:rPr>
                <w:rFonts w:ascii="Times New Roman" w:hAnsi="Times New Roman" w:cs="Times New Roman" w:eastAsia="Times New Roman" w:hint="default"/>
                <w:sz w:val="18"/>
                <w:szCs w:val="18"/>
              </w:rPr>
            </w:pPr>
            <w:r>
              <w:rPr>
                <w:rFonts w:ascii="Times New Roman"/>
                <w:sz w:val="18"/>
              </w:rPr>
              <w:t>-24,990.77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926,758.01</w:t>
            </w:r>
          </w:p>
        </w:tc>
        <w:tc>
          <w:tcPr>
            <w:tcW w:w="113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471,441.80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455,316.21</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4" w:right="0"/>
              <w:jc w:val="center"/>
              <w:rPr>
                <w:rFonts w:ascii="Times New Roman" w:hAnsi="Times New Roman" w:cs="Times New Roman" w:eastAsia="Times New Roman" w:hint="default"/>
                <w:sz w:val="18"/>
                <w:szCs w:val="18"/>
              </w:rPr>
            </w:pPr>
            <w:r>
              <w:rPr>
                <w:rFonts w:ascii="Times New Roman"/>
                <w:sz w:val="18"/>
              </w:rPr>
              <w:t>446,451.03</w:t>
            </w:r>
          </w:p>
        </w:tc>
      </w:tr>
    </w:tbl>
    <w:p>
      <w:pPr>
        <w:pStyle w:val="BodyText"/>
        <w:spacing w:line="357" w:lineRule="auto" w:before="51"/>
        <w:ind w:left="1133" w:right="1933"/>
        <w:jc w:val="left"/>
      </w:pPr>
      <w:r>
        <w:rPr/>
        <w:t>其他说明，包括对现金流量套期损益的有效部分转为被套期项目初始确认金额调整： 本项目期末余额均系将在美利坚合众国注册的享云科技公司纳入合并财务报表范围而形成的外币报表折算差额。</w:t>
      </w:r>
    </w:p>
    <w:p>
      <w:pPr>
        <w:spacing w:line="240" w:lineRule="auto" w:before="1"/>
        <w:rPr>
          <w:rFonts w:ascii="宋体" w:hAnsi="宋体" w:cs="宋体" w:eastAsia="宋体" w:hint="default"/>
          <w:sz w:val="20"/>
          <w:szCs w:val="20"/>
        </w:rPr>
      </w:pPr>
    </w:p>
    <w:p>
      <w:pPr>
        <w:pStyle w:val="Heading3"/>
        <w:spacing w:line="240" w:lineRule="auto"/>
        <w:ind w:left="1133" w:right="0"/>
        <w:jc w:val="left"/>
        <w:rPr>
          <w:b w:val="0"/>
          <w:bCs w:val="0"/>
        </w:rPr>
      </w:pPr>
      <w:bookmarkStart w:name="58、专项储备" w:id="333"/>
      <w:bookmarkEnd w:id="333"/>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59、盈余公积" w:id="334"/>
      <w:bookmarkEnd w:id="334"/>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74"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57"/>
              <w:jc w:val="right"/>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85"/>
              <w:jc w:val="righ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23,619,512.45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4,465,478.82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28,084,991.27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57"/>
              <w:jc w:val="righ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23,619,512.45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4,465,478.82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28,084,991.27</w:t>
            </w:r>
          </w:p>
        </w:tc>
      </w:tr>
    </w:tbl>
    <w:p>
      <w:pPr>
        <w:pStyle w:val="BodyText"/>
        <w:spacing w:line="360" w:lineRule="auto" w:before="51"/>
        <w:ind w:right="1558"/>
        <w:jc w:val="left"/>
      </w:pPr>
      <w:r>
        <w:rPr/>
        <w:t>盈余公积说明，包括本期增减变动情况、变动原因说明： 本报告期盈余公积增加系本公司按《公司法》及本公司章程有关规定，按本报告期净利润</w:t>
      </w:r>
      <w:r>
        <w:rPr>
          <w:spacing w:val="-46"/>
        </w:rPr>
        <w:t> </w:t>
      </w:r>
      <w:r>
        <w:rPr>
          <w:rFonts w:ascii="Times New Roman" w:hAnsi="Times New Roman" w:cs="Times New Roman" w:eastAsia="Times New Roman" w:hint="default"/>
        </w:rPr>
        <w:t>10%</w:t>
      </w:r>
      <w:r>
        <w:rPr/>
        <w:t>提取法定盈余公积金。</w:t>
      </w:r>
    </w:p>
    <w:p>
      <w:pPr>
        <w:spacing w:line="240" w:lineRule="auto" w:before="1"/>
        <w:rPr>
          <w:rFonts w:ascii="宋体" w:hAnsi="宋体" w:cs="宋体" w:eastAsia="宋体" w:hint="default"/>
          <w:sz w:val="18"/>
          <w:szCs w:val="18"/>
        </w:rPr>
      </w:pPr>
    </w:p>
    <w:p>
      <w:pPr>
        <w:pStyle w:val="Heading3"/>
        <w:spacing w:line="240" w:lineRule="auto"/>
        <w:ind w:right="0"/>
        <w:jc w:val="left"/>
        <w:rPr>
          <w:b w:val="0"/>
          <w:bCs w:val="0"/>
        </w:rPr>
      </w:pPr>
      <w:bookmarkStart w:name="60、未分配利润" w:id="335"/>
      <w:bookmarkEnd w:id="335"/>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75" w:type="dxa"/>
        <w:tblLayout w:type="fixed"/>
        <w:tblCellMar>
          <w:top w:w="0" w:type="dxa"/>
          <w:left w:w="0" w:type="dxa"/>
          <w:bottom w:w="0" w:type="dxa"/>
          <w:right w:w="0" w:type="dxa"/>
        </w:tblCellMar>
        <w:tblLook w:val="01E0"/>
      </w:tblPr>
      <w:tblGrid>
        <w:gridCol w:w="3703"/>
        <w:gridCol w:w="2936"/>
        <w:gridCol w:w="2919"/>
      </w:tblGrid>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176,013,432.43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135,401,138.90</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176,013,432.43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135,401,138.90</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50,635,453.88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56,946,829.11</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4,465,478.82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5,454,535.58</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12,240,000.00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10,880,000.00</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209,943,407.49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176,013,432.43</w:t>
            </w:r>
          </w:p>
        </w:tc>
      </w:tr>
    </w:tbl>
    <w:p>
      <w:pPr>
        <w:spacing w:after="0" w:line="240" w:lineRule="auto"/>
        <w:jc w:val="right"/>
        <w:rPr>
          <w:rFonts w:ascii="Times New Roman" w:hAnsi="Times New Roman" w:cs="Times New Roman" w:eastAsia="Times New Roman" w:hint="default"/>
          <w:sz w:val="18"/>
          <w:szCs w:val="18"/>
        </w:rPr>
        <w:sectPr>
          <w:pgSz w:w="11910" w:h="16840"/>
          <w:pgMar w:header="566" w:footer="979" w:top="1360" w:bottom="1160" w:left="0" w:right="0"/>
        </w:sectPr>
      </w:pPr>
    </w:p>
    <w:p>
      <w:pPr>
        <w:pStyle w:val="Heading3"/>
        <w:spacing w:line="240" w:lineRule="auto" w:before="57"/>
        <w:ind w:right="0"/>
        <w:jc w:val="left"/>
        <w:rPr>
          <w:b w:val="0"/>
          <w:bCs w:val="0"/>
        </w:rPr>
      </w:pPr>
      <w:bookmarkStart w:name="61、营业收入和营业成本" w:id="336"/>
      <w:bookmarkEnd w:id="336"/>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74" w:type="dxa"/>
        <w:tblLayout w:type="fixed"/>
        <w:tblCellMar>
          <w:top w:w="0" w:type="dxa"/>
          <w:left w:w="0" w:type="dxa"/>
          <w:bottom w:w="0" w:type="dxa"/>
          <w:right w:w="0" w:type="dxa"/>
        </w:tblCellMar>
        <w:tblLook w:val="01E0"/>
      </w:tblPr>
      <w:tblGrid>
        <w:gridCol w:w="1901"/>
        <w:gridCol w:w="1916"/>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7"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541,872,970.24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372,664,253.22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411,919,507.99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269,067,589.14</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541,872,970.24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372,664,253.22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411,919,507.99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269,067,589.14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2、营业税金及附加" w:id="337"/>
      <w:bookmarkEnd w:id="337"/>
      <w:r>
        <w:rPr>
          <w:b w:val="0"/>
          <w:bCs w:val="0"/>
        </w:rPr>
      </w:r>
      <w:r>
        <w:rPr>
          <w:rFonts w:ascii="Times New Roman" w:hAnsi="Times New Roman" w:cs="Times New Roman" w:eastAsia="Times New Roman" w:hint="default"/>
        </w:rPr>
        <w:t>62</w:t>
      </w:r>
      <w:r>
        <w:rPr/>
        <w:t>、营业税金及附加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62" w:type="dxa"/>
        <w:tblLayout w:type="fixed"/>
        <w:tblCellMar>
          <w:top w:w="0" w:type="dxa"/>
          <w:left w:w="0" w:type="dxa"/>
          <w:bottom w:w="0" w:type="dxa"/>
          <w:right w:w="0" w:type="dxa"/>
        </w:tblCellMar>
        <w:tblLook w:val="01E0"/>
      </w:tblPr>
      <w:tblGrid>
        <w:gridCol w:w="3188"/>
        <w:gridCol w:w="3194"/>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406"/>
              <w:jc w:val="right"/>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147,204.41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199,131.42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1,638,006.49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1,056,541.11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756,674.84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453,553.25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地方教育费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507,782.09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302,368.09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河道维护费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69,033.35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406"/>
              <w:jc w:val="righ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3,118,701.18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2,011,593.87</w:t>
            </w:r>
          </w:p>
        </w:tc>
      </w:tr>
    </w:tbl>
    <w:p>
      <w:pPr>
        <w:pStyle w:val="BodyText"/>
        <w:spacing w:line="240" w:lineRule="auto" w:before="51"/>
        <w:ind w:right="0"/>
        <w:jc w:val="left"/>
      </w:pPr>
      <w:r>
        <w:rPr/>
        <w:t>其他说明：</w:t>
      </w:r>
    </w:p>
    <w:p>
      <w:pPr>
        <w:pStyle w:val="BodyText"/>
        <w:spacing w:line="240" w:lineRule="auto" w:before="117"/>
        <w:ind w:left="1133" w:right="0"/>
        <w:jc w:val="left"/>
      </w:pPr>
      <w:r>
        <w:rPr/>
        <w:t>本项目本期发生额较上期发生额增加</w:t>
      </w:r>
      <w:r>
        <w:rPr>
          <w:spacing w:val="-47"/>
        </w:rPr>
        <w:t> </w:t>
      </w:r>
      <w:r>
        <w:rPr>
          <w:rFonts w:ascii="Times New Roman" w:hAnsi="Times New Roman" w:cs="Times New Roman" w:eastAsia="Times New Roman" w:hint="default"/>
        </w:rPr>
        <w:t>1,107,107.31</w:t>
      </w:r>
      <w:r>
        <w:rPr>
          <w:rFonts w:ascii="Times New Roman" w:hAnsi="Times New Roman" w:cs="Times New Roman" w:eastAsia="Times New Roman" w:hint="default"/>
          <w:spacing w:val="-1"/>
        </w:rPr>
        <w:t> </w:t>
      </w:r>
      <w:r>
        <w:rPr/>
        <w:t>元，增幅</w:t>
      </w:r>
      <w:r>
        <w:rPr>
          <w:spacing w:val="-47"/>
        </w:rPr>
        <w:t> </w:t>
      </w:r>
      <w:r>
        <w:rPr>
          <w:rFonts w:ascii="Times New Roman" w:hAnsi="Times New Roman" w:cs="Times New Roman" w:eastAsia="Times New Roman" w:hint="default"/>
        </w:rPr>
        <w:t>55.04%</w:t>
      </w:r>
      <w:r>
        <w:rPr/>
        <w:t>，主要系公司业务规模扩大、相应税费增加所致。</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63、销售费用" w:id="338"/>
      <w:bookmarkEnd w:id="338"/>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62" w:type="dxa"/>
        <w:tblLayout w:type="fixed"/>
        <w:tblCellMar>
          <w:top w:w="0" w:type="dxa"/>
          <w:left w:w="0" w:type="dxa"/>
          <w:bottom w:w="0" w:type="dxa"/>
          <w:right w:w="0" w:type="dxa"/>
        </w:tblCellMar>
        <w:tblLook w:val="01E0"/>
      </w:tblPr>
      <w:tblGrid>
        <w:gridCol w:w="3190"/>
        <w:gridCol w:w="3190"/>
        <w:gridCol w:w="3191"/>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12,448,951.09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9,000,137.76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1,673,891.35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1,662,623.29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867,666.73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1,522,245.82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投标费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2,627,177.62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1,360,283.65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1,236,475.19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1,813,410.04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业务宣传费广告费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376,867.87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603,358.33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7,222.30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48,376.88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19,238,252.15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16,010,435.77</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64、管理费用" w:id="339"/>
      <w:bookmarkEnd w:id="339"/>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566" w:footer="979" w:top="1360" w:bottom="1160" w:left="0" w:right="0"/>
        </w:sectPr>
      </w:pPr>
    </w:p>
    <w:p>
      <w:pPr>
        <w:spacing w:line="240" w:lineRule="auto" w:before="6"/>
        <w:rPr>
          <w:rFonts w:ascii="宋体" w:hAnsi="宋体" w:cs="宋体" w:eastAsia="宋体" w:hint="default"/>
          <w:sz w:val="5"/>
          <w:szCs w:val="5"/>
        </w:rPr>
      </w:pPr>
    </w:p>
    <w:tbl>
      <w:tblPr>
        <w:tblW w:w="0" w:type="auto"/>
        <w:jc w:val="left"/>
        <w:tblInd w:w="1162" w:type="dxa"/>
        <w:tblLayout w:type="fixed"/>
        <w:tblCellMar>
          <w:top w:w="0" w:type="dxa"/>
          <w:left w:w="0" w:type="dxa"/>
          <w:bottom w:w="0" w:type="dxa"/>
          <w:right w:w="0" w:type="dxa"/>
        </w:tblCellMar>
        <w:tblLook w:val="01E0"/>
      </w:tblPr>
      <w:tblGrid>
        <w:gridCol w:w="3190"/>
        <w:gridCol w:w="3190"/>
        <w:gridCol w:w="3191"/>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28,996,325.44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26,125,420.29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6,937,023.40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5,203,237.75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8,879,800.70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7,712,014.34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中介机构服务费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1,715,617.06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1,628,189.77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9,198,430.73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6,577,440.52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490,560.00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400,686.66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840,362.00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442,153.24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董事会经费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546,494.78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468,298.00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1,721,657.27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1,181,134.00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1,198,990.61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1,283,106.90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研究与开发费用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11,382,173.48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5,294,396.96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591,436.10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321,142.94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72,498,871.57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56,637,221.37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5、财务费用" w:id="340"/>
      <w:bookmarkEnd w:id="340"/>
      <w:r>
        <w:rPr>
          <w:b w:val="0"/>
          <w:bCs w:val="0"/>
        </w:rPr>
      </w:r>
      <w:r>
        <w:rPr>
          <w:rFonts w:ascii="Times New Roman" w:hAnsi="Times New Roman" w:cs="Times New Roman" w:eastAsia="Times New Roman" w:hint="default"/>
        </w:rPr>
        <w:t>65</w:t>
      </w:r>
      <w:r>
        <w:rPr/>
        <w:t>、财务费用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62" w:type="dxa"/>
        <w:tblLayout w:type="fixed"/>
        <w:tblCellMar>
          <w:top w:w="0" w:type="dxa"/>
          <w:left w:w="0" w:type="dxa"/>
          <w:bottom w:w="0" w:type="dxa"/>
          <w:right w:w="0" w:type="dxa"/>
        </w:tblCellMar>
        <w:tblLook w:val="01E0"/>
      </w:tblPr>
      <w:tblGrid>
        <w:gridCol w:w="3190"/>
        <w:gridCol w:w="3190"/>
        <w:gridCol w:w="3191"/>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5,144,252.94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4,914,387.66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1,516,322.72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565,489.41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减：汇兑收益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14,471.80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19,820.02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加：结算手续费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99,736.26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134,502.91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3,713,194.68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4,463,581.14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6、资产减值损失" w:id="341"/>
      <w:bookmarkEnd w:id="341"/>
      <w:r>
        <w:rPr>
          <w:b w:val="0"/>
          <w:bCs w:val="0"/>
        </w:rPr>
      </w:r>
      <w:r>
        <w:rPr>
          <w:rFonts w:ascii="Times New Roman" w:hAnsi="Times New Roman" w:cs="Times New Roman" w:eastAsia="Times New Roman" w:hint="default"/>
        </w:rPr>
        <w:t>66</w:t>
      </w:r>
      <w:r>
        <w:rPr/>
        <w:t>、资产减值损失</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74" w:type="dxa"/>
        <w:tblLayout w:type="fixed"/>
        <w:tblCellMar>
          <w:top w:w="0" w:type="dxa"/>
          <w:left w:w="0" w:type="dxa"/>
          <w:bottom w:w="0" w:type="dxa"/>
          <w:right w:w="0" w:type="dxa"/>
        </w:tblCellMar>
        <w:tblLook w:val="01E0"/>
      </w:tblPr>
      <w:tblGrid>
        <w:gridCol w:w="3164"/>
        <w:gridCol w:w="3205"/>
        <w:gridCol w:w="3190"/>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395"/>
              <w:jc w:val="right"/>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14,136,951.81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7,633,199.02</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395"/>
              <w:jc w:val="righ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14,136,951.81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7,633,199.02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7、公允价值变动收益" w:id="342"/>
      <w:bookmarkEnd w:id="342"/>
      <w:r>
        <w:rPr>
          <w:b w:val="0"/>
          <w:bCs w:val="0"/>
        </w:rPr>
      </w:r>
      <w:r>
        <w:rPr>
          <w:rFonts w:ascii="Times New Roman" w:hAnsi="Times New Roman" w:cs="Times New Roman" w:eastAsia="Times New Roman" w:hint="default"/>
        </w:rPr>
        <w:t>67</w:t>
      </w:r>
      <w:r>
        <w:rPr/>
        <w:t>、公允价值变动收益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0"/>
        <w:jc w:val="left"/>
      </w:pPr>
      <w:r>
        <w:rPr/>
        <w:t>无</w:t>
      </w:r>
    </w:p>
    <w:p>
      <w:pPr>
        <w:spacing w:after="0" w:line="240" w:lineRule="auto"/>
        <w:jc w:val="left"/>
        <w:sectPr>
          <w:pgSz w:w="11910" w:h="16840"/>
          <w:pgMar w:header="566" w:footer="979" w:top="1360" w:bottom="1160" w:left="0" w:right="0"/>
        </w:sectPr>
      </w:pPr>
    </w:p>
    <w:p>
      <w:pPr>
        <w:pStyle w:val="Heading3"/>
        <w:spacing w:line="240" w:lineRule="auto" w:before="57"/>
        <w:ind w:right="0"/>
        <w:jc w:val="left"/>
        <w:rPr>
          <w:b w:val="0"/>
          <w:bCs w:val="0"/>
        </w:rPr>
      </w:pPr>
      <w:bookmarkStart w:name="68、投资收益" w:id="343"/>
      <w:bookmarkEnd w:id="343"/>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69、营业外收入" w:id="344"/>
      <w:bookmarkEnd w:id="344"/>
      <w:r>
        <w:rPr>
          <w:b w:val="0"/>
          <w:bCs w:val="0"/>
        </w:rPr>
      </w:r>
      <w:r>
        <w:rPr>
          <w:rFonts w:ascii="Times New Roman" w:hAnsi="Times New Roman" w:cs="Times New Roman" w:eastAsia="Times New Roman" w:hint="default"/>
        </w:rPr>
        <w:t>69</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75" w:type="dxa"/>
        <w:tblLayout w:type="fixed"/>
        <w:tblCellMar>
          <w:top w:w="0" w:type="dxa"/>
          <w:left w:w="0" w:type="dxa"/>
          <w:bottom w:w="0" w:type="dxa"/>
          <w:right w:w="0" w:type="dxa"/>
        </w:tblCellMar>
        <w:tblLook w:val="01E0"/>
      </w:tblPr>
      <w:tblGrid>
        <w:gridCol w:w="2390"/>
        <w:gridCol w:w="2396"/>
        <w:gridCol w:w="2392"/>
        <w:gridCol w:w="2570"/>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9"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246,081.93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187,330.45</w:t>
            </w:r>
          </w:p>
        </w:tc>
        <w:tc>
          <w:tcPr>
            <w:tcW w:w="2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246,081.93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246,081.93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187,330.45</w:t>
            </w:r>
          </w:p>
        </w:tc>
        <w:tc>
          <w:tcPr>
            <w:tcW w:w="2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246,081.93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7,336,959.05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6,862,860.45</w:t>
            </w:r>
          </w:p>
        </w:tc>
        <w:tc>
          <w:tcPr>
            <w:tcW w:w="2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5,196,900.00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40,976.03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51,182.71</w:t>
            </w:r>
          </w:p>
        </w:tc>
        <w:tc>
          <w:tcPr>
            <w:tcW w:w="2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40,976.03</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7,624,017.01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7,101,373.61</w:t>
            </w:r>
          </w:p>
        </w:tc>
        <w:tc>
          <w:tcPr>
            <w:tcW w:w="2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5,483,957.96</w:t>
            </w:r>
          </w:p>
        </w:tc>
      </w:tr>
    </w:tbl>
    <w:p>
      <w:pPr>
        <w:pStyle w:val="BodyText"/>
        <w:spacing w:line="240" w:lineRule="auto" w:before="51"/>
        <w:ind w:right="0"/>
        <w:jc w:val="left"/>
      </w:pPr>
      <w:r>
        <w:rPr/>
        <w:t>计入当期损益的政府补助：</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277" w:type="dxa"/>
        <w:tblLayout w:type="fixed"/>
        <w:tblCellMar>
          <w:top w:w="0" w:type="dxa"/>
          <w:left w:w="0" w:type="dxa"/>
          <w:bottom w:w="0" w:type="dxa"/>
          <w:right w:w="0" w:type="dxa"/>
        </w:tblCellMar>
        <w:tblLook w:val="01E0"/>
      </w:tblPr>
      <w:tblGrid>
        <w:gridCol w:w="1702"/>
        <w:gridCol w:w="1277"/>
        <w:gridCol w:w="566"/>
        <w:gridCol w:w="2552"/>
        <w:gridCol w:w="992"/>
        <w:gridCol w:w="851"/>
        <w:gridCol w:w="1134"/>
        <w:gridCol w:w="1134"/>
        <w:gridCol w:w="1134"/>
      </w:tblGrid>
      <w:tr>
        <w:trPr>
          <w:trHeight w:val="714"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8" w:right="96"/>
              <w:jc w:val="left"/>
              <w:rPr>
                <w:rFonts w:ascii="宋体" w:hAnsi="宋体" w:cs="宋体" w:eastAsia="宋体" w:hint="default"/>
                <w:sz w:val="18"/>
                <w:szCs w:val="18"/>
              </w:rPr>
            </w:pPr>
            <w:r>
              <w:rPr>
                <w:rFonts w:ascii="宋体" w:hAnsi="宋体" w:cs="宋体" w:eastAsia="宋体" w:hint="default"/>
                <w:sz w:val="18"/>
                <w:szCs w:val="18"/>
              </w:rPr>
              <w:t>发放 原因</w:t>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性质类型</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0" w:right="41"/>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0" w:right="59" w:hanging="180"/>
              <w:jc w:val="left"/>
              <w:rPr>
                <w:rFonts w:ascii="宋体" w:hAnsi="宋体" w:cs="宋体" w:eastAsia="宋体" w:hint="default"/>
                <w:sz w:val="18"/>
                <w:szCs w:val="18"/>
              </w:rPr>
            </w:pPr>
            <w:r>
              <w:rPr>
                <w:rFonts w:ascii="宋体" w:hAnsi="宋体" w:cs="宋体" w:eastAsia="宋体" w:hint="default"/>
                <w:sz w:val="18"/>
                <w:szCs w:val="18"/>
              </w:rPr>
              <w:t>是否特殊 补贴</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1" w:right="110"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1" w:right="110"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1" w:right="87"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企业并购专项资金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沈阳市财政局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补助</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10"/>
                <w:sz w:val="18"/>
                <w:szCs w:val="18"/>
              </w:rPr>
              <w:t>因符合地方政府招商引资等地</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方性扶持政策而获得的补助</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3,096,900.00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财政贴息</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3"/>
              <w:jc w:val="left"/>
              <w:rPr>
                <w:rFonts w:ascii="宋体" w:hAnsi="宋体" w:cs="宋体" w:eastAsia="宋体" w:hint="default"/>
                <w:sz w:val="18"/>
                <w:szCs w:val="18"/>
              </w:rPr>
            </w:pPr>
            <w:r>
              <w:rPr>
                <w:rFonts w:ascii="宋体" w:hAnsi="宋体" w:cs="宋体" w:eastAsia="宋体" w:hint="default"/>
                <w:sz w:val="18"/>
                <w:szCs w:val="18"/>
              </w:rPr>
              <w:t>铁</w:t>
            </w:r>
            <w:r>
              <w:rPr>
                <w:rFonts w:ascii="宋体" w:hAnsi="宋体" w:cs="宋体" w:eastAsia="宋体" w:hint="default"/>
                <w:spacing w:val="-63"/>
                <w:sz w:val="18"/>
                <w:szCs w:val="18"/>
              </w:rPr>
              <w:t> </w:t>
            </w:r>
            <w:r>
              <w:rPr>
                <w:rFonts w:ascii="宋体" w:hAnsi="宋体" w:cs="宋体" w:eastAsia="宋体" w:hint="default"/>
                <w:sz w:val="18"/>
                <w:szCs w:val="18"/>
              </w:rPr>
              <w:t>岭</w:t>
            </w:r>
            <w:r>
              <w:rPr>
                <w:rFonts w:ascii="宋体" w:hAnsi="宋体" w:cs="宋体" w:eastAsia="宋体" w:hint="default"/>
                <w:spacing w:val="-63"/>
                <w:sz w:val="18"/>
                <w:szCs w:val="18"/>
              </w:rPr>
              <w:t> </w:t>
            </w:r>
            <w:r>
              <w:rPr>
                <w:rFonts w:ascii="宋体" w:hAnsi="宋体" w:cs="宋体" w:eastAsia="宋体" w:hint="default"/>
                <w:sz w:val="18"/>
                <w:szCs w:val="18"/>
              </w:rPr>
              <w:t>市</w:t>
            </w:r>
            <w:r>
              <w:rPr>
                <w:rFonts w:ascii="宋体" w:hAnsi="宋体" w:cs="宋体" w:eastAsia="宋体" w:hint="default"/>
                <w:spacing w:val="-63"/>
                <w:sz w:val="18"/>
                <w:szCs w:val="18"/>
              </w:rPr>
              <w:t> </w:t>
            </w:r>
            <w:r>
              <w:rPr>
                <w:rFonts w:ascii="宋体" w:hAnsi="宋体" w:cs="宋体" w:eastAsia="宋体" w:hint="default"/>
                <w:sz w:val="18"/>
                <w:szCs w:val="18"/>
              </w:rPr>
              <w:t>金</w:t>
            </w:r>
            <w:r>
              <w:rPr>
                <w:rFonts w:ascii="宋体" w:hAnsi="宋体" w:cs="宋体" w:eastAsia="宋体" w:hint="default"/>
                <w:spacing w:val="-62"/>
                <w:sz w:val="18"/>
                <w:szCs w:val="18"/>
              </w:rPr>
              <w:t> </w:t>
            </w:r>
            <w:r>
              <w:rPr>
                <w:rFonts w:ascii="宋体" w:hAnsi="宋体" w:cs="宋体" w:eastAsia="宋体" w:hint="default"/>
                <w:sz w:val="18"/>
                <w:szCs w:val="18"/>
              </w:rPr>
              <w:t>融</w:t>
            </w:r>
            <w:r>
              <w:rPr>
                <w:rFonts w:ascii="宋体" w:hAnsi="宋体" w:cs="宋体" w:eastAsia="宋体" w:hint="default"/>
                <w:spacing w:val="-63"/>
                <w:sz w:val="18"/>
                <w:szCs w:val="18"/>
              </w:rPr>
              <w:t> </w:t>
            </w:r>
            <w:r>
              <w:rPr>
                <w:rFonts w:ascii="宋体" w:hAnsi="宋体" w:cs="宋体" w:eastAsia="宋体" w:hint="default"/>
                <w:sz w:val="18"/>
                <w:szCs w:val="18"/>
              </w:rPr>
              <w:t>业</w:t>
            </w:r>
            <w:r>
              <w:rPr>
                <w:rFonts w:ascii="宋体" w:hAnsi="宋体" w:cs="宋体" w:eastAsia="宋体" w:hint="default"/>
                <w:sz w:val="18"/>
                <w:szCs w:val="18"/>
              </w:rPr>
              <w:t> 发展委员会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补助</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10"/>
                <w:sz w:val="18"/>
                <w:szCs w:val="18"/>
              </w:rPr>
              <w:t>因符合地方政府招商引资等地</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方性扶持政策而获得的补助</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722,000.00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47"/>
              <w:jc w:val="left"/>
              <w:rPr>
                <w:rFonts w:ascii="宋体" w:hAnsi="宋体" w:cs="宋体" w:eastAsia="宋体" w:hint="default"/>
                <w:sz w:val="18"/>
                <w:szCs w:val="18"/>
              </w:rPr>
            </w:pPr>
            <w:r>
              <w:rPr>
                <w:rFonts w:ascii="宋体" w:hAnsi="宋体" w:cs="宋体" w:eastAsia="宋体" w:hint="default"/>
                <w:sz w:val="18"/>
                <w:szCs w:val="18"/>
              </w:rPr>
              <w:t>软件产品超税负返还 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23"/>
              <w:jc w:val="left"/>
              <w:rPr>
                <w:rFonts w:ascii="宋体" w:hAnsi="宋体" w:cs="宋体" w:eastAsia="宋体" w:hint="default"/>
                <w:sz w:val="18"/>
                <w:szCs w:val="18"/>
              </w:rPr>
            </w:pPr>
            <w:r>
              <w:rPr>
                <w:rFonts w:ascii="宋体" w:hAnsi="宋体" w:cs="宋体" w:eastAsia="宋体" w:hint="default"/>
                <w:sz w:val="18"/>
                <w:szCs w:val="18"/>
              </w:rPr>
              <w:t>沈</w:t>
            </w:r>
            <w:r>
              <w:rPr>
                <w:rFonts w:ascii="宋体" w:hAnsi="宋体" w:cs="宋体" w:eastAsia="宋体" w:hint="default"/>
                <w:spacing w:val="-63"/>
                <w:sz w:val="18"/>
                <w:szCs w:val="18"/>
              </w:rPr>
              <w:t> </w:t>
            </w:r>
            <w:r>
              <w:rPr>
                <w:rFonts w:ascii="宋体" w:hAnsi="宋体" w:cs="宋体" w:eastAsia="宋体" w:hint="default"/>
                <w:sz w:val="18"/>
                <w:szCs w:val="18"/>
              </w:rPr>
              <w:t>阳</w:t>
            </w:r>
            <w:r>
              <w:rPr>
                <w:rFonts w:ascii="宋体" w:hAnsi="宋体" w:cs="宋体" w:eastAsia="宋体" w:hint="default"/>
                <w:spacing w:val="-63"/>
                <w:sz w:val="18"/>
                <w:szCs w:val="18"/>
              </w:rPr>
              <w:t> </w:t>
            </w:r>
            <w:r>
              <w:rPr>
                <w:rFonts w:ascii="宋体" w:hAnsi="宋体" w:cs="宋体" w:eastAsia="宋体" w:hint="default"/>
                <w:sz w:val="18"/>
                <w:szCs w:val="18"/>
              </w:rPr>
              <w:t>市</w:t>
            </w:r>
            <w:r>
              <w:rPr>
                <w:rFonts w:ascii="宋体" w:hAnsi="宋体" w:cs="宋体" w:eastAsia="宋体" w:hint="default"/>
                <w:spacing w:val="-63"/>
                <w:sz w:val="18"/>
                <w:szCs w:val="18"/>
              </w:rPr>
              <w:t> </w:t>
            </w:r>
            <w:r>
              <w:rPr>
                <w:rFonts w:ascii="宋体" w:hAnsi="宋体" w:cs="宋体" w:eastAsia="宋体" w:hint="default"/>
                <w:sz w:val="18"/>
                <w:szCs w:val="18"/>
              </w:rPr>
              <w:t>和</w:t>
            </w:r>
            <w:r>
              <w:rPr>
                <w:rFonts w:ascii="宋体" w:hAnsi="宋体" w:cs="宋体" w:eastAsia="宋体" w:hint="default"/>
                <w:spacing w:val="-62"/>
                <w:sz w:val="18"/>
                <w:szCs w:val="18"/>
              </w:rPr>
              <w:t> </w:t>
            </w:r>
            <w:r>
              <w:rPr>
                <w:rFonts w:ascii="宋体" w:hAnsi="宋体" w:cs="宋体" w:eastAsia="宋体" w:hint="default"/>
                <w:sz w:val="18"/>
                <w:szCs w:val="18"/>
              </w:rPr>
              <w:t>平</w:t>
            </w:r>
            <w:r>
              <w:rPr>
                <w:rFonts w:ascii="宋体" w:hAnsi="宋体" w:cs="宋体" w:eastAsia="宋体" w:hint="default"/>
                <w:spacing w:val="-63"/>
                <w:sz w:val="18"/>
                <w:szCs w:val="18"/>
              </w:rPr>
              <w:t> </w:t>
            </w:r>
            <w:r>
              <w:rPr>
                <w:rFonts w:ascii="宋体" w:hAnsi="宋体" w:cs="宋体" w:eastAsia="宋体" w:hint="default"/>
                <w:sz w:val="18"/>
                <w:szCs w:val="18"/>
              </w:rPr>
              <w:t>区</w:t>
            </w:r>
            <w:r>
              <w:rPr>
                <w:rFonts w:ascii="宋体" w:hAnsi="宋体" w:cs="宋体" w:eastAsia="宋体" w:hint="default"/>
                <w:sz w:val="18"/>
                <w:szCs w:val="18"/>
              </w:rPr>
              <w:t> 国家税务局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73"/>
              <w:jc w:val="right"/>
              <w:rPr>
                <w:rFonts w:ascii="宋体" w:hAnsi="宋体" w:cs="宋体" w:eastAsia="宋体" w:hint="default"/>
                <w:sz w:val="18"/>
                <w:szCs w:val="18"/>
              </w:rPr>
            </w:pPr>
            <w:r>
              <w:rPr>
                <w:rFonts w:ascii="宋体" w:hAnsi="宋体" w:cs="宋体" w:eastAsia="宋体" w:hint="default"/>
                <w:sz w:val="18"/>
                <w:szCs w:val="18"/>
              </w:rPr>
              <w:t>补助</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both"/>
              <w:rPr>
                <w:rFonts w:ascii="宋体" w:hAnsi="宋体" w:cs="宋体" w:eastAsia="宋体" w:hint="default"/>
                <w:sz w:val="18"/>
                <w:szCs w:val="18"/>
              </w:rPr>
            </w:pPr>
            <w:r>
              <w:rPr>
                <w:rFonts w:ascii="宋体" w:hAnsi="宋体" w:cs="宋体" w:eastAsia="宋体" w:hint="default"/>
                <w:spacing w:val="10"/>
                <w:sz w:val="18"/>
                <w:szCs w:val="18"/>
              </w:rPr>
              <w:t>因从事国家鼓励和扶持特定行</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业、产业而获得的补助（按国家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级政策规定依法取得）</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2,140,059.05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4,935,860.45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创新型中小企业补助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沈阳市财政局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补助</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2"/>
                <w:sz w:val="18"/>
                <w:szCs w:val="18"/>
              </w:rPr>
              <w:t>因研究开发、技术更新及改造等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获得的补助</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技术创新专项资金</w:t>
            </w:r>
            <w:r>
              <w:rPr>
                <w:rFonts w:ascii="Times New Roman" w:hAnsi="Times New Roman" w:cs="Times New Roman" w:eastAsia="Times New Roman"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3"/>
              <w:jc w:val="left"/>
              <w:rPr>
                <w:rFonts w:ascii="宋体" w:hAnsi="宋体" w:cs="宋体" w:eastAsia="宋体" w:hint="default"/>
                <w:sz w:val="18"/>
                <w:szCs w:val="18"/>
              </w:rPr>
            </w:pPr>
            <w:r>
              <w:rPr>
                <w:rFonts w:ascii="宋体" w:hAnsi="宋体" w:cs="宋体" w:eastAsia="宋体" w:hint="default"/>
                <w:sz w:val="18"/>
                <w:szCs w:val="18"/>
              </w:rPr>
              <w:t>沈</w:t>
            </w:r>
            <w:r>
              <w:rPr>
                <w:rFonts w:ascii="宋体" w:hAnsi="宋体" w:cs="宋体" w:eastAsia="宋体" w:hint="default"/>
                <w:spacing w:val="-63"/>
                <w:sz w:val="18"/>
                <w:szCs w:val="18"/>
              </w:rPr>
              <w:t> </w:t>
            </w:r>
            <w:r>
              <w:rPr>
                <w:rFonts w:ascii="宋体" w:hAnsi="宋体" w:cs="宋体" w:eastAsia="宋体" w:hint="default"/>
                <w:sz w:val="18"/>
                <w:szCs w:val="18"/>
              </w:rPr>
              <w:t>阳</w:t>
            </w:r>
            <w:r>
              <w:rPr>
                <w:rFonts w:ascii="宋体" w:hAnsi="宋体" w:cs="宋体" w:eastAsia="宋体" w:hint="default"/>
                <w:spacing w:val="-63"/>
                <w:sz w:val="18"/>
                <w:szCs w:val="18"/>
              </w:rPr>
              <w:t> </w:t>
            </w:r>
            <w:r>
              <w:rPr>
                <w:rFonts w:ascii="宋体" w:hAnsi="宋体" w:cs="宋体" w:eastAsia="宋体" w:hint="default"/>
                <w:sz w:val="18"/>
                <w:szCs w:val="18"/>
              </w:rPr>
              <w:t>市</w:t>
            </w:r>
            <w:r>
              <w:rPr>
                <w:rFonts w:ascii="宋体" w:hAnsi="宋体" w:cs="宋体" w:eastAsia="宋体" w:hint="default"/>
                <w:spacing w:val="-63"/>
                <w:sz w:val="18"/>
                <w:szCs w:val="18"/>
              </w:rPr>
              <w:t> </w:t>
            </w:r>
            <w:r>
              <w:rPr>
                <w:rFonts w:ascii="宋体" w:hAnsi="宋体" w:cs="宋体" w:eastAsia="宋体" w:hint="default"/>
                <w:sz w:val="18"/>
                <w:szCs w:val="18"/>
              </w:rPr>
              <w:t>经</w:t>
            </w:r>
            <w:r>
              <w:rPr>
                <w:rFonts w:ascii="宋体" w:hAnsi="宋体" w:cs="宋体" w:eastAsia="宋体" w:hint="default"/>
                <w:spacing w:val="-62"/>
                <w:sz w:val="18"/>
                <w:szCs w:val="18"/>
              </w:rPr>
              <w:t> </w:t>
            </w:r>
            <w:r>
              <w:rPr>
                <w:rFonts w:ascii="宋体" w:hAnsi="宋体" w:cs="宋体" w:eastAsia="宋体" w:hint="default"/>
                <w:sz w:val="18"/>
                <w:szCs w:val="18"/>
              </w:rPr>
              <w:t>济</w:t>
            </w:r>
            <w:r>
              <w:rPr>
                <w:rFonts w:ascii="宋体" w:hAnsi="宋体" w:cs="宋体" w:eastAsia="宋体" w:hint="default"/>
                <w:spacing w:val="-63"/>
                <w:sz w:val="18"/>
                <w:szCs w:val="18"/>
              </w:rPr>
              <w:t> </w:t>
            </w:r>
            <w:r>
              <w:rPr>
                <w:rFonts w:ascii="宋体" w:hAnsi="宋体" w:cs="宋体" w:eastAsia="宋体" w:hint="default"/>
                <w:sz w:val="18"/>
                <w:szCs w:val="18"/>
              </w:rPr>
              <w:t>和</w:t>
            </w:r>
            <w:r>
              <w:rPr>
                <w:rFonts w:ascii="宋体" w:hAnsi="宋体" w:cs="宋体" w:eastAsia="宋体" w:hint="default"/>
                <w:sz w:val="18"/>
                <w:szCs w:val="18"/>
              </w:rPr>
              <w:t> 信息化委员会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补助</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2"/>
                <w:sz w:val="18"/>
                <w:szCs w:val="18"/>
              </w:rPr>
              <w:t>因研究开发、技术更新及改造等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获得的补助</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沈阳市科学技术局专 利奖</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3"/>
              <w:jc w:val="left"/>
              <w:rPr>
                <w:rFonts w:ascii="宋体" w:hAnsi="宋体" w:cs="宋体" w:eastAsia="宋体" w:hint="default"/>
                <w:sz w:val="18"/>
                <w:szCs w:val="18"/>
              </w:rPr>
            </w:pPr>
            <w:r>
              <w:rPr>
                <w:rFonts w:ascii="宋体" w:hAnsi="宋体" w:cs="宋体" w:eastAsia="宋体" w:hint="default"/>
                <w:sz w:val="18"/>
                <w:szCs w:val="18"/>
              </w:rPr>
              <w:t>沈</w:t>
            </w:r>
            <w:r>
              <w:rPr>
                <w:rFonts w:ascii="宋体" w:hAnsi="宋体" w:cs="宋体" w:eastAsia="宋体" w:hint="default"/>
                <w:spacing w:val="-63"/>
                <w:sz w:val="18"/>
                <w:szCs w:val="18"/>
              </w:rPr>
              <w:t> </w:t>
            </w:r>
            <w:r>
              <w:rPr>
                <w:rFonts w:ascii="宋体" w:hAnsi="宋体" w:cs="宋体" w:eastAsia="宋体" w:hint="default"/>
                <w:sz w:val="18"/>
                <w:szCs w:val="18"/>
              </w:rPr>
              <w:t>阳</w:t>
            </w:r>
            <w:r>
              <w:rPr>
                <w:rFonts w:ascii="宋体" w:hAnsi="宋体" w:cs="宋体" w:eastAsia="宋体" w:hint="default"/>
                <w:spacing w:val="-63"/>
                <w:sz w:val="18"/>
                <w:szCs w:val="18"/>
              </w:rPr>
              <w:t> </w:t>
            </w:r>
            <w:r>
              <w:rPr>
                <w:rFonts w:ascii="宋体" w:hAnsi="宋体" w:cs="宋体" w:eastAsia="宋体" w:hint="default"/>
                <w:sz w:val="18"/>
                <w:szCs w:val="18"/>
              </w:rPr>
              <w:t>市</w:t>
            </w:r>
            <w:r>
              <w:rPr>
                <w:rFonts w:ascii="宋体" w:hAnsi="宋体" w:cs="宋体" w:eastAsia="宋体" w:hint="default"/>
                <w:spacing w:val="-63"/>
                <w:sz w:val="18"/>
                <w:szCs w:val="18"/>
              </w:rPr>
              <w:t> </w:t>
            </w:r>
            <w:r>
              <w:rPr>
                <w:rFonts w:ascii="宋体" w:hAnsi="宋体" w:cs="宋体" w:eastAsia="宋体" w:hint="default"/>
                <w:sz w:val="18"/>
                <w:szCs w:val="18"/>
              </w:rPr>
              <w:t>知</w:t>
            </w:r>
            <w:r>
              <w:rPr>
                <w:rFonts w:ascii="宋体" w:hAnsi="宋体" w:cs="宋体" w:eastAsia="宋体" w:hint="default"/>
                <w:spacing w:val="-62"/>
                <w:sz w:val="18"/>
                <w:szCs w:val="18"/>
              </w:rPr>
              <w:t> </w:t>
            </w:r>
            <w:r>
              <w:rPr>
                <w:rFonts w:ascii="宋体" w:hAnsi="宋体" w:cs="宋体" w:eastAsia="宋体" w:hint="default"/>
                <w:sz w:val="18"/>
                <w:szCs w:val="18"/>
              </w:rPr>
              <w:t>识</w:t>
            </w:r>
            <w:r>
              <w:rPr>
                <w:rFonts w:ascii="宋体" w:hAnsi="宋体" w:cs="宋体" w:eastAsia="宋体" w:hint="default"/>
                <w:spacing w:val="-63"/>
                <w:sz w:val="18"/>
                <w:szCs w:val="18"/>
              </w:rPr>
              <w:t> </w:t>
            </w:r>
            <w:r>
              <w:rPr>
                <w:rFonts w:ascii="宋体" w:hAnsi="宋体" w:cs="宋体" w:eastAsia="宋体" w:hint="default"/>
                <w:sz w:val="18"/>
                <w:szCs w:val="18"/>
              </w:rPr>
              <w:t>产</w:t>
            </w:r>
            <w:r>
              <w:rPr>
                <w:rFonts w:ascii="宋体" w:hAnsi="宋体" w:cs="宋体" w:eastAsia="宋体" w:hint="default"/>
                <w:sz w:val="18"/>
                <w:szCs w:val="18"/>
              </w:rPr>
              <w:t> 权局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奖励</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2"/>
                <w:sz w:val="18"/>
                <w:szCs w:val="18"/>
              </w:rPr>
              <w:t>因研究开发、技术更新及改造等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获得的补助</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大数据模式下的健康 云服务平台专项补助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沈阳市财政局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补助</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2"/>
                <w:sz w:val="18"/>
                <w:szCs w:val="18"/>
              </w:rPr>
              <w:t>因研究开发、技术更新及改造等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获得的补助</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16"/>
              <w:jc w:val="right"/>
              <w:rPr>
                <w:rFonts w:ascii="Times New Roman" w:hAnsi="Times New Roman" w:cs="Times New Roman" w:eastAsia="Times New Roman" w:hint="default"/>
                <w:sz w:val="18"/>
                <w:szCs w:val="18"/>
              </w:rPr>
            </w:pPr>
            <w:r>
              <w:rPr>
                <w:rFonts w:ascii="Times New Roman"/>
                <w:sz w:val="18"/>
              </w:rPr>
              <w:t>--</w:t>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60" w:right="0"/>
              <w:jc w:val="left"/>
              <w:rPr>
                <w:rFonts w:ascii="Times New Roman" w:hAnsi="Times New Roman" w:cs="Times New Roman" w:eastAsia="Times New Roman" w:hint="default"/>
                <w:sz w:val="18"/>
                <w:szCs w:val="18"/>
              </w:rPr>
            </w:pPr>
            <w:r>
              <w:rPr>
                <w:rFonts w:ascii="Times New Roman"/>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7,336,959.05</w:t>
            </w:r>
          </w:p>
        </w:tc>
        <w:tc>
          <w:tcPr>
            <w:tcW w:w="113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6,862,860.45</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0、营业外支出" w:id="345"/>
      <w:bookmarkEnd w:id="345"/>
      <w:r>
        <w:rPr>
          <w:b w:val="0"/>
          <w:bCs w:val="0"/>
        </w:rPr>
      </w:r>
      <w:r>
        <w:rPr>
          <w:rFonts w:ascii="Times New Roman" w:hAnsi="Times New Roman" w:cs="Times New Roman" w:eastAsia="Times New Roman" w:hint="default"/>
        </w:rPr>
        <w:t>70</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64" w:type="dxa"/>
        <w:tblLayout w:type="fixed"/>
        <w:tblCellMar>
          <w:top w:w="0" w:type="dxa"/>
          <w:left w:w="0" w:type="dxa"/>
          <w:bottom w:w="0" w:type="dxa"/>
          <w:right w:w="0" w:type="dxa"/>
        </w:tblCellMar>
        <w:tblLook w:val="01E0"/>
      </w:tblPr>
      <w:tblGrid>
        <w:gridCol w:w="2390"/>
        <w:gridCol w:w="2396"/>
        <w:gridCol w:w="2163"/>
        <w:gridCol w:w="2622"/>
      </w:tblGrid>
      <w:tr>
        <w:trPr>
          <w:trHeight w:val="401" w:hRule="exact"/>
        </w:trPr>
        <w:tc>
          <w:tcPr>
            <w:tcW w:w="2390" w:type="dxa"/>
            <w:tcBorders>
              <w:top w:val="single" w:sz="4" w:space="0" w:color="000000"/>
              <w:left w:val="single" w:sz="4" w:space="0" w:color="000000"/>
              <w:bottom w:val="single" w:sz="4" w:space="0" w:color="000000"/>
              <w:right w:val="single" w:sz="9" w:space="0" w:color="D2D2D2"/>
            </w:tcBorders>
            <w:shd w:val="clear" w:color="auto" w:fill="D9D9D9"/>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2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1,353.25</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08" w:right="0"/>
              <w:jc w:val="left"/>
              <w:rPr>
                <w:rFonts w:ascii="Times New Roman" w:hAnsi="Times New Roman" w:cs="Times New Roman" w:eastAsia="Times New Roman" w:hint="default"/>
                <w:sz w:val="18"/>
                <w:szCs w:val="18"/>
              </w:rPr>
            </w:pPr>
            <w:r>
              <w:rPr>
                <w:rFonts w:ascii="Times New Roman"/>
                <w:sz w:val="18"/>
              </w:rPr>
              <w:t>32,368.97</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1,353.25</w:t>
            </w:r>
          </w:p>
        </w:tc>
      </w:tr>
    </w:tbl>
    <w:p>
      <w:pPr>
        <w:spacing w:after="0" w:line="240" w:lineRule="auto"/>
        <w:jc w:val="right"/>
        <w:rPr>
          <w:rFonts w:ascii="Times New Roman" w:hAnsi="Times New Roman" w:cs="Times New Roman" w:eastAsia="Times New Roman" w:hint="default"/>
          <w:sz w:val="18"/>
          <w:szCs w:val="18"/>
        </w:rPr>
        <w:sectPr>
          <w:pgSz w:w="11910" w:h="16840"/>
          <w:pgMar w:header="566" w:footer="979" w:top="1360" w:bottom="1160" w:left="0" w:right="0"/>
        </w:sectPr>
      </w:pPr>
    </w:p>
    <w:p>
      <w:pPr>
        <w:spacing w:line="240" w:lineRule="auto" w:before="6"/>
        <w:rPr>
          <w:rFonts w:ascii="宋体" w:hAnsi="宋体" w:cs="宋体" w:eastAsia="宋体" w:hint="default"/>
          <w:sz w:val="5"/>
          <w:szCs w:val="5"/>
        </w:rPr>
      </w:pPr>
    </w:p>
    <w:tbl>
      <w:tblPr>
        <w:tblW w:w="0" w:type="auto"/>
        <w:jc w:val="left"/>
        <w:tblInd w:w="1164" w:type="dxa"/>
        <w:tblLayout w:type="fixed"/>
        <w:tblCellMar>
          <w:top w:w="0" w:type="dxa"/>
          <w:left w:w="0" w:type="dxa"/>
          <w:bottom w:w="0" w:type="dxa"/>
          <w:right w:w="0" w:type="dxa"/>
        </w:tblCellMar>
        <w:tblLook w:val="01E0"/>
      </w:tblPr>
      <w:tblGrid>
        <w:gridCol w:w="2390"/>
        <w:gridCol w:w="2396"/>
        <w:gridCol w:w="2163"/>
        <w:gridCol w:w="262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1,353.25</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32,368.97</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1,353.25</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1,258.37</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76.67</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1,258.37</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2,611.62</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32,445.64</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2,611.62</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71、所得税费用" w:id="346"/>
      <w:bookmarkEnd w:id="346"/>
      <w:r>
        <w:rPr>
          <w:b w:val="0"/>
          <w:bCs w:val="0"/>
        </w:rPr>
      </w:r>
      <w:r>
        <w:rPr>
          <w:rFonts w:ascii="Times New Roman" w:hAnsi="Times New Roman" w:cs="Times New Roman" w:eastAsia="Times New Roman" w:hint="default"/>
        </w:rPr>
        <w:t>71</w:t>
      </w:r>
      <w:r>
        <w:rPr/>
        <w:t>、所得税费用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所得税费用表" w:id="347"/>
      <w:bookmarkEnd w:id="347"/>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74" w:type="dxa"/>
        <w:tblLayout w:type="fixed"/>
        <w:tblCellMar>
          <w:top w:w="0" w:type="dxa"/>
          <w:left w:w="0" w:type="dxa"/>
          <w:bottom w:w="0" w:type="dxa"/>
          <w:right w:w="0" w:type="dxa"/>
        </w:tblCellMar>
        <w:tblLook w:val="01E0"/>
      </w:tblPr>
      <w:tblGrid>
        <w:gridCol w:w="3164"/>
        <w:gridCol w:w="3205"/>
        <w:gridCol w:w="3190"/>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95"/>
              <w:jc w:val="right"/>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8,442,133.61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6,401,819.49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-2,590,805.58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-1,489,295.06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95"/>
              <w:jc w:val="righ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5,851,328.03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4,912,524.43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会计利润与所得税费用调整过程" w:id="348"/>
      <w:bookmarkEnd w:id="348"/>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749" w:type="dxa"/>
        <w:tblLayout w:type="fixed"/>
        <w:tblCellMar>
          <w:top w:w="0" w:type="dxa"/>
          <w:left w:w="0" w:type="dxa"/>
          <w:bottom w:w="0" w:type="dxa"/>
          <w:right w:w="0" w:type="dxa"/>
        </w:tblCellMar>
        <w:tblLook w:val="01E0"/>
      </w:tblPr>
      <w:tblGrid>
        <w:gridCol w:w="5608"/>
        <w:gridCol w:w="4802"/>
      </w:tblGrid>
      <w:tr>
        <w:trPr>
          <w:trHeight w:val="402" w:hRule="exact"/>
        </w:trPr>
        <w:tc>
          <w:tcPr>
            <w:tcW w:w="5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5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64,124,151.02</w:t>
            </w:r>
          </w:p>
        </w:tc>
      </w:tr>
      <w:tr>
        <w:trPr>
          <w:trHeight w:val="402" w:hRule="exact"/>
        </w:trPr>
        <w:tc>
          <w:tcPr>
            <w:tcW w:w="5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9,618,622.65</w:t>
            </w:r>
          </w:p>
        </w:tc>
      </w:tr>
      <w:tr>
        <w:trPr>
          <w:trHeight w:val="402" w:hRule="exact"/>
        </w:trPr>
        <w:tc>
          <w:tcPr>
            <w:tcW w:w="5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-2,643,459.78</w:t>
            </w:r>
          </w:p>
        </w:tc>
      </w:tr>
      <w:tr>
        <w:trPr>
          <w:trHeight w:val="402" w:hRule="exact"/>
        </w:trPr>
        <w:tc>
          <w:tcPr>
            <w:tcW w:w="5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123,370.43</w:t>
            </w:r>
          </w:p>
        </w:tc>
      </w:tr>
      <w:tr>
        <w:trPr>
          <w:trHeight w:val="402" w:hRule="exact"/>
        </w:trPr>
        <w:tc>
          <w:tcPr>
            <w:tcW w:w="5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470,117.61</w:t>
            </w:r>
          </w:p>
        </w:tc>
      </w:tr>
      <w:tr>
        <w:trPr>
          <w:trHeight w:val="402" w:hRule="exact"/>
        </w:trPr>
        <w:tc>
          <w:tcPr>
            <w:tcW w:w="5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加计扣除费用的影响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-1,717,322.88</w:t>
            </w:r>
          </w:p>
        </w:tc>
      </w:tr>
      <w:tr>
        <w:trPr>
          <w:trHeight w:val="402" w:hRule="exact"/>
        </w:trPr>
        <w:tc>
          <w:tcPr>
            <w:tcW w:w="5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5,851,328.03</w:t>
            </w:r>
          </w:p>
        </w:tc>
      </w:tr>
    </w:tbl>
    <w:p>
      <w:pPr>
        <w:spacing w:line="240" w:lineRule="auto" w:before="2"/>
        <w:rPr>
          <w:rFonts w:ascii="宋体" w:hAnsi="宋体" w:cs="宋体" w:eastAsia="宋体" w:hint="default"/>
          <w:sz w:val="19"/>
          <w:szCs w:val="19"/>
        </w:rPr>
      </w:pPr>
    </w:p>
    <w:p>
      <w:pPr>
        <w:spacing w:line="544" w:lineRule="auto" w:before="35"/>
        <w:ind w:left="1134" w:right="8412" w:firstLine="0"/>
        <w:jc w:val="left"/>
        <w:rPr>
          <w:rFonts w:ascii="宋体" w:hAnsi="宋体" w:cs="宋体" w:eastAsia="宋体" w:hint="default"/>
          <w:sz w:val="21"/>
          <w:szCs w:val="21"/>
        </w:rPr>
      </w:pPr>
      <w:bookmarkStart w:name="72、其他综合收益" w:id="349"/>
      <w:bookmarkEnd w:id="349"/>
      <w:r>
        <w:rPr/>
      </w:r>
      <w:r>
        <w:rPr>
          <w:rFonts w:ascii="Times New Roman" w:hAnsi="Times New Roman" w:cs="Times New Roman" w:eastAsia="Times New Roman" w:hint="default"/>
          <w:b/>
          <w:bCs/>
          <w:sz w:val="21"/>
          <w:szCs w:val="21"/>
        </w:rPr>
        <w:t>72</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18"/>
          <w:szCs w:val="18"/>
        </w:rPr>
        <w:t>详见本报告第十节、七、</w:t>
      </w:r>
      <w:r>
        <w:rPr>
          <w:rFonts w:ascii="Times New Roman" w:hAnsi="Times New Roman" w:cs="Times New Roman" w:eastAsia="Times New Roman" w:hint="default"/>
          <w:sz w:val="18"/>
          <w:szCs w:val="18"/>
        </w:rPr>
        <w:t>57</w:t>
      </w:r>
      <w:r>
        <w:rPr>
          <w:rFonts w:ascii="宋体" w:hAnsi="宋体" w:cs="宋体" w:eastAsia="宋体" w:hint="default"/>
          <w:sz w:val="18"/>
          <w:szCs w:val="18"/>
        </w:rPr>
        <w:t>。 </w:t>
      </w:r>
      <w:bookmarkStart w:name="73、现金流量表项目" w:id="350"/>
      <w:bookmarkEnd w:id="350"/>
      <w:r>
        <w:rPr>
          <w:rFonts w:ascii="宋体" w:hAnsi="宋体" w:cs="宋体" w:eastAsia="宋体" w:hint="default"/>
          <w:sz w:val="18"/>
          <w:szCs w:val="18"/>
        </w:rPr>
      </w:r>
      <w:r>
        <w:rPr>
          <w:rFonts w:ascii="Times New Roman" w:hAnsi="Times New Roman" w:cs="Times New Roman" w:eastAsia="Times New Roman" w:hint="default"/>
          <w:b/>
          <w:bCs/>
          <w:sz w:val="21"/>
          <w:szCs w:val="21"/>
        </w:rPr>
        <w:t>73</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28"/>
        <w:ind w:left="1133" w:right="0"/>
        <w:jc w:val="left"/>
        <w:rPr>
          <w:b w:val="0"/>
          <w:bCs w:val="0"/>
        </w:rPr>
      </w:pPr>
      <w:bookmarkStart w:name="（1）收到的其他与经营活动有关的现金" w:id="351"/>
      <w:bookmarkEnd w:id="351"/>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62" w:type="dxa"/>
        <w:tblLayout w:type="fixed"/>
        <w:tblCellMar>
          <w:top w:w="0" w:type="dxa"/>
          <w:left w:w="0" w:type="dxa"/>
          <w:bottom w:w="0" w:type="dxa"/>
          <w:right w:w="0" w:type="dxa"/>
        </w:tblCellMar>
        <w:tblLook w:val="01E0"/>
      </w:tblPr>
      <w:tblGrid>
        <w:gridCol w:w="3188"/>
        <w:gridCol w:w="3194"/>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收到的利息收入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1,326,649.25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565,489.41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收到的备用金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670,157.89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收到的往来款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2,403,704.64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193,068.81</w:t>
            </w:r>
          </w:p>
        </w:tc>
      </w:tr>
    </w:tbl>
    <w:p>
      <w:pPr>
        <w:spacing w:after="0" w:line="240" w:lineRule="auto"/>
        <w:jc w:val="right"/>
        <w:rPr>
          <w:rFonts w:ascii="Times New Roman" w:hAnsi="Times New Roman" w:cs="Times New Roman" w:eastAsia="Times New Roman" w:hint="default"/>
          <w:sz w:val="18"/>
          <w:szCs w:val="18"/>
        </w:rPr>
        <w:sectPr>
          <w:pgSz w:w="11910" w:h="16840"/>
          <w:pgMar w:header="566" w:footer="979" w:top="1360" w:bottom="1160" w:left="0" w:right="0"/>
        </w:sectPr>
      </w:pPr>
    </w:p>
    <w:p>
      <w:pPr>
        <w:spacing w:line="240" w:lineRule="auto" w:before="6"/>
        <w:rPr>
          <w:rFonts w:ascii="宋体" w:hAnsi="宋体" w:cs="宋体" w:eastAsia="宋体" w:hint="default"/>
          <w:sz w:val="5"/>
          <w:szCs w:val="5"/>
        </w:rPr>
      </w:pPr>
    </w:p>
    <w:tbl>
      <w:tblPr>
        <w:tblW w:w="0" w:type="auto"/>
        <w:jc w:val="left"/>
        <w:tblInd w:w="1162" w:type="dxa"/>
        <w:tblLayout w:type="fixed"/>
        <w:tblCellMar>
          <w:top w:w="0" w:type="dxa"/>
          <w:left w:w="0" w:type="dxa"/>
          <w:bottom w:w="0" w:type="dxa"/>
          <w:right w:w="0" w:type="dxa"/>
        </w:tblCellMar>
        <w:tblLook w:val="01E0"/>
      </w:tblPr>
      <w:tblGrid>
        <w:gridCol w:w="3188"/>
        <w:gridCol w:w="3194"/>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收到的政府补助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8,006,900.00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4,027,000.00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12,407,411.78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4,785,558.22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支付的其他与经营活动有关的现金" w:id="352"/>
      <w:bookmarkEnd w:id="352"/>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62" w:type="dxa"/>
        <w:tblLayout w:type="fixed"/>
        <w:tblCellMar>
          <w:top w:w="0" w:type="dxa"/>
          <w:left w:w="0" w:type="dxa"/>
          <w:bottom w:w="0" w:type="dxa"/>
          <w:right w:w="0" w:type="dxa"/>
        </w:tblCellMar>
        <w:tblLook w:val="01E0"/>
      </w:tblPr>
      <w:tblGrid>
        <w:gridCol w:w="3188"/>
        <w:gridCol w:w="3194"/>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支付的手续费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99,736.26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134,502.91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支付的备用金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134,777.07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支付的差旅费、办公费等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24,875,425.31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27,336,790.80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支付的保证金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1,686,486.08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6,780,295.37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支付的往来款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856,087.01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6,006,489.79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支付的招待费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2,066,657.34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2,805,352.72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754,468.40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61,774.33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30,338,860.40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43,259,982.99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收到的其他与投资活动有关的现金" w:id="353"/>
      <w:bookmarkEnd w:id="353"/>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4）支付的其他与投资活动有关的现金" w:id="354"/>
      <w:bookmarkEnd w:id="354"/>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5）收到的其他与筹资活动有关的现金" w:id="355"/>
      <w:bookmarkEnd w:id="355"/>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62" w:type="dxa"/>
        <w:tblLayout w:type="fixed"/>
        <w:tblCellMar>
          <w:top w:w="0" w:type="dxa"/>
          <w:left w:w="0" w:type="dxa"/>
          <w:bottom w:w="0" w:type="dxa"/>
          <w:right w:w="0" w:type="dxa"/>
        </w:tblCellMar>
        <w:tblLook w:val="01E0"/>
      </w:tblPr>
      <w:tblGrid>
        <w:gridCol w:w="3188"/>
        <w:gridCol w:w="3194"/>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收到票据保证金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1,619,149.64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收到的非公开发行股票股份认购保证金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1,619,149.64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1,300,000.00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支付的其他与筹资活动有关的现金" w:id="356"/>
      <w:bookmarkEnd w:id="356"/>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62" w:type="dxa"/>
        <w:tblLayout w:type="fixed"/>
        <w:tblCellMar>
          <w:top w:w="0" w:type="dxa"/>
          <w:left w:w="0" w:type="dxa"/>
          <w:bottom w:w="0" w:type="dxa"/>
          <w:right w:w="0" w:type="dxa"/>
        </w:tblCellMar>
        <w:tblLook w:val="01E0"/>
      </w:tblPr>
      <w:tblGrid>
        <w:gridCol w:w="3188"/>
        <w:gridCol w:w="3194"/>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406"/>
              <w:jc w:val="right"/>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支付票据及保函保证金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1,326,129.47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1,578,330.00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支付股票发行费用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1,142,327.47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406"/>
              <w:jc w:val="righ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2,468,456.94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1,578,330.00</w:t>
            </w:r>
          </w:p>
        </w:tc>
      </w:tr>
    </w:tbl>
    <w:p>
      <w:pPr>
        <w:spacing w:after="0" w:line="240" w:lineRule="auto"/>
        <w:jc w:val="right"/>
        <w:rPr>
          <w:rFonts w:ascii="Times New Roman" w:hAnsi="Times New Roman" w:cs="Times New Roman" w:eastAsia="Times New Roman" w:hint="default"/>
          <w:sz w:val="18"/>
          <w:szCs w:val="18"/>
        </w:rPr>
        <w:sectPr>
          <w:pgSz w:w="11910" w:h="16840"/>
          <w:pgMar w:header="566" w:footer="979" w:top="1360" w:bottom="1160" w:left="0" w:right="0"/>
        </w:sectPr>
      </w:pPr>
    </w:p>
    <w:p>
      <w:pPr>
        <w:pStyle w:val="Heading3"/>
        <w:spacing w:line="240" w:lineRule="auto" w:before="57"/>
        <w:ind w:right="0"/>
        <w:jc w:val="left"/>
        <w:rPr>
          <w:b w:val="0"/>
          <w:bCs w:val="0"/>
        </w:rPr>
      </w:pPr>
      <w:r>
        <w:rPr/>
        <w:pict>
          <v:group style="position:absolute;margin-left:310.359985pt;margin-top:291.589996pt;width:133.050pt;height:20.7pt;mso-position-horizontal-relative:page;mso-position-vertical-relative:page;z-index:-614080" coordorigin="6207,5832" coordsize="2661,414">
            <v:group style="position:absolute;left:6219;top:5843;width:2;height:392" coordorigin="6219,5843" coordsize="2,392">
              <v:shape style="position:absolute;left:6219;top:5843;width:2;height:392" coordorigin="6219,5843" coordsize="0,392" path="m6219,5843l6219,6234e" filled="false" stroked="true" strokeweight="1.140pt" strokecolor="#ffffff">
                <v:path arrowok="t"/>
              </v:shape>
            </v:group>
            <v:group style="position:absolute;left:6230;top:5843;width:2638;height:392" coordorigin="6230,5843" coordsize="2638,392">
              <v:shape style="position:absolute;left:6230;top:5843;width:2638;height:392" coordorigin="6230,5843" coordsize="2638,392" path="m6230,6234l8868,6234,8868,5843,6230,5843,6230,6234xe" filled="true" fillcolor="#ffffff" stroked="false">
                <v:path arrowok="t"/>
                <v:fill type="solid"/>
              </v:shape>
            </v:group>
            <w10:wrap type="none"/>
          </v:group>
        </w:pict>
      </w:r>
      <w:bookmarkStart w:name="74、现金流量表补充资料" w:id="357"/>
      <w:bookmarkEnd w:id="357"/>
      <w:r>
        <w:rPr>
          <w:b w:val="0"/>
          <w:bCs w:val="0"/>
        </w:rPr>
      </w:r>
      <w:r>
        <w:rPr>
          <w:rFonts w:ascii="Times New Roman" w:hAnsi="Times New Roman" w:cs="Times New Roman" w:eastAsia="Times New Roman" w:hint="default"/>
        </w:rPr>
        <w:t>74</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现金流量表补充资料" w:id="358"/>
      <w:bookmarkEnd w:id="358"/>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678" w:type="dxa"/>
        <w:tblLayout w:type="fixed"/>
        <w:tblCellMar>
          <w:top w:w="0" w:type="dxa"/>
          <w:left w:w="0" w:type="dxa"/>
          <w:bottom w:w="0" w:type="dxa"/>
          <w:right w:w="0" w:type="dxa"/>
        </w:tblCellMar>
        <w:tblLook w:val="01E0"/>
      </w:tblPr>
      <w:tblGrid>
        <w:gridCol w:w="5507"/>
        <w:gridCol w:w="938"/>
        <w:gridCol w:w="1768"/>
        <w:gridCol w:w="2338"/>
      </w:tblGrid>
      <w:tr>
        <w:trPr>
          <w:trHeight w:val="403"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70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70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70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626" w:right="0"/>
              <w:jc w:val="left"/>
              <w:rPr>
                <w:rFonts w:ascii="Times New Roman" w:hAnsi="Times New Roman" w:cs="Times New Roman" w:eastAsia="Times New Roman" w:hint="default"/>
                <w:sz w:val="18"/>
                <w:szCs w:val="18"/>
              </w:rPr>
            </w:pPr>
            <w:r>
              <w:rPr>
                <w:rFonts w:ascii="Times New Roman"/>
                <w:sz w:val="18"/>
              </w:rPr>
              <w:t>58,272,822.99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58,252,291.22</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70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626" w:right="0"/>
              <w:jc w:val="left"/>
              <w:rPr>
                <w:rFonts w:ascii="Times New Roman" w:hAnsi="Times New Roman" w:cs="Times New Roman" w:eastAsia="Times New Roman" w:hint="default"/>
                <w:sz w:val="18"/>
                <w:szCs w:val="18"/>
              </w:rPr>
            </w:pPr>
            <w:r>
              <w:rPr>
                <w:rFonts w:ascii="Times New Roman"/>
                <w:sz w:val="18"/>
              </w:rPr>
              <w:t>14,136,951.81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7,633,199.02</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70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716" w:right="0"/>
              <w:jc w:val="left"/>
              <w:rPr>
                <w:rFonts w:ascii="Times New Roman" w:hAnsi="Times New Roman" w:cs="Times New Roman" w:eastAsia="Times New Roman" w:hint="default"/>
                <w:sz w:val="18"/>
                <w:szCs w:val="18"/>
              </w:rPr>
            </w:pPr>
            <w:r>
              <w:rPr>
                <w:rFonts w:ascii="Times New Roman"/>
                <w:sz w:val="18"/>
              </w:rPr>
              <w:t>9,274,317.23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6,599,330.88</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70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840,362.00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442,153.24</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70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504,710.94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442,353.24</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938"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2"/>
              <w:ind w:left="-128" w:right="0"/>
              <w:jc w:val="left"/>
              <w:rPr>
                <w:rFonts w:ascii="宋体" w:hAnsi="宋体" w:cs="宋体" w:eastAsia="宋体" w:hint="default"/>
                <w:sz w:val="18"/>
                <w:szCs w:val="18"/>
              </w:rPr>
            </w:pPr>
            <w:r>
              <w:rPr>
                <w:rFonts w:ascii="宋体" w:hAnsi="宋体" w:cs="宋体" w:eastAsia="宋体" w:hint="default"/>
                <w:sz w:val="18"/>
                <w:szCs w:val="18"/>
              </w:rPr>
              <w:t>）</w:t>
            </w:r>
          </w:p>
        </w:tc>
        <w:tc>
          <w:tcPr>
            <w:tcW w:w="17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868" w:right="0"/>
              <w:jc w:val="left"/>
              <w:rPr>
                <w:rFonts w:ascii="Times New Roman" w:hAnsi="Times New Roman" w:cs="Times New Roman" w:eastAsia="Times New Roman" w:hint="default"/>
                <w:sz w:val="18"/>
                <w:szCs w:val="18"/>
              </w:rPr>
            </w:pPr>
            <w:r>
              <w:rPr>
                <w:rFonts w:ascii="Times New Roman"/>
                <w:sz w:val="18"/>
              </w:rPr>
              <w:t>-246,081.93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154,961.48</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0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1,353.25</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0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716" w:right="0"/>
              <w:jc w:val="left"/>
              <w:rPr>
                <w:rFonts w:ascii="Times New Roman" w:hAnsi="Times New Roman" w:cs="Times New Roman" w:eastAsia="Times New Roman" w:hint="default"/>
                <w:sz w:val="18"/>
                <w:szCs w:val="18"/>
              </w:rPr>
            </w:pPr>
            <w:r>
              <w:rPr>
                <w:rFonts w:ascii="Times New Roman"/>
                <w:sz w:val="18"/>
              </w:rPr>
              <w:t>5,144,252.94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4,903,193.13</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0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656" w:right="0"/>
              <w:jc w:val="left"/>
              <w:rPr>
                <w:rFonts w:ascii="Times New Roman" w:hAnsi="Times New Roman" w:cs="Times New Roman" w:eastAsia="Times New Roman" w:hint="default"/>
                <w:sz w:val="18"/>
                <w:szCs w:val="18"/>
              </w:rPr>
            </w:pPr>
            <w:r>
              <w:rPr>
                <w:rFonts w:ascii="Times New Roman"/>
                <w:sz w:val="18"/>
              </w:rPr>
              <w:t>-2,579,892.38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-1,498,528.81</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0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457,855.73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9,398.77</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0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661" w:right="0"/>
              <w:jc w:val="left"/>
              <w:rPr>
                <w:rFonts w:ascii="Times New Roman" w:hAnsi="Times New Roman" w:cs="Times New Roman" w:eastAsia="Times New Roman" w:hint="default"/>
                <w:sz w:val="18"/>
                <w:szCs w:val="18"/>
              </w:rPr>
            </w:pPr>
            <w:r>
              <w:rPr>
                <w:rFonts w:ascii="Times New Roman"/>
                <w:sz w:val="18"/>
              </w:rPr>
              <w:t>-6,313,776.11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-7,839,333.79</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0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566" w:right="0"/>
              <w:jc w:val="left"/>
              <w:rPr>
                <w:rFonts w:ascii="Times New Roman" w:hAnsi="Times New Roman" w:cs="Times New Roman" w:eastAsia="Times New Roman" w:hint="default"/>
                <w:sz w:val="18"/>
                <w:szCs w:val="18"/>
              </w:rPr>
            </w:pPr>
            <w:r>
              <w:rPr>
                <w:rFonts w:ascii="Times New Roman"/>
                <w:sz w:val="18"/>
              </w:rPr>
              <w:t>-98,048,235.64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-89,715,668.96</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0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626" w:right="0"/>
              <w:jc w:val="left"/>
              <w:rPr>
                <w:rFonts w:ascii="Times New Roman" w:hAnsi="Times New Roman" w:cs="Times New Roman" w:eastAsia="Times New Roman" w:hint="default"/>
                <w:sz w:val="18"/>
                <w:szCs w:val="18"/>
              </w:rPr>
            </w:pPr>
            <w:r>
              <w:rPr>
                <w:rFonts w:ascii="Times New Roman"/>
                <w:sz w:val="18"/>
              </w:rPr>
              <w:t>71,529,021.12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-6,392,799.18</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70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626" w:right="0"/>
              <w:jc w:val="left"/>
              <w:rPr>
                <w:rFonts w:ascii="Times New Roman" w:hAnsi="Times New Roman" w:cs="Times New Roman" w:eastAsia="Times New Roman" w:hint="default"/>
                <w:sz w:val="18"/>
                <w:szCs w:val="18"/>
              </w:rPr>
            </w:pPr>
            <w:r>
              <w:rPr>
                <w:rFonts w:ascii="Times New Roman"/>
                <w:sz w:val="18"/>
              </w:rPr>
              <w:t>52,973,661.95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-27,009,449.76</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70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70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70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536" w:right="0"/>
              <w:jc w:val="left"/>
              <w:rPr>
                <w:rFonts w:ascii="Times New Roman" w:hAnsi="Times New Roman" w:cs="Times New Roman" w:eastAsia="Times New Roman" w:hint="default"/>
                <w:sz w:val="18"/>
                <w:szCs w:val="18"/>
              </w:rPr>
            </w:pPr>
            <w:r>
              <w:rPr>
                <w:rFonts w:ascii="Times New Roman"/>
                <w:sz w:val="18"/>
              </w:rPr>
              <w:t>315,066,783.90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136,696,414.88</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70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536" w:right="0"/>
              <w:jc w:val="left"/>
              <w:rPr>
                <w:rFonts w:ascii="Times New Roman" w:hAnsi="Times New Roman" w:cs="Times New Roman" w:eastAsia="Times New Roman" w:hint="default"/>
                <w:sz w:val="18"/>
                <w:szCs w:val="18"/>
              </w:rPr>
            </w:pPr>
            <w:r>
              <w:rPr>
                <w:rFonts w:ascii="Times New Roman"/>
                <w:sz w:val="18"/>
              </w:rPr>
              <w:t>136,696,414.88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170,129,083.93</w:t>
            </w:r>
          </w:p>
        </w:tc>
      </w:tr>
      <w:tr>
        <w:trPr>
          <w:trHeight w:val="403"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70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536" w:right="0"/>
              <w:jc w:val="left"/>
              <w:rPr>
                <w:rFonts w:ascii="Times New Roman" w:hAnsi="Times New Roman" w:cs="Times New Roman" w:eastAsia="Times New Roman" w:hint="default"/>
                <w:sz w:val="18"/>
                <w:szCs w:val="18"/>
              </w:rPr>
            </w:pPr>
            <w:r>
              <w:rPr>
                <w:rFonts w:ascii="Times New Roman"/>
                <w:sz w:val="18"/>
              </w:rPr>
              <w:t>178,370,369.02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-33,432,669.05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本期支付的取得子公司的现金净额" w:id="359"/>
      <w:bookmarkEnd w:id="359"/>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229"/>
        <w:jc w:val="right"/>
      </w:pPr>
      <w:r>
        <w:rPr/>
        <w:t>单位：元</w:t>
      </w:r>
    </w:p>
    <w:p>
      <w:pPr>
        <w:spacing w:line="240" w:lineRule="auto" w:before="0"/>
        <w:rPr>
          <w:rFonts w:ascii="宋体" w:hAnsi="宋体" w:cs="宋体" w:eastAsia="宋体" w:hint="default"/>
          <w:sz w:val="8"/>
          <w:szCs w:val="8"/>
        </w:rPr>
      </w:pPr>
    </w:p>
    <w:tbl>
      <w:tblPr>
        <w:tblW w:w="0" w:type="auto"/>
        <w:jc w:val="left"/>
        <w:tblInd w:w="1164" w:type="dxa"/>
        <w:tblLayout w:type="fixed"/>
        <w:tblCellMar>
          <w:top w:w="0" w:type="dxa"/>
          <w:left w:w="0" w:type="dxa"/>
          <w:bottom w:w="0" w:type="dxa"/>
          <w:right w:w="0" w:type="dxa"/>
        </w:tblCellMar>
        <w:tblLook w:val="01E0"/>
      </w:tblPr>
      <w:tblGrid>
        <w:gridCol w:w="4989"/>
        <w:gridCol w:w="4581"/>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118,999,966.00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以现金方式支付的合并对价</w:t>
            </w:r>
          </w:p>
        </w:tc>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118,999,966.00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692,111.76</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566" w:footer="979" w:top="1360" w:bottom="1160" w:left="0" w:right="0"/>
        </w:sectPr>
      </w:pPr>
    </w:p>
    <w:p>
      <w:pPr>
        <w:spacing w:line="240" w:lineRule="auto" w:before="6"/>
        <w:rPr>
          <w:rFonts w:ascii="宋体" w:hAnsi="宋体" w:cs="宋体" w:eastAsia="宋体" w:hint="default"/>
          <w:sz w:val="5"/>
          <w:szCs w:val="5"/>
        </w:rPr>
      </w:pPr>
    </w:p>
    <w:tbl>
      <w:tblPr>
        <w:tblW w:w="0" w:type="auto"/>
        <w:jc w:val="left"/>
        <w:tblInd w:w="1164" w:type="dxa"/>
        <w:tblLayout w:type="fixed"/>
        <w:tblCellMar>
          <w:top w:w="0" w:type="dxa"/>
          <w:left w:w="0" w:type="dxa"/>
          <w:bottom w:w="0" w:type="dxa"/>
          <w:right w:w="0" w:type="dxa"/>
        </w:tblCellMar>
        <w:tblLook w:val="01E0"/>
      </w:tblPr>
      <w:tblGrid>
        <w:gridCol w:w="4989"/>
        <w:gridCol w:w="4581"/>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4,185.00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687,926.76</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加：以前期间发生的企业合并于本期支付的现金或现金等价物</w:t>
            </w:r>
          </w:p>
        </w:tc>
        <w:tc>
          <w:tcPr>
            <w:tcW w:w="45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118,307,854.24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本期收到的处置子公司的现金净额" w:id="360"/>
      <w:bookmarkEnd w:id="360"/>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4）现金和现金等价物的构成" w:id="361"/>
      <w:bookmarkEnd w:id="361"/>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75" w:type="dxa"/>
        <w:tblLayout w:type="fixed"/>
        <w:tblCellMar>
          <w:top w:w="0" w:type="dxa"/>
          <w:left w:w="0" w:type="dxa"/>
          <w:bottom w:w="0" w:type="dxa"/>
          <w:right w:w="0" w:type="dxa"/>
        </w:tblCellMar>
        <w:tblLook w:val="01E0"/>
      </w:tblPr>
      <w:tblGrid>
        <w:gridCol w:w="3305"/>
        <w:gridCol w:w="3069"/>
        <w:gridCol w:w="3185"/>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315,066,783.90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136,696,414.88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118,530.86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123,295.08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307,350,227.90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128,776,843.40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7,598,025.14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7,796,276.40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二、期末现金及现金等价物余额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315,066,783.90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136,696,414.88</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75、所有者权益变动表项目注释" w:id="362"/>
      <w:bookmarkEnd w:id="362"/>
      <w:r>
        <w:rPr>
          <w:b w:val="0"/>
          <w:bCs w:val="0"/>
        </w:rPr>
      </w:r>
      <w:r>
        <w:rPr>
          <w:rFonts w:ascii="Times New Roman" w:hAnsi="Times New Roman" w:cs="Times New Roman" w:eastAsia="Times New Roman" w:hint="default"/>
        </w:rPr>
        <w:t>75</w:t>
      </w:r>
      <w:r>
        <w:rPr/>
        <w:t>、所有者权益变动表项目注释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76、所有权或使用权受到限制的资产" w:id="363"/>
      <w:bookmarkEnd w:id="363"/>
      <w:r>
        <w:rPr>
          <w:b w:val="0"/>
          <w:bCs w:val="0"/>
        </w:rPr>
      </w:r>
      <w:r>
        <w:rPr>
          <w:rFonts w:ascii="Times New Roman" w:hAnsi="Times New Roman" w:cs="Times New Roman" w:eastAsia="Times New Roman" w:hint="default"/>
        </w:rPr>
        <w:t>76</w:t>
      </w:r>
      <w:r>
        <w:rPr/>
        <w:t>、所有权或使用权受到限制的资产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64" w:type="dxa"/>
        <w:tblLayout w:type="fixed"/>
        <w:tblCellMar>
          <w:top w:w="0" w:type="dxa"/>
          <w:left w:w="0" w:type="dxa"/>
          <w:bottom w:w="0" w:type="dxa"/>
          <w:right w:w="0" w:type="dxa"/>
        </w:tblCellMar>
        <w:tblLook w:val="01E0"/>
      </w:tblPr>
      <w:tblGrid>
        <w:gridCol w:w="3328"/>
        <w:gridCol w:w="3057"/>
        <w:gridCol w:w="3185"/>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477"/>
              <w:jc w:val="right"/>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8,924,154.61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保证金【详见第十节、七、</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130,000,000.00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质押【详见第十节、十四、</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477"/>
              <w:jc w:val="righ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138,924,154.61</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7、外币货币性项目" w:id="364"/>
      <w:bookmarkEnd w:id="364"/>
      <w:r>
        <w:rPr>
          <w:b w:val="0"/>
          <w:bCs w:val="0"/>
        </w:rPr>
      </w:r>
      <w:r>
        <w:rPr>
          <w:rFonts w:ascii="Times New Roman" w:hAnsi="Times New Roman" w:cs="Times New Roman" w:eastAsia="Times New Roman" w:hint="default"/>
        </w:rPr>
        <w:t>77</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外币货币性项目" w:id="365"/>
      <w:bookmarkEnd w:id="365"/>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64" w:type="dxa"/>
        <w:tblLayout w:type="fixed"/>
        <w:tblCellMar>
          <w:top w:w="0" w:type="dxa"/>
          <w:left w:w="0" w:type="dxa"/>
          <w:bottom w:w="0" w:type="dxa"/>
          <w:right w:w="0" w:type="dxa"/>
        </w:tblCellMar>
        <w:tblLook w:val="01E0"/>
      </w:tblPr>
      <w:tblGrid>
        <w:gridCol w:w="2495"/>
        <w:gridCol w:w="2294"/>
        <w:gridCol w:w="2391"/>
        <w:gridCol w:w="2390"/>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991,457.03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6.4936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6,438,125.37</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991,457.03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6.4936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6,438,125.37</w:t>
            </w:r>
          </w:p>
        </w:tc>
      </w:tr>
    </w:tbl>
    <w:p>
      <w:pPr>
        <w:spacing w:after="0" w:line="240" w:lineRule="auto"/>
        <w:jc w:val="right"/>
        <w:rPr>
          <w:rFonts w:ascii="Times New Roman" w:hAnsi="Times New Roman" w:cs="Times New Roman" w:eastAsia="Times New Roman" w:hint="default"/>
          <w:sz w:val="18"/>
          <w:szCs w:val="18"/>
        </w:rPr>
        <w:sectPr>
          <w:pgSz w:w="11910" w:h="16840"/>
          <w:pgMar w:header="566" w:footer="979" w:top="1360" w:bottom="1160" w:left="0" w:right="0"/>
        </w:sectPr>
      </w:pPr>
    </w:p>
    <w:p>
      <w:pPr>
        <w:spacing w:line="240" w:lineRule="auto" w:before="6"/>
        <w:rPr>
          <w:rFonts w:ascii="宋体" w:hAnsi="宋体" w:cs="宋体" w:eastAsia="宋体" w:hint="default"/>
          <w:sz w:val="5"/>
          <w:szCs w:val="5"/>
        </w:rPr>
      </w:pPr>
    </w:p>
    <w:tbl>
      <w:tblPr>
        <w:tblW w:w="0" w:type="auto"/>
        <w:jc w:val="left"/>
        <w:tblInd w:w="1164" w:type="dxa"/>
        <w:tblLayout w:type="fixed"/>
        <w:tblCellMar>
          <w:top w:w="0" w:type="dxa"/>
          <w:left w:w="0" w:type="dxa"/>
          <w:bottom w:w="0" w:type="dxa"/>
          <w:right w:w="0" w:type="dxa"/>
        </w:tblCellMar>
        <w:tblLook w:val="01E0"/>
      </w:tblPr>
      <w:tblGrid>
        <w:gridCol w:w="2495"/>
        <w:gridCol w:w="2294"/>
        <w:gridCol w:w="2391"/>
        <w:gridCol w:w="2390"/>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1,265,083.38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6.4936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8,214,945.44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1,265,083.38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6.4936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8,214,945.44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6.4936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1,298,720.00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6.4936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1,298,720.00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6.4936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370,135.20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6.4936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370,135.20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193,598.00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6.4936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1,257,147.97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193,598.00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6.4936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1,257,147.97</w:t>
            </w:r>
          </w:p>
        </w:tc>
      </w:tr>
    </w:tbl>
    <w:p>
      <w:pPr>
        <w:spacing w:line="240" w:lineRule="auto" w:before="2"/>
        <w:rPr>
          <w:rFonts w:ascii="宋体" w:hAnsi="宋体" w:cs="宋体" w:eastAsia="宋体" w:hint="default"/>
          <w:sz w:val="19"/>
          <w:szCs w:val="19"/>
        </w:rPr>
      </w:pPr>
    </w:p>
    <w:p>
      <w:pPr>
        <w:pStyle w:val="Heading3"/>
        <w:spacing w:line="259" w:lineRule="auto" w:before="35"/>
        <w:ind w:left="1133" w:right="0"/>
        <w:jc w:val="left"/>
        <w:rPr>
          <w:b w:val="0"/>
          <w:bCs w:val="0"/>
        </w:rPr>
      </w:pPr>
      <w:bookmarkStart w:name="（2）境外经营实体说明，包括对于重要的境外经营实体，应披露其境外主要经营地、记账" w:id="366"/>
      <w:bookmarkEnd w:id="366"/>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3"/>
        </w:rPr>
        <w:t> </w:t>
      </w:r>
      <w:r>
        <w:rPr>
          <w:spacing w:val="-63"/>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left="1133" w:right="30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本公司之控股子公司享云科技公司的主要经营地在美国，根据美国当地法律，记账本位币为美元。</w:t>
      </w:r>
    </w:p>
    <w:p>
      <w:pPr>
        <w:spacing w:line="240" w:lineRule="auto" w:before="12"/>
        <w:rPr>
          <w:rFonts w:ascii="宋体" w:hAnsi="宋体" w:cs="宋体" w:eastAsia="宋体" w:hint="default"/>
          <w:sz w:val="20"/>
          <w:szCs w:val="20"/>
        </w:rPr>
      </w:pPr>
    </w:p>
    <w:p>
      <w:pPr>
        <w:pStyle w:val="Heading3"/>
        <w:spacing w:line="240" w:lineRule="auto"/>
        <w:ind w:left="1133" w:right="0"/>
        <w:jc w:val="left"/>
        <w:rPr>
          <w:b w:val="0"/>
          <w:bCs w:val="0"/>
        </w:rPr>
      </w:pPr>
      <w:bookmarkStart w:name="78、套期" w:id="367"/>
      <w:bookmarkEnd w:id="367"/>
      <w:r>
        <w:rPr>
          <w:b w:val="0"/>
          <w:bCs w:val="0"/>
        </w:rPr>
      </w:r>
      <w:r>
        <w:rPr>
          <w:rFonts w:ascii="Times New Roman" w:hAnsi="Times New Roman" w:cs="Times New Roman" w:eastAsia="Times New Roman" w:hint="default"/>
        </w:rPr>
        <w:t>78</w:t>
      </w:r>
      <w:r>
        <w:rPr/>
        <w:t>、套期</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79、其他" w:id="368"/>
      <w:bookmarkEnd w:id="368"/>
      <w:r>
        <w:rPr>
          <w:b w:val="0"/>
          <w:bCs w:val="0"/>
        </w:rPr>
      </w:r>
      <w:r>
        <w:rPr>
          <w:rFonts w:ascii="Times New Roman" w:hAnsi="Times New Roman" w:cs="Times New Roman" w:eastAsia="Times New Roman" w:hint="default"/>
        </w:rPr>
        <w:t>79</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left="1134" w:right="0"/>
        <w:jc w:val="left"/>
        <w:rPr>
          <w:b w:val="0"/>
          <w:bCs w:val="0"/>
        </w:rPr>
      </w:pPr>
      <w:bookmarkStart w:name="八、合并范围的变更" w:id="369"/>
      <w:bookmarkEnd w:id="369"/>
      <w:r>
        <w:rPr>
          <w:b w:val="0"/>
          <w:bCs w:val="0"/>
        </w:rPr>
      </w:r>
      <w:r>
        <w:rPr/>
        <w:t>八、合并范围的变更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非同一控制下企业合并" w:id="370"/>
      <w:bookmarkEnd w:id="370"/>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本期发生的非同一控制下企业合并" w:id="371"/>
      <w:bookmarkEnd w:id="371"/>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667" w:type="dxa"/>
        <w:tblLayout w:type="fixed"/>
        <w:tblCellMar>
          <w:top w:w="0" w:type="dxa"/>
          <w:left w:w="0" w:type="dxa"/>
          <w:bottom w:w="0" w:type="dxa"/>
          <w:right w:w="0" w:type="dxa"/>
        </w:tblCellMar>
        <w:tblLook w:val="01E0"/>
      </w:tblPr>
      <w:tblGrid>
        <w:gridCol w:w="1277"/>
        <w:gridCol w:w="851"/>
        <w:gridCol w:w="1276"/>
        <w:gridCol w:w="851"/>
        <w:gridCol w:w="1276"/>
        <w:gridCol w:w="992"/>
        <w:gridCol w:w="993"/>
        <w:gridCol w:w="1417"/>
        <w:gridCol w:w="1631"/>
      </w:tblGrid>
      <w:tr>
        <w:trPr>
          <w:trHeight w:val="714"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被购买方名称</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9" w:right="59" w:hanging="180"/>
              <w:jc w:val="left"/>
              <w:rPr>
                <w:rFonts w:ascii="宋体" w:hAnsi="宋体" w:cs="宋体" w:eastAsia="宋体" w:hint="default"/>
                <w:sz w:val="18"/>
                <w:szCs w:val="18"/>
              </w:rPr>
            </w:pPr>
            <w:r>
              <w:rPr>
                <w:rFonts w:ascii="宋体" w:hAnsi="宋体" w:cs="宋体" w:eastAsia="宋体" w:hint="default"/>
                <w:sz w:val="18"/>
                <w:szCs w:val="18"/>
              </w:rPr>
              <w:t>股权取得 时点</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股权取得成本</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0" w:right="59" w:hanging="180"/>
              <w:jc w:val="left"/>
              <w:rPr>
                <w:rFonts w:ascii="宋体" w:hAnsi="宋体" w:cs="宋体" w:eastAsia="宋体" w:hint="default"/>
                <w:sz w:val="18"/>
                <w:szCs w:val="18"/>
              </w:rPr>
            </w:pPr>
            <w:r>
              <w:rPr>
                <w:rFonts w:ascii="宋体" w:hAnsi="宋体" w:cs="宋体" w:eastAsia="宋体" w:hint="default"/>
                <w:sz w:val="18"/>
                <w:szCs w:val="18"/>
              </w:rPr>
              <w:t>股权取得 比例</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股权取得方式</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0" w:right="40"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63" w:right="72" w:hanging="90"/>
              <w:jc w:val="left"/>
              <w:rPr>
                <w:rFonts w:ascii="宋体" w:hAnsi="宋体" w:cs="宋体" w:eastAsia="宋体" w:hint="default"/>
                <w:sz w:val="18"/>
                <w:szCs w:val="18"/>
              </w:rPr>
            </w:pPr>
            <w:r>
              <w:rPr>
                <w:rFonts w:ascii="宋体" w:hAnsi="宋体" w:cs="宋体" w:eastAsia="宋体" w:hint="default"/>
                <w:sz w:val="18"/>
                <w:szCs w:val="18"/>
              </w:rPr>
              <w:t>购买日至期末被 购买方的收入</w:t>
            </w:r>
          </w:p>
        </w:tc>
        <w:tc>
          <w:tcPr>
            <w:tcW w:w="1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0" w:right="89" w:hanging="180"/>
              <w:jc w:val="left"/>
              <w:rPr>
                <w:rFonts w:ascii="宋体" w:hAnsi="宋体" w:cs="宋体" w:eastAsia="宋体" w:hint="default"/>
                <w:sz w:val="18"/>
                <w:szCs w:val="18"/>
              </w:rPr>
            </w:pPr>
            <w:r>
              <w:rPr>
                <w:rFonts w:ascii="宋体" w:hAnsi="宋体" w:cs="宋体" w:eastAsia="宋体" w:hint="default"/>
                <w:sz w:val="18"/>
                <w:szCs w:val="18"/>
              </w:rPr>
              <w:t>购买日至期末被购 买方的净利润</w:t>
            </w:r>
          </w:p>
        </w:tc>
      </w:tr>
      <w:tr>
        <w:trPr>
          <w:trHeight w:val="71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上海米健信息 技术有限公司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8" w:right="0"/>
              <w:jc w:val="left"/>
              <w:rPr>
                <w:rFonts w:ascii="Times New Roman" w:hAnsi="Times New Roman" w:cs="Times New Roman" w:eastAsia="Times New Roman" w:hint="default"/>
                <w:sz w:val="18"/>
                <w:szCs w:val="18"/>
              </w:rPr>
            </w:pPr>
            <w:r>
              <w:rPr>
                <w:rFonts w:ascii="Times New Roman"/>
                <w:sz w:val="18"/>
              </w:rPr>
              <w:t>127,500,000.00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4" w:right="0"/>
              <w:jc w:val="left"/>
              <w:rPr>
                <w:rFonts w:ascii="Times New Roman" w:hAnsi="Times New Roman" w:cs="Times New Roman" w:eastAsia="Times New Roman" w:hint="default"/>
                <w:sz w:val="18"/>
                <w:szCs w:val="18"/>
              </w:rPr>
            </w:pPr>
            <w:r>
              <w:rPr>
                <w:rFonts w:ascii="Times New Roman"/>
                <w:sz w:val="18"/>
              </w:rPr>
              <w:t>51.00%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收购股权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取得控制权</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9" w:right="0"/>
              <w:jc w:val="left"/>
              <w:rPr>
                <w:rFonts w:ascii="Times New Roman" w:hAnsi="Times New Roman" w:cs="Times New Roman" w:eastAsia="Times New Roman" w:hint="default"/>
                <w:sz w:val="18"/>
                <w:szCs w:val="18"/>
              </w:rPr>
            </w:pPr>
            <w:r>
              <w:rPr>
                <w:rFonts w:ascii="Times New Roman"/>
                <w:sz w:val="18"/>
              </w:rPr>
              <w:t>27,277,330.69</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3" w:right="0"/>
              <w:jc w:val="left"/>
              <w:rPr>
                <w:rFonts w:ascii="Times New Roman" w:hAnsi="Times New Roman" w:cs="Times New Roman" w:eastAsia="Times New Roman" w:hint="default"/>
                <w:sz w:val="18"/>
                <w:szCs w:val="18"/>
              </w:rPr>
            </w:pPr>
            <w:r>
              <w:rPr>
                <w:rFonts w:ascii="Times New Roman"/>
                <w:sz w:val="18"/>
              </w:rPr>
              <w:t>19,346,206.14</w:t>
            </w:r>
          </w:p>
        </w:tc>
      </w:tr>
    </w:tbl>
    <w:p>
      <w:pPr>
        <w:pStyle w:val="BodyText"/>
        <w:spacing w:line="338" w:lineRule="auto" w:before="51"/>
        <w:ind w:left="1133" w:right="1118"/>
        <w:jc w:val="left"/>
      </w:pPr>
      <w:r>
        <w:rPr/>
        <w:t>其他说明： </w:t>
      </w:r>
      <w:r>
        <w:rPr>
          <w:spacing w:val="-2"/>
        </w:rPr>
        <w:t>苏州易健医疗信息技术有限公司和北京米东信息技术有限公司系上海米健信息技术有限公司之子公司，本次合并报表将其纳</w:t>
      </w:r>
      <w:r>
        <w:rPr>
          <w:spacing w:val="-64"/>
        </w:rPr>
        <w:t> </w:t>
      </w:r>
      <w:r>
        <w:rPr>
          <w:spacing w:val="-64"/>
        </w:rPr>
      </w:r>
      <w:r>
        <w:rPr/>
        <w:t>入合并范围。</w:t>
      </w:r>
    </w:p>
    <w:p>
      <w:pPr>
        <w:spacing w:line="240" w:lineRule="auto" w:before="2"/>
        <w:rPr>
          <w:rFonts w:ascii="宋体" w:hAnsi="宋体" w:cs="宋体" w:eastAsia="宋体" w:hint="default"/>
          <w:sz w:val="21"/>
          <w:szCs w:val="21"/>
        </w:rPr>
      </w:pPr>
    </w:p>
    <w:p>
      <w:pPr>
        <w:pStyle w:val="Heading3"/>
        <w:spacing w:line="240" w:lineRule="auto"/>
        <w:ind w:left="1133" w:right="0"/>
        <w:jc w:val="left"/>
        <w:rPr>
          <w:b w:val="0"/>
          <w:bCs w:val="0"/>
        </w:rPr>
      </w:pPr>
      <w:bookmarkStart w:name="（2）合并成本及商誉" w:id="372"/>
      <w:bookmarkEnd w:id="372"/>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after="0" w:line="240" w:lineRule="auto"/>
        <w:jc w:val="right"/>
        <w:sectPr>
          <w:pgSz w:w="11910" w:h="16840"/>
          <w:pgMar w:header="566" w:footer="979" w:top="1360" w:bottom="1160" w:left="0" w:right="0"/>
        </w:sectPr>
      </w:pPr>
    </w:p>
    <w:p>
      <w:pPr>
        <w:spacing w:line="240" w:lineRule="auto" w:before="6"/>
        <w:rPr>
          <w:rFonts w:ascii="宋体" w:hAnsi="宋体" w:cs="宋体" w:eastAsia="宋体" w:hint="default"/>
          <w:sz w:val="5"/>
          <w:szCs w:val="5"/>
        </w:rPr>
      </w:pPr>
    </w:p>
    <w:tbl>
      <w:tblPr>
        <w:tblW w:w="0" w:type="auto"/>
        <w:jc w:val="left"/>
        <w:tblInd w:w="1022" w:type="dxa"/>
        <w:tblLayout w:type="fixed"/>
        <w:tblCellMar>
          <w:top w:w="0" w:type="dxa"/>
          <w:left w:w="0" w:type="dxa"/>
          <w:bottom w:w="0" w:type="dxa"/>
          <w:right w:w="0" w:type="dxa"/>
        </w:tblCellMar>
        <w:tblLook w:val="01E0"/>
      </w:tblPr>
      <w:tblGrid>
        <w:gridCol w:w="5068"/>
        <w:gridCol w:w="4785"/>
      </w:tblGrid>
      <w:tr>
        <w:trPr>
          <w:trHeight w:val="397" w:hRule="exact"/>
        </w:trPr>
        <w:tc>
          <w:tcPr>
            <w:tcW w:w="50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7" w:hRule="exact"/>
        </w:trPr>
        <w:tc>
          <w:tcPr>
            <w:tcW w:w="5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127,500,000.00</w:t>
            </w:r>
          </w:p>
        </w:tc>
      </w:tr>
      <w:tr>
        <w:trPr>
          <w:trHeight w:val="402" w:hRule="exact"/>
        </w:trPr>
        <w:tc>
          <w:tcPr>
            <w:tcW w:w="5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127,500,000.00</w:t>
            </w:r>
          </w:p>
        </w:tc>
      </w:tr>
      <w:tr>
        <w:trPr>
          <w:trHeight w:val="402" w:hRule="exact"/>
        </w:trPr>
        <w:tc>
          <w:tcPr>
            <w:tcW w:w="5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1,374,962.31</w:t>
            </w:r>
          </w:p>
        </w:tc>
      </w:tr>
      <w:tr>
        <w:trPr>
          <w:trHeight w:val="402" w:hRule="exact"/>
        </w:trPr>
        <w:tc>
          <w:tcPr>
            <w:tcW w:w="5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合并成本小于取得的可辨认净资产公允价值份额的金额</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126,125,037.69</w:t>
            </w:r>
          </w:p>
        </w:tc>
      </w:tr>
    </w:tbl>
    <w:p>
      <w:pPr>
        <w:pStyle w:val="BodyText"/>
        <w:spacing w:line="240" w:lineRule="auto" w:before="51"/>
        <w:ind w:right="0"/>
        <w:jc w:val="left"/>
      </w:pPr>
      <w:r>
        <w:rPr/>
        <w:t>大额商誉形成的主要原因：</w:t>
      </w:r>
    </w:p>
    <w:p>
      <w:pPr>
        <w:pStyle w:val="BodyText"/>
        <w:spacing w:line="300" w:lineRule="auto" w:before="116"/>
        <w:ind w:left="1133" w:right="1121"/>
        <w:jc w:val="left"/>
      </w:pPr>
      <w:r>
        <w:rPr/>
        <w:t>公司收购上海上海米健技术有限公司</w:t>
      </w:r>
      <w:r>
        <w:rPr>
          <w:spacing w:val="-47"/>
        </w:rPr>
        <w:t> </w:t>
      </w:r>
      <w:r>
        <w:rPr>
          <w:rFonts w:ascii="Times New Roman" w:hAnsi="Times New Roman" w:cs="Times New Roman" w:eastAsia="Times New Roman" w:hint="default"/>
        </w:rPr>
        <w:t>51%</w:t>
      </w:r>
      <w:r>
        <w:rPr/>
        <w:t>股权，合并成本为</w:t>
      </w:r>
      <w:r>
        <w:rPr>
          <w:spacing w:val="-47"/>
        </w:rPr>
        <w:t> </w:t>
      </w:r>
      <w:r>
        <w:rPr>
          <w:rFonts w:ascii="Times New Roman" w:hAnsi="Times New Roman" w:cs="Times New Roman" w:eastAsia="Times New Roman" w:hint="default"/>
        </w:rPr>
        <w:t>127,500,000.00</w:t>
      </w:r>
      <w:r>
        <w:rPr>
          <w:rFonts w:ascii="Times New Roman" w:hAnsi="Times New Roman" w:cs="Times New Roman" w:eastAsia="Times New Roman" w:hint="default"/>
          <w:spacing w:val="43"/>
        </w:rPr>
        <w:t> </w:t>
      </w:r>
      <w:r>
        <w:rPr/>
        <w:t>元。购买日，上海米健信息技术有限公司可辨 认净资产公允价值为</w:t>
      </w:r>
      <w:r>
        <w:rPr>
          <w:spacing w:val="-53"/>
        </w:rPr>
        <w:t> </w:t>
      </w:r>
      <w:r>
        <w:rPr>
          <w:rFonts w:ascii="Times New Roman" w:hAnsi="Times New Roman" w:cs="Times New Roman" w:eastAsia="Times New Roman" w:hint="default"/>
          <w:spacing w:val="-1"/>
        </w:rPr>
        <w:t>1,374,962.31</w:t>
      </w:r>
      <w:r>
        <w:rPr>
          <w:rFonts w:ascii="Times New Roman" w:hAnsi="Times New Roman" w:cs="Times New Roman" w:eastAsia="Times New Roman" w:hint="default"/>
          <w:spacing w:val="-7"/>
        </w:rPr>
        <w:t> </w:t>
      </w:r>
      <w:r>
        <w:rPr>
          <w:spacing w:val="-3"/>
        </w:rPr>
        <w:t>元，合并成本大于合并中取得的被购买方可辨认净资产公允价值份额的差额</w:t>
      </w:r>
      <w:r>
        <w:rPr>
          <w:spacing w:val="-52"/>
        </w:rPr>
        <w:t> </w:t>
      </w:r>
      <w:r>
        <w:rPr>
          <w:rFonts w:ascii="Times New Roman" w:hAnsi="Times New Roman" w:cs="Times New Roman" w:eastAsia="Times New Roman" w:hint="default"/>
        </w:rPr>
        <w:t>126,125,037.69 </w:t>
      </w:r>
      <w:r>
        <w:rPr/>
        <w:t>元确认为商誉。</w:t>
      </w:r>
    </w:p>
    <w:p>
      <w:pPr>
        <w:spacing w:line="240" w:lineRule="auto" w:before="4"/>
        <w:rPr>
          <w:rFonts w:ascii="宋体" w:hAnsi="宋体" w:cs="宋体" w:eastAsia="宋体" w:hint="default"/>
          <w:sz w:val="23"/>
          <w:szCs w:val="23"/>
        </w:rPr>
      </w:pPr>
    </w:p>
    <w:p>
      <w:pPr>
        <w:pStyle w:val="Heading3"/>
        <w:spacing w:line="240" w:lineRule="auto"/>
        <w:ind w:left="1133" w:right="0"/>
        <w:jc w:val="left"/>
        <w:rPr>
          <w:b w:val="0"/>
          <w:bCs w:val="0"/>
        </w:rPr>
      </w:pPr>
      <w:bookmarkStart w:name="（3）被购买方于购买日可辨认资产、负债" w:id="373"/>
      <w:bookmarkEnd w:id="373"/>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62" w:type="dxa"/>
        <w:tblLayout w:type="fixed"/>
        <w:tblCellMar>
          <w:top w:w="0" w:type="dxa"/>
          <w:left w:w="0" w:type="dxa"/>
          <w:bottom w:w="0" w:type="dxa"/>
          <w:right w:w="0" w:type="dxa"/>
        </w:tblCellMar>
        <w:tblLook w:val="01E0"/>
      </w:tblPr>
      <w:tblGrid>
        <w:gridCol w:w="3191"/>
        <w:gridCol w:w="3191"/>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12,290,538.36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9,071,790.27</w:t>
            </w:r>
          </w:p>
        </w:tc>
      </w:tr>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692,111.76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692,111.76</w:t>
            </w:r>
          </w:p>
        </w:tc>
      </w:tr>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1,412,810.63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1,412,810.63</w:t>
            </w:r>
          </w:p>
        </w:tc>
      </w:tr>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1,484,957.83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1,484,957.83</w:t>
            </w:r>
          </w:p>
        </w:tc>
      </w:tr>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588,778.65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588,778.65</w:t>
            </w:r>
          </w:p>
        </w:tc>
      </w:tr>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3,085,270.00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140,049.76</w:t>
            </w:r>
          </w:p>
        </w:tc>
      </w:tr>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1,160,176.58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1,160,176.58</w:t>
            </w:r>
          </w:p>
        </w:tc>
      </w:tr>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857,626.63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857,626.63</w:t>
            </w:r>
          </w:p>
        </w:tc>
      </w:tr>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3,008,806.28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2,735,278.43</w:t>
            </w:r>
          </w:p>
        </w:tc>
      </w:tr>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9,550,577.30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9,067,765.09</w:t>
            </w:r>
          </w:p>
        </w:tc>
      </w:tr>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114,151.11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114,151.11</w:t>
            </w:r>
          </w:p>
        </w:tc>
      </w:tr>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482,812.21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3,681,615.44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3,681,615.44</w:t>
            </w:r>
          </w:p>
        </w:tc>
      </w:tr>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888,471.86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888,471.86</w:t>
            </w:r>
          </w:p>
        </w:tc>
      </w:tr>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167,949.14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167,949.14</w:t>
            </w:r>
          </w:p>
        </w:tc>
      </w:tr>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2,685,577.54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2,685,577.54</w:t>
            </w:r>
          </w:p>
        </w:tc>
      </w:tr>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1,530,000.00</w:t>
            </w:r>
          </w:p>
        </w:tc>
      </w:tr>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2,739,961.06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4,025.18</w:t>
            </w:r>
          </w:p>
        </w:tc>
      </w:tr>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43,956.54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43,956.54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2,696,004.52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-39,931.36</w:t>
            </w:r>
            <w:r>
              <w:rPr>
                <w:rFonts w:ascii="Times New Roman"/>
                <w:sz w:val="18"/>
              </w:rPr>
            </w:r>
          </w:p>
        </w:tc>
      </w:tr>
    </w:tbl>
    <w:p>
      <w:pPr>
        <w:pStyle w:val="BodyText"/>
        <w:spacing w:line="240" w:lineRule="auto" w:before="51"/>
        <w:ind w:right="0"/>
        <w:jc w:val="left"/>
      </w:pPr>
      <w:r>
        <w:rPr/>
        <w:t>可辨认资产、负债公允价值的确定方法：</w:t>
      </w:r>
    </w:p>
    <w:p>
      <w:pPr>
        <w:pStyle w:val="BodyText"/>
        <w:spacing w:line="240" w:lineRule="auto" w:before="115"/>
        <w:ind w:right="0"/>
        <w:jc w:val="left"/>
      </w:pPr>
      <w:r>
        <w:rPr/>
        <w:t>公司根据北京国融兴华资产评估有限责任公司出具的国融兴华评报字</w:t>
      </w:r>
      <w:r>
        <w:rPr>
          <w:rFonts w:ascii="Times New Roman" w:hAnsi="Times New Roman" w:cs="Times New Roman" w:eastAsia="Times New Roman" w:hint="default"/>
        </w:rPr>
        <w:t>[2015]</w:t>
      </w:r>
      <w:r>
        <w:rPr/>
        <w:t>第</w:t>
      </w:r>
      <w:r>
        <w:rPr>
          <w:spacing w:val="-47"/>
        </w:rPr>
        <w:t> </w:t>
      </w:r>
      <w:r>
        <w:rPr>
          <w:rFonts w:ascii="Times New Roman" w:hAnsi="Times New Roman" w:cs="Times New Roman" w:eastAsia="Times New Roman" w:hint="default"/>
        </w:rPr>
        <w:t>550015</w:t>
      </w:r>
      <w:r>
        <w:rPr>
          <w:rFonts w:ascii="Times New Roman" w:hAnsi="Times New Roman" w:cs="Times New Roman" w:eastAsia="Times New Roman" w:hint="default"/>
          <w:spacing w:val="-2"/>
        </w:rPr>
        <w:t> </w:t>
      </w:r>
      <w:r>
        <w:rPr/>
        <w:t>号评估报告确定购买日上海米健的可</w:t>
      </w:r>
    </w:p>
    <w:p>
      <w:pPr>
        <w:spacing w:after="0" w:line="240" w:lineRule="auto"/>
        <w:jc w:val="left"/>
        <w:sectPr>
          <w:pgSz w:w="11910" w:h="16840"/>
          <w:pgMar w:header="566" w:footer="979" w:top="1360" w:bottom="1160" w:left="0" w:right="0"/>
        </w:sectPr>
      </w:pPr>
    </w:p>
    <w:p>
      <w:pPr>
        <w:pStyle w:val="BodyText"/>
        <w:spacing w:line="240" w:lineRule="auto" w:before="82"/>
        <w:ind w:right="0"/>
        <w:jc w:val="left"/>
      </w:pPr>
      <w:r>
        <w:rPr/>
        <w:t>辨认资产、负债公允价值。</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购买日之前持有的股权按照公允价值重新计量产生的利得或损失" w:id="374"/>
      <w:bookmarkEnd w:id="374"/>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是否存在通过多次交易分步实现企业合并且在报告期内取得控制权的交易</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3"/>
        <w:spacing w:line="240" w:lineRule="auto"/>
        <w:ind w:left="1133" w:right="0"/>
        <w:jc w:val="left"/>
        <w:rPr>
          <w:b w:val="0"/>
          <w:bCs w:val="0"/>
        </w:rPr>
      </w:pPr>
      <w:bookmarkStart w:name="（5）购买日或合并当期期末无法合理确定合并对价或被购买方可辨认资产、负债公允价值" w:id="375"/>
      <w:bookmarkEnd w:id="375"/>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6）其他说明" w:id="376"/>
      <w:bookmarkEnd w:id="376"/>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同一控制下企业合并" w:id="377"/>
      <w:bookmarkEnd w:id="377"/>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3、反向购买" w:id="378"/>
      <w:bookmarkEnd w:id="378"/>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4、处置子公司" w:id="379"/>
      <w:bookmarkEnd w:id="379"/>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是否存在单次处置对子公司投资即丧失控制权的情形</w:t>
      </w:r>
    </w:p>
    <w:p>
      <w:pPr>
        <w:pStyle w:val="BodyText"/>
        <w:spacing w:line="338" w:lineRule="auto" w:before="116"/>
        <w:ind w:left="1133" w:right="49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是否存在通过多次交易分步处置对子公司投资且在本期丧失控制权的情形</w:t>
      </w:r>
    </w:p>
    <w:p>
      <w:pPr>
        <w:spacing w:line="544" w:lineRule="auto" w:before="43"/>
        <w:ind w:left="1133" w:right="81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w:t>
      </w:r>
      <w:bookmarkStart w:name="5、其他原因的合并范围变动" w:id="380"/>
      <w:bookmarkEnd w:id="380"/>
      <w:r>
        <w:rPr>
          <w:rFonts w:ascii="宋体" w:hAnsi="宋体" w:cs="宋体" w:eastAsia="宋体" w:hint="default"/>
          <w:sz w:val="18"/>
          <w:szCs w:val="18"/>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、其他原因的合并范围变动</w:t>
      </w:r>
      <w:r>
        <w:rPr>
          <w:rFonts w:ascii="宋体" w:hAnsi="宋体" w:cs="宋体" w:eastAsia="宋体" w:hint="default"/>
          <w:b/>
          <w:bCs/>
          <w:w w:val="99"/>
          <w:sz w:val="21"/>
          <w:szCs w:val="21"/>
        </w:rPr>
        <w:t> </w:t>
      </w:r>
      <w:r>
        <w:rPr>
          <w:rFonts w:ascii="宋体" w:hAnsi="宋体" w:cs="宋体" w:eastAsia="宋体" w:hint="default"/>
          <w:sz w:val="18"/>
          <w:szCs w:val="18"/>
        </w:rPr>
        <w:t>无</w:t>
      </w:r>
    </w:p>
    <w:p>
      <w:pPr>
        <w:pStyle w:val="Heading3"/>
        <w:spacing w:line="240" w:lineRule="auto" w:before="123"/>
        <w:ind w:right="0"/>
        <w:jc w:val="left"/>
        <w:rPr>
          <w:b w:val="0"/>
          <w:bCs w:val="0"/>
        </w:rPr>
      </w:pPr>
      <w:bookmarkStart w:name="6、其他" w:id="381"/>
      <w:bookmarkEnd w:id="381"/>
      <w:r>
        <w:rPr>
          <w:b w:val="0"/>
          <w:bCs w:val="0"/>
        </w:rPr>
      </w:r>
      <w:r>
        <w:rPr>
          <w:rFonts w:ascii="Times New Roman" w:hAnsi="Times New Roman" w:cs="Times New Roman" w:eastAsia="Times New Roman" w:hint="default"/>
        </w:rPr>
        <w:t>6</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566" w:footer="979" w:top="1360" w:bottom="1160" w:left="0" w:right="0"/>
        </w:sectPr>
      </w:pPr>
    </w:p>
    <w:p>
      <w:pPr>
        <w:spacing w:line="240" w:lineRule="auto" w:before="9"/>
        <w:rPr>
          <w:rFonts w:ascii="宋体" w:hAnsi="宋体" w:cs="宋体" w:eastAsia="宋体" w:hint="default"/>
          <w:sz w:val="23"/>
          <w:szCs w:val="23"/>
        </w:rPr>
      </w:pPr>
      <w:r>
        <w:rPr/>
        <w:pict>
          <v:group style="position:absolute;margin-left:54.84pt;margin-top:28.299988pt;width:485.7pt;height:40.15pt;mso-position-horizontal-relative:page;mso-position-vertical-relative:page;z-index:-614056" coordorigin="1097,566" coordsize="9714,803">
            <v:group style="position:absolute;left:1104;top:1112;width:9700;height:2" coordorigin="1104,1112" coordsize="9700,2">
              <v:shape style="position:absolute;left:1104;top:1112;width:9700;height:2" coordorigin="1104,1112" coordsize="9700,0" path="m1104,1112l10804,1112e" filled="false" stroked="true" strokeweight=".72pt" strokecolor="#000000">
                <v:path arrowok="t"/>
              </v:shape>
              <v:shape style="position:absolute;left:1140;top:566;width:2160;height:803" type="#_x0000_t75" stroked="false">
                <v:imagedata r:id="rId7" o:title=""/>
              </v:shape>
            </v:group>
            <w10:wrap type="none"/>
          </v:group>
        </w:pict>
      </w:r>
    </w:p>
    <w:p>
      <w:pPr>
        <w:pStyle w:val="Heading2"/>
        <w:spacing w:line="240" w:lineRule="auto" w:before="26"/>
        <w:ind w:left="1134" w:right="0"/>
        <w:jc w:val="left"/>
        <w:rPr>
          <w:b w:val="0"/>
          <w:bCs w:val="0"/>
        </w:rPr>
      </w:pPr>
      <w:bookmarkStart w:name="九、在其他主体中的权益" w:id="382"/>
      <w:bookmarkEnd w:id="382"/>
      <w:r>
        <w:rPr>
          <w:b w:val="0"/>
          <w:bCs w:val="0"/>
        </w:rPr>
      </w: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在子公司中的权益" w:id="383"/>
      <w:bookmarkEnd w:id="383"/>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企业集团的构成" w:id="384"/>
      <w:bookmarkEnd w:id="384"/>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736" w:type="dxa"/>
        <w:tblLayout w:type="fixed"/>
        <w:tblCellMar>
          <w:top w:w="0" w:type="dxa"/>
          <w:left w:w="0" w:type="dxa"/>
          <w:bottom w:w="0" w:type="dxa"/>
          <w:right w:w="0" w:type="dxa"/>
        </w:tblCellMar>
        <w:tblLook w:val="01E0"/>
      </w:tblPr>
      <w:tblGrid>
        <w:gridCol w:w="2694"/>
        <w:gridCol w:w="1134"/>
        <w:gridCol w:w="710"/>
        <w:gridCol w:w="1134"/>
        <w:gridCol w:w="992"/>
        <w:gridCol w:w="993"/>
        <w:gridCol w:w="2766"/>
      </w:tblGrid>
      <w:tr>
        <w:trPr>
          <w:trHeight w:val="402" w:hRule="exact"/>
        </w:trPr>
        <w:tc>
          <w:tcPr>
            <w:tcW w:w="26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89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26"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27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2694"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0"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0"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276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沈阳荣科全濠科技有限公司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70.00%</w:t>
            </w:r>
          </w:p>
        </w:tc>
        <w:tc>
          <w:tcPr>
            <w:tcW w:w="993" w:type="dxa"/>
            <w:tcBorders>
              <w:top w:val="single" w:sz="4" w:space="0" w:color="000000"/>
              <w:left w:val="single" w:sz="4" w:space="0" w:color="000000"/>
              <w:bottom w:val="single" w:sz="4" w:space="0" w:color="000000"/>
              <w:right w:val="single" w:sz="4" w:space="0" w:color="000000"/>
            </w:tcBorders>
          </w:tcPr>
          <w:p>
            <w:pPr/>
          </w:p>
        </w:tc>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辽宁荣科金融服务有限公司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铁岭</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铁岭</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c>
          <w:tcPr>
            <w:tcW w:w="993" w:type="dxa"/>
            <w:tcBorders>
              <w:top w:val="single" w:sz="4" w:space="0" w:color="000000"/>
              <w:left w:val="single" w:sz="4" w:space="0" w:color="000000"/>
              <w:bottom w:val="single" w:sz="4" w:space="0" w:color="000000"/>
              <w:right w:val="single" w:sz="4" w:space="0" w:color="000000"/>
            </w:tcBorders>
          </w:tcPr>
          <w:p>
            <w:pPr/>
          </w:p>
        </w:tc>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北京荣科爱信科技有限公司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c>
          <w:tcPr>
            <w:tcW w:w="993" w:type="dxa"/>
            <w:tcBorders>
              <w:top w:val="single" w:sz="4" w:space="0" w:color="000000"/>
              <w:left w:val="single" w:sz="4" w:space="0" w:color="000000"/>
              <w:bottom w:val="single" w:sz="4" w:space="0" w:color="000000"/>
              <w:right w:val="single" w:sz="4" w:space="0" w:color="000000"/>
            </w:tcBorders>
          </w:tcPr>
          <w:p>
            <w:pPr/>
          </w:p>
        </w:tc>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享云科技公司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50.87%</w:t>
            </w:r>
          </w:p>
        </w:tc>
        <w:tc>
          <w:tcPr>
            <w:tcW w:w="993" w:type="dxa"/>
            <w:tcBorders>
              <w:top w:val="single" w:sz="4" w:space="0" w:color="000000"/>
              <w:left w:val="single" w:sz="4" w:space="0" w:color="000000"/>
              <w:bottom w:val="single" w:sz="4" w:space="0" w:color="000000"/>
              <w:right w:val="single" w:sz="4" w:space="0" w:color="000000"/>
            </w:tcBorders>
          </w:tcPr>
          <w:p>
            <w:pPr/>
          </w:p>
        </w:tc>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收购（非同一控制下的企业合并）</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上海米健信息技术有限公司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51.00%</w:t>
            </w:r>
          </w:p>
        </w:tc>
        <w:tc>
          <w:tcPr>
            <w:tcW w:w="993" w:type="dxa"/>
            <w:tcBorders>
              <w:top w:val="single" w:sz="4" w:space="0" w:color="000000"/>
              <w:left w:val="single" w:sz="4" w:space="0" w:color="000000"/>
              <w:bottom w:val="single" w:sz="4" w:space="0" w:color="000000"/>
              <w:right w:val="single" w:sz="4" w:space="0" w:color="000000"/>
            </w:tcBorders>
          </w:tcPr>
          <w:p>
            <w:pPr/>
          </w:p>
        </w:tc>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收购（非同一控制下的企业合并）</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苏州易健医疗信息技术有限公司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51.00%</w:t>
            </w:r>
          </w:p>
        </w:tc>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收购（非同一控制下的企业合并）</w:t>
            </w: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北京米东信息技术有限公司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28.05%</w:t>
            </w:r>
          </w:p>
        </w:tc>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收购（非同一控制下的企业合并）</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重要的非全资子公司" w:id="385"/>
      <w:bookmarkEnd w:id="385"/>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736" w:type="dxa"/>
        <w:tblLayout w:type="fixed"/>
        <w:tblCellMar>
          <w:top w:w="0" w:type="dxa"/>
          <w:left w:w="0" w:type="dxa"/>
          <w:bottom w:w="0" w:type="dxa"/>
          <w:right w:w="0" w:type="dxa"/>
        </w:tblCellMar>
        <w:tblLook w:val="01E0"/>
      </w:tblPr>
      <w:tblGrid>
        <w:gridCol w:w="2768"/>
        <w:gridCol w:w="1914"/>
        <w:gridCol w:w="1914"/>
        <w:gridCol w:w="1913"/>
        <w:gridCol w:w="1914"/>
      </w:tblGrid>
      <w:tr>
        <w:trPr>
          <w:trHeight w:val="765" w:hRule="exact"/>
        </w:trPr>
        <w:tc>
          <w:tcPr>
            <w:tcW w:w="2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2"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享云科技公司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-1,758,795.76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7,357,277.96</w:t>
            </w:r>
          </w:p>
        </w:tc>
      </w:tr>
      <w:tr>
        <w:trPr>
          <w:trHeight w:val="402"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上海米健信息技术有限公司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9,442,476.39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10,807,475.14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重要非全资子公司的主要财务信息" w:id="386"/>
      <w:bookmarkEnd w:id="386"/>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tbl>
      <w:tblPr>
        <w:tblW w:w="0" w:type="auto"/>
        <w:jc w:val="left"/>
        <w:tblInd w:w="135" w:type="dxa"/>
        <w:tblLayout w:type="fixed"/>
        <w:tblCellMar>
          <w:top w:w="0" w:type="dxa"/>
          <w:left w:w="0" w:type="dxa"/>
          <w:bottom w:w="0" w:type="dxa"/>
          <w:right w:w="0" w:type="dxa"/>
        </w:tblCellMar>
        <w:tblLook w:val="01E0"/>
      </w:tblPr>
      <w:tblGrid>
        <w:gridCol w:w="708"/>
        <w:gridCol w:w="994"/>
        <w:gridCol w:w="851"/>
        <w:gridCol w:w="992"/>
        <w:gridCol w:w="992"/>
        <w:gridCol w:w="425"/>
        <w:gridCol w:w="992"/>
        <w:gridCol w:w="992"/>
        <w:gridCol w:w="992"/>
        <w:gridCol w:w="992"/>
        <w:gridCol w:w="994"/>
        <w:gridCol w:w="708"/>
        <w:gridCol w:w="993"/>
      </w:tblGrid>
      <w:tr>
        <w:trPr>
          <w:trHeight w:val="402" w:hRule="exact"/>
        </w:trPr>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69" w:right="77"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5247"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5671"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026" w:hRule="exact"/>
        </w:trPr>
        <w:tc>
          <w:tcPr>
            <w:tcW w:w="708" w:type="dxa"/>
            <w:vMerge/>
            <w:tcBorders>
              <w:left w:val="single" w:sz="4" w:space="0" w:color="000000"/>
              <w:bottom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29" w:right="59" w:hanging="270"/>
              <w:jc w:val="left"/>
              <w:rPr>
                <w:rFonts w:ascii="宋体" w:hAnsi="宋体" w:cs="宋体" w:eastAsia="宋体" w:hint="default"/>
                <w:sz w:val="18"/>
                <w:szCs w:val="18"/>
              </w:rPr>
            </w:pPr>
            <w:r>
              <w:rPr>
                <w:rFonts w:ascii="宋体" w:hAnsi="宋体" w:cs="宋体" w:eastAsia="宋体" w:hint="default"/>
                <w:sz w:val="18"/>
                <w:szCs w:val="18"/>
              </w:rPr>
              <w:t>非流动资 产</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0"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0"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6" w:right="27"/>
              <w:jc w:val="both"/>
              <w:rPr>
                <w:rFonts w:ascii="宋体" w:hAnsi="宋体" w:cs="宋体" w:eastAsia="宋体" w:hint="default"/>
                <w:sz w:val="18"/>
                <w:szCs w:val="18"/>
              </w:rPr>
            </w:pPr>
            <w:r>
              <w:rPr>
                <w:rFonts w:ascii="宋体" w:hAnsi="宋体" w:cs="宋体" w:eastAsia="宋体" w:hint="default"/>
                <w:sz w:val="18"/>
                <w:szCs w:val="18"/>
              </w:rPr>
              <w:t>非流 动负 债</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0"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流动资产</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1"/>
              <w:jc w:val="right"/>
              <w:rPr>
                <w:rFonts w:ascii="宋体" w:hAnsi="宋体" w:cs="宋体" w:eastAsia="宋体" w:hint="default"/>
                <w:sz w:val="18"/>
                <w:szCs w:val="18"/>
              </w:rPr>
            </w:pPr>
            <w:r>
              <w:rPr>
                <w:rFonts w:ascii="宋体" w:hAnsi="宋体" w:cs="宋体" w:eastAsia="宋体" w:hint="default"/>
                <w:sz w:val="18"/>
                <w:szCs w:val="18"/>
              </w:rPr>
              <w:t>非流动资产</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0"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67" w:right="78"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0" w:right="0"/>
              <w:jc w:val="left"/>
              <w:rPr>
                <w:rFonts w:ascii="宋体" w:hAnsi="宋体" w:cs="宋体" w:eastAsia="宋体" w:hint="default"/>
                <w:sz w:val="18"/>
                <w:szCs w:val="18"/>
              </w:rPr>
            </w:pPr>
            <w:r>
              <w:rPr>
                <w:rFonts w:ascii="宋体" w:hAnsi="宋体" w:cs="宋体" w:eastAsia="宋体" w:hint="default"/>
                <w:sz w:val="18"/>
                <w:szCs w:val="18"/>
              </w:rPr>
              <w:t>负债合计</w:t>
            </w:r>
          </w:p>
        </w:tc>
      </w:tr>
      <w:tr>
        <w:trPr>
          <w:trHeight w:val="71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3"/>
              <w:jc w:val="left"/>
              <w:rPr>
                <w:rFonts w:ascii="宋体" w:hAnsi="宋体" w:cs="宋体" w:eastAsia="宋体" w:hint="default"/>
                <w:sz w:val="18"/>
                <w:szCs w:val="18"/>
              </w:rPr>
            </w:pPr>
            <w:r>
              <w:rPr>
                <w:rFonts w:ascii="宋体" w:hAnsi="宋体" w:cs="宋体" w:eastAsia="宋体" w:hint="default"/>
                <w:sz w:val="18"/>
                <w:szCs w:val="18"/>
              </w:rPr>
              <w:t>享云科 技公司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98" w:right="0"/>
              <w:jc w:val="left"/>
              <w:rPr>
                <w:rFonts w:ascii="Times New Roman" w:hAnsi="Times New Roman" w:cs="Times New Roman" w:eastAsia="Times New Roman" w:hint="default"/>
                <w:sz w:val="15"/>
                <w:szCs w:val="15"/>
              </w:rPr>
            </w:pPr>
            <w:r>
              <w:rPr>
                <w:rFonts w:ascii="Times New Roman"/>
                <w:sz w:val="15"/>
              </w:rPr>
              <w:t>14,064,781.56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31" w:right="0"/>
              <w:jc w:val="left"/>
              <w:rPr>
                <w:rFonts w:ascii="Times New Roman" w:hAnsi="Times New Roman" w:cs="Times New Roman" w:eastAsia="Times New Roman" w:hint="default"/>
                <w:sz w:val="15"/>
                <w:szCs w:val="15"/>
              </w:rPr>
            </w:pPr>
            <w:r>
              <w:rPr>
                <w:rFonts w:ascii="Times New Roman"/>
                <w:sz w:val="15"/>
              </w:rPr>
              <w:t>2,352,193.55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02" w:right="0"/>
              <w:jc w:val="left"/>
              <w:rPr>
                <w:rFonts w:ascii="Times New Roman" w:hAnsi="Times New Roman" w:cs="Times New Roman" w:eastAsia="Times New Roman" w:hint="default"/>
                <w:sz w:val="15"/>
                <w:szCs w:val="15"/>
              </w:rPr>
            </w:pPr>
            <w:r>
              <w:rPr>
                <w:rFonts w:ascii="Times New Roman"/>
                <w:sz w:val="15"/>
              </w:rPr>
              <w:t>16,416,975.11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1,441,852.06</w:t>
            </w: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1,441,852.06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71" w:right="0"/>
              <w:jc w:val="center"/>
              <w:rPr>
                <w:rFonts w:ascii="Times New Roman" w:hAnsi="Times New Roman" w:cs="Times New Roman" w:eastAsia="Times New Roman" w:hint="default"/>
                <w:sz w:val="15"/>
                <w:szCs w:val="15"/>
              </w:rPr>
            </w:pPr>
            <w:r>
              <w:rPr>
                <w:rFonts w:ascii="Times New Roman"/>
                <w:sz w:val="15"/>
              </w:rPr>
              <w:t>17,676,917.52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2,066,789.66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96" w:right="0"/>
              <w:jc w:val="left"/>
              <w:rPr>
                <w:rFonts w:ascii="Times New Roman" w:hAnsi="Times New Roman" w:cs="Times New Roman" w:eastAsia="Times New Roman" w:hint="default"/>
                <w:sz w:val="15"/>
                <w:szCs w:val="15"/>
              </w:rPr>
            </w:pPr>
            <w:r>
              <w:rPr>
                <w:rFonts w:ascii="Times New Roman"/>
                <w:sz w:val="15"/>
              </w:rPr>
              <w:t>19,743,707.18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77" w:right="0"/>
              <w:jc w:val="left"/>
              <w:rPr>
                <w:rFonts w:ascii="Times New Roman" w:hAnsi="Times New Roman" w:cs="Times New Roman" w:eastAsia="Times New Roman" w:hint="default"/>
                <w:sz w:val="15"/>
                <w:szCs w:val="15"/>
              </w:rPr>
            </w:pPr>
            <w:r>
              <w:rPr>
                <w:rFonts w:ascii="Times New Roman"/>
                <w:sz w:val="15"/>
              </w:rPr>
              <w:t>2,115,460.68</w:t>
            </w:r>
          </w:p>
        </w:tc>
        <w:tc>
          <w:tcPr>
            <w:tcW w:w="70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77" w:right="0"/>
              <w:jc w:val="left"/>
              <w:rPr>
                <w:rFonts w:ascii="Times New Roman" w:hAnsi="Times New Roman" w:cs="Times New Roman" w:eastAsia="Times New Roman" w:hint="default"/>
                <w:sz w:val="15"/>
                <w:szCs w:val="15"/>
              </w:rPr>
            </w:pPr>
            <w:r>
              <w:rPr>
                <w:rFonts w:ascii="Times New Roman"/>
                <w:sz w:val="15"/>
              </w:rPr>
              <w:t>2,115,460.68</w:t>
            </w:r>
          </w:p>
        </w:tc>
      </w:tr>
      <w:tr>
        <w:trPr>
          <w:trHeight w:val="1338"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3"/>
              <w:jc w:val="both"/>
              <w:rPr>
                <w:rFonts w:ascii="宋体" w:hAnsi="宋体" w:cs="宋体" w:eastAsia="宋体" w:hint="default"/>
                <w:sz w:val="18"/>
                <w:szCs w:val="18"/>
              </w:rPr>
            </w:pPr>
            <w:r>
              <w:rPr>
                <w:rFonts w:ascii="宋体" w:hAnsi="宋体" w:cs="宋体" w:eastAsia="宋体" w:hint="default"/>
                <w:sz w:val="18"/>
                <w:szCs w:val="18"/>
              </w:rPr>
              <w:t>上海米 健信息 技术有 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98" w:right="0"/>
              <w:jc w:val="left"/>
              <w:rPr>
                <w:rFonts w:ascii="Times New Roman" w:hAnsi="Times New Roman" w:cs="Times New Roman" w:eastAsia="Times New Roman" w:hint="default"/>
                <w:sz w:val="15"/>
                <w:szCs w:val="15"/>
              </w:rPr>
            </w:pPr>
            <w:r>
              <w:rPr>
                <w:rFonts w:ascii="Times New Roman"/>
                <w:sz w:val="15"/>
              </w:rPr>
              <w:t>27,087,908.33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1" w:right="0"/>
              <w:jc w:val="left"/>
              <w:rPr>
                <w:rFonts w:ascii="Times New Roman" w:hAnsi="Times New Roman" w:cs="Times New Roman" w:eastAsia="Times New Roman" w:hint="default"/>
                <w:sz w:val="15"/>
                <w:szCs w:val="15"/>
              </w:rPr>
            </w:pPr>
            <w:r>
              <w:rPr>
                <w:rFonts w:ascii="Times New Roman"/>
                <w:sz w:val="15"/>
              </w:rPr>
              <w:t>4,243,473.86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96" w:right="0"/>
              <w:jc w:val="left"/>
              <w:rPr>
                <w:rFonts w:ascii="Times New Roman" w:hAnsi="Times New Roman" w:cs="Times New Roman" w:eastAsia="Times New Roman" w:hint="default"/>
                <w:sz w:val="15"/>
                <w:szCs w:val="15"/>
              </w:rPr>
            </w:pPr>
            <w:r>
              <w:rPr>
                <w:rFonts w:ascii="Times New Roman"/>
                <w:sz w:val="15"/>
              </w:rPr>
              <w:t>31,331,382.19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11,989,693.94</w:t>
            </w: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11,989,693.94</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0" w:right="1130"/>
        <w:jc w:val="right"/>
      </w:pPr>
      <w:r>
        <w:rPr/>
        <w:t>单位： 元</w:t>
      </w:r>
    </w:p>
    <w:p>
      <w:pPr>
        <w:spacing w:after="0" w:line="240" w:lineRule="auto"/>
        <w:jc w:val="right"/>
        <w:sectPr>
          <w:headerReference w:type="default" r:id="rId39"/>
          <w:pgSz w:w="11910" w:h="16840"/>
          <w:pgMar w:header="867" w:footer="979" w:top="1060" w:bottom="1160" w:left="0" w:right="0"/>
        </w:sectPr>
      </w:pPr>
    </w:p>
    <w:p>
      <w:pPr>
        <w:spacing w:line="240" w:lineRule="auto" w:before="6"/>
        <w:rPr>
          <w:rFonts w:ascii="宋体" w:hAnsi="宋体" w:cs="宋体" w:eastAsia="宋体" w:hint="default"/>
          <w:sz w:val="28"/>
          <w:szCs w:val="28"/>
        </w:rPr>
      </w:pPr>
      <w:r>
        <w:rPr/>
        <w:pict>
          <v:group style="position:absolute;margin-left:54.84pt;margin-top:28.299988pt;width:485.7pt;height:40.15pt;mso-position-horizontal-relative:page;mso-position-vertical-relative:page;z-index:2008" coordorigin="1097,566" coordsize="9714,803">
            <v:group style="position:absolute;left:1104;top:1112;width:9700;height:2" coordorigin="1104,1112" coordsize="9700,2">
              <v:shape style="position:absolute;left:1104;top:1112;width:9700;height:2" coordorigin="1104,1112" coordsize="9700,0" path="m1104,1112l10804,1112e" filled="false" stroked="true" strokeweight=".72pt" strokecolor="#000000">
                <v:path arrowok="t"/>
              </v:shape>
              <v:shape style="position:absolute;left:1140;top:566;width:2160;height:803" type="#_x0000_t75" stroked="false">
                <v:imagedata r:id="rId7" o:title=""/>
              </v:shape>
            </v:group>
            <w10:wrap type="none"/>
          </v:group>
        </w:pict>
      </w:r>
    </w:p>
    <w:tbl>
      <w:tblPr>
        <w:tblW w:w="0" w:type="auto"/>
        <w:jc w:val="left"/>
        <w:tblInd w:w="206" w:type="dxa"/>
        <w:tblLayout w:type="fixed"/>
        <w:tblCellMar>
          <w:top w:w="0" w:type="dxa"/>
          <w:left w:w="0" w:type="dxa"/>
          <w:bottom w:w="0" w:type="dxa"/>
          <w:right w:w="0" w:type="dxa"/>
        </w:tblCellMar>
        <w:tblLook w:val="01E0"/>
      </w:tblPr>
      <w:tblGrid>
        <w:gridCol w:w="2411"/>
        <w:gridCol w:w="1134"/>
        <w:gridCol w:w="1134"/>
        <w:gridCol w:w="1134"/>
        <w:gridCol w:w="1134"/>
        <w:gridCol w:w="1134"/>
        <w:gridCol w:w="1134"/>
        <w:gridCol w:w="1134"/>
        <w:gridCol w:w="1134"/>
      </w:tblGrid>
      <w:tr>
        <w:trPr>
          <w:trHeight w:val="402" w:hRule="exact"/>
        </w:trPr>
        <w:tc>
          <w:tcPr>
            <w:tcW w:w="24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53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53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2411"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1" w:right="110"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91" w:right="110"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1" w:right="110"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91" w:right="111"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402" w:hRule="exact"/>
        </w:trPr>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享云科技公司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8,248,555.57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-3,579,881.46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-2,653,123.45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2,605,456.94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 w:right="0"/>
              <w:jc w:val="center"/>
              <w:rPr>
                <w:rFonts w:ascii="Times New Roman" w:hAnsi="Times New Roman" w:cs="Times New Roman" w:eastAsia="Times New Roman" w:hint="default"/>
                <w:sz w:val="18"/>
                <w:szCs w:val="18"/>
              </w:rPr>
            </w:pPr>
            <w:r>
              <w:rPr>
                <w:rFonts w:ascii="Times New Roman"/>
                <w:sz w:val="18"/>
              </w:rPr>
              <w:t>9,890,595.99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 w:right="0"/>
              <w:jc w:val="left"/>
              <w:rPr>
                <w:rFonts w:ascii="Times New Roman" w:hAnsi="Times New Roman" w:cs="Times New Roman" w:eastAsia="Times New Roman" w:hint="default"/>
                <w:sz w:val="18"/>
                <w:szCs w:val="18"/>
              </w:rPr>
            </w:pPr>
            <w:r>
              <w:rPr>
                <w:rFonts w:ascii="Times New Roman"/>
                <w:sz w:val="18"/>
              </w:rPr>
              <w:t>2,831,521.69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 w:right="0"/>
              <w:jc w:val="left"/>
              <w:rPr>
                <w:rFonts w:ascii="Times New Roman" w:hAnsi="Times New Roman" w:cs="Times New Roman" w:eastAsia="Times New Roman" w:hint="default"/>
                <w:sz w:val="18"/>
                <w:szCs w:val="18"/>
              </w:rPr>
            </w:pPr>
            <w:r>
              <w:rPr>
                <w:rFonts w:ascii="Times New Roman"/>
                <w:sz w:val="18"/>
              </w:rPr>
              <w:t>2,875,133.93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-7,710,159.99</w:t>
            </w:r>
          </w:p>
        </w:tc>
      </w:tr>
      <w:tr>
        <w:trPr>
          <w:trHeight w:val="402" w:hRule="exact"/>
        </w:trPr>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上海米健信息技术有限公司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31,548,862.21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11,896,840.62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11,896,840.62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731,114.21</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使用企业集团资产和清偿企业集团债务的重大限制" w:id="387"/>
      <w:bookmarkEnd w:id="387"/>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5）向纳入合并财务报表范围的结构化主体提供的财务支持或其他支持" w:id="388"/>
      <w:bookmarkEnd w:id="388"/>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在子公司的所有者权益份额发生变化且仍控制子公司的交易" w:id="389"/>
      <w:bookmarkEnd w:id="389"/>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3、在合营安排或联营企业中的权益" w:id="390"/>
      <w:bookmarkEnd w:id="390"/>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4、重要的共同经营" w:id="391"/>
      <w:bookmarkEnd w:id="391"/>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5、在未纳入合并财务报表范围的结构化主体中的权益" w:id="392"/>
      <w:bookmarkEnd w:id="392"/>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6、其他" w:id="393"/>
      <w:bookmarkEnd w:id="393"/>
      <w:r>
        <w:rPr>
          <w:b w:val="0"/>
          <w:bCs w:val="0"/>
        </w:rPr>
      </w:r>
      <w:r>
        <w:rPr>
          <w:rFonts w:ascii="Times New Roman" w:hAnsi="Times New Roman" w:cs="Times New Roman" w:eastAsia="Times New Roman" w:hint="default"/>
        </w:rPr>
        <w:t>6</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left="1134" w:right="0"/>
        <w:jc w:val="left"/>
        <w:rPr>
          <w:b w:val="0"/>
          <w:bCs w:val="0"/>
        </w:rPr>
      </w:pPr>
      <w:bookmarkStart w:name="十、与金融工具相关的风险" w:id="394"/>
      <w:bookmarkEnd w:id="394"/>
      <w:r>
        <w:rPr>
          <w:b w:val="0"/>
          <w:bCs w:val="0"/>
        </w:rPr>
      </w: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1133" w:right="1131" w:firstLine="360"/>
        <w:jc w:val="both"/>
      </w:pPr>
      <w:r>
        <w:rPr>
          <w:spacing w:val="-2"/>
        </w:rPr>
        <w:t>本公司的主要金融工具包括银行存款、应收账款、预收账款、应付账款、借款等。各项金融工具的详细情况说明见本报</w:t>
      </w:r>
      <w:r>
        <w:rPr/>
        <w:t> </w:t>
      </w:r>
      <w:r>
        <w:rPr>
          <w:spacing w:val="-2"/>
        </w:rPr>
        <w:t>告第十节、七相关项目注释。本公司的金融工具导致的主要风险是信用风险、流动风险及市场风险。公司经营管理层全面负</w:t>
      </w:r>
      <w:r>
        <w:rPr>
          <w:spacing w:val="-66"/>
        </w:rPr>
        <w:t> </w:t>
      </w:r>
      <w:r>
        <w:rPr>
          <w:spacing w:val="-66"/>
        </w:rPr>
      </w:r>
      <w:r>
        <w:rPr/>
        <w:t>责风险管理目标和政策的确定，并对风险管理目标和政策承担最终责任。</w:t>
      </w:r>
    </w:p>
    <w:p>
      <w:pPr>
        <w:pStyle w:val="Heading3"/>
        <w:spacing w:line="240" w:lineRule="auto" w:before="150"/>
        <w:ind w:left="1556" w:right="0"/>
        <w:jc w:val="left"/>
        <w:rPr>
          <w:b w:val="0"/>
          <w:bCs w:val="0"/>
        </w:rPr>
      </w:pPr>
      <w:r>
        <w:rPr/>
        <w:t>（一）信用风险</w:t>
      </w:r>
      <w:r>
        <w:rPr>
          <w:b w:val="0"/>
          <w:bCs w:val="0"/>
        </w:rPr>
      </w:r>
    </w:p>
    <w:p>
      <w:pPr>
        <w:spacing w:line="240" w:lineRule="auto" w:before="9"/>
        <w:rPr>
          <w:rFonts w:ascii="宋体" w:hAnsi="宋体" w:cs="宋体" w:eastAsia="宋体" w:hint="default"/>
          <w:b/>
          <w:bCs/>
          <w:sz w:val="16"/>
          <w:szCs w:val="16"/>
        </w:rPr>
      </w:pPr>
    </w:p>
    <w:p>
      <w:pPr>
        <w:pStyle w:val="BodyText"/>
        <w:spacing w:line="316" w:lineRule="auto"/>
        <w:ind w:left="1133" w:right="1132" w:firstLine="360"/>
        <w:jc w:val="both"/>
      </w:pPr>
      <w:r>
        <w:rPr>
          <w:spacing w:val="-2"/>
        </w:rPr>
        <w:t>信用风险是指金融工具的一方不履行义务，造成另一方发生财务损失的风险。本公司的货币资金以及提供给客户的信用</w:t>
      </w:r>
      <w:r>
        <w:rPr/>
        <w:t> 额度均会产生信用风险。</w:t>
      </w:r>
    </w:p>
    <w:p>
      <w:pPr>
        <w:pStyle w:val="BodyText"/>
        <w:spacing w:line="240" w:lineRule="auto" w:before="19"/>
        <w:ind w:left="1494" w:right="0"/>
        <w:jc w:val="left"/>
      </w:pPr>
      <w:r>
        <w:rPr/>
        <w:t>本公司除现金以外的货币资金主要存放于信用良好的国有及其他大中型商业银行，本公司认为其不存在重大的信用风</w:t>
      </w:r>
    </w:p>
    <w:p>
      <w:pPr>
        <w:spacing w:after="0" w:line="240" w:lineRule="auto"/>
        <w:jc w:val="left"/>
        <w:sectPr>
          <w:pgSz w:w="11910" w:h="16840"/>
          <w:pgMar w:header="867" w:footer="979" w:top="1060" w:bottom="1160" w:left="0" w:right="0"/>
        </w:sectPr>
      </w:pPr>
    </w:p>
    <w:p>
      <w:pPr>
        <w:pStyle w:val="BodyText"/>
        <w:spacing w:line="316" w:lineRule="auto" w:before="81"/>
        <w:ind w:right="0"/>
        <w:jc w:val="left"/>
      </w:pPr>
      <w:r>
        <w:rPr/>
        <w:t>险，因对方单位违约而导致的重大损失的可能性相对较低。 </w:t>
      </w:r>
      <w:r>
        <w:rPr>
          <w:spacing w:val="-2"/>
        </w:rPr>
        <w:t>为降低客户信用风险，本公司控制信用额度、进行信用审批，并执行应收账款账龄分析等其他监控程序以确保采取必要的措</w:t>
      </w:r>
      <w:r>
        <w:rPr>
          <w:spacing w:val="-66"/>
        </w:rPr>
        <w:t> </w:t>
      </w:r>
      <w:r>
        <w:rPr>
          <w:spacing w:val="-66"/>
        </w:rPr>
      </w:r>
      <w:r>
        <w:rPr/>
        <w:t>施回收过期债权。</w:t>
      </w:r>
    </w:p>
    <w:p>
      <w:pPr>
        <w:pStyle w:val="Heading3"/>
        <w:spacing w:line="240" w:lineRule="auto" w:before="149"/>
        <w:ind w:left="1556" w:right="0"/>
        <w:jc w:val="left"/>
        <w:rPr>
          <w:b w:val="0"/>
          <w:bCs w:val="0"/>
        </w:rPr>
      </w:pPr>
      <w:r>
        <w:rPr/>
        <w:t>（二）流动风险</w:t>
      </w:r>
      <w:r>
        <w:rPr>
          <w:b w:val="0"/>
          <w:bCs w:val="0"/>
        </w:rPr>
      </w:r>
    </w:p>
    <w:p>
      <w:pPr>
        <w:spacing w:line="240" w:lineRule="auto" w:before="10"/>
        <w:rPr>
          <w:rFonts w:ascii="宋体" w:hAnsi="宋体" w:cs="宋体" w:eastAsia="宋体" w:hint="default"/>
          <w:b/>
          <w:bCs/>
          <w:sz w:val="16"/>
          <w:szCs w:val="16"/>
        </w:rPr>
      </w:pPr>
    </w:p>
    <w:p>
      <w:pPr>
        <w:pStyle w:val="BodyText"/>
        <w:spacing w:line="316" w:lineRule="auto"/>
        <w:ind w:right="1131" w:firstLine="360"/>
        <w:jc w:val="both"/>
      </w:pPr>
      <w:r>
        <w:rPr>
          <w:spacing w:val="-2"/>
        </w:rPr>
        <w:t>流动风险是指企业在履行以交付现金或其他金融资产的方式结算的义务时发生资金短缺的风险。本公司的政策是确保拥</w:t>
      </w:r>
      <w:r>
        <w:rPr/>
        <w:t> </w:t>
      </w:r>
      <w:r>
        <w:rPr>
          <w:spacing w:val="-2"/>
        </w:rPr>
        <w:t>有充足的现金以偿还到期债务。流动性风险由本公司的财务部门集中控制。财务部门通过监控现金余额、可随时变现的有价</w:t>
      </w:r>
      <w:r>
        <w:rPr>
          <w:spacing w:val="-66"/>
        </w:rPr>
        <w:t> </w:t>
      </w:r>
      <w:r>
        <w:rPr>
          <w:spacing w:val="-66"/>
        </w:rPr>
      </w:r>
      <w:r>
        <w:rPr>
          <w:spacing w:val="-2"/>
        </w:rPr>
        <w:t>证券以及对未来</w:t>
      </w:r>
      <w:r>
        <w:rPr>
          <w:rFonts w:ascii="宋体" w:hAnsi="宋体" w:cs="宋体" w:eastAsia="宋体" w:hint="default"/>
          <w:spacing w:val="-2"/>
        </w:rPr>
        <w:t>12</w:t>
      </w:r>
      <w:r>
        <w:rPr>
          <w:spacing w:val="-2"/>
        </w:rPr>
        <w:t>个月现金流量的滚动预测，确保公司在所有合理预测的情况下拥有充足的资金偿还债务。本公司各项金融</w:t>
      </w:r>
      <w:r>
        <w:rPr>
          <w:spacing w:val="-62"/>
        </w:rPr>
        <w:t> </w:t>
      </w:r>
      <w:r>
        <w:rPr>
          <w:spacing w:val="-62"/>
        </w:rPr>
      </w:r>
      <w:r>
        <w:rPr/>
        <w:t>负债预计</w:t>
      </w:r>
      <w:r>
        <w:rPr>
          <w:rFonts w:ascii="宋体" w:hAnsi="宋体" w:cs="宋体" w:eastAsia="宋体" w:hint="default"/>
        </w:rPr>
        <w:t>1</w:t>
      </w:r>
      <w:r>
        <w:rPr/>
        <w:t>年内到期。</w:t>
      </w:r>
    </w:p>
    <w:p>
      <w:pPr>
        <w:pStyle w:val="Heading3"/>
        <w:spacing w:line="240" w:lineRule="auto" w:before="149"/>
        <w:ind w:left="1556" w:right="0"/>
        <w:jc w:val="left"/>
        <w:rPr>
          <w:b w:val="0"/>
          <w:bCs w:val="0"/>
        </w:rPr>
      </w:pPr>
      <w:r>
        <w:rPr/>
        <w:t>（三）市场风险</w:t>
      </w:r>
      <w:r>
        <w:rPr>
          <w:b w:val="0"/>
          <w:bCs w:val="0"/>
        </w:rPr>
      </w:r>
    </w:p>
    <w:p>
      <w:pPr>
        <w:spacing w:line="240" w:lineRule="auto" w:before="9"/>
        <w:rPr>
          <w:rFonts w:ascii="宋体" w:hAnsi="宋体" w:cs="宋体" w:eastAsia="宋体" w:hint="default"/>
          <w:b/>
          <w:bCs/>
          <w:sz w:val="16"/>
          <w:szCs w:val="16"/>
        </w:rPr>
      </w:pPr>
    </w:p>
    <w:p>
      <w:pPr>
        <w:pStyle w:val="BodyText"/>
        <w:spacing w:line="316" w:lineRule="auto"/>
        <w:ind w:left="1133" w:right="1131" w:firstLine="360"/>
        <w:jc w:val="both"/>
      </w:pPr>
      <w:r>
        <w:rPr>
          <w:spacing w:val="-2"/>
        </w:rPr>
        <w:t>市场风险是指因利率、汇率以及其他市场因素变动而引起金融工具的公允价值或未来现金流量因市场价格变动而发生波</w:t>
      </w:r>
      <w:r>
        <w:rPr/>
        <w:t> 动的风险。影响本公司业务的市场风险主要包括汇率风险及利率风险。</w:t>
      </w:r>
    </w:p>
    <w:p>
      <w:pPr>
        <w:pStyle w:val="BodyText"/>
        <w:spacing w:line="300" w:lineRule="auto" w:before="16"/>
        <w:ind w:left="1493" w:right="1213"/>
        <w:jc w:val="left"/>
      </w:pPr>
      <w:r>
        <w:rPr>
          <w:rFonts w:ascii="Times New Roman" w:hAnsi="Times New Roman" w:cs="Times New Roman" w:eastAsia="Times New Roman" w:hint="default"/>
        </w:rPr>
        <w:t>1</w:t>
      </w:r>
      <w:r>
        <w:rPr/>
        <w:t>、汇率风险 汇率风险是指金融工具的公允价值或未来现金流量因外汇汇率变动而发生波动的风险。本公司承受外汇风险主要与美</w:t>
      </w:r>
    </w:p>
    <w:p>
      <w:pPr>
        <w:pStyle w:val="BodyText"/>
        <w:spacing w:line="316" w:lineRule="auto" w:before="31"/>
        <w:ind w:left="1133" w:right="1229"/>
        <w:jc w:val="both"/>
      </w:pPr>
      <w:r>
        <w:rPr/>
        <w:t>元有关，境外子公司享云科技公司以美元进行结算。除境外子公司享云科技公司以外，本公司的主要业务活动以人民币计 价结算，由于外币金融资产和负债占总资产比重较小，享云科技公司目前的财务状况及经营成果对本公司合并财务报表不 构成重大影响，汇率风险对本公司的经营不构成重大影响。本公司将密切关注汇率变动对本公司外汇风险的影响，并将对 未来单项大额外汇业务具体制定方案以规避外汇风险。</w:t>
      </w:r>
    </w:p>
    <w:p>
      <w:pPr>
        <w:pStyle w:val="BodyText"/>
        <w:spacing w:line="300" w:lineRule="auto" w:before="19"/>
        <w:ind w:left="1493" w:right="1213"/>
        <w:jc w:val="left"/>
      </w:pPr>
      <w:r>
        <w:rPr>
          <w:rFonts w:ascii="Times New Roman" w:hAnsi="Times New Roman" w:cs="Times New Roman" w:eastAsia="Times New Roman" w:hint="default"/>
        </w:rPr>
        <w:t>2</w:t>
      </w:r>
      <w:r>
        <w:rPr/>
        <w:t>、利率风险 本公司的带息资产主要为银行存款。由于银行存款主要为短期性质并且所涉及的利息金额并不重大，管理层认为市场</w:t>
      </w:r>
    </w:p>
    <w:p>
      <w:pPr>
        <w:pStyle w:val="BodyText"/>
        <w:spacing w:line="319" w:lineRule="auto" w:before="31"/>
        <w:ind w:left="1493" w:right="1213" w:hanging="360"/>
        <w:jc w:val="left"/>
      </w:pPr>
      <w:r>
        <w:rPr/>
        <w:t>存款利率的波动对财务报表的影响并不重大。 本公司的利率风险产生于银行借款等计息借款。浮动利率计息的借款导致本公司产生现金流量利率风险，而固定利率</w:t>
      </w:r>
    </w:p>
    <w:p>
      <w:pPr>
        <w:pStyle w:val="BodyText"/>
        <w:spacing w:line="316" w:lineRule="auto" w:before="17"/>
        <w:ind w:left="1133" w:right="1213"/>
        <w:jc w:val="left"/>
      </w:pPr>
      <w:r>
        <w:rPr/>
        <w:t>计息的长期借款导致本公司产生公允价值利率风险。本公司主要根据当时的市场环境来决定使用固定利率或浮动利率借款 的政策。</w:t>
      </w:r>
    </w:p>
    <w:p>
      <w:pPr>
        <w:pStyle w:val="BodyText"/>
        <w:spacing w:line="316" w:lineRule="auto" w:before="19"/>
        <w:ind w:left="1133" w:right="1229" w:firstLine="360"/>
        <w:jc w:val="both"/>
      </w:pPr>
      <w:r>
        <w:rPr/>
        <w:t>如果利率上升会增加新增借款的成本以及本公司尚未偿还的以浮动利率计息的借款的利息支出，会对本公司的财务状 况产生重大的不利影响。管理层持续监控本公司利率水平并依据最新的市场状况及时做出调整。</w:t>
      </w:r>
    </w:p>
    <w:p>
      <w:pPr>
        <w:spacing w:line="240" w:lineRule="auto" w:before="12"/>
        <w:rPr>
          <w:rFonts w:ascii="宋体" w:hAnsi="宋体" w:cs="宋体" w:eastAsia="宋体" w:hint="default"/>
          <w:sz w:val="20"/>
          <w:szCs w:val="20"/>
        </w:rPr>
      </w:pPr>
    </w:p>
    <w:p>
      <w:pPr>
        <w:pStyle w:val="Heading2"/>
        <w:spacing w:line="240" w:lineRule="auto"/>
        <w:ind w:right="0"/>
        <w:jc w:val="left"/>
        <w:rPr>
          <w:b w:val="0"/>
          <w:bCs w:val="0"/>
        </w:rPr>
      </w:pPr>
      <w:bookmarkStart w:name="十一、公允价值的披露" w:id="395"/>
      <w:bookmarkEnd w:id="395"/>
      <w:r>
        <w:rPr>
          <w:b w:val="0"/>
          <w:bCs w:val="0"/>
        </w:rPr>
      </w:r>
      <w:r>
        <w:rPr/>
        <w:t>十一、公允价值的披露</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133"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left="1134" w:right="0"/>
        <w:jc w:val="left"/>
        <w:rPr>
          <w:b w:val="0"/>
          <w:bCs w:val="0"/>
        </w:rPr>
      </w:pPr>
      <w:bookmarkStart w:name="十二、关联方及关联交易" w:id="396"/>
      <w:bookmarkEnd w:id="396"/>
      <w:r>
        <w:rPr>
          <w:b w:val="0"/>
          <w:bCs w:val="0"/>
        </w:rPr>
      </w:r>
      <w:r>
        <w:rPr/>
        <w:t>十二、关联方及关联交易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本企业的母公司情况" w:id="397"/>
      <w:bookmarkEnd w:id="397"/>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0"/>
        <w:jc w:val="left"/>
      </w:pPr>
      <w:r>
        <w:rPr/>
        <w:t>无</w:t>
      </w:r>
    </w:p>
    <w:p>
      <w:pPr>
        <w:spacing w:line="240" w:lineRule="auto" w:before="12"/>
        <w:rPr>
          <w:rFonts w:ascii="宋体" w:hAnsi="宋体" w:cs="宋体" w:eastAsia="宋体" w:hint="default"/>
          <w:sz w:val="26"/>
          <w:szCs w:val="26"/>
        </w:rPr>
      </w:pPr>
    </w:p>
    <w:p>
      <w:pPr>
        <w:spacing w:line="547" w:lineRule="auto" w:before="0"/>
        <w:ind w:left="1134" w:right="6882" w:firstLine="0"/>
        <w:jc w:val="left"/>
        <w:rPr>
          <w:rFonts w:ascii="宋体" w:hAnsi="宋体" w:cs="宋体" w:eastAsia="宋体" w:hint="default"/>
          <w:sz w:val="21"/>
          <w:szCs w:val="21"/>
        </w:rPr>
      </w:pPr>
      <w:bookmarkStart w:name="2、本企业的子公司情况" w:id="398"/>
      <w:bookmarkEnd w:id="398"/>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本企业子公司的情况详见本报告第十节、九、</w:t>
      </w:r>
      <w:r>
        <w:rPr>
          <w:rFonts w:ascii="Times New Roman" w:hAnsi="Times New Roman" w:cs="Times New Roman" w:eastAsia="Times New Roman" w:hint="default"/>
          <w:sz w:val="18"/>
          <w:szCs w:val="18"/>
        </w:rPr>
        <w:t>1</w:t>
      </w:r>
      <w:r>
        <w:rPr>
          <w:rFonts w:ascii="宋体" w:hAnsi="宋体" w:cs="宋体" w:eastAsia="宋体" w:hint="default"/>
          <w:sz w:val="18"/>
          <w:szCs w:val="18"/>
        </w:rPr>
        <w:t>。 </w:t>
      </w:r>
      <w:bookmarkStart w:name="3、本企业合营和联营企业情况" w:id="399"/>
      <w:bookmarkEnd w:id="399"/>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240" w:lineRule="auto" w:before="49"/>
        <w:ind w:right="0"/>
        <w:jc w:val="left"/>
      </w:pPr>
      <w:r>
        <w:rPr/>
        <w:t>无</w:t>
      </w:r>
    </w:p>
    <w:p>
      <w:pPr>
        <w:spacing w:after="0" w:line="240" w:lineRule="auto"/>
        <w:jc w:val="left"/>
        <w:sectPr>
          <w:headerReference w:type="default" r:id="rId40"/>
          <w:pgSz w:w="11910" w:h="16840"/>
          <w:pgMar w:header="566" w:footer="979" w:top="1360" w:bottom="1160" w:left="0" w:right="0"/>
        </w:sectPr>
      </w:pPr>
    </w:p>
    <w:p>
      <w:pPr>
        <w:pStyle w:val="Heading3"/>
        <w:spacing w:line="240" w:lineRule="auto" w:before="57"/>
        <w:ind w:right="0"/>
        <w:jc w:val="left"/>
        <w:rPr>
          <w:b w:val="0"/>
          <w:bCs w:val="0"/>
        </w:rPr>
      </w:pPr>
      <w:bookmarkStart w:name="4、其他关联方情况" w:id="400"/>
      <w:bookmarkEnd w:id="400"/>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64"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8"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付永全</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本公司法定代表人、总经理、本公司股东付艳杰之兄</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李秀峰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本公司股东付艳杰家庭成员</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张桂娟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本公司股东崔万涛家庭成员</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5、关联交易情况" w:id="401"/>
      <w:bookmarkEnd w:id="401"/>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购销商品、提供和接受劳务的关联交易" w:id="402"/>
      <w:bookmarkEnd w:id="402"/>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关联受托管理/承包及委托管理/出包情况" w:id="403"/>
      <w:bookmarkEnd w:id="403"/>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3）关联租赁情况" w:id="404"/>
      <w:bookmarkEnd w:id="404"/>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4）关联担保情况" w:id="405"/>
      <w:bookmarkEnd w:id="405"/>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本公司作为被担保方</w:t>
      </w:r>
    </w:p>
    <w:p>
      <w:pPr>
        <w:pStyle w:val="BodyText"/>
        <w:spacing w:line="240" w:lineRule="auto" w:before="116"/>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736" w:type="dxa"/>
        <w:tblLayout w:type="fixed"/>
        <w:tblCellMar>
          <w:top w:w="0" w:type="dxa"/>
          <w:left w:w="0" w:type="dxa"/>
          <w:bottom w:w="0" w:type="dxa"/>
          <w:right w:w="0" w:type="dxa"/>
        </w:tblCellMar>
        <w:tblLook w:val="01E0"/>
      </w:tblPr>
      <w:tblGrid>
        <w:gridCol w:w="2765"/>
        <w:gridCol w:w="1916"/>
        <w:gridCol w:w="1914"/>
        <w:gridCol w:w="1914"/>
        <w:gridCol w:w="1914"/>
      </w:tblGrid>
      <w:tr>
        <w:trPr>
          <w:trHeight w:val="401" w:hRule="exact"/>
        </w:trPr>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3"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sz w:val="18"/>
                <w:szCs w:val="18"/>
              </w:rPr>
              <w:t>付艳杰、李秀峰、崔万涛、张桂娟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7" w:right="0"/>
              <w:jc w:val="left"/>
              <w:rPr>
                <w:rFonts w:ascii="Times New Roman" w:hAnsi="Times New Roman" w:cs="Times New Roman" w:eastAsia="Times New Roman" w:hint="default"/>
                <w:sz w:val="18"/>
                <w:szCs w:val="18"/>
              </w:rPr>
            </w:pPr>
            <w:r>
              <w:rPr>
                <w:rFonts w:ascii="Times New Roman"/>
                <w:sz w:val="18"/>
              </w:rPr>
              <w:t>130,000,000.00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357" w:lineRule="auto" w:before="51"/>
        <w:ind w:right="0"/>
        <w:jc w:val="left"/>
      </w:pPr>
      <w:r>
        <w:rPr/>
        <w:t>关联担保情况说明 </w:t>
      </w:r>
      <w:r>
        <w:rPr>
          <w:spacing w:val="-2"/>
        </w:rPr>
        <w:t>付艳杰及其配偶李秀峰与崔万涛及其配偶张桂娟分别与上海浦东发展银行股份有限公司沈阳分行（以下简称浦发银行）签订</w:t>
      </w:r>
    </w:p>
    <w:p>
      <w:pPr>
        <w:pStyle w:val="BodyText"/>
        <w:spacing w:line="237" w:lineRule="exact"/>
        <w:ind w:right="0"/>
        <w:jc w:val="left"/>
      </w:pPr>
      <w:r>
        <w:rPr/>
        <w:t>《最高额保证合同</w:t>
      </w:r>
      <w:r>
        <w:rPr>
          <w:spacing w:val="-90"/>
        </w:rPr>
        <w:t>》</w:t>
      </w:r>
      <w:r>
        <w:rPr/>
        <w:t>，为公司与浦发银行在自</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2016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日</w:t>
      </w:r>
      <w:r>
        <w:rPr>
          <w:spacing w:val="1"/>
        </w:rPr>
        <w:t>止</w:t>
      </w:r>
      <w:r>
        <w:rPr/>
        <w:t>的期间发生的各类融资业务提供最高</w:t>
      </w:r>
    </w:p>
    <w:p>
      <w:pPr>
        <w:pStyle w:val="BodyText"/>
        <w:spacing w:line="240" w:lineRule="auto" w:before="64"/>
        <w:ind w:left="1133" w:right="0"/>
        <w:jc w:val="left"/>
      </w:pPr>
      <w:r>
        <w:rPr/>
        <w:t>额不超过人民币</w:t>
      </w:r>
      <w:r>
        <w:rPr>
          <w:spacing w:val="-46"/>
        </w:rPr>
        <w:t> </w:t>
      </w:r>
      <w:r>
        <w:rPr>
          <w:rFonts w:ascii="Times New Roman" w:hAnsi="Times New Roman" w:cs="Times New Roman" w:eastAsia="Times New Roman" w:hint="default"/>
        </w:rPr>
        <w:t>13,000.00</w:t>
      </w:r>
      <w:r>
        <w:rPr>
          <w:rFonts w:ascii="Times New Roman" w:hAnsi="Times New Roman" w:cs="Times New Roman" w:eastAsia="Times New Roman" w:hint="default"/>
          <w:spacing w:val="-1"/>
        </w:rPr>
        <w:t> </w:t>
      </w:r>
      <w:r>
        <w:rPr/>
        <w:t>万元连带责任保证。</w:t>
      </w:r>
    </w:p>
    <w:p>
      <w:pPr>
        <w:spacing w:line="240" w:lineRule="auto" w:before="10"/>
        <w:rPr>
          <w:rFonts w:ascii="宋体" w:hAnsi="宋体" w:cs="宋体" w:eastAsia="宋体" w:hint="default"/>
          <w:sz w:val="25"/>
          <w:szCs w:val="25"/>
        </w:rPr>
      </w:pPr>
    </w:p>
    <w:p>
      <w:pPr>
        <w:pStyle w:val="Heading3"/>
        <w:spacing w:line="240" w:lineRule="auto"/>
        <w:ind w:left="1133" w:right="0"/>
        <w:jc w:val="left"/>
        <w:rPr>
          <w:b w:val="0"/>
          <w:bCs w:val="0"/>
        </w:rPr>
      </w:pPr>
      <w:bookmarkStart w:name="（5）关联方资金拆借" w:id="406"/>
      <w:bookmarkEnd w:id="406"/>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3"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关联方资产转让、债务重组情况" w:id="407"/>
      <w:bookmarkEnd w:id="407"/>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7）关键管理人员报酬" w:id="408"/>
      <w:bookmarkEnd w:id="408"/>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after="0" w:line="240" w:lineRule="auto"/>
        <w:jc w:val="right"/>
        <w:sectPr>
          <w:pgSz w:w="11910" w:h="16840"/>
          <w:pgMar w:header="566" w:footer="979" w:top="1360" w:bottom="1160" w:left="0" w:right="0"/>
        </w:sectPr>
      </w:pPr>
    </w:p>
    <w:p>
      <w:pPr>
        <w:spacing w:line="240" w:lineRule="auto" w:before="6"/>
        <w:rPr>
          <w:rFonts w:ascii="宋体" w:hAnsi="宋体" w:cs="宋体" w:eastAsia="宋体" w:hint="default"/>
          <w:sz w:val="5"/>
          <w:szCs w:val="5"/>
        </w:rPr>
      </w:pPr>
    </w:p>
    <w:tbl>
      <w:tblPr>
        <w:tblW w:w="0" w:type="auto"/>
        <w:jc w:val="left"/>
        <w:tblInd w:w="1162" w:type="dxa"/>
        <w:tblLayout w:type="fixed"/>
        <w:tblCellMar>
          <w:top w:w="0" w:type="dxa"/>
          <w:left w:w="0" w:type="dxa"/>
          <w:bottom w:w="0" w:type="dxa"/>
          <w:right w:w="0" w:type="dxa"/>
        </w:tblCellMar>
        <w:tblLook w:val="01E0"/>
      </w:tblPr>
      <w:tblGrid>
        <w:gridCol w:w="3189"/>
        <w:gridCol w:w="3190"/>
        <w:gridCol w:w="3192"/>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4,151,641.61</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3,556,759.44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8）其他关联交易" w:id="409"/>
      <w:bookmarkEnd w:id="409"/>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6、关联方应收应付款项" w:id="410"/>
      <w:bookmarkEnd w:id="410"/>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7、关联方承诺" w:id="411"/>
      <w:bookmarkEnd w:id="411"/>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8、其他" w:id="412"/>
      <w:bookmarkEnd w:id="412"/>
      <w:r>
        <w:rPr>
          <w:b w:val="0"/>
          <w:bCs w:val="0"/>
        </w:rPr>
      </w:r>
      <w:r>
        <w:rPr>
          <w:rFonts w:ascii="Times New Roman" w:hAnsi="Times New Roman" w:cs="Times New Roman" w:eastAsia="Times New Roman" w:hint="default"/>
        </w:rPr>
        <w:t>8</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left="1134" w:right="0"/>
        <w:jc w:val="left"/>
        <w:rPr>
          <w:b w:val="0"/>
          <w:bCs w:val="0"/>
        </w:rPr>
      </w:pPr>
      <w:bookmarkStart w:name="十三、股份支付" w:id="413"/>
      <w:bookmarkEnd w:id="413"/>
      <w:r>
        <w:rPr>
          <w:b w:val="0"/>
          <w:bCs w:val="0"/>
        </w:rPr>
      </w:r>
      <w:r>
        <w:rPr/>
        <w:t>十三、股份支付</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133"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left="1134" w:right="0"/>
        <w:jc w:val="left"/>
        <w:rPr>
          <w:b w:val="0"/>
          <w:bCs w:val="0"/>
        </w:rPr>
      </w:pPr>
      <w:bookmarkStart w:name="十四、承诺及或有事项" w:id="414"/>
      <w:bookmarkEnd w:id="414"/>
      <w:r>
        <w:rPr>
          <w:b w:val="0"/>
          <w:bCs w:val="0"/>
        </w:rPr>
      </w:r>
      <w:r>
        <w:rPr/>
        <w:t>十四、承诺及或有事项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重要承诺事项" w:id="415"/>
      <w:bookmarkEnd w:id="415"/>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资产负债表日存在的重要承诺</w:t>
      </w:r>
    </w:p>
    <w:p>
      <w:pPr>
        <w:pStyle w:val="BodyText"/>
        <w:spacing w:line="240" w:lineRule="auto" w:before="115"/>
        <w:ind w:left="1494" w:right="0"/>
        <w:jc w:val="left"/>
        <w:rPr>
          <w:rFonts w:ascii="Times New Roman" w:hAnsi="Times New Roman" w:cs="Times New Roman" w:eastAsia="Times New Roman" w:hint="default"/>
        </w:rPr>
      </w:pPr>
      <w:r>
        <w:rPr/>
        <w:t>（</w:t>
      </w:r>
      <w:r>
        <w:rPr>
          <w:rFonts w:ascii="Times New Roman" w:hAnsi="Times New Roman" w:cs="Times New Roman" w:eastAsia="Times New Roman" w:hint="default"/>
        </w:rPr>
        <w:t>1</w:t>
      </w:r>
      <w:r>
        <w:rPr/>
        <w:t>）公司与上海浦东发展银行股份有限公司沈阳分行（以下简称浦发银行）签订应收账款质押合同，以其在</w:t>
      </w:r>
      <w:r>
        <w:rPr>
          <w:spacing w:val="-59"/>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4"/>
        </w:rPr>
        <w:t> </w:t>
      </w:r>
      <w:r>
        <w:rPr/>
        <w:t>年</w:t>
      </w:r>
      <w:r>
        <w:rPr>
          <w:spacing w:val="-59"/>
        </w:rPr>
        <w:t> </w:t>
      </w:r>
      <w:r>
        <w:rPr>
          <w:rFonts w:ascii="Times New Roman" w:hAnsi="Times New Roman" w:cs="Times New Roman" w:eastAsia="Times New Roman" w:hint="default"/>
        </w:rPr>
        <w:t>4</w:t>
      </w:r>
    </w:p>
    <w:p>
      <w:pPr>
        <w:pStyle w:val="BodyText"/>
        <w:spacing w:line="240" w:lineRule="auto" w:before="63"/>
        <w:ind w:right="0"/>
        <w:jc w:val="left"/>
      </w:pPr>
      <w:r>
        <w:rPr/>
        <w:t>月</w:t>
      </w:r>
      <w:r>
        <w:rPr>
          <w:spacing w:val="-46"/>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4 </w:t>
      </w:r>
      <w:r>
        <w:rPr/>
        <w:t>月</w:t>
      </w:r>
      <w:r>
        <w:rPr>
          <w:spacing w:val="-46"/>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日的期间内发生的（包括已发生和将发生的）所有应收账款在</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4 </w:t>
      </w:r>
      <w:r>
        <w:rPr/>
        <w:t>月</w:t>
      </w:r>
      <w:r>
        <w:rPr>
          <w:spacing w:val="-46"/>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p>
    <w:p>
      <w:pPr>
        <w:pStyle w:val="BodyText"/>
        <w:spacing w:line="240" w:lineRule="auto" w:before="63"/>
        <w:ind w:right="0"/>
        <w:jc w:val="left"/>
      </w:pP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日期间内为公司与浦发银行办理的各类融资业务提供最高额不超过人民币</w:t>
      </w:r>
      <w:r>
        <w:rPr>
          <w:spacing w:val="-45"/>
        </w:rPr>
        <w:t> </w:t>
      </w:r>
      <w:r>
        <w:rPr>
          <w:rFonts w:ascii="Times New Roman" w:hAnsi="Times New Roman" w:cs="Times New Roman" w:eastAsia="Times New Roman" w:hint="default"/>
        </w:rPr>
        <w:t>13,000.00</w:t>
      </w:r>
      <w:r>
        <w:rPr>
          <w:rFonts w:ascii="Times New Roman" w:hAnsi="Times New Roman" w:cs="Times New Roman" w:eastAsia="Times New Roman" w:hint="default"/>
          <w:spacing w:val="-1"/>
        </w:rPr>
        <w:t> </w:t>
      </w:r>
      <w:r>
        <w:rPr>
          <w:spacing w:val="-4"/>
        </w:rPr>
        <w:t>万元的质押担保，截至</w:t>
      </w:r>
      <w:r>
        <w:rPr>
          <w:spacing w:val="-46"/>
        </w:rPr>
        <w:t> </w:t>
      </w:r>
      <w:r>
        <w:rPr>
          <w:rFonts w:ascii="Times New Roman" w:hAnsi="Times New Roman" w:cs="Times New Roman" w:eastAsia="Times New Roman" w:hint="default"/>
        </w:rPr>
        <w:t>2015 </w:t>
      </w:r>
      <w:r>
        <w:rPr/>
        <w:t>年</w:t>
      </w:r>
      <w:r>
        <w:rPr>
          <w:spacing w:val="-46"/>
        </w:rPr>
        <w:t> </w:t>
      </w:r>
      <w:r>
        <w:rPr>
          <w:rFonts w:ascii="Times New Roman" w:hAnsi="Times New Roman" w:cs="Times New Roman" w:eastAsia="Times New Roman" w:hint="default"/>
        </w:rPr>
        <w:t>12 </w:t>
      </w:r>
      <w:r>
        <w:rPr/>
        <w:t>月</w:t>
      </w:r>
    </w:p>
    <w:p>
      <w:pPr>
        <w:pStyle w:val="BodyText"/>
        <w:spacing w:line="240" w:lineRule="auto" w:before="64"/>
        <w:ind w:right="0"/>
        <w:jc w:val="left"/>
      </w:pP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日止，尚未归还借款余额为</w:t>
      </w:r>
      <w:r>
        <w:rPr>
          <w:spacing w:val="-49"/>
        </w:rPr>
        <w:t> </w:t>
      </w:r>
      <w:r>
        <w:rPr>
          <w:rFonts w:ascii="Times New Roman" w:hAnsi="Times New Roman" w:cs="Times New Roman" w:eastAsia="Times New Roman" w:hint="default"/>
        </w:rPr>
        <w:t>1,284.11</w:t>
      </w:r>
      <w:r>
        <w:rPr>
          <w:rFonts w:ascii="Times New Roman" w:hAnsi="Times New Roman" w:cs="Times New Roman" w:eastAsia="Times New Roman" w:hint="default"/>
          <w:spacing w:val="-4"/>
        </w:rPr>
        <w:t> </w:t>
      </w:r>
      <w:r>
        <w:rPr/>
        <w:t>万元，前述质押依然存在。</w:t>
      </w:r>
    </w:p>
    <w:p>
      <w:pPr>
        <w:pStyle w:val="BodyText"/>
        <w:spacing w:line="240" w:lineRule="auto" w:before="103"/>
        <w:ind w:left="1494" w:right="0"/>
        <w:jc w:val="left"/>
      </w:pPr>
      <w:r>
        <w:rPr/>
        <w:t>（</w:t>
      </w:r>
      <w:r>
        <w:rPr>
          <w:rFonts w:ascii="Times New Roman" w:hAnsi="Times New Roman" w:cs="Times New Roman" w:eastAsia="Times New Roman" w:hint="default"/>
        </w:rPr>
        <w:t>2</w:t>
      </w:r>
      <w:r>
        <w:rPr/>
        <w:t>）除上述事项外，截至</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日止，公司无应披露的其他重大承诺及或有事项。</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2、或有事项" w:id="416"/>
      <w:bookmarkEnd w:id="416"/>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3"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其他" w:id="417"/>
      <w:bookmarkEnd w:id="417"/>
      <w:r>
        <w:rPr>
          <w:b w:val="0"/>
          <w:bCs w:val="0"/>
        </w:rPr>
      </w:r>
      <w:r>
        <w:rPr>
          <w:rFonts w:ascii="Times New Roman" w:hAnsi="Times New Roman" w:cs="Times New Roman" w:eastAsia="Times New Roman" w:hint="default"/>
        </w:rPr>
        <w:t>3</w:t>
      </w:r>
      <w:r>
        <w:rPr/>
        <w:t>、其他</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566" w:footer="979" w:top="1360" w:bottom="1160" w:left="0" w:right="0"/>
        </w:sectPr>
      </w:pPr>
    </w:p>
    <w:p>
      <w:pPr>
        <w:spacing w:line="240" w:lineRule="auto" w:before="9"/>
        <w:rPr>
          <w:rFonts w:ascii="宋体" w:hAnsi="宋体" w:cs="宋体" w:eastAsia="宋体" w:hint="default"/>
          <w:sz w:val="23"/>
          <w:szCs w:val="23"/>
        </w:rPr>
      </w:pPr>
      <w:r>
        <w:rPr/>
        <w:pict>
          <v:group style="position:absolute;margin-left:54.84pt;margin-top:28.299988pt;width:485.7pt;height:40.15pt;mso-position-horizontal-relative:page;mso-position-vertical-relative:page;z-index:-614008" coordorigin="1097,566" coordsize="9714,803">
            <v:group style="position:absolute;left:1104;top:1112;width:9700;height:2" coordorigin="1104,1112" coordsize="9700,2">
              <v:shape style="position:absolute;left:1104;top:1112;width:9700;height:2" coordorigin="1104,1112" coordsize="9700,0" path="m1104,1112l10804,1112e" filled="false" stroked="true" strokeweight=".72pt" strokecolor="#000000">
                <v:path arrowok="t"/>
              </v:shape>
              <v:shape style="position:absolute;left:1140;top:566;width:2160;height:803" type="#_x0000_t75" stroked="false">
                <v:imagedata r:id="rId7" o:title=""/>
              </v:shape>
            </v:group>
            <w10:wrap type="none"/>
          </v:group>
        </w:pict>
      </w:r>
    </w:p>
    <w:p>
      <w:pPr>
        <w:pStyle w:val="Heading2"/>
        <w:spacing w:line="240" w:lineRule="auto" w:before="26"/>
        <w:ind w:left="1134" w:right="0"/>
        <w:jc w:val="left"/>
        <w:rPr>
          <w:b w:val="0"/>
          <w:bCs w:val="0"/>
        </w:rPr>
      </w:pPr>
      <w:bookmarkStart w:name="十五、资产负债表日后事项" w:id="418"/>
      <w:bookmarkEnd w:id="418"/>
      <w:r>
        <w:rPr>
          <w:b w:val="0"/>
          <w:bCs w:val="0"/>
        </w:rPr>
      </w:r>
      <w:r>
        <w:rPr/>
        <w:t>十五、资产负债表日后事项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重要的非调整事项" w:id="419"/>
      <w:bookmarkEnd w:id="419"/>
      <w:r>
        <w:rPr>
          <w:b w:val="0"/>
          <w:bCs w:val="0"/>
        </w:rPr>
      </w:r>
      <w:r>
        <w:rPr>
          <w:rFonts w:ascii="Times New Roman" w:hAnsi="Times New Roman" w:cs="Times New Roman" w:eastAsia="Times New Roman" w:hint="default"/>
        </w:rPr>
        <w:t>1</w:t>
      </w:r>
      <w:r>
        <w:rPr/>
        <w:t>、重要的非调整事项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93" w:right="0"/>
        <w:jc w:val="left"/>
      </w:pPr>
      <w:r>
        <w:rPr/>
        <w:t>（</w:t>
      </w:r>
      <w:r>
        <w:rPr>
          <w:rFonts w:ascii="Times New Roman" w:hAnsi="Times New Roman" w:cs="Times New Roman" w:eastAsia="Times New Roman" w:hint="default"/>
        </w:rPr>
        <w:t>1</w:t>
      </w:r>
      <w:r>
        <w:rPr>
          <w:spacing w:val="-10"/>
        </w:rPr>
        <w:t>）</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2 </w:t>
      </w:r>
      <w:r>
        <w:rPr/>
        <w:t>月</w:t>
      </w:r>
      <w:r>
        <w:rPr>
          <w:spacing w:val="-46"/>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t>日</w:t>
      </w:r>
      <w:r>
        <w:rPr>
          <w:spacing w:val="-10"/>
        </w:rPr>
        <w:t>，</w:t>
      </w:r>
      <w:r>
        <w:rPr/>
        <w:t>公</w:t>
      </w:r>
      <w:r>
        <w:rPr>
          <w:spacing w:val="1"/>
        </w:rPr>
        <w:t>司</w:t>
      </w:r>
      <w:r>
        <w:rPr/>
        <w:t>董事会发</w:t>
      </w:r>
      <w:r>
        <w:rPr>
          <w:spacing w:val="-10"/>
        </w:rPr>
        <w:t>布</w:t>
      </w:r>
      <w:r>
        <w:rPr/>
        <w:t>《重大事项停牌公告</w:t>
      </w:r>
      <w:r>
        <w:rPr>
          <w:spacing w:val="-90"/>
        </w:rPr>
        <w:t>》</w:t>
      </w:r>
      <w:r>
        <w:rPr>
          <w:spacing w:val="-10"/>
        </w:rPr>
        <w:t>，</w:t>
      </w:r>
      <w:r>
        <w:rPr/>
        <w:t>公司正在筹划以发行股份及现金支付相结合的交易方</w:t>
      </w:r>
    </w:p>
    <w:p>
      <w:pPr>
        <w:pStyle w:val="BodyText"/>
        <w:spacing w:line="240" w:lineRule="auto" w:before="64"/>
        <w:ind w:left="1133" w:right="0"/>
        <w:jc w:val="left"/>
      </w:pPr>
      <w:r>
        <w:rPr/>
        <w:t>式收购某医疗信息化软件企业事宜，预计交易金额不超过 </w:t>
      </w:r>
      <w:r>
        <w:rPr>
          <w:rFonts w:ascii="Times New Roman" w:hAnsi="Times New Roman" w:cs="Times New Roman" w:eastAsia="Times New Roman" w:hint="default"/>
        </w:rPr>
        <w:t>6  </w:t>
      </w:r>
      <w:r>
        <w:rPr/>
        <w:t>亿元。该收购事项涉及重大资产重组，尚存在不确定性。</w:t>
      </w:r>
    </w:p>
    <w:p>
      <w:pPr>
        <w:pStyle w:val="BodyText"/>
        <w:spacing w:line="312" w:lineRule="auto" w:before="101"/>
        <w:ind w:right="1129" w:firstLine="360"/>
        <w:jc w:val="both"/>
      </w:pPr>
      <w:r>
        <w:rPr>
          <w:spacing w:val="-6"/>
        </w:rPr>
        <w:t>（</w:t>
      </w:r>
      <w:r>
        <w:rPr>
          <w:rFonts w:ascii="Times New Roman" w:hAnsi="Times New Roman" w:cs="Times New Roman" w:eastAsia="Times New Roman" w:hint="default"/>
          <w:spacing w:val="-6"/>
        </w:rPr>
        <w:t>2</w:t>
      </w:r>
      <w:r>
        <w:rPr>
          <w:spacing w:val="-6"/>
        </w:rPr>
        <w:t>）根据公司</w:t>
      </w:r>
      <w:r>
        <w:rPr>
          <w:spacing w:val="-53"/>
        </w:rPr>
        <w:t> </w:t>
      </w:r>
      <w:r>
        <w:rPr>
          <w:rFonts w:ascii="Times New Roman" w:hAnsi="Times New Roman" w:cs="Times New Roman" w:eastAsia="Times New Roman" w:hint="default"/>
        </w:rPr>
        <w:t>2016</w:t>
      </w:r>
      <w:r>
        <w:rPr>
          <w:rFonts w:ascii="Times New Roman" w:hAnsi="Times New Roman" w:cs="Times New Roman" w:eastAsia="Times New Roman" w:hint="default"/>
          <w:spacing w:val="-8"/>
        </w:rPr>
        <w:t> </w:t>
      </w:r>
      <w:r>
        <w:rPr/>
        <w:t>年</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月</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7"/>
        </w:rPr>
        <w:t> </w:t>
      </w:r>
      <w:r>
        <w:rPr/>
        <w:t>日召开的第二届董事会第二十五次会议审议通过的《关于发起设立健康数据产业基金的议 </w:t>
      </w:r>
      <w:r>
        <w:rPr>
          <w:spacing w:val="-2"/>
        </w:rPr>
        <w:t>案》以及《沈阳荣科融拓健康数据产业股权投资合伙企业合伙协议》，本公司与北京融拓创新投资管理有限公司共同出资设</w:t>
      </w:r>
      <w:r>
        <w:rPr>
          <w:spacing w:val="-63"/>
        </w:rPr>
        <w:t> </w:t>
      </w:r>
      <w:r>
        <w:rPr>
          <w:spacing w:val="-63"/>
        </w:rPr>
      </w:r>
      <w:r>
        <w:rPr>
          <w:spacing w:val="-5"/>
        </w:rPr>
        <w:t>立沈阳荣科融拓健康数据产业股权投资合伙企业（有限合伙）（以下简称产业基金），本公司作为产业基金的延后分配有限合</w:t>
      </w:r>
      <w:r>
        <w:rPr>
          <w:spacing w:val="-79"/>
        </w:rPr>
        <w:t> </w:t>
      </w:r>
      <w:r>
        <w:rPr>
          <w:spacing w:val="-79"/>
        </w:rPr>
      </w:r>
      <w:r>
        <w:rPr/>
        <w:t>伙人，使用自有资金认缴劣后级份额为 </w:t>
      </w:r>
      <w:r>
        <w:rPr>
          <w:rFonts w:ascii="Times New Roman" w:hAnsi="Times New Roman" w:cs="Times New Roman" w:eastAsia="Times New Roman" w:hint="default"/>
        </w:rPr>
        <w:t>5,000</w:t>
      </w:r>
      <w:r>
        <w:rPr>
          <w:rFonts w:ascii="Times New Roman" w:hAnsi="Times New Roman" w:cs="Times New Roman" w:eastAsia="Times New Roman" w:hint="default"/>
          <w:spacing w:val="43"/>
        </w:rPr>
        <w:t> </w:t>
      </w:r>
      <w:r>
        <w:rPr/>
        <w:t>万元。截至本财务报告批准报出日止，产业基金已设立。</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bookmarkStart w:name="2、利润分配情况" w:id="420"/>
      <w:bookmarkEnd w:id="420"/>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494" w:right="0"/>
        <w:jc w:val="left"/>
        <w:rPr>
          <w:rFonts w:ascii="Times New Roman" w:hAnsi="Times New Roman" w:cs="Times New Roman" w:eastAsia="Times New Roman" w:hint="default"/>
        </w:rPr>
      </w:pPr>
      <w:r>
        <w:rPr/>
        <w:t>根据公司</w:t>
      </w:r>
      <w:r>
        <w:rPr>
          <w:spacing w:val="-46"/>
        </w:rPr>
        <w:t> </w:t>
      </w:r>
      <w:r>
        <w:rPr>
          <w:rFonts w:ascii="Times New Roman" w:hAnsi="Times New Roman" w:cs="Times New Roman" w:eastAsia="Times New Roman" w:hint="default"/>
        </w:rPr>
        <w:t>2016 </w:t>
      </w:r>
      <w:r>
        <w:rPr/>
        <w:t>年</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日</w:t>
      </w:r>
      <w:r>
        <w:rPr>
          <w:spacing w:val="1"/>
        </w:rPr>
        <w:t>召</w:t>
      </w:r>
      <w:r>
        <w:rPr/>
        <w:t>开的第二届董事会第二十六次会议审议通过</w:t>
      </w:r>
      <w:r>
        <w:rPr>
          <w:spacing w:val="-41"/>
        </w:rPr>
        <w:t>的</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年度利润分配预案</w:t>
      </w:r>
      <w:r>
        <w:rPr>
          <w:spacing w:val="-90"/>
        </w:rPr>
        <w:t>》</w:t>
      </w:r>
      <w:r>
        <w:rPr>
          <w:spacing w:val="-41"/>
        </w:rPr>
        <w:t>，</w:t>
      </w:r>
      <w:r>
        <w:rPr/>
        <w:t>拟以截止</w:t>
      </w:r>
      <w:r>
        <w:rPr>
          <w:spacing w:val="-46"/>
        </w:rPr>
        <w:t> </w:t>
      </w:r>
      <w:r>
        <w:rPr>
          <w:rFonts w:ascii="Times New Roman" w:hAnsi="Times New Roman" w:cs="Times New Roman" w:eastAsia="Times New Roman" w:hint="default"/>
        </w:rPr>
        <w:t>2015</w:t>
      </w:r>
    </w:p>
    <w:p>
      <w:pPr>
        <w:pStyle w:val="BodyText"/>
        <w:spacing w:line="240" w:lineRule="auto" w:before="63"/>
        <w:ind w:right="0"/>
        <w:jc w:val="left"/>
      </w:pPr>
      <w:r>
        <w:rPr/>
        <w:t>年</w:t>
      </w:r>
      <w:r>
        <w:rPr>
          <w:spacing w:val="-14"/>
        </w:rPr>
        <w:t> </w:t>
      </w:r>
      <w:r>
        <w:rPr>
          <w:rFonts w:ascii="Times New Roman" w:hAnsi="Times New Roman" w:cs="Times New Roman" w:eastAsia="Times New Roman" w:hint="default"/>
        </w:rPr>
        <w:t>12 </w:t>
      </w:r>
      <w:r>
        <w:rPr>
          <w:rFonts w:ascii="Times New Roman" w:hAnsi="Times New Roman" w:cs="Times New Roman" w:eastAsia="Times New Roman" w:hint="default"/>
          <w:spacing w:val="-13"/>
        </w:rPr>
        <w:t> </w:t>
      </w:r>
      <w:r>
        <w:rPr/>
        <w:t>月</w:t>
      </w:r>
      <w:r>
        <w:rPr>
          <w:spacing w:val="-14"/>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1 </w:t>
      </w:r>
      <w:r>
        <w:rPr>
          <w:rFonts w:ascii="Times New Roman" w:hAnsi="Times New Roman" w:cs="Times New Roman" w:eastAsia="Times New Roman" w:hint="default"/>
          <w:spacing w:val="-14"/>
        </w:rPr>
        <w:t> </w:t>
      </w:r>
      <w:r>
        <w:rPr>
          <w:spacing w:val="1"/>
        </w:rPr>
        <w:t>日</w:t>
      </w:r>
      <w:r>
        <w:rPr/>
        <w:t>公司总股本</w:t>
      </w:r>
      <w:r>
        <w:rPr>
          <w:spacing w:val="-14"/>
        </w:rPr>
        <w:t> </w:t>
      </w:r>
      <w:r>
        <w:rPr>
          <w:rFonts w:ascii="Times New Roman" w:hAnsi="Times New Roman" w:cs="Times New Roman" w:eastAsia="Times New Roman" w:hint="default"/>
        </w:rPr>
        <w:t>321,429,652 </w:t>
      </w:r>
      <w:r>
        <w:rPr>
          <w:rFonts w:ascii="Times New Roman" w:hAnsi="Times New Roman" w:cs="Times New Roman" w:eastAsia="Times New Roman" w:hint="default"/>
          <w:spacing w:val="-13"/>
        </w:rPr>
        <w:t> </w:t>
      </w:r>
      <w:r>
        <w:rPr/>
        <w:t>股</w:t>
      </w:r>
      <w:r>
        <w:rPr>
          <w:spacing w:val="-2"/>
        </w:rPr>
        <w:t>为</w:t>
      </w:r>
      <w:r>
        <w:rPr/>
        <w:t>基数，向全体股东每</w:t>
      </w:r>
      <w:r>
        <w:rPr>
          <w:spacing w:val="-13"/>
        </w:rPr>
        <w:t> </w:t>
      </w:r>
      <w:r>
        <w:rPr>
          <w:rFonts w:ascii="Times New Roman" w:hAnsi="Times New Roman" w:cs="Times New Roman" w:eastAsia="Times New Roman" w:hint="default"/>
        </w:rPr>
        <w:t>10 </w:t>
      </w:r>
      <w:r>
        <w:rPr>
          <w:rFonts w:ascii="Times New Roman" w:hAnsi="Times New Roman" w:cs="Times New Roman" w:eastAsia="Times New Roman" w:hint="default"/>
          <w:spacing w:val="-14"/>
        </w:rPr>
        <w:t> </w:t>
      </w:r>
      <w:r>
        <w:rPr>
          <w:spacing w:val="1"/>
        </w:rPr>
        <w:t>股</w:t>
      </w:r>
      <w:r>
        <w:rPr/>
        <w:t>派发现金红利</w:t>
      </w:r>
      <w:r>
        <w:rPr>
          <w:spacing w:val="-14"/>
        </w:rPr>
        <w:t> </w:t>
      </w:r>
      <w:r>
        <w:rPr>
          <w:rFonts w:ascii="Times New Roman" w:hAnsi="Times New Roman" w:cs="Times New Roman" w:eastAsia="Times New Roman" w:hint="default"/>
        </w:rPr>
        <w:t>0.35 </w:t>
      </w:r>
      <w:r>
        <w:rPr>
          <w:rFonts w:ascii="Times New Roman" w:hAnsi="Times New Roman" w:cs="Times New Roman" w:eastAsia="Times New Roman" w:hint="default"/>
          <w:spacing w:val="-13"/>
        </w:rPr>
        <w:t> </w:t>
      </w:r>
      <w:r>
        <w:rPr/>
        <w:t>元（含税</w:t>
      </w:r>
      <w:r>
        <w:rPr>
          <w:spacing w:val="-90"/>
        </w:rPr>
        <w:t>）</w:t>
      </w:r>
      <w:r>
        <w:rPr/>
        <w:t>，合计派发现金红利</w:t>
      </w:r>
    </w:p>
    <w:p>
      <w:pPr>
        <w:pStyle w:val="BodyText"/>
        <w:spacing w:line="240" w:lineRule="auto" w:before="64"/>
        <w:ind w:right="0"/>
        <w:jc w:val="left"/>
      </w:pPr>
      <w:r>
        <w:rPr>
          <w:rFonts w:ascii="Times New Roman" w:hAnsi="Times New Roman" w:cs="Times New Roman" w:eastAsia="Times New Roman" w:hint="default"/>
        </w:rPr>
        <w:t>11,250,037.82</w:t>
      </w:r>
      <w:r>
        <w:rPr>
          <w:rFonts w:ascii="Times New Roman" w:hAnsi="Times New Roman" w:cs="Times New Roman" w:eastAsia="Times New Roman" w:hint="default"/>
          <w:spacing w:val="-4"/>
        </w:rPr>
        <w:t> </w:t>
      </w:r>
      <w:r>
        <w:rPr/>
        <w:t>元。该分配预案尚需提交</w:t>
      </w:r>
      <w:r>
        <w:rPr>
          <w:spacing w:val="-49"/>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年度股东大会审议。</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3、销售退回" w:id="421"/>
      <w:bookmarkEnd w:id="421"/>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3"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4、其他资产负债表日后事项说明" w:id="422"/>
      <w:bookmarkEnd w:id="422"/>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3"/>
        <w:rPr>
          <w:rFonts w:ascii="宋体" w:hAnsi="宋体" w:cs="宋体" w:eastAsia="宋体" w:hint="default"/>
          <w:sz w:val="24"/>
          <w:szCs w:val="24"/>
        </w:rPr>
      </w:pPr>
    </w:p>
    <w:p>
      <w:pPr>
        <w:spacing w:line="506" w:lineRule="auto" w:before="0"/>
        <w:ind w:left="1133" w:right="8591" w:firstLine="0"/>
        <w:jc w:val="left"/>
        <w:rPr>
          <w:rFonts w:ascii="宋体" w:hAnsi="宋体" w:cs="宋体" w:eastAsia="宋体" w:hint="default"/>
          <w:sz w:val="18"/>
          <w:szCs w:val="18"/>
        </w:rPr>
      </w:pPr>
      <w:bookmarkStart w:name="十六、其他重要事项" w:id="423"/>
      <w:bookmarkEnd w:id="423"/>
      <w:r>
        <w:rPr/>
      </w:r>
      <w:r>
        <w:rPr>
          <w:rFonts w:ascii="宋体" w:hAnsi="宋体" w:cs="宋体" w:eastAsia="宋体" w:hint="default"/>
          <w:b/>
          <w:bCs/>
          <w:sz w:val="24"/>
          <w:szCs w:val="24"/>
        </w:rPr>
        <w:t>十六、其他重要事项</w:t>
      </w:r>
      <w:r>
        <w:rPr>
          <w:rFonts w:ascii="宋体" w:hAnsi="宋体" w:cs="宋体" w:eastAsia="宋体" w:hint="default"/>
          <w:b/>
          <w:bCs/>
          <w:w w:val="99"/>
          <w:sz w:val="24"/>
          <w:szCs w:val="24"/>
        </w:rPr>
        <w:t> </w:t>
      </w:r>
      <w:bookmarkStart w:name="1、前期会计差错更正" w:id="424"/>
      <w:bookmarkEnd w:id="424"/>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、前期会计差错更正</w:t>
      </w:r>
      <w:r>
        <w:rPr>
          <w:rFonts w:ascii="宋体" w:hAnsi="宋体" w:cs="宋体" w:eastAsia="宋体" w:hint="default"/>
          <w:b/>
          <w:bCs/>
          <w:w w:val="99"/>
          <w:sz w:val="21"/>
          <w:szCs w:val="21"/>
        </w:rPr>
        <w:t> </w:t>
      </w:r>
      <w:r>
        <w:rPr>
          <w:rFonts w:ascii="宋体" w:hAnsi="宋体" w:cs="宋体" w:eastAsia="宋体" w:hint="default"/>
          <w:sz w:val="18"/>
          <w:szCs w:val="18"/>
        </w:rPr>
        <w:t>无</w:t>
      </w:r>
    </w:p>
    <w:p>
      <w:pPr>
        <w:pStyle w:val="Heading3"/>
        <w:spacing w:line="240" w:lineRule="auto" w:before="150"/>
        <w:ind w:right="0"/>
        <w:jc w:val="left"/>
        <w:rPr>
          <w:b w:val="0"/>
          <w:bCs w:val="0"/>
        </w:rPr>
      </w:pPr>
      <w:bookmarkStart w:name="2、债务重组" w:id="425"/>
      <w:bookmarkEnd w:id="425"/>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3、资产置换" w:id="426"/>
      <w:bookmarkEnd w:id="426"/>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非货币性资产交换" w:id="427"/>
      <w:bookmarkEnd w:id="427"/>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其他资产置换" w:id="428"/>
      <w:bookmarkEnd w:id="428"/>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headerReference w:type="default" r:id="rId41"/>
          <w:pgSz w:w="11910" w:h="16840"/>
          <w:pgMar w:header="867" w:footer="979" w:top="1060" w:bottom="1160" w:left="0" w:right="0"/>
        </w:sectPr>
      </w:pPr>
    </w:p>
    <w:p>
      <w:pPr>
        <w:spacing w:line="240" w:lineRule="auto" w:before="10"/>
        <w:rPr>
          <w:rFonts w:ascii="宋体" w:hAnsi="宋体" w:cs="宋体" w:eastAsia="宋体" w:hint="default"/>
          <w:sz w:val="24"/>
          <w:szCs w:val="24"/>
        </w:rPr>
      </w:pPr>
      <w:r>
        <w:rPr/>
        <w:pict>
          <v:group style="position:absolute;margin-left:54.84pt;margin-top:28.299988pt;width:485.7pt;height:40.15pt;mso-position-horizontal-relative:page;mso-position-vertical-relative:page;z-index:2056" coordorigin="1097,566" coordsize="9714,803">
            <v:group style="position:absolute;left:1104;top:1112;width:9700;height:2" coordorigin="1104,1112" coordsize="9700,2">
              <v:shape style="position:absolute;left:1104;top:1112;width:9700;height:2" coordorigin="1104,1112" coordsize="9700,0" path="m1104,1112l10804,1112e" filled="false" stroked="true" strokeweight=".72pt" strokecolor="#000000">
                <v:path arrowok="t"/>
              </v:shape>
              <v:shape style="position:absolute;left:1140;top:566;width:2160;height:803" type="#_x0000_t75" stroked="false">
                <v:imagedata r:id="rId7" o:title=""/>
              </v:shape>
            </v:group>
            <w10:wrap type="none"/>
          </v:group>
        </w:pict>
      </w:r>
    </w:p>
    <w:p>
      <w:pPr>
        <w:pStyle w:val="Heading3"/>
        <w:spacing w:line="240" w:lineRule="auto" w:before="35"/>
        <w:ind w:right="0"/>
        <w:jc w:val="left"/>
        <w:rPr>
          <w:b w:val="0"/>
          <w:bCs w:val="0"/>
        </w:rPr>
      </w:pPr>
      <w:bookmarkStart w:name="4、年金计划" w:id="429"/>
      <w:bookmarkEnd w:id="429"/>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5、终止经营" w:id="430"/>
      <w:bookmarkEnd w:id="430"/>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6、分部信息" w:id="431"/>
      <w:bookmarkEnd w:id="431"/>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分部的确定依据与会计政策" w:id="432"/>
      <w:bookmarkEnd w:id="432"/>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493" w:right="0"/>
        <w:jc w:val="left"/>
      </w:pPr>
      <w:r>
        <w:rPr/>
        <w:t>本公司以内部组织结构、管理要求、内部报告制度为依据确定经营分部，以经营分部为基础确定报告分部。 </w:t>
      </w:r>
      <w:r>
        <w:rPr>
          <w:spacing w:val="-2"/>
        </w:rPr>
        <w:t>经营分部，是指本公司内同时满足下列条件的组成部分：①该组成部分能够在日常活动中产生收入、发生费用；②本公</w:t>
      </w:r>
    </w:p>
    <w:p>
      <w:pPr>
        <w:pStyle w:val="BodyText"/>
        <w:spacing w:line="316" w:lineRule="auto" w:before="19"/>
        <w:ind w:right="0"/>
        <w:jc w:val="left"/>
      </w:pPr>
      <w:r>
        <w:rPr>
          <w:spacing w:val="-2"/>
        </w:rPr>
        <w:t>司管理层能够定期评价该组成部分的经营成果，以决定向其配置资源、评价其业绩；③本公司能够取得该组成部分的财务状</w:t>
      </w:r>
      <w:r>
        <w:rPr>
          <w:spacing w:val="-65"/>
        </w:rPr>
        <w:t> </w:t>
      </w:r>
      <w:r>
        <w:rPr>
          <w:spacing w:val="-65"/>
        </w:rPr>
      </w:r>
      <w:r>
        <w:rPr/>
        <w:t>况、经营成果和现金流量等有关会计信息。</w:t>
      </w:r>
    </w:p>
    <w:p>
      <w:pPr>
        <w:pStyle w:val="BodyText"/>
        <w:spacing w:line="316" w:lineRule="auto" w:before="19"/>
        <w:ind w:left="1493" w:right="2833"/>
        <w:jc w:val="left"/>
      </w:pPr>
      <w:r>
        <w:rPr/>
        <w:t>本公司报告分部包括：数据中心第三方服务、行业信息化解决方案、金融</w:t>
      </w:r>
      <w:r>
        <w:rPr>
          <w:rFonts w:ascii="宋体" w:hAnsi="宋体" w:cs="宋体" w:eastAsia="宋体" w:hint="default"/>
        </w:rPr>
        <w:t>IT</w:t>
      </w:r>
      <w:r>
        <w:rPr/>
        <w:t>外包服务以及其他。 本公司经营分部的会计政策与本公司主要会计政策相同。</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报告分部的财务信息" w:id="433"/>
      <w:bookmarkEnd w:id="433"/>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822" w:type="dxa"/>
        <w:tblLayout w:type="fixed"/>
        <w:tblCellMar>
          <w:top w:w="0" w:type="dxa"/>
          <w:left w:w="0" w:type="dxa"/>
          <w:bottom w:w="0" w:type="dxa"/>
          <w:right w:w="0" w:type="dxa"/>
        </w:tblCellMar>
        <w:tblLook w:val="01E0"/>
      </w:tblPr>
      <w:tblGrid>
        <w:gridCol w:w="1538"/>
        <w:gridCol w:w="1995"/>
        <w:gridCol w:w="1948"/>
        <w:gridCol w:w="1594"/>
        <w:gridCol w:w="1595"/>
        <w:gridCol w:w="1594"/>
      </w:tblGrid>
      <w:tr>
        <w:trPr>
          <w:trHeight w:val="402" w:hRule="exact"/>
        </w:trPr>
        <w:tc>
          <w:tcPr>
            <w:tcW w:w="15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87" w:right="0"/>
              <w:jc w:val="left"/>
              <w:rPr>
                <w:rFonts w:ascii="宋体" w:hAnsi="宋体" w:cs="宋体" w:eastAsia="宋体" w:hint="default"/>
                <w:sz w:val="18"/>
                <w:szCs w:val="18"/>
              </w:rPr>
            </w:pPr>
            <w:r>
              <w:rPr>
                <w:rFonts w:ascii="宋体" w:hAnsi="宋体" w:cs="宋体" w:eastAsia="宋体" w:hint="default"/>
                <w:sz w:val="18"/>
                <w:szCs w:val="18"/>
              </w:rPr>
              <w:t>数据中心第三方服务</w:t>
            </w:r>
          </w:p>
        </w:tc>
        <w:tc>
          <w:tcPr>
            <w:tcW w:w="19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行业信息化解决方案</w:t>
            </w:r>
          </w:p>
        </w:tc>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21" w:right="0"/>
              <w:jc w:val="left"/>
              <w:rPr>
                <w:rFonts w:ascii="宋体" w:hAnsi="宋体" w:cs="宋体" w:eastAsia="宋体" w:hint="default"/>
                <w:sz w:val="18"/>
                <w:szCs w:val="18"/>
              </w:rPr>
            </w:pPr>
            <w:r>
              <w:rPr>
                <w:rFonts w:ascii="宋体" w:hAnsi="宋体" w:cs="宋体" w:eastAsia="宋体" w:hint="default"/>
                <w:sz w:val="18"/>
                <w:szCs w:val="18"/>
              </w:rPr>
              <w:t>金融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外包服务</w:t>
            </w:r>
          </w:p>
        </w:tc>
        <w:tc>
          <w:tcPr>
            <w:tcW w:w="15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995"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345,666,208.24</w:t>
            </w:r>
          </w:p>
        </w:tc>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83,849,545.62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111,856,808.80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500,407.58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541,872,970.24</w:t>
            </w:r>
          </w:p>
        </w:tc>
      </w:tr>
      <w:tr>
        <w:trPr>
          <w:trHeight w:val="402" w:hRule="exact"/>
        </w:trPr>
        <w:tc>
          <w:tcPr>
            <w:tcW w:w="15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995"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268,574,427.22</w:t>
            </w:r>
          </w:p>
        </w:tc>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24,916,548.93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78,843,865.81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329,411.26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372,664,253.22</w:t>
            </w:r>
          </w:p>
        </w:tc>
      </w:tr>
      <w:tr>
        <w:trPr>
          <w:trHeight w:val="402" w:hRule="exact"/>
        </w:trPr>
        <w:tc>
          <w:tcPr>
            <w:tcW w:w="15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7132" w:type="dxa"/>
            <w:gridSpan w:val="4"/>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1,070,124,752.53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1,070,124,752.53</w:t>
            </w:r>
          </w:p>
        </w:tc>
      </w:tr>
      <w:tr>
        <w:trPr>
          <w:trHeight w:val="402" w:hRule="exact"/>
        </w:trPr>
        <w:tc>
          <w:tcPr>
            <w:tcW w:w="15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7132" w:type="dxa"/>
            <w:gridSpan w:val="4"/>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195,359,987.12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195,359,987.12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公司无报告分部的，或者不能披露各报告分部的资产总额和负债总额的，应说明原因" w:id="434"/>
      <w:bookmarkEnd w:id="434"/>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由于本公司及各子公司均有上述各报告分部的相关业务，故本公司的资产总额与负债总额未按报告分部进行划分。</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4）其他说明" w:id="435"/>
      <w:bookmarkEnd w:id="435"/>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7、其他对投资者决策有影响的重要交易和事项" w:id="436"/>
      <w:bookmarkEnd w:id="436"/>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8、其他" w:id="437"/>
      <w:bookmarkEnd w:id="437"/>
      <w:r>
        <w:rPr>
          <w:b w:val="0"/>
          <w:bCs w:val="0"/>
        </w:rPr>
      </w:r>
      <w:r>
        <w:rPr>
          <w:rFonts w:ascii="Times New Roman" w:hAnsi="Times New Roman" w:cs="Times New Roman" w:eastAsia="Times New Roman" w:hint="default"/>
        </w:rPr>
        <w:t>8</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94" w:right="0"/>
        <w:jc w:val="left"/>
      </w:pPr>
      <w:r>
        <w:rPr>
          <w:rFonts w:ascii="宋体" w:hAnsi="宋体" w:cs="宋体" w:eastAsia="宋体" w:hint="default"/>
        </w:rPr>
        <w:t>2015</w:t>
      </w:r>
      <w:r>
        <w:rPr/>
        <w:t>年</w:t>
      </w:r>
      <w:r>
        <w:rPr>
          <w:rFonts w:ascii="宋体" w:hAnsi="宋体" w:cs="宋体" w:eastAsia="宋体" w:hint="default"/>
        </w:rPr>
        <w:t>10</w:t>
      </w:r>
      <w:r>
        <w:rPr/>
        <w:t>月</w:t>
      </w:r>
      <w:r>
        <w:rPr>
          <w:rFonts w:ascii="宋体" w:hAnsi="宋体" w:cs="宋体" w:eastAsia="宋体" w:hint="default"/>
        </w:rPr>
        <w:t>21</w:t>
      </w:r>
      <w:r>
        <w:rPr/>
        <w:t>日，根据公司第二届董事会第二十四次会议审议通过的《关于注销控股子公司沈阳荣科全濠科技有限公司</w:t>
      </w:r>
    </w:p>
    <w:p>
      <w:pPr>
        <w:spacing w:after="0" w:line="240" w:lineRule="auto"/>
        <w:jc w:val="left"/>
        <w:sectPr>
          <w:pgSz w:w="11910" w:h="16840"/>
          <w:pgMar w:header="867" w:footer="979" w:top="1060" w:bottom="1160" w:left="0" w:right="0"/>
        </w:sectPr>
      </w:pPr>
    </w:p>
    <w:p>
      <w:pPr>
        <w:pStyle w:val="BodyText"/>
        <w:spacing w:line="316" w:lineRule="auto" w:before="81"/>
        <w:ind w:left="1133" w:right="0"/>
        <w:jc w:val="left"/>
      </w:pPr>
      <w:r>
        <w:rPr>
          <w:spacing w:val="-2"/>
        </w:rPr>
        <w:t>的议案》，公司拟注销子公司沈阳荣科全濠科技有限公司。截至</w:t>
      </w:r>
      <w:r>
        <w:rPr>
          <w:rFonts w:ascii="宋体" w:hAnsi="宋体" w:cs="宋体" w:eastAsia="宋体" w:hint="default"/>
          <w:spacing w:val="-2"/>
        </w:rPr>
        <w:t>2015</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日止，相关注销工作尚未完成，本次注销预期</w:t>
      </w:r>
      <w:r>
        <w:rPr>
          <w:spacing w:val="-58"/>
        </w:rPr>
        <w:t> </w:t>
      </w:r>
      <w:r>
        <w:rPr>
          <w:spacing w:val="-58"/>
        </w:rPr>
      </w:r>
      <w:r>
        <w:rPr/>
        <w:t>不会对公司整体业务发展和盈利水平产生重大的影响。</w:t>
      </w:r>
    </w:p>
    <w:p>
      <w:pPr>
        <w:spacing w:line="240" w:lineRule="auto" w:before="10"/>
        <w:rPr>
          <w:rFonts w:ascii="宋体" w:hAnsi="宋体" w:cs="宋体" w:eastAsia="宋体" w:hint="default"/>
          <w:sz w:val="20"/>
          <w:szCs w:val="20"/>
        </w:rPr>
      </w:pPr>
    </w:p>
    <w:p>
      <w:pPr>
        <w:pStyle w:val="Heading2"/>
        <w:spacing w:line="240" w:lineRule="auto"/>
        <w:ind w:left="1134" w:right="0"/>
        <w:jc w:val="left"/>
        <w:rPr>
          <w:b w:val="0"/>
          <w:bCs w:val="0"/>
        </w:rPr>
      </w:pPr>
      <w:bookmarkStart w:name="十七、母公司财务报表主要项目注释" w:id="438"/>
      <w:bookmarkEnd w:id="438"/>
      <w:r>
        <w:rPr>
          <w:b w:val="0"/>
          <w:bCs w:val="0"/>
        </w:rPr>
      </w:r>
      <w:r>
        <w:rPr/>
        <w:t>十七、母公司财务报表主要项目注释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应收账款" w:id="439"/>
      <w:bookmarkEnd w:id="439"/>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账款分类披露" w:id="440"/>
      <w:bookmarkEnd w:id="440"/>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123"/>
        <w:gridCol w:w="1277"/>
        <w:gridCol w:w="709"/>
        <w:gridCol w:w="1134"/>
        <w:gridCol w:w="850"/>
        <w:gridCol w:w="1276"/>
        <w:gridCol w:w="1277"/>
        <w:gridCol w:w="708"/>
        <w:gridCol w:w="1134"/>
        <w:gridCol w:w="851"/>
        <w:gridCol w:w="1276"/>
      </w:tblGrid>
      <w:tr>
        <w:trPr>
          <w:trHeight w:val="397" w:hRule="exact"/>
        </w:trPr>
        <w:tc>
          <w:tcPr>
            <w:tcW w:w="1123" w:type="dxa"/>
            <w:tcBorders>
              <w:top w:val="single" w:sz="4" w:space="0" w:color="000000"/>
              <w:left w:val="single" w:sz="4" w:space="0" w:color="000000"/>
              <w:bottom w:val="nil" w:sz="6" w:space="0" w:color="auto"/>
              <w:right w:val="single" w:sz="4" w:space="0" w:color="000000"/>
            </w:tcBorders>
            <w:shd w:val="clear" w:color="auto" w:fill="D2D2D2"/>
          </w:tcPr>
          <w:p>
            <w:pPr/>
          </w:p>
        </w:tc>
        <w:tc>
          <w:tcPr>
            <w:tcW w:w="524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524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10" w:hRule="exact"/>
        </w:trPr>
        <w:tc>
          <w:tcPr>
            <w:tcW w:w="11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370"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198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2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2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9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2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7" w:hRule="exact"/>
        </w:trPr>
        <w:tc>
          <w:tcPr>
            <w:tcW w:w="1123" w:type="dxa"/>
            <w:vMerge/>
            <w:tcBorders>
              <w:left w:val="single" w:sz="4" w:space="0" w:color="000000"/>
              <w:bottom w:val="nil" w:sz="6" w:space="0" w:color="auto"/>
              <w:right w:val="single" w:sz="4" w:space="0" w:color="000000"/>
            </w:tcBorders>
            <w:shd w:val="clear" w:color="auto" w:fill="D2D2D2"/>
          </w:tcPr>
          <w:p>
            <w:pPr/>
          </w:p>
        </w:tc>
        <w:tc>
          <w:tcPr>
            <w:tcW w:w="1986" w:type="dxa"/>
            <w:gridSpan w:val="2"/>
            <w:vMerge/>
            <w:tcBorders>
              <w:left w:val="single" w:sz="4" w:space="0" w:color="000000"/>
              <w:bottom w:val="single" w:sz="4" w:space="0" w:color="000000"/>
              <w:right w:val="single" w:sz="4" w:space="0" w:color="000000"/>
            </w:tcBorders>
            <w:shd w:val="clear" w:color="auto" w:fill="D2D2D2"/>
          </w:tcPr>
          <w:p>
            <w:pPr/>
          </w:p>
        </w:tc>
        <w:tc>
          <w:tcPr>
            <w:tcW w:w="1984" w:type="dxa"/>
            <w:gridSpan w:val="2"/>
            <w:vMerge/>
            <w:tcBorders>
              <w:left w:val="single" w:sz="4" w:space="0" w:color="000000"/>
              <w:bottom w:val="single" w:sz="4" w:space="0" w:color="000000"/>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985" w:type="dxa"/>
            <w:gridSpan w:val="2"/>
            <w:vMerge/>
            <w:tcBorders>
              <w:left w:val="single" w:sz="4" w:space="0" w:color="000000"/>
              <w:bottom w:val="single" w:sz="4" w:space="0" w:color="000000"/>
              <w:right w:val="single" w:sz="4" w:space="0" w:color="000000"/>
            </w:tcBorders>
            <w:shd w:val="clear" w:color="auto" w:fill="D2D2D2"/>
          </w:tcPr>
          <w:p>
            <w:pPr/>
          </w:p>
        </w:tc>
        <w:tc>
          <w:tcPr>
            <w:tcW w:w="1985" w:type="dxa"/>
            <w:gridSpan w:val="2"/>
            <w:vMerge/>
            <w:tcBorders>
              <w:left w:val="single" w:sz="4" w:space="0" w:color="000000"/>
              <w:bottom w:val="single" w:sz="4" w:space="0" w:color="000000"/>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6" w:hRule="exact"/>
        </w:trPr>
        <w:tc>
          <w:tcPr>
            <w:tcW w:w="1123" w:type="dxa"/>
            <w:vMerge w:val="restart"/>
            <w:tcBorders>
              <w:top w:val="nil" w:sz="6" w:space="0" w:color="auto"/>
              <w:left w:val="single" w:sz="4" w:space="0" w:color="000000"/>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9"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276" w:type="dxa"/>
            <w:vMerge/>
            <w:tcBorders>
              <w:left w:val="single" w:sz="4" w:space="0" w:color="000000"/>
              <w:bottom w:val="nil" w:sz="6" w:space="0" w:color="auto"/>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6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9"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276"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23"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338" w:hRule="exact"/>
        </w:trPr>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99"/>
              <w:jc w:val="both"/>
              <w:rPr>
                <w:rFonts w:ascii="宋体" w:hAnsi="宋体" w:cs="宋体" w:eastAsia="宋体" w:hint="default"/>
                <w:sz w:val="18"/>
                <w:szCs w:val="18"/>
              </w:rPr>
            </w:pPr>
            <w:r>
              <w:rPr>
                <w:rFonts w:ascii="宋体" w:hAnsi="宋体" w:cs="宋体" w:eastAsia="宋体" w:hint="default"/>
                <w:sz w:val="18"/>
                <w:szCs w:val="18"/>
              </w:rPr>
              <w:t>按信用风险 特征组合计 提坏账准备 的应收账款</w:t>
            </w:r>
          </w:p>
        </w:tc>
        <w:tc>
          <w:tcPr>
            <w:tcW w:w="12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415,874,076.65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27,322,007.90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388,552,068.75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325,799,044.52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14,742,149.46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311,056,895.06</w:t>
            </w:r>
          </w:p>
        </w:tc>
      </w:tr>
      <w:tr>
        <w:trPr>
          <w:trHeight w:val="402" w:hRule="exact"/>
        </w:trPr>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415,874,076.65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27,322,007.90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center"/>
              <w:rPr>
                <w:rFonts w:ascii="Times New Roman" w:hAnsi="Times New Roman" w:cs="Times New Roman" w:eastAsia="Times New Roman" w:hint="default"/>
                <w:sz w:val="18"/>
                <w:szCs w:val="18"/>
              </w:rPr>
            </w:pPr>
            <w:r>
              <w:rPr>
                <w:rFonts w:ascii="Times New Roman"/>
                <w:sz w:val="18"/>
              </w:rPr>
              <w:t>388,552,068.75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325,799,044.52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14,742,149.46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311,056,895.06</w:t>
            </w:r>
          </w:p>
        </w:tc>
      </w:tr>
    </w:tbl>
    <w:p>
      <w:pPr>
        <w:spacing w:after="0" w:line="240" w:lineRule="auto"/>
        <w:jc w:val="right"/>
        <w:rPr>
          <w:rFonts w:ascii="Times New Roman" w:hAnsi="Times New Roman" w:cs="Times New Roman" w:eastAsia="Times New Roman" w:hint="default"/>
          <w:sz w:val="18"/>
          <w:szCs w:val="18"/>
        </w:rPr>
        <w:sectPr>
          <w:headerReference w:type="default" r:id="rId42"/>
          <w:pgSz w:w="11910" w:h="16840"/>
          <w:pgMar w:header="566" w:footer="979" w:top="1360" w:bottom="1160" w:left="0" w:right="0"/>
        </w:sectPr>
      </w:pPr>
    </w:p>
    <w:p>
      <w:pPr>
        <w:pStyle w:val="BodyText"/>
        <w:spacing w:line="240" w:lineRule="auto" w:before="51"/>
        <w:ind w:right="-20"/>
        <w:jc w:val="left"/>
      </w:pPr>
      <w:r>
        <w:rPr/>
        <w:t>期末单项金额重大并单项计提坏账准备的应收账款：</w:t>
      </w:r>
    </w:p>
    <w:p>
      <w:pPr>
        <w:pStyle w:val="BodyText"/>
        <w:spacing w:line="338" w:lineRule="auto" w:before="117"/>
        <w:ind w:left="1133"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2"/>
        <w:ind w:left="1133"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275" w:space="3555"/>
            <w:col w:w="3080"/>
          </w:cols>
        </w:sectPr>
      </w:pPr>
    </w:p>
    <w:p>
      <w:pPr>
        <w:spacing w:line="240" w:lineRule="auto" w:before="13"/>
        <w:rPr>
          <w:rFonts w:ascii="宋体" w:hAnsi="宋体" w:cs="宋体" w:eastAsia="宋体" w:hint="default"/>
          <w:sz w:val="7"/>
          <w:szCs w:val="7"/>
        </w:rPr>
      </w:pPr>
    </w:p>
    <w:tbl>
      <w:tblPr>
        <w:tblW w:w="0" w:type="auto"/>
        <w:jc w:val="left"/>
        <w:tblInd w:w="1164" w:type="dxa"/>
        <w:tblLayout w:type="fixed"/>
        <w:tblCellMar>
          <w:top w:w="0" w:type="dxa"/>
          <w:left w:w="0" w:type="dxa"/>
          <w:bottom w:w="0" w:type="dxa"/>
          <w:right w:w="0" w:type="dxa"/>
        </w:tblCellMar>
        <w:tblLook w:val="01E0"/>
      </w:tblPr>
      <w:tblGrid>
        <w:gridCol w:w="2494"/>
        <w:gridCol w:w="2295"/>
        <w:gridCol w:w="2391"/>
        <w:gridCol w:w="2390"/>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273,396,783.08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5,467,935.66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sz w:val="20"/>
              </w:rPr>
              <w:t>2.00%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273,396,783.08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5,467,935.66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sz w:val="20"/>
              </w:rPr>
              <w:t>2.00%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95,290,512.12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4,764,525.61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sz w:val="20"/>
              </w:rPr>
              <w:t>5.00%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37,947,756.61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11,384,326.98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sz w:val="20"/>
              </w:rPr>
              <w:t>30.00%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9,239,024.84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5,705,219.65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sz w:val="20"/>
              </w:rPr>
              <w:t>61.75%</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5,693,334.06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2,846,667.03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sz w:val="20"/>
              </w:rPr>
              <w:t>50.00%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3,435,690.78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2,748,552.62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sz w:val="20"/>
              </w:rPr>
              <w:t>80.00%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spacing w:val="-1"/>
                <w:sz w:val="20"/>
              </w:rPr>
              <w:t>100.00%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415,874,076.65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27,322,007.90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sz w:val="20"/>
              </w:rPr>
              <w:t>6.57%</w:t>
            </w:r>
          </w:p>
        </w:tc>
      </w:tr>
    </w:tbl>
    <w:p>
      <w:pPr>
        <w:pStyle w:val="BodyText"/>
        <w:spacing w:line="357" w:lineRule="auto" w:before="51"/>
        <w:ind w:right="8772"/>
        <w:jc w:val="left"/>
      </w:pPr>
      <w:r>
        <w:rPr/>
        <w:t>确定该组合依据的说明： 无</w:t>
      </w:r>
    </w:p>
    <w:p>
      <w:pPr>
        <w:pStyle w:val="BodyText"/>
        <w:spacing w:line="240" w:lineRule="auto" w:before="29"/>
        <w:ind w:right="0"/>
        <w:jc w:val="left"/>
      </w:pPr>
      <w:r>
        <w:rPr/>
        <w:t>组合中，采用余额百分比法计提坏账准备的应收账款：</w:t>
      </w:r>
    </w:p>
    <w:p>
      <w:pPr>
        <w:spacing w:after="0" w:line="240" w:lineRule="auto"/>
        <w:jc w:val="left"/>
        <w:sectPr>
          <w:type w:val="continuous"/>
          <w:pgSz w:w="11910" w:h="16840"/>
          <w:pgMar w:top="1060" w:bottom="1160" w:left="0" w:right="0"/>
        </w:sectPr>
      </w:pPr>
    </w:p>
    <w:p>
      <w:pPr>
        <w:pStyle w:val="BodyText"/>
        <w:spacing w:line="348" w:lineRule="auto" w:before="82"/>
        <w:ind w:left="1133"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 无</w:t>
      </w: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bookmarkStart w:name="（2）本期计提、收回或转回的坏账准备情况" w:id="441"/>
      <w:bookmarkEnd w:id="44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本期计提坏账准备金额</w:t>
      </w:r>
      <w:r>
        <w:rPr>
          <w:spacing w:val="-47"/>
        </w:rPr>
        <w:t> </w:t>
      </w:r>
      <w:r>
        <w:rPr>
          <w:rFonts w:ascii="Times New Roman" w:hAnsi="Times New Roman" w:cs="Times New Roman" w:eastAsia="Times New Roman" w:hint="default"/>
        </w:rPr>
        <w:t>12,579,858.44</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3）本期实际核销的应收账款情况" w:id="442"/>
      <w:bookmarkEnd w:id="442"/>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3"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按欠款方归集的期末余额前五名的应收账款情况" w:id="443"/>
      <w:bookmarkEnd w:id="443"/>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298" w:type="dxa"/>
        <w:tblLayout w:type="fixed"/>
        <w:tblCellMar>
          <w:top w:w="0" w:type="dxa"/>
          <w:left w:w="0" w:type="dxa"/>
          <w:bottom w:w="0" w:type="dxa"/>
          <w:right w:w="0" w:type="dxa"/>
        </w:tblCellMar>
        <w:tblLook w:val="01E0"/>
      </w:tblPr>
      <w:tblGrid>
        <w:gridCol w:w="2838"/>
        <w:gridCol w:w="2099"/>
        <w:gridCol w:w="2390"/>
        <w:gridCol w:w="1968"/>
      </w:tblGrid>
      <w:tr>
        <w:trPr>
          <w:trHeight w:val="658" w:hRule="exact"/>
        </w:trPr>
        <w:tc>
          <w:tcPr>
            <w:tcW w:w="283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09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68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39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20"/>
              <w:ind w:left="512" w:right="376" w:hanging="136"/>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占应收账款期末余额 合计数的比例</w:t>
            </w:r>
            <w:r>
              <w:rPr>
                <w:rFonts w:ascii="Times New Roman" w:hAnsi="Times New Roman" w:cs="Times New Roman" w:eastAsia="Times New Roman" w:hint="default"/>
                <w:sz w:val="18"/>
                <w:szCs w:val="18"/>
              </w:rPr>
              <w:t>(%)</w:t>
            </w:r>
          </w:p>
        </w:tc>
        <w:tc>
          <w:tcPr>
            <w:tcW w:w="19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61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7" w:hRule="exact"/>
        </w:trPr>
        <w:tc>
          <w:tcPr>
            <w:tcW w:w="2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沈阳市皇姑区教育局</w:t>
            </w:r>
          </w:p>
        </w:tc>
        <w:tc>
          <w:tcPr>
            <w:tcW w:w="2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36,541,430.00</w:t>
            </w:r>
          </w:p>
        </w:tc>
        <w:tc>
          <w:tcPr>
            <w:tcW w:w="2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8.78</w:t>
            </w: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1,705,664.50</w:t>
            </w:r>
          </w:p>
        </w:tc>
      </w:tr>
      <w:tr>
        <w:trPr>
          <w:trHeight w:val="347" w:hRule="exact"/>
        </w:trPr>
        <w:tc>
          <w:tcPr>
            <w:tcW w:w="2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抚顺银行股份有限公司</w:t>
            </w:r>
          </w:p>
        </w:tc>
        <w:tc>
          <w:tcPr>
            <w:tcW w:w="2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26,822,100.00</w:t>
            </w:r>
          </w:p>
        </w:tc>
        <w:tc>
          <w:tcPr>
            <w:tcW w:w="2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6.45</w:t>
            </w: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536,442.00</w:t>
            </w:r>
          </w:p>
        </w:tc>
      </w:tr>
      <w:tr>
        <w:trPr>
          <w:trHeight w:val="348" w:hRule="exact"/>
        </w:trPr>
        <w:tc>
          <w:tcPr>
            <w:tcW w:w="2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锦州市教育信息中心</w:t>
            </w:r>
          </w:p>
        </w:tc>
        <w:tc>
          <w:tcPr>
            <w:tcW w:w="2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18,998,880.00</w:t>
            </w:r>
          </w:p>
        </w:tc>
        <w:tc>
          <w:tcPr>
            <w:tcW w:w="2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4.57</w:t>
            </w: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379,977.60</w:t>
            </w:r>
          </w:p>
        </w:tc>
      </w:tr>
      <w:tr>
        <w:trPr>
          <w:trHeight w:val="347" w:hRule="exact"/>
        </w:trPr>
        <w:tc>
          <w:tcPr>
            <w:tcW w:w="2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辽宁省卫生厅</w:t>
            </w:r>
          </w:p>
        </w:tc>
        <w:tc>
          <w:tcPr>
            <w:tcW w:w="2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16,786,000.00</w:t>
            </w:r>
          </w:p>
        </w:tc>
        <w:tc>
          <w:tcPr>
            <w:tcW w:w="2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4.04</w:t>
            </w: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4,145,800.00</w:t>
            </w:r>
          </w:p>
        </w:tc>
      </w:tr>
      <w:tr>
        <w:trPr>
          <w:trHeight w:val="347" w:hRule="exact"/>
        </w:trPr>
        <w:tc>
          <w:tcPr>
            <w:tcW w:w="2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辽阳银行股份有限公司</w:t>
            </w:r>
          </w:p>
        </w:tc>
        <w:tc>
          <w:tcPr>
            <w:tcW w:w="2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12,239,842.00</w:t>
            </w:r>
          </w:p>
        </w:tc>
        <w:tc>
          <w:tcPr>
            <w:tcW w:w="2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2.94</w:t>
            </w: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557,270.97</w:t>
            </w:r>
          </w:p>
        </w:tc>
      </w:tr>
      <w:tr>
        <w:trPr>
          <w:trHeight w:val="348" w:hRule="exact"/>
        </w:trPr>
        <w:tc>
          <w:tcPr>
            <w:tcW w:w="2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
              <w:jc w:val="right"/>
              <w:rPr>
                <w:rFonts w:ascii="Times New Roman" w:hAnsi="Times New Roman" w:cs="Times New Roman" w:eastAsia="Times New Roman" w:hint="default"/>
                <w:sz w:val="18"/>
                <w:szCs w:val="18"/>
              </w:rPr>
            </w:pPr>
            <w:r>
              <w:rPr>
                <w:rFonts w:ascii="Times New Roman"/>
                <w:b/>
                <w:spacing w:val="-1"/>
                <w:sz w:val="18"/>
              </w:rPr>
              <w:t>111,388,252.00</w:t>
            </w:r>
            <w:r>
              <w:rPr>
                <w:rFonts w:ascii="Times New Roman"/>
                <w:spacing w:val="-1"/>
                <w:sz w:val="18"/>
              </w:rPr>
            </w:r>
          </w:p>
        </w:tc>
        <w:tc>
          <w:tcPr>
            <w:tcW w:w="2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
              <w:jc w:val="right"/>
              <w:rPr>
                <w:rFonts w:ascii="Times New Roman" w:hAnsi="Times New Roman" w:cs="Times New Roman" w:eastAsia="Times New Roman" w:hint="default"/>
                <w:sz w:val="18"/>
                <w:szCs w:val="18"/>
              </w:rPr>
            </w:pPr>
            <w:r>
              <w:rPr>
                <w:rFonts w:ascii="Times New Roman"/>
                <w:b/>
                <w:sz w:val="18"/>
              </w:rPr>
              <w:t>26.78</w:t>
            </w:r>
            <w:r>
              <w:rPr>
                <w:rFonts w:ascii="Times New Roman"/>
                <w:sz w:val="18"/>
              </w:rPr>
            </w: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
              <w:jc w:val="right"/>
              <w:rPr>
                <w:rFonts w:ascii="Times New Roman" w:hAnsi="Times New Roman" w:cs="Times New Roman" w:eastAsia="Times New Roman" w:hint="default"/>
                <w:sz w:val="18"/>
                <w:szCs w:val="18"/>
              </w:rPr>
            </w:pPr>
            <w:r>
              <w:rPr>
                <w:rFonts w:ascii="Times New Roman"/>
                <w:b/>
                <w:spacing w:val="-1"/>
                <w:sz w:val="18"/>
              </w:rPr>
              <w:t>7,325,155.07</w:t>
            </w:r>
            <w:r>
              <w:rPr>
                <w:rFonts w:ascii="Times New Roman"/>
                <w:spacing w:val="-1"/>
                <w:sz w:val="18"/>
              </w:rPr>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5）因金融资产转移而终止确认的应收账款" w:id="444"/>
      <w:bookmarkEnd w:id="444"/>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6）转移应收账款且继续涉入形成的资产、负债金额" w:id="445"/>
      <w:bookmarkEnd w:id="445"/>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其他应收款" w:id="446"/>
      <w:bookmarkEnd w:id="446"/>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447"/>
      <w:bookmarkEnd w:id="447"/>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430" w:type="dxa"/>
        <w:tblLayout w:type="fixed"/>
        <w:tblCellMar>
          <w:top w:w="0" w:type="dxa"/>
          <w:left w:w="0" w:type="dxa"/>
          <w:bottom w:w="0" w:type="dxa"/>
          <w:right w:w="0" w:type="dxa"/>
        </w:tblCellMar>
        <w:tblLook w:val="01E0"/>
      </w:tblPr>
      <w:tblGrid>
        <w:gridCol w:w="1253"/>
        <w:gridCol w:w="1146"/>
        <w:gridCol w:w="709"/>
        <w:gridCol w:w="1134"/>
        <w:gridCol w:w="697"/>
        <w:gridCol w:w="1157"/>
        <w:gridCol w:w="1122"/>
        <w:gridCol w:w="936"/>
        <w:gridCol w:w="1049"/>
        <w:gridCol w:w="684"/>
        <w:gridCol w:w="1160"/>
      </w:tblGrid>
      <w:tr>
        <w:trPr>
          <w:trHeight w:val="403" w:hRule="exact"/>
        </w:trPr>
        <w:tc>
          <w:tcPr>
            <w:tcW w:w="1253" w:type="dxa"/>
            <w:vMerge w:val="restart"/>
            <w:tcBorders>
              <w:top w:val="single" w:sz="4" w:space="0" w:color="000000"/>
              <w:left w:val="single" w:sz="4" w:space="0" w:color="000000"/>
              <w:right w:val="single" w:sz="4" w:space="0" w:color="000000"/>
            </w:tcBorders>
            <w:shd w:val="clear" w:color="auto" w:fill="D2D2D2"/>
          </w:tcPr>
          <w:p>
            <w:pPr/>
          </w:p>
        </w:tc>
        <w:tc>
          <w:tcPr>
            <w:tcW w:w="484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9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8"/>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253" w:type="dxa"/>
            <w:vMerge/>
            <w:tcBorders>
              <w:left w:val="single" w:sz="4" w:space="0" w:color="000000"/>
              <w:bottom w:val="nil" w:sz="6" w:space="0" w:color="auto"/>
              <w:right w:val="single" w:sz="4" w:space="0" w:color="000000"/>
            </w:tcBorders>
            <w:shd w:val="clear" w:color="auto" w:fill="D2D2D2"/>
          </w:tcPr>
          <w:p>
            <w:pPr/>
          </w:p>
        </w:tc>
        <w:tc>
          <w:tcPr>
            <w:tcW w:w="185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6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5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57" w:type="dxa"/>
            <w:vMerge w:val="restart"/>
            <w:tcBorders>
              <w:top w:val="single" w:sz="4" w:space="0" w:color="000000"/>
              <w:left w:val="single" w:sz="4" w:space="0" w:color="000000"/>
              <w:right w:val="single" w:sz="4" w:space="0" w:color="000000"/>
            </w:tcBorders>
            <w:shd w:val="clear" w:color="auto" w:fill="D2D2D2"/>
          </w:tcPr>
          <w:p>
            <w:pPr/>
          </w:p>
        </w:tc>
        <w:tc>
          <w:tcPr>
            <w:tcW w:w="205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6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3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0"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2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855" w:type="dxa"/>
            <w:gridSpan w:val="2"/>
            <w:vMerge/>
            <w:tcBorders>
              <w:left w:val="single" w:sz="4" w:space="0" w:color="000000"/>
              <w:bottom w:val="single" w:sz="4" w:space="0" w:color="000000"/>
              <w:right w:val="single" w:sz="4" w:space="0" w:color="000000"/>
            </w:tcBorders>
            <w:shd w:val="clear" w:color="auto" w:fill="D2D2D2"/>
          </w:tcPr>
          <w:p>
            <w:pPr/>
          </w:p>
        </w:tc>
        <w:tc>
          <w:tcPr>
            <w:tcW w:w="1831" w:type="dxa"/>
            <w:gridSpan w:val="2"/>
            <w:vMerge/>
            <w:tcBorders>
              <w:left w:val="single" w:sz="4" w:space="0" w:color="000000"/>
              <w:bottom w:val="single" w:sz="4" w:space="0" w:color="000000"/>
              <w:right w:val="single" w:sz="4" w:space="0" w:color="000000"/>
            </w:tcBorders>
            <w:shd w:val="clear" w:color="auto" w:fill="D2D2D2"/>
          </w:tcPr>
          <w:p>
            <w:pPr/>
          </w:p>
        </w:tc>
        <w:tc>
          <w:tcPr>
            <w:tcW w:w="1157" w:type="dxa"/>
            <w:vMerge/>
            <w:tcBorders>
              <w:left w:val="single" w:sz="4" w:space="0" w:color="000000"/>
              <w:bottom w:val="nil" w:sz="6" w:space="0" w:color="auto"/>
              <w:right w:val="single" w:sz="4" w:space="0" w:color="000000"/>
            </w:tcBorders>
            <w:shd w:val="clear" w:color="auto" w:fill="D2D2D2"/>
          </w:tcPr>
          <w:p>
            <w:pPr/>
          </w:p>
        </w:tc>
        <w:tc>
          <w:tcPr>
            <w:tcW w:w="2058" w:type="dxa"/>
            <w:gridSpan w:val="2"/>
            <w:vMerge/>
            <w:tcBorders>
              <w:left w:val="single" w:sz="4" w:space="0" w:color="000000"/>
              <w:bottom w:val="single" w:sz="4" w:space="0" w:color="000000"/>
              <w:right w:val="single" w:sz="4" w:space="0" w:color="000000"/>
            </w:tcBorders>
            <w:shd w:val="clear" w:color="auto" w:fill="D2D2D2"/>
          </w:tcPr>
          <w:p>
            <w:pPr/>
          </w:p>
        </w:tc>
        <w:tc>
          <w:tcPr>
            <w:tcW w:w="1733" w:type="dxa"/>
            <w:gridSpan w:val="2"/>
            <w:vMerge/>
            <w:tcBorders>
              <w:left w:val="single" w:sz="4" w:space="0" w:color="000000"/>
              <w:bottom w:val="single" w:sz="4" w:space="0" w:color="000000"/>
              <w:right w:val="single" w:sz="4" w:space="0" w:color="000000"/>
            </w:tcBorders>
            <w:shd w:val="clear" w:color="auto" w:fill="D2D2D2"/>
          </w:tcPr>
          <w:p>
            <w:pPr/>
          </w:p>
        </w:tc>
        <w:tc>
          <w:tcPr>
            <w:tcW w:w="1160"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253" w:type="dxa"/>
            <w:vMerge/>
            <w:tcBorders>
              <w:left w:val="single" w:sz="4" w:space="0" w:color="000000"/>
              <w:bottom w:val="nil" w:sz="6" w:space="0" w:color="auto"/>
              <w:right w:val="single" w:sz="4" w:space="0" w:color="000000"/>
            </w:tcBorders>
            <w:shd w:val="clear" w:color="auto" w:fill="D2D2D2"/>
          </w:tcPr>
          <w:p>
            <w:pPr/>
          </w:p>
        </w:tc>
        <w:tc>
          <w:tcPr>
            <w:tcW w:w="114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259" w:right="66" w:hanging="181"/>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1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1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2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9"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251" w:right="60"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16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1" w:hRule="exact"/>
        </w:trPr>
        <w:tc>
          <w:tcPr>
            <w:tcW w:w="1253" w:type="dxa"/>
            <w:vMerge w:val="restart"/>
            <w:tcBorders>
              <w:top w:val="nil" w:sz="6" w:space="0" w:color="auto"/>
              <w:left w:val="single" w:sz="4" w:space="0" w:color="000000"/>
              <w:right w:val="single" w:sz="4" w:space="0" w:color="000000"/>
            </w:tcBorders>
            <w:shd w:val="clear" w:color="auto" w:fill="D2D2D2"/>
          </w:tcPr>
          <w:p>
            <w:pPr/>
          </w:p>
        </w:tc>
        <w:tc>
          <w:tcPr>
            <w:tcW w:w="11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97" w:type="dxa"/>
            <w:vMerge/>
            <w:tcBorders>
              <w:left w:val="single" w:sz="4" w:space="0" w:color="000000"/>
              <w:right w:val="single" w:sz="4" w:space="0" w:color="000000"/>
            </w:tcBorders>
            <w:shd w:val="clear" w:color="auto" w:fill="D2D2D2"/>
          </w:tcPr>
          <w:p>
            <w:pPr/>
          </w:p>
        </w:tc>
        <w:tc>
          <w:tcPr>
            <w:tcW w:w="1157" w:type="dxa"/>
            <w:vMerge/>
            <w:tcBorders>
              <w:left w:val="single" w:sz="4" w:space="0" w:color="000000"/>
              <w:bottom w:val="nil" w:sz="6" w:space="0" w:color="auto"/>
              <w:right w:val="single" w:sz="4" w:space="0" w:color="000000"/>
            </w:tcBorders>
            <w:shd w:val="clear" w:color="auto" w:fill="D2D2D2"/>
          </w:tcPr>
          <w:p>
            <w:pPr/>
          </w:p>
        </w:tc>
        <w:tc>
          <w:tcPr>
            <w:tcW w:w="11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4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84" w:type="dxa"/>
            <w:vMerge/>
            <w:tcBorders>
              <w:left w:val="single" w:sz="4" w:space="0" w:color="000000"/>
              <w:right w:val="single" w:sz="4" w:space="0" w:color="000000"/>
            </w:tcBorders>
            <w:shd w:val="clear" w:color="auto" w:fill="D2D2D2"/>
          </w:tcPr>
          <w:p>
            <w:pPr/>
          </w:p>
        </w:tc>
        <w:tc>
          <w:tcPr>
            <w:tcW w:w="1160"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253" w:type="dxa"/>
            <w:vMerge/>
            <w:tcBorders>
              <w:left w:val="single" w:sz="4" w:space="0" w:color="000000"/>
              <w:right w:val="single" w:sz="4" w:space="0" w:color="000000"/>
            </w:tcBorders>
            <w:shd w:val="clear" w:color="auto" w:fill="D2D2D2"/>
          </w:tcPr>
          <w:p>
            <w:pPr/>
          </w:p>
        </w:tc>
        <w:tc>
          <w:tcPr>
            <w:tcW w:w="1146" w:type="dxa"/>
            <w:vMerge/>
            <w:tcBorders>
              <w:left w:val="single" w:sz="4" w:space="0" w:color="000000"/>
              <w:bottom w:val="nil" w:sz="6" w:space="0" w:color="auto"/>
              <w:right w:val="single" w:sz="4" w:space="0" w:color="000000"/>
            </w:tcBorders>
            <w:shd w:val="clear" w:color="auto" w:fill="D2D2D2"/>
          </w:tcPr>
          <w:p>
            <w:pPr/>
          </w:p>
        </w:tc>
        <w:tc>
          <w:tcPr>
            <w:tcW w:w="709"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697" w:type="dxa"/>
            <w:vMerge/>
            <w:tcBorders>
              <w:left w:val="single" w:sz="4" w:space="0" w:color="000000"/>
              <w:right w:val="single" w:sz="4" w:space="0" w:color="000000"/>
            </w:tcBorders>
            <w:shd w:val="clear" w:color="auto" w:fill="D2D2D2"/>
          </w:tcPr>
          <w:p>
            <w:pPr/>
          </w:p>
        </w:tc>
        <w:tc>
          <w:tcPr>
            <w:tcW w:w="1157" w:type="dxa"/>
            <w:vMerge w:val="restart"/>
            <w:tcBorders>
              <w:top w:val="nil" w:sz="6" w:space="0" w:color="auto"/>
              <w:left w:val="single" w:sz="4" w:space="0" w:color="000000"/>
              <w:right w:val="single" w:sz="4" w:space="0" w:color="000000"/>
            </w:tcBorders>
            <w:shd w:val="clear" w:color="auto" w:fill="D2D2D2"/>
          </w:tcPr>
          <w:p>
            <w:pPr/>
          </w:p>
        </w:tc>
        <w:tc>
          <w:tcPr>
            <w:tcW w:w="1122"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1049"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1160"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253" w:type="dxa"/>
            <w:vMerge/>
            <w:tcBorders>
              <w:left w:val="single" w:sz="4" w:space="0" w:color="000000"/>
              <w:bottom w:val="single" w:sz="4" w:space="0" w:color="000000"/>
              <w:right w:val="single" w:sz="4" w:space="0" w:color="000000"/>
            </w:tcBorders>
            <w:shd w:val="clear" w:color="auto" w:fill="D2D2D2"/>
          </w:tcPr>
          <w:p>
            <w:pPr/>
          </w:p>
        </w:tc>
        <w:tc>
          <w:tcPr>
            <w:tcW w:w="1146"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7" w:type="dxa"/>
            <w:vMerge/>
            <w:tcBorders>
              <w:left w:val="single" w:sz="4" w:space="0" w:color="000000"/>
              <w:bottom w:val="single" w:sz="4" w:space="0" w:color="000000"/>
              <w:right w:val="single" w:sz="4" w:space="0" w:color="000000"/>
            </w:tcBorders>
            <w:shd w:val="clear" w:color="auto" w:fill="D2D2D2"/>
          </w:tcPr>
          <w:p>
            <w:pPr/>
          </w:p>
        </w:tc>
        <w:tc>
          <w:tcPr>
            <w:tcW w:w="1157" w:type="dxa"/>
            <w:vMerge/>
            <w:tcBorders>
              <w:left w:val="single" w:sz="4" w:space="0" w:color="000000"/>
              <w:bottom w:val="single" w:sz="4" w:space="0" w:color="000000"/>
              <w:right w:val="single" w:sz="4" w:space="0" w:color="000000"/>
            </w:tcBorders>
            <w:shd w:val="clear" w:color="auto" w:fill="D2D2D2"/>
          </w:tcPr>
          <w:p>
            <w:pPr/>
          </w:p>
        </w:tc>
        <w:tc>
          <w:tcPr>
            <w:tcW w:w="112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9"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vMerge/>
            <w:tcBorders>
              <w:left w:val="single" w:sz="4" w:space="0" w:color="000000"/>
              <w:bottom w:val="single" w:sz="4" w:space="0" w:color="000000"/>
              <w:right w:val="single" w:sz="4" w:space="0" w:color="000000"/>
            </w:tcBorders>
            <w:shd w:val="clear" w:color="auto" w:fill="D2D2D2"/>
          </w:tcPr>
          <w:p>
            <w:pPr/>
          </w:p>
        </w:tc>
        <w:tc>
          <w:tcPr>
            <w:tcW w:w="1160" w:type="dxa"/>
            <w:vMerge/>
            <w:tcBorders>
              <w:left w:val="single" w:sz="4" w:space="0" w:color="000000"/>
              <w:bottom w:val="single" w:sz="4" w:space="0" w:color="000000"/>
              <w:right w:val="single" w:sz="4" w:space="0" w:color="000000"/>
            </w:tcBorders>
            <w:shd w:val="clear" w:color="auto" w:fill="D2D2D2"/>
          </w:tcPr>
          <w:p>
            <w:pPr/>
          </w:p>
        </w:tc>
      </w:tr>
      <w:tr>
        <w:trPr>
          <w:trHeight w:val="674"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9"/>
              <w:jc w:val="left"/>
              <w:rPr>
                <w:rFonts w:ascii="宋体" w:hAnsi="宋体" w:cs="宋体" w:eastAsia="宋体" w:hint="default"/>
                <w:sz w:val="18"/>
                <w:szCs w:val="18"/>
              </w:rPr>
            </w:pPr>
            <w:r>
              <w:rPr>
                <w:rFonts w:ascii="宋体" w:hAnsi="宋体" w:cs="宋体" w:eastAsia="宋体" w:hint="default"/>
                <w:sz w:val="18"/>
                <w:szCs w:val="18"/>
              </w:rPr>
              <w:t>按信用风险特 征组合计提坏</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12,671,690.21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2,661,802.01</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Times New Roman"/>
                <w:sz w:val="18"/>
              </w:rPr>
              <w:t>21.01%</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8" w:right="0"/>
              <w:jc w:val="left"/>
              <w:rPr>
                <w:rFonts w:ascii="Times New Roman" w:hAnsi="Times New Roman" w:cs="Times New Roman" w:eastAsia="Times New Roman" w:hint="default"/>
                <w:sz w:val="18"/>
                <w:szCs w:val="18"/>
              </w:rPr>
            </w:pPr>
            <w:r>
              <w:rPr>
                <w:rFonts w:ascii="Times New Roman"/>
                <w:sz w:val="18"/>
              </w:rPr>
              <w:t>10,009,888.20</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14,544,681.28</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57" w:right="0"/>
              <w:jc w:val="left"/>
              <w:rPr>
                <w:rFonts w:ascii="Times New Roman" w:hAnsi="Times New Roman" w:cs="Times New Roman" w:eastAsia="Times New Roman" w:hint="default"/>
                <w:sz w:val="18"/>
                <w:szCs w:val="18"/>
              </w:rPr>
            </w:pPr>
            <w:r>
              <w:rPr>
                <w:rFonts w:ascii="Times New Roman"/>
                <w:sz w:val="18"/>
              </w:rPr>
              <w:t>100.00%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0" w:right="0"/>
              <w:jc w:val="left"/>
              <w:rPr>
                <w:rFonts w:ascii="Times New Roman" w:hAnsi="Times New Roman" w:cs="Times New Roman" w:eastAsia="Times New Roman" w:hint="default"/>
                <w:sz w:val="18"/>
                <w:szCs w:val="18"/>
              </w:rPr>
            </w:pPr>
            <w:r>
              <w:rPr>
                <w:rFonts w:ascii="Times New Roman"/>
                <w:sz w:val="18"/>
              </w:rPr>
              <w:t>2,498,720.08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17.18%</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12,045,961.20</w:t>
            </w:r>
          </w:p>
        </w:tc>
      </w:tr>
    </w:tbl>
    <w:p>
      <w:pPr>
        <w:spacing w:after="0" w:line="240" w:lineRule="auto"/>
        <w:jc w:val="left"/>
        <w:rPr>
          <w:rFonts w:ascii="Times New Roman" w:hAnsi="Times New Roman" w:cs="Times New Roman" w:eastAsia="Times New Roman" w:hint="default"/>
          <w:sz w:val="18"/>
          <w:szCs w:val="18"/>
        </w:rPr>
        <w:sectPr>
          <w:pgSz w:w="11910" w:h="16840"/>
          <w:pgMar w:header="566" w:footer="979" w:top="1360" w:bottom="1160" w:left="0" w:right="0"/>
        </w:sectPr>
      </w:pPr>
    </w:p>
    <w:p>
      <w:pPr>
        <w:spacing w:line="240" w:lineRule="auto" w:before="6"/>
        <w:rPr>
          <w:rFonts w:ascii="宋体" w:hAnsi="宋体" w:cs="宋体" w:eastAsia="宋体" w:hint="default"/>
          <w:sz w:val="5"/>
          <w:szCs w:val="5"/>
        </w:rPr>
      </w:pPr>
    </w:p>
    <w:tbl>
      <w:tblPr>
        <w:tblW w:w="0" w:type="auto"/>
        <w:jc w:val="left"/>
        <w:tblInd w:w="418" w:type="dxa"/>
        <w:tblLayout w:type="fixed"/>
        <w:tblCellMar>
          <w:top w:w="0" w:type="dxa"/>
          <w:left w:w="0" w:type="dxa"/>
          <w:bottom w:w="0" w:type="dxa"/>
          <w:right w:w="0" w:type="dxa"/>
        </w:tblCellMar>
        <w:tblLook w:val="01E0"/>
      </w:tblPr>
      <w:tblGrid>
        <w:gridCol w:w="1277"/>
        <w:gridCol w:w="1134"/>
        <w:gridCol w:w="709"/>
        <w:gridCol w:w="1134"/>
        <w:gridCol w:w="708"/>
        <w:gridCol w:w="1134"/>
        <w:gridCol w:w="1134"/>
        <w:gridCol w:w="936"/>
        <w:gridCol w:w="1049"/>
        <w:gridCol w:w="696"/>
        <w:gridCol w:w="1148"/>
      </w:tblGrid>
      <w:tr>
        <w:trPr>
          <w:trHeight w:val="674"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3" w:right="161"/>
              <w:jc w:val="left"/>
              <w:rPr>
                <w:rFonts w:ascii="宋体" w:hAnsi="宋体" w:cs="宋体" w:eastAsia="宋体" w:hint="default"/>
                <w:sz w:val="18"/>
                <w:szCs w:val="18"/>
              </w:rPr>
            </w:pPr>
            <w:r>
              <w:rPr>
                <w:rFonts w:ascii="宋体" w:hAnsi="宋体" w:cs="宋体" w:eastAsia="宋体" w:hint="default"/>
                <w:sz w:val="18"/>
                <w:szCs w:val="18"/>
              </w:rPr>
              <w:t>账准备的其他 应收款</w:t>
            </w: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12,671,690.21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6" w:right="0"/>
              <w:jc w:val="left"/>
              <w:rPr>
                <w:rFonts w:ascii="Times New Roman" w:hAnsi="Times New Roman" w:cs="Times New Roman" w:eastAsia="Times New Roman" w:hint="default"/>
                <w:sz w:val="18"/>
                <w:szCs w:val="18"/>
              </w:rPr>
            </w:pPr>
            <w:r>
              <w:rPr>
                <w:rFonts w:ascii="Times New Roman"/>
                <w:sz w:val="18"/>
              </w:rPr>
              <w:t>2,661,802.01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1" w:right="0"/>
              <w:jc w:val="left"/>
              <w:rPr>
                <w:rFonts w:ascii="Times New Roman" w:hAnsi="Times New Roman" w:cs="Times New Roman" w:eastAsia="Times New Roman" w:hint="default"/>
                <w:sz w:val="18"/>
                <w:szCs w:val="18"/>
              </w:rPr>
            </w:pPr>
            <w:r>
              <w:rPr>
                <w:rFonts w:ascii="Times New Roman"/>
                <w:sz w:val="18"/>
              </w:rPr>
              <w:t>21.01%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10,009,888.20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14,544,681.28</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7" w:right="0"/>
              <w:jc w:val="left"/>
              <w:rPr>
                <w:rFonts w:ascii="Times New Roman" w:hAnsi="Times New Roman" w:cs="Times New Roman" w:eastAsia="Times New Roman" w:hint="default"/>
                <w:sz w:val="18"/>
                <w:szCs w:val="18"/>
              </w:rPr>
            </w:pPr>
            <w:r>
              <w:rPr>
                <w:rFonts w:ascii="Times New Roman"/>
                <w:sz w:val="18"/>
              </w:rPr>
              <w:t>100.00%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2,498,720.08</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left"/>
              <w:rPr>
                <w:rFonts w:ascii="Times New Roman" w:hAnsi="Times New Roman" w:cs="Times New Roman" w:eastAsia="Times New Roman" w:hint="default"/>
                <w:sz w:val="18"/>
                <w:szCs w:val="18"/>
              </w:rPr>
            </w:pPr>
            <w:r>
              <w:rPr>
                <w:rFonts w:ascii="Times New Roman"/>
                <w:sz w:val="18"/>
              </w:rPr>
              <w:t>17.18%</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12,045,961.20</w:t>
            </w:r>
          </w:p>
        </w:tc>
      </w:tr>
    </w:tbl>
    <w:p>
      <w:pPr>
        <w:spacing w:after="0" w:line="240" w:lineRule="auto"/>
        <w:jc w:val="left"/>
        <w:rPr>
          <w:rFonts w:ascii="Times New Roman" w:hAnsi="Times New Roman" w:cs="Times New Roman" w:eastAsia="Times New Roman" w:hint="default"/>
          <w:sz w:val="18"/>
          <w:szCs w:val="18"/>
        </w:rPr>
        <w:sectPr>
          <w:pgSz w:w="11910" w:h="16840"/>
          <w:pgMar w:header="566" w:footer="979" w:top="1360" w:bottom="1160" w:left="0" w:right="0"/>
        </w:sectPr>
      </w:pPr>
    </w:p>
    <w:p>
      <w:pPr>
        <w:pStyle w:val="BodyText"/>
        <w:spacing w:line="240" w:lineRule="auto" w:before="51"/>
        <w:ind w:right="-20"/>
        <w:jc w:val="left"/>
      </w:pPr>
      <w:r>
        <w:rPr/>
        <w:t>期末单项金额重大并单项计提坏账准备的其他应收款：</w:t>
      </w:r>
    </w:p>
    <w:p>
      <w:pPr>
        <w:pStyle w:val="BodyText"/>
        <w:spacing w:line="338" w:lineRule="auto" w:before="117"/>
        <w:ind w:left="1133"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455" w:space="3375"/>
            <w:col w:w="3080"/>
          </w:cols>
        </w:sectPr>
      </w:pPr>
    </w:p>
    <w:p>
      <w:pPr>
        <w:spacing w:line="240" w:lineRule="auto" w:before="13"/>
        <w:rPr>
          <w:rFonts w:ascii="宋体" w:hAnsi="宋体" w:cs="宋体" w:eastAsia="宋体" w:hint="default"/>
          <w:sz w:val="7"/>
          <w:szCs w:val="7"/>
        </w:rPr>
      </w:pPr>
    </w:p>
    <w:tbl>
      <w:tblPr>
        <w:tblW w:w="0" w:type="auto"/>
        <w:jc w:val="left"/>
        <w:tblInd w:w="1164" w:type="dxa"/>
        <w:tblLayout w:type="fixed"/>
        <w:tblCellMar>
          <w:top w:w="0" w:type="dxa"/>
          <w:left w:w="0" w:type="dxa"/>
          <w:bottom w:w="0" w:type="dxa"/>
          <w:right w:w="0" w:type="dxa"/>
        </w:tblCellMar>
        <w:tblLook w:val="01E0"/>
      </w:tblPr>
      <w:tblGrid>
        <w:gridCol w:w="2494"/>
        <w:gridCol w:w="2295"/>
        <w:gridCol w:w="2391"/>
        <w:gridCol w:w="2390"/>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7,379,262.51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147,585.25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sz w:val="20"/>
              </w:rPr>
              <w:t>2.00%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7,379,262.51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147,585.25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sz w:val="20"/>
              </w:rPr>
              <w:t>2.00%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2,376,246.20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118,812.31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sz w:val="20"/>
              </w:rPr>
              <w:t>5.00%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355,081.50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106,524.45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sz w:val="20"/>
              </w:rPr>
              <w:t>30.00%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2,561,100.00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2,288,880.00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sz w:val="20"/>
              </w:rPr>
              <w:t>89.37%</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1,361,100.00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1,088,880.00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sz w:val="20"/>
              </w:rPr>
              <w:t>80.00%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spacing w:val="-1"/>
                <w:sz w:val="20"/>
              </w:rPr>
              <w:t>100.00%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12,671,690.21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2,661,802.01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sz w:val="20"/>
              </w:rPr>
              <w:t>21.01%</w:t>
            </w:r>
          </w:p>
        </w:tc>
      </w:tr>
    </w:tbl>
    <w:p>
      <w:pPr>
        <w:pStyle w:val="BodyText"/>
        <w:spacing w:line="360" w:lineRule="auto" w:before="51"/>
        <w:ind w:right="6252"/>
        <w:jc w:val="left"/>
      </w:pPr>
      <w:r>
        <w:rPr/>
        <w:t>确定该组合依据的说明： 组合中，采用余额百分比法计提坏账准备的其他应收款：</w:t>
      </w:r>
    </w:p>
    <w:p>
      <w:pPr>
        <w:pStyle w:val="BodyText"/>
        <w:spacing w:line="340" w:lineRule="auto" w:before="26"/>
        <w:ind w:left="1133"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2）本期计提、收回或转回的坏账准备情况" w:id="448"/>
      <w:bookmarkEnd w:id="448"/>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本期计提坏账准备金额</w:t>
      </w:r>
      <w:r>
        <w:rPr>
          <w:spacing w:val="-46"/>
        </w:rPr>
        <w:t> </w:t>
      </w:r>
      <w:r>
        <w:rPr>
          <w:rFonts w:ascii="Times New Roman" w:hAnsi="Times New Roman" w:cs="Times New Roman" w:eastAsia="Times New Roman" w:hint="default"/>
        </w:rPr>
        <w:t>163,081.93</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3）本期实际核销的其他应收款情况" w:id="449"/>
      <w:bookmarkEnd w:id="449"/>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3"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4）其他应收款按款项性质分类情况" w:id="450"/>
      <w:bookmarkEnd w:id="450"/>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64" w:type="dxa"/>
        <w:tblLayout w:type="fixed"/>
        <w:tblCellMar>
          <w:top w:w="0" w:type="dxa"/>
          <w:left w:w="0" w:type="dxa"/>
          <w:bottom w:w="0" w:type="dxa"/>
          <w:right w:w="0" w:type="dxa"/>
        </w:tblCellMar>
        <w:tblLook w:val="01E0"/>
      </w:tblPr>
      <w:tblGrid>
        <w:gridCol w:w="3369"/>
        <w:gridCol w:w="3100"/>
        <w:gridCol w:w="3101"/>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460,793.11</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1,256,418.51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5"/>
          <w:szCs w:val="5"/>
        </w:rPr>
      </w:pPr>
    </w:p>
    <w:tbl>
      <w:tblPr>
        <w:tblW w:w="0" w:type="auto"/>
        <w:jc w:val="left"/>
        <w:tblInd w:w="1164" w:type="dxa"/>
        <w:tblLayout w:type="fixed"/>
        <w:tblCellMar>
          <w:top w:w="0" w:type="dxa"/>
          <w:left w:w="0" w:type="dxa"/>
          <w:bottom w:w="0" w:type="dxa"/>
          <w:right w:w="0" w:type="dxa"/>
        </w:tblCellMar>
        <w:tblLook w:val="01E0"/>
      </w:tblPr>
      <w:tblGrid>
        <w:gridCol w:w="3369"/>
        <w:gridCol w:w="3100"/>
        <w:gridCol w:w="3101"/>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保证金、抵押金等</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10,452,582.37</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11,478,373.15</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代垫及代付款项</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1,745,072.24</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1,713,063.46</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13,242.49</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96,826.16</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12,671,690.21</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14,544,681.28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按欠款方归集的期末余额前五名的其他应收款情况" w:id="451"/>
      <w:bookmarkEnd w:id="451"/>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667" w:type="dxa"/>
        <w:tblLayout w:type="fixed"/>
        <w:tblCellMar>
          <w:top w:w="0" w:type="dxa"/>
          <w:left w:w="0" w:type="dxa"/>
          <w:bottom w:w="0" w:type="dxa"/>
          <w:right w:w="0" w:type="dxa"/>
        </w:tblCellMar>
        <w:tblLook w:val="01E0"/>
      </w:tblPr>
      <w:tblGrid>
        <w:gridCol w:w="2979"/>
        <w:gridCol w:w="1984"/>
        <w:gridCol w:w="1134"/>
        <w:gridCol w:w="2553"/>
        <w:gridCol w:w="850"/>
        <w:gridCol w:w="1064"/>
      </w:tblGrid>
      <w:tr>
        <w:trPr>
          <w:trHeight w:val="1338" w:hRule="exact"/>
        </w:trPr>
        <w:tc>
          <w:tcPr>
            <w:tcW w:w="2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536"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0" w:right="59"/>
              <w:jc w:val="both"/>
              <w:rPr>
                <w:rFonts w:ascii="宋体" w:hAnsi="宋体" w:cs="宋体" w:eastAsia="宋体" w:hint="default"/>
                <w:sz w:val="18"/>
                <w:szCs w:val="18"/>
              </w:rPr>
            </w:pPr>
            <w:r>
              <w:rPr>
                <w:rFonts w:ascii="宋体" w:hAnsi="宋体" w:cs="宋体" w:eastAsia="宋体" w:hint="default"/>
                <w:sz w:val="18"/>
                <w:szCs w:val="18"/>
              </w:rPr>
              <w:t>占其他应 收款期末 余额合计 数的比例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6" w:right="77" w:hanging="180"/>
              <w:jc w:val="left"/>
              <w:rPr>
                <w:rFonts w:ascii="宋体" w:hAnsi="宋体" w:cs="宋体" w:eastAsia="宋体" w:hint="default"/>
                <w:sz w:val="18"/>
                <w:szCs w:val="18"/>
              </w:rPr>
            </w:pPr>
            <w:r>
              <w:rPr>
                <w:rFonts w:ascii="宋体" w:hAnsi="宋体" w:cs="宋体" w:eastAsia="宋体" w:hint="default"/>
                <w:sz w:val="18"/>
                <w:szCs w:val="18"/>
              </w:rPr>
              <w:t>坏账准备期 末余额</w:t>
            </w:r>
          </w:p>
        </w:tc>
      </w:tr>
      <w:tr>
        <w:trPr>
          <w:trHeight w:val="402"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中国刑事警察学院</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1,451,054.19</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11.45%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85,435.25</w:t>
            </w:r>
          </w:p>
        </w:tc>
      </w:tr>
      <w:tr>
        <w:trPr>
          <w:trHeight w:val="402"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辽宁东方瑞德建筑装饰工程有限公司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垫付款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1,200,000.00</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1,200,000.00</w:t>
            </w:r>
          </w:p>
        </w:tc>
      </w:tr>
      <w:tr>
        <w:trPr>
          <w:trHeight w:val="402"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沈阳市苏家屯区公共资源交易中心</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5"/>
                <w:sz w:val="18"/>
                <w:szCs w:val="18"/>
              </w:rPr>
              <w:t>投标保证金、履约保证金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1,123,000.00</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22,460.00</w:t>
            </w:r>
          </w:p>
        </w:tc>
      </w:tr>
      <w:tr>
        <w:trPr>
          <w:trHeight w:val="402"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德惠市教育技术服务中心</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742,000.00</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14,840.00</w:t>
            </w:r>
          </w:p>
        </w:tc>
      </w:tr>
      <w:tr>
        <w:trPr>
          <w:trHeight w:val="402"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辽宁轨道交通职业学院</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670,000.00</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536,000.00</w:t>
            </w:r>
          </w:p>
        </w:tc>
      </w:tr>
      <w:tr>
        <w:trPr>
          <w:trHeight w:val="402" w:hRule="exact"/>
        </w:trPr>
        <w:tc>
          <w:tcPr>
            <w:tcW w:w="2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5,186,054.19</w:t>
            </w:r>
          </w:p>
        </w:tc>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40.93%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1,858,735.25</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6）涉及政府补助的应收款项" w:id="452"/>
      <w:bookmarkEnd w:id="452"/>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7）因金融资产转移而终止确认的其他应收款" w:id="453"/>
      <w:bookmarkEnd w:id="453"/>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8）转移其他应收款且继续涉入形成的资产、负债金额" w:id="454"/>
      <w:bookmarkEnd w:id="454"/>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3、长期股权投资" w:id="455"/>
      <w:bookmarkEnd w:id="455"/>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74" w:type="dxa"/>
        <w:tblLayout w:type="fixed"/>
        <w:tblCellMar>
          <w:top w:w="0" w:type="dxa"/>
          <w:left w:w="0" w:type="dxa"/>
          <w:bottom w:w="0" w:type="dxa"/>
          <w:right w:w="0" w:type="dxa"/>
        </w:tblCellMar>
        <w:tblLook w:val="01E0"/>
      </w:tblPr>
      <w:tblGrid>
        <w:gridCol w:w="1357"/>
        <w:gridCol w:w="1368"/>
        <w:gridCol w:w="1367"/>
        <w:gridCol w:w="1367"/>
        <w:gridCol w:w="1367"/>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1"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206,618,996.08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206,618,996.08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79,118,996.08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79,118,996.08</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206,618,996.08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206,618,996.08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79,118,996.08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79,118,996.08</w:t>
            </w:r>
          </w:p>
        </w:tc>
      </w:tr>
    </w:tbl>
    <w:p>
      <w:pPr>
        <w:spacing w:after="0" w:line="240" w:lineRule="auto"/>
        <w:jc w:val="right"/>
        <w:rPr>
          <w:rFonts w:ascii="Times New Roman" w:hAnsi="Times New Roman" w:cs="Times New Roman" w:eastAsia="Times New Roman" w:hint="default"/>
          <w:sz w:val="18"/>
          <w:szCs w:val="18"/>
        </w:rPr>
        <w:sectPr>
          <w:pgSz w:w="11910" w:h="16840"/>
          <w:pgMar w:header="566" w:footer="979" w:top="1360" w:bottom="1160" w:left="0" w:right="0"/>
        </w:sectPr>
      </w:pPr>
    </w:p>
    <w:p>
      <w:pPr>
        <w:pStyle w:val="Heading3"/>
        <w:spacing w:line="240" w:lineRule="auto" w:before="57"/>
        <w:ind w:right="0"/>
        <w:jc w:val="left"/>
        <w:rPr>
          <w:b w:val="0"/>
          <w:bCs w:val="0"/>
        </w:rPr>
      </w:pPr>
      <w:bookmarkStart w:name="（1）对子公司投资" w:id="456"/>
      <w:bookmarkEnd w:id="456"/>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836"/>
        <w:gridCol w:w="1985"/>
        <w:gridCol w:w="1700"/>
        <w:gridCol w:w="1559"/>
        <w:gridCol w:w="1560"/>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2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沈阳荣科全濠科技有限公司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3,500,000.00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3,500,000.00</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辽宁荣科金融服务有限公司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40,000,000.00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北京荣科爱信科技有限公司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享云科技有限责任公司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15,618,996.08</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15,618,996.08</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上海米健信息技术有限公司</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43" w:right="0"/>
              <w:jc w:val="left"/>
              <w:rPr>
                <w:rFonts w:ascii="Times New Roman" w:hAnsi="Times New Roman" w:cs="Times New Roman" w:eastAsia="Times New Roman" w:hint="default"/>
                <w:sz w:val="18"/>
                <w:szCs w:val="18"/>
              </w:rPr>
            </w:pPr>
            <w:r>
              <w:rPr>
                <w:rFonts w:ascii="Times New Roman"/>
                <w:sz w:val="18"/>
              </w:rPr>
              <w:t>127,500,000.00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127,500,000.00</w:t>
            </w:r>
          </w:p>
        </w:tc>
      </w:tr>
      <w:tr>
        <w:trPr>
          <w:trHeight w:val="403"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79,118,996.08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43" w:right="0"/>
              <w:jc w:val="left"/>
              <w:rPr>
                <w:rFonts w:ascii="Times New Roman" w:hAnsi="Times New Roman" w:cs="Times New Roman" w:eastAsia="Times New Roman" w:hint="default"/>
                <w:sz w:val="18"/>
                <w:szCs w:val="18"/>
              </w:rPr>
            </w:pPr>
            <w:r>
              <w:rPr>
                <w:rFonts w:ascii="Times New Roman"/>
                <w:sz w:val="18"/>
              </w:rPr>
              <w:t>127,500,000.00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206,618,996.08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对联营、合营企业投资" w:id="457"/>
      <w:bookmarkEnd w:id="457"/>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spacing w:line="547" w:lineRule="auto" w:before="0"/>
        <w:ind w:left="1134" w:right="1782" w:firstLine="0"/>
        <w:jc w:val="left"/>
        <w:rPr>
          <w:rFonts w:ascii="宋体" w:hAnsi="宋体" w:cs="宋体" w:eastAsia="宋体" w:hint="default"/>
          <w:sz w:val="21"/>
          <w:szCs w:val="21"/>
        </w:rPr>
      </w:pPr>
      <w:bookmarkStart w:name="（3）其他说明" w:id="458"/>
      <w:bookmarkEnd w:id="45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）其他说明</w:t>
      </w:r>
      <w:r>
        <w:rPr>
          <w:rFonts w:ascii="宋体" w:hAnsi="宋体" w:cs="宋体" w:eastAsia="宋体" w:hint="default"/>
          <w:b/>
          <w:bCs/>
          <w:w w:val="99"/>
          <w:sz w:val="21"/>
          <w:szCs w:val="21"/>
        </w:rPr>
        <w:t> </w:t>
      </w:r>
      <w:r>
        <w:rPr>
          <w:rFonts w:ascii="宋体" w:hAnsi="宋体" w:cs="宋体" w:eastAsia="宋体" w:hint="default"/>
          <w:sz w:val="18"/>
          <w:szCs w:val="18"/>
        </w:rPr>
        <w:t>长期股权投资期末余额较期初余额增加</w:t>
      </w:r>
      <w:r>
        <w:rPr>
          <w:rFonts w:ascii="Times New Roman" w:hAnsi="Times New Roman" w:cs="Times New Roman" w:eastAsia="Times New Roman" w:hint="default"/>
          <w:sz w:val="18"/>
          <w:szCs w:val="18"/>
        </w:rPr>
        <w:t>127,500,000.00</w:t>
      </w:r>
      <w:r>
        <w:rPr>
          <w:rFonts w:ascii="宋体" w:hAnsi="宋体" w:cs="宋体" w:eastAsia="宋体" w:hint="default"/>
          <w:sz w:val="18"/>
          <w:szCs w:val="18"/>
        </w:rPr>
        <w:t>元，增幅</w:t>
      </w:r>
      <w:r>
        <w:rPr>
          <w:rFonts w:ascii="Times New Roman" w:hAnsi="Times New Roman" w:cs="Times New Roman" w:eastAsia="Times New Roman" w:hint="default"/>
          <w:sz w:val="18"/>
          <w:szCs w:val="18"/>
        </w:rPr>
        <w:t>161.15%</w:t>
      </w:r>
      <w:r>
        <w:rPr>
          <w:rFonts w:ascii="宋体" w:hAnsi="宋体" w:cs="宋体" w:eastAsia="宋体" w:hint="default"/>
          <w:sz w:val="18"/>
          <w:szCs w:val="18"/>
        </w:rPr>
        <w:t>，主要系本公司报告期内收购子公司所致。 </w:t>
      </w:r>
      <w:bookmarkStart w:name="4、营业收入和营业成本" w:id="459"/>
      <w:bookmarkEnd w:id="459"/>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pStyle w:val="BodyText"/>
        <w:spacing w:line="240" w:lineRule="auto" w:before="50"/>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74" w:type="dxa"/>
        <w:tblLayout w:type="fixed"/>
        <w:tblCellMar>
          <w:top w:w="0" w:type="dxa"/>
          <w:left w:w="0" w:type="dxa"/>
          <w:bottom w:w="0" w:type="dxa"/>
          <w:right w:w="0" w:type="dxa"/>
        </w:tblCellMar>
        <w:tblLook w:val="01E0"/>
      </w:tblPr>
      <w:tblGrid>
        <w:gridCol w:w="1983"/>
        <w:gridCol w:w="1838"/>
        <w:gridCol w:w="1913"/>
        <w:gridCol w:w="1913"/>
        <w:gridCol w:w="1913"/>
      </w:tblGrid>
      <w:tr>
        <w:trPr>
          <w:trHeight w:val="206"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502,208,811.44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359,676,909.89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388,438,342.82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255,999,796.15</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9"/>
              <w:jc w:val="center"/>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502,208,811.44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359,676,909.89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388,438,342.82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255,999,796.15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投资收益" w:id="460"/>
      <w:bookmarkEnd w:id="460"/>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其他" w:id="461"/>
      <w:bookmarkEnd w:id="461"/>
      <w:r>
        <w:rPr>
          <w:b w:val="0"/>
          <w:bCs w:val="0"/>
        </w:rPr>
      </w:r>
      <w:r>
        <w:rPr>
          <w:rFonts w:ascii="Times New Roman" w:hAnsi="Times New Roman" w:cs="Times New Roman" w:eastAsia="Times New Roman" w:hint="default"/>
        </w:rPr>
        <w:t>6</w:t>
      </w:r>
      <w:r>
        <w:rPr/>
        <w:t>、其他</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3"/>
        <w:rPr>
          <w:rFonts w:ascii="宋体" w:hAnsi="宋体" w:cs="宋体" w:eastAsia="宋体" w:hint="default"/>
          <w:sz w:val="24"/>
          <w:szCs w:val="24"/>
        </w:rPr>
      </w:pPr>
    </w:p>
    <w:p>
      <w:pPr>
        <w:pStyle w:val="Heading2"/>
        <w:spacing w:line="240" w:lineRule="auto"/>
        <w:ind w:left="1134" w:right="0"/>
        <w:jc w:val="left"/>
        <w:rPr>
          <w:b w:val="0"/>
          <w:bCs w:val="0"/>
        </w:rPr>
      </w:pPr>
      <w:bookmarkStart w:name="十八、补充资料" w:id="462"/>
      <w:bookmarkEnd w:id="462"/>
      <w:r>
        <w:rPr>
          <w:b w:val="0"/>
          <w:bCs w:val="0"/>
        </w:rPr>
      </w:r>
      <w:r>
        <w:rPr/>
        <w:t>十八、补充资料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3" w:right="0"/>
        <w:jc w:val="left"/>
        <w:rPr>
          <w:b w:val="0"/>
          <w:bCs w:val="0"/>
        </w:rPr>
      </w:pPr>
      <w:bookmarkStart w:name="1、当期非经常性损益明细表" w:id="463"/>
      <w:bookmarkEnd w:id="463"/>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after="0" w:line="240" w:lineRule="auto"/>
        <w:jc w:val="right"/>
        <w:sectPr>
          <w:pgSz w:w="11910" w:h="16840"/>
          <w:pgMar w:header="566" w:footer="979" w:top="1360" w:bottom="1160" w:left="0" w:right="0"/>
        </w:sectPr>
      </w:pPr>
    </w:p>
    <w:p>
      <w:pPr>
        <w:spacing w:line="240" w:lineRule="auto" w:before="6"/>
        <w:rPr>
          <w:rFonts w:ascii="宋体" w:hAnsi="宋体" w:cs="宋体" w:eastAsia="宋体" w:hint="default"/>
          <w:sz w:val="5"/>
          <w:szCs w:val="5"/>
        </w:rPr>
      </w:pPr>
    </w:p>
    <w:tbl>
      <w:tblPr>
        <w:tblW w:w="0" w:type="auto"/>
        <w:jc w:val="left"/>
        <w:tblInd w:w="667" w:type="dxa"/>
        <w:tblLayout w:type="fixed"/>
        <w:tblCellMar>
          <w:top w:w="0" w:type="dxa"/>
          <w:left w:w="0" w:type="dxa"/>
          <w:bottom w:w="0" w:type="dxa"/>
          <w:right w:w="0" w:type="dxa"/>
        </w:tblCellMar>
        <w:tblLook w:val="01E0"/>
      </w:tblPr>
      <w:tblGrid>
        <w:gridCol w:w="4306"/>
        <w:gridCol w:w="3071"/>
        <w:gridCol w:w="3186"/>
      </w:tblGrid>
      <w:tr>
        <w:trPr>
          <w:trHeight w:val="402" w:hRule="exact"/>
        </w:trPr>
        <w:tc>
          <w:tcPr>
            <w:tcW w:w="4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4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244,728.68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2"/>
              <w:jc w:val="left"/>
              <w:rPr>
                <w:rFonts w:ascii="宋体" w:hAnsi="宋体" w:cs="宋体" w:eastAsia="宋体" w:hint="default"/>
                <w:sz w:val="18"/>
                <w:szCs w:val="18"/>
              </w:rPr>
            </w:pPr>
            <w:r>
              <w:rPr>
                <w:rFonts w:ascii="宋体" w:hAnsi="宋体" w:cs="宋体" w:eastAsia="宋体" w:hint="default"/>
                <w:spacing w:val="-3"/>
                <w:sz w:val="18"/>
                <w:szCs w:val="18"/>
              </w:rPr>
              <w:t>计入当期损益的政府补助（与企业业务密切相关，按照</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国家统一标准定额或定量享受的政府补助除外）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5,196,900.00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39,717.66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822,654.09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4,658,692.25</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2、净资产收益率及每股收益" w:id="464"/>
      <w:bookmarkEnd w:id="464"/>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678" w:type="dxa"/>
        <w:tblLayout w:type="fixed"/>
        <w:tblCellMar>
          <w:top w:w="0" w:type="dxa"/>
          <w:left w:w="0" w:type="dxa"/>
          <w:bottom w:w="0" w:type="dxa"/>
          <w:right w:w="0" w:type="dxa"/>
        </w:tblCellMar>
        <w:tblLook w:val="01E0"/>
      </w:tblPr>
      <w:tblGrid>
        <w:gridCol w:w="4243"/>
        <w:gridCol w:w="2482"/>
        <w:gridCol w:w="1913"/>
        <w:gridCol w:w="1913"/>
      </w:tblGrid>
      <w:tr>
        <w:trPr>
          <w:trHeight w:val="206" w:hRule="exact"/>
        </w:trPr>
        <w:tc>
          <w:tcPr>
            <w:tcW w:w="4243" w:type="dxa"/>
            <w:tcBorders>
              <w:top w:val="single" w:sz="4" w:space="0" w:color="000000"/>
              <w:left w:val="single" w:sz="4" w:space="0" w:color="000000"/>
              <w:bottom w:val="nil" w:sz="6" w:space="0" w:color="auto"/>
              <w:right w:val="single" w:sz="4" w:space="0" w:color="000000"/>
            </w:tcBorders>
            <w:shd w:val="clear" w:color="auto" w:fill="D2D2D2"/>
          </w:tcPr>
          <w:p>
            <w:pPr/>
          </w:p>
        </w:tc>
        <w:tc>
          <w:tcPr>
            <w:tcW w:w="248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42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4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4243" w:type="dxa"/>
            <w:vMerge/>
            <w:tcBorders>
              <w:left w:val="single" w:sz="4" w:space="0" w:color="000000"/>
              <w:bottom w:val="nil" w:sz="6" w:space="0" w:color="auto"/>
              <w:right w:val="single" w:sz="4" w:space="0" w:color="000000"/>
            </w:tcBorders>
            <w:shd w:val="clear" w:color="auto" w:fill="D2D2D2"/>
          </w:tcPr>
          <w:p>
            <w:pPr/>
          </w:p>
        </w:tc>
        <w:tc>
          <w:tcPr>
            <w:tcW w:w="2482"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4243" w:type="dxa"/>
            <w:tcBorders>
              <w:top w:val="nil" w:sz="6" w:space="0" w:color="auto"/>
              <w:left w:val="single" w:sz="4" w:space="0" w:color="000000"/>
              <w:bottom w:val="single" w:sz="4" w:space="0" w:color="000000"/>
              <w:right w:val="single" w:sz="4" w:space="0" w:color="000000"/>
            </w:tcBorders>
            <w:shd w:val="clear" w:color="auto" w:fill="D2D2D2"/>
          </w:tcPr>
          <w:p>
            <w:pPr/>
          </w:p>
        </w:tc>
        <w:tc>
          <w:tcPr>
            <w:tcW w:w="24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4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48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0.1707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0.1707</w:t>
            </w:r>
          </w:p>
        </w:tc>
      </w:tr>
      <w:tr>
        <w:trPr>
          <w:trHeight w:val="402" w:hRule="exact"/>
        </w:trPr>
        <w:tc>
          <w:tcPr>
            <w:tcW w:w="4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248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0.1550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0.1550</w:t>
            </w:r>
          </w:p>
        </w:tc>
      </w:tr>
    </w:tbl>
    <w:p>
      <w:pPr>
        <w:spacing w:line="240" w:lineRule="auto" w:before="3"/>
        <w:rPr>
          <w:rFonts w:ascii="宋体" w:hAnsi="宋体" w:cs="宋体" w:eastAsia="宋体" w:hint="default"/>
          <w:b/>
          <w:bCs/>
          <w:sz w:val="19"/>
          <w:szCs w:val="19"/>
        </w:rPr>
      </w:pPr>
    </w:p>
    <w:p>
      <w:pPr>
        <w:pStyle w:val="Heading3"/>
        <w:spacing w:line="240" w:lineRule="auto" w:before="35"/>
        <w:ind w:right="0"/>
        <w:jc w:val="left"/>
        <w:rPr>
          <w:b w:val="0"/>
          <w:bCs w:val="0"/>
        </w:rPr>
      </w:pPr>
      <w:bookmarkStart w:name="3、境内外会计准则下会计数据差异" w:id="465"/>
      <w:bookmarkEnd w:id="465"/>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中国会计准则披露的财务报告中净利润和净资产差异情况" w:id="466"/>
      <w:bookmarkEnd w:id="466"/>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2）同时按照境外会计准则与按中国会计准则披露的财务报告中净利润和净资产差异情况" w:id="467"/>
      <w:bookmarkEnd w:id="467"/>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59" w:lineRule="auto"/>
        <w:ind w:left="1133" w:right="0"/>
        <w:jc w:val="left"/>
        <w:rPr>
          <w:b w:val="0"/>
          <w:bCs w:val="0"/>
        </w:rPr>
      </w:pPr>
      <w:bookmarkStart w:name="（3）境内外会计准则下会计数据差异原因说明，对已经境外审计机构审计的数据进行差异" w:id="468"/>
      <w:bookmarkEnd w:id="468"/>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133"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4、其他" w:id="469"/>
      <w:bookmarkEnd w:id="469"/>
      <w:r>
        <w:rPr>
          <w:b w:val="0"/>
          <w:bCs w:val="0"/>
        </w:rPr>
      </w:r>
      <w:r>
        <w:rPr>
          <w:rFonts w:ascii="Times New Roman" w:hAnsi="Times New Roman" w:cs="Times New Roman" w:eastAsia="Times New Roman" w:hint="default"/>
        </w:rPr>
        <w:t>4</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566" w:footer="979" w:top="1360" w:bottom="116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410" w:right="1411"/>
        <w:jc w:val="center"/>
        <w:rPr>
          <w:b w:val="0"/>
          <w:bCs w:val="0"/>
        </w:rPr>
      </w:pPr>
      <w:bookmarkStart w:name="_TOC_250000" w:id="470"/>
      <w:bookmarkStart w:name="第十一节 备查文件目录" w:id="471"/>
      <w:r>
        <w:rPr>
          <w:b w:val="0"/>
          <w:bCs w:val="0"/>
        </w:rPr>
      </w:r>
      <w:r>
        <w:rPr/>
        <w:t>第十一节</w:t>
      </w:r>
      <w:r>
        <w:rPr>
          <w:spacing w:val="-8"/>
        </w:rPr>
        <w:t> </w:t>
      </w:r>
      <w:r>
        <w:rPr/>
        <w:t>备查文件目录</w:t>
      </w:r>
      <w:bookmarkEnd w:id="470"/>
      <w:r>
        <w:rPr>
          <w:b w:val="0"/>
          <w:bCs w:val="0"/>
        </w:rPr>
      </w:r>
    </w:p>
    <w:p>
      <w:pPr>
        <w:spacing w:line="240" w:lineRule="auto" w:before="8"/>
        <w:rPr>
          <w:rFonts w:ascii="宋体" w:hAnsi="宋体" w:cs="宋体" w:eastAsia="宋体" w:hint="default"/>
          <w:b/>
          <w:bCs/>
          <w:sz w:val="42"/>
          <w:szCs w:val="42"/>
        </w:rPr>
      </w:pPr>
    </w:p>
    <w:p>
      <w:pPr>
        <w:pStyle w:val="BodyText"/>
        <w:spacing w:line="328" w:lineRule="auto"/>
        <w:ind w:right="1118"/>
        <w:jc w:val="left"/>
      </w:pPr>
      <w:r>
        <w:rPr/>
        <w:t>一、经公司法定代表人付永全先生签名的</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年度报告文本。 </w:t>
      </w:r>
      <w:r>
        <w:rPr>
          <w:spacing w:val="-2"/>
        </w:rPr>
        <w:t>二、载有公司法定代表人付永全先生、主管会计工作负责人冯丽女士、会计机构负责人朱迎秋女士签名并盖章的财务报告文</w:t>
      </w:r>
      <w:r>
        <w:rPr>
          <w:spacing w:val="-66"/>
        </w:rPr>
        <w:t> </w:t>
      </w:r>
      <w:r>
        <w:rPr>
          <w:spacing w:val="-66"/>
        </w:rPr>
      </w:r>
      <w:r>
        <w:rPr/>
        <w:t>本。</w:t>
      </w:r>
    </w:p>
    <w:p>
      <w:pPr>
        <w:pStyle w:val="BodyText"/>
        <w:spacing w:line="360" w:lineRule="auto" w:before="49"/>
        <w:ind w:left="1133" w:right="3733"/>
        <w:jc w:val="left"/>
      </w:pPr>
      <w:r>
        <w:rPr/>
        <w:t>三、载有会计师事务所盖章、注册会计师签名并盖章的审计报告原件。 四、报告期内在中国证监会指定网站上公开披露过的所有公司文件的正本及公告的原稿。 五、其他有关资料。</w:t>
      </w:r>
    </w:p>
    <w:p>
      <w:pPr>
        <w:spacing w:line="240" w:lineRule="auto" w:before="0"/>
        <w:rPr>
          <w:rFonts w:ascii="宋体" w:hAnsi="宋体" w:cs="宋体" w:eastAsia="宋体" w:hint="default"/>
          <w:sz w:val="18"/>
          <w:szCs w:val="18"/>
        </w:rPr>
      </w:pPr>
    </w:p>
    <w:p>
      <w:pPr>
        <w:pStyle w:val="BodyText"/>
        <w:spacing w:line="240" w:lineRule="auto" w:before="142"/>
        <w:ind w:left="1584" w:right="0"/>
        <w:jc w:val="left"/>
      </w:pPr>
      <w:r>
        <w:rPr/>
        <w:t>以上备查文件的备置地点：公司证券投资部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6"/>
          <w:szCs w:val="16"/>
        </w:rPr>
      </w:pPr>
    </w:p>
    <w:p>
      <w:pPr>
        <w:pStyle w:val="BodyText"/>
        <w:spacing w:line="360" w:lineRule="auto"/>
        <w:ind w:left="7074" w:right="2832"/>
        <w:jc w:val="left"/>
      </w:pPr>
      <w:r>
        <w:rPr/>
        <w:t>荣科科技股份有限公司 董事长： 付永全 二〇一六年三月二十九日</w:t>
      </w:r>
    </w:p>
    <w:sectPr>
      <w:pgSz w:w="11910" w:h="16840"/>
      <w:pgMar w:header="566" w:footer="979" w:top="1360" w:bottom="116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614992" type="#_x0000_t75" stroked="false">
          <v:imagedata r:id="rId1" o:title=""/>
        </v:shape>
      </w:pict>
    </w:r>
    <w:r>
      <w:rPr/>
      <w:pict>
        <v:shape style="position:absolute;margin-left:533.179993pt;margin-top:795.517944pt;width:6.5pt;height:11pt;mso-position-horizontal-relative:page;mso-position-vertical-relative:page;z-index:-61496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614944" type="#_x0000_t75" stroked="false">
          <v:imagedata r:id="rId1" o:title=""/>
        </v:shape>
      </w:pict>
    </w:r>
    <w:r>
      <w:rPr/>
      <w:pict>
        <v:shape style="position:absolute;margin-left:527.679993pt;margin-top:781.957947pt;width:13pt;height:11pt;mso-position-horizontal-relative:page;mso-position-vertical-relative:page;z-index:-6149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614464" type="#_x0000_t75" stroked="false">
          <v:imagedata r:id="rId1" o:title=""/>
        </v:shape>
      </w:pict>
    </w:r>
    <w:r>
      <w:rPr/>
      <w:pict>
        <v:shape style="position:absolute;margin-left:527.679993pt;margin-top:781.957947pt;width:13pt;height:11pt;mso-position-horizontal-relative:page;mso-position-vertical-relative:page;z-index:-6144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614416" type="#_x0000_t75" stroked="false">
          <v:imagedata r:id="rId1" o:title=""/>
        </v:shape>
      </w:pict>
    </w:r>
    <w:r>
      <w:rPr/>
      <w:pict>
        <v:shape style="position:absolute;margin-left:524.179993pt;margin-top:781.957947pt;width:15.5pt;height:11pt;mso-position-horizontal-relative:page;mso-position-vertical-relative:page;z-index:-61439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614368" type="#_x0000_t75" stroked="false">
          <v:imagedata r:id="rId1" o:title=""/>
        </v:shape>
      </w:pict>
    </w:r>
    <w:r>
      <w:rPr/>
      <w:pict>
        <v:shape style="position:absolute;margin-left:523.179993pt;margin-top:781.957947pt;width:17.5pt;height:11pt;mso-position-horizontal-relative:page;mso-position-vertical-relative:page;z-index:-6143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454.459991pt;margin-top:36.325607pt;width:85.25pt;height:11.5pt;mso-position-horizontal-relative:page;mso-position-vertical-relative:page;z-index:-615016"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54.459991pt;margin-top:42.865608pt;width:85.25pt;height:11.5pt;mso-position-horizontal-relative:page;mso-position-vertical-relative:page;z-index:-614608"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年年度报告全文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4.84pt;margin-top:28.299988pt;width:485.7pt;height:40.15pt;mso-position-horizontal-relative:page;mso-position-vertical-relative:page;z-index:-614584" coordorigin="1097,566" coordsize="9714,803">
          <v:group style="position:absolute;left:1104;top:1112;width:9700;height:2" coordorigin="1104,1112" coordsize="9700,2">
            <v:shape style="position:absolute;left:1104;top:1112;width:9700;height:2" coordorigin="1104,1112" coordsize="9700,0" path="m1104,1112l10804,1112e" filled="false" stroked="true" strokeweight=".72pt" strokecolor="#000000">
              <v:path arrowok="t"/>
            </v:shape>
            <v:shape style="position:absolute;left:1140;top:566;width:2160;height:803" type="#_x0000_t75" stroked="false">
              <v:imagedata r:id="rId1" o:title=""/>
            </v:shape>
          </v:group>
          <w10:wrap type="none"/>
        </v:group>
      </w:pict>
    </w:r>
    <w:r>
      <w:rPr/>
      <w:pict>
        <v:shape style="position:absolute;margin-left:454.459991pt;margin-top:42.865608pt;width:85.25pt;height:11.5pt;mso-position-horizontal-relative:page;mso-position-vertical-relative:page;z-index:-614560"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年年度报告全文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54.459991pt;margin-top:42.865608pt;width:85.25pt;height:11.5pt;mso-position-horizontal-relative:page;mso-position-vertical-relative:page;z-index:-614536"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年年度报告全文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4.84pt;margin-top:28.299988pt;width:485.7pt;height:40.15pt;mso-position-horizontal-relative:page;mso-position-vertical-relative:page;z-index:-614512" coordorigin="1097,566" coordsize="9714,803">
          <v:group style="position:absolute;left:1104;top:1112;width:9700;height:2" coordorigin="1104,1112" coordsize="9700,2">
            <v:shape style="position:absolute;left:1104;top:1112;width:9700;height:2" coordorigin="1104,1112" coordsize="9700,0" path="m1104,1112l10804,1112e" filled="false" stroked="true" strokeweight=".72pt" strokecolor="#000000">
              <v:path arrowok="t"/>
            </v:shape>
            <v:shape style="position:absolute;left:1140;top:566;width:2160;height:803" type="#_x0000_t75" stroked="false">
              <v:imagedata r:id="rId1" o:title=""/>
            </v:shape>
          </v:group>
          <w10:wrap type="none"/>
        </v:group>
      </w:pict>
    </w:r>
    <w:r>
      <w:rPr/>
      <w:pict>
        <v:shape style="position:absolute;margin-left:454.459991pt;margin-top:42.865608pt;width:85.25pt;height:11.5pt;mso-position-horizontal-relative:page;mso-position-vertical-relative:page;z-index:-614488"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年年度报告全文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54.459991pt;margin-top:42.865608pt;width:85.25pt;height:11.5pt;mso-position-horizontal-relative:page;mso-position-vertical-relative:page;z-index:-614320"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年年度报告全文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4.84pt;margin-top:28.299988pt;width:485.7pt;height:40.15pt;mso-position-horizontal-relative:page;mso-position-vertical-relative:page;z-index:-614296" coordorigin="1097,566" coordsize="9714,803">
          <v:group style="position:absolute;left:1104;top:1112;width:9700;height:2" coordorigin="1104,1112" coordsize="9700,2">
            <v:shape style="position:absolute;left:1104;top:1112;width:9700;height:2" coordorigin="1104,1112" coordsize="9700,0" path="m1104,1112l10804,1112e" filled="false" stroked="true" strokeweight=".72pt" strokecolor="#000000">
              <v:path arrowok="t"/>
            </v:shape>
            <v:shape style="position:absolute;left:1140;top:566;width:2160;height:803" type="#_x0000_t75" stroked="false">
              <v:imagedata r:id="rId1" o:title=""/>
            </v:shape>
          </v:group>
          <w10:wrap type="none"/>
        </v:group>
      </w:pict>
    </w:r>
    <w:r>
      <w:rPr/>
      <w:pict>
        <v:shape style="position:absolute;margin-left:454.459991pt;margin-top:42.865608pt;width:85.25pt;height:11.5pt;mso-position-horizontal-relative:page;mso-position-vertical-relative:page;z-index:-614272"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年年度报告全文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54.459991pt;margin-top:42.865608pt;width:85.25pt;height:11.5pt;mso-position-horizontal-relative:page;mso-position-vertical-relative:page;z-index:-614248"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年年度报告全文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4.84pt;margin-top:28.299988pt;width:485.7pt;height:40.15pt;mso-position-horizontal-relative:page;mso-position-vertical-relative:page;z-index:-614224" coordorigin="1097,566" coordsize="9714,803">
          <v:group style="position:absolute;left:1104;top:1112;width:9700;height:2" coordorigin="1104,1112" coordsize="9700,2">
            <v:shape style="position:absolute;left:1104;top:1112;width:9700;height:2" coordorigin="1104,1112" coordsize="9700,0" path="m1104,1112l10804,1112e" filled="false" stroked="true" strokeweight=".72pt" strokecolor="#000000">
              <v:path arrowok="t"/>
            </v:shape>
            <v:shape style="position:absolute;left:1140;top:566;width:2160;height:803" type="#_x0000_t75" stroked="false">
              <v:imagedata r:id="rId1" o:title=""/>
            </v:shape>
          </v:group>
          <w10:wrap type="none"/>
        </v:group>
      </w:pict>
    </w:r>
    <w:r>
      <w:rPr/>
      <w:pict>
        <v:shape style="position:absolute;margin-left:454.459991pt;margin-top:42.865608pt;width:85.25pt;height:11.5pt;mso-position-horizontal-relative:page;mso-position-vertical-relative:page;z-index:-614200"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54.459991pt;margin-top:42.865608pt;width:85.25pt;height:11.5pt;mso-position-horizontal-relative:page;mso-position-vertical-relative:page;z-index:-614896"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4.84pt;margin-top:28.299988pt;width:485.7pt;height:40.15pt;mso-position-horizontal-relative:page;mso-position-vertical-relative:page;z-index:-614872" coordorigin="1097,566" coordsize="9714,803">
          <v:group style="position:absolute;left:1104;top:1112;width:9700;height:2" coordorigin="1104,1112" coordsize="9700,2">
            <v:shape style="position:absolute;left:1104;top:1112;width:9700;height:2" coordorigin="1104,1112" coordsize="9700,0" path="m1104,1112l10804,1112e" filled="false" stroked="true" strokeweight=".72pt" strokecolor="#000000">
              <v:path arrowok="t"/>
            </v:shape>
            <v:shape style="position:absolute;left:1140;top:566;width:2160;height:803" type="#_x0000_t75" stroked="false">
              <v:imagedata r:id="rId1" o:title=""/>
            </v:shape>
          </v:group>
          <w10:wrap type="none"/>
        </v:group>
      </w:pict>
    </w:r>
    <w:r>
      <w:rPr/>
      <w:pict>
        <v:shape style="position:absolute;margin-left:454.459991pt;margin-top:42.865608pt;width:85.25pt;height:11.5pt;mso-position-horizontal-relative:page;mso-position-vertical-relative:page;z-index:-614848"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54.459991pt;margin-top:42.865608pt;width:85.25pt;height:11.5pt;mso-position-horizontal-relative:page;mso-position-vertical-relative:page;z-index:-614824"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4.84pt;margin-top:28.299988pt;width:485.7pt;height:40.15pt;mso-position-horizontal-relative:page;mso-position-vertical-relative:page;z-index:-614800" coordorigin="1097,566" coordsize="9714,803">
          <v:group style="position:absolute;left:1104;top:1112;width:9700;height:2" coordorigin="1104,1112" coordsize="9700,2">
            <v:shape style="position:absolute;left:1104;top:1112;width:9700;height:2" coordorigin="1104,1112" coordsize="9700,0" path="m1104,1112l10804,1112e" filled="false" stroked="true" strokeweight=".72pt" strokecolor="#000000">
              <v:path arrowok="t"/>
            </v:shape>
            <v:shape style="position:absolute;left:1140;top:566;width:2160;height:803" type="#_x0000_t75" stroked="false">
              <v:imagedata r:id="rId1" o:title=""/>
            </v:shape>
          </v:group>
          <w10:wrap type="none"/>
        </v:group>
      </w:pict>
    </w:r>
    <w:r>
      <w:rPr/>
      <w:pict>
        <v:shape style="position:absolute;margin-left:454.459991pt;margin-top:42.865608pt;width:85.25pt;height:11.5pt;mso-position-horizontal-relative:page;mso-position-vertical-relative:page;z-index:-614776"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54.459991pt;margin-top:42.865608pt;width:85.25pt;height:11.5pt;mso-position-horizontal-relative:page;mso-position-vertical-relative:page;z-index:-614752"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4.84pt;margin-top:28.299988pt;width:485.7pt;height:40.15pt;mso-position-horizontal-relative:page;mso-position-vertical-relative:page;z-index:-614728" coordorigin="1097,566" coordsize="9714,803">
          <v:group style="position:absolute;left:1104;top:1112;width:9700;height:2" coordorigin="1104,1112" coordsize="9700,2">
            <v:shape style="position:absolute;left:1104;top:1112;width:9700;height:2" coordorigin="1104,1112" coordsize="9700,0" path="m1104,1112l10804,1112e" filled="false" stroked="true" strokeweight=".72pt" strokecolor="#000000">
              <v:path arrowok="t"/>
            </v:shape>
            <v:shape style="position:absolute;left:1140;top:566;width:2160;height:803" type="#_x0000_t75" stroked="false">
              <v:imagedata r:id="rId1" o:title=""/>
            </v:shape>
          </v:group>
          <w10:wrap type="none"/>
        </v:group>
      </w:pict>
    </w:r>
    <w:r>
      <w:rPr/>
      <w:pict>
        <v:shape style="position:absolute;margin-left:454.459991pt;margin-top:42.865608pt;width:85.25pt;height:11.5pt;mso-position-horizontal-relative:page;mso-position-vertical-relative:page;z-index:-614704"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54.459991pt;margin-top:42.865608pt;width:85.25pt;height:11.5pt;mso-position-horizontal-relative:page;mso-position-vertical-relative:page;z-index:-614680"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4.84pt;margin-top:28.299988pt;width:485.7pt;height:40.15pt;mso-position-horizontal-relative:page;mso-position-vertical-relative:page;z-index:-614656" coordorigin="1097,566" coordsize="9714,803">
          <v:group style="position:absolute;left:1104;top:1112;width:9700;height:2" coordorigin="1104,1112" coordsize="9700,2">
            <v:shape style="position:absolute;left:1104;top:1112;width:9700;height:2" coordorigin="1104,1112" coordsize="9700,0" path="m1104,1112l10804,1112e" filled="false" stroked="true" strokeweight=".72pt" strokecolor="#000000">
              <v:path arrowok="t"/>
            </v:shape>
            <v:shape style="position:absolute;left:1140;top:566;width:2160;height:803" type="#_x0000_t75" stroked="false">
              <v:imagedata r:id="rId1" o:title=""/>
            </v:shape>
          </v:group>
          <w10:wrap type="none"/>
        </v:group>
      </w:pict>
    </w:r>
    <w:r>
      <w:rPr/>
      <w:pict>
        <v:shape style="position:absolute;margin-left:454.459991pt;margin-top:42.865608pt;width:85.25pt;height:11.5pt;mso-position-horizontal-relative:page;mso-position-vertical-relative:page;z-index:-614632"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133"/>
    </w:pPr>
    <w:rPr>
      <w:rFonts w:ascii="宋体" w:hAnsi="宋体" w:eastAsia="宋体"/>
      <w:b/>
      <w:bCs/>
      <w:sz w:val="24"/>
      <w:szCs w:val="24"/>
    </w:rPr>
  </w:style>
  <w:style w:styleId="BodyText" w:type="paragraph">
    <w:name w:val="Body Text"/>
    <w:basedOn w:val="Normal"/>
    <w:uiPriority w:val="1"/>
    <w:qFormat/>
    <w:pPr>
      <w:ind w:left="1134"/>
    </w:pPr>
    <w:rPr>
      <w:rFonts w:ascii="宋体" w:hAnsi="宋体" w:eastAsia="宋体"/>
      <w:sz w:val="18"/>
      <w:szCs w:val="18"/>
    </w:rPr>
  </w:style>
  <w:style w:styleId="Heading1" w:type="paragraph">
    <w:name w:val="Heading 1"/>
    <w:basedOn w:val="Normal"/>
    <w:uiPriority w:val="1"/>
    <w:qFormat/>
    <w:pPr>
      <w:spacing w:before="1"/>
      <w:ind w:left="1411"/>
      <w:outlineLvl w:val="1"/>
    </w:pPr>
    <w:rPr>
      <w:rFonts w:ascii="宋体" w:hAnsi="宋体" w:eastAsia="宋体"/>
      <w:b/>
      <w:bCs/>
      <w:sz w:val="32"/>
      <w:szCs w:val="32"/>
    </w:rPr>
  </w:style>
  <w:style w:styleId="Heading2" w:type="paragraph">
    <w:name w:val="Heading 2"/>
    <w:basedOn w:val="Normal"/>
    <w:uiPriority w:val="1"/>
    <w:qFormat/>
    <w:pPr>
      <w:ind w:left="1133"/>
      <w:outlineLvl w:val="2"/>
    </w:pPr>
    <w:rPr>
      <w:rFonts w:ascii="宋体" w:hAnsi="宋体" w:eastAsia="宋体"/>
      <w:b/>
      <w:bCs/>
      <w:sz w:val="24"/>
      <w:szCs w:val="24"/>
    </w:rPr>
  </w:style>
  <w:style w:styleId="Heading3" w:type="paragraph">
    <w:name w:val="Heading 3"/>
    <w:basedOn w:val="Normal"/>
    <w:uiPriority w:val="1"/>
    <w:qFormat/>
    <w:pPr>
      <w:ind w:left="1134"/>
      <w:outlineLvl w:val="3"/>
    </w:pPr>
    <w:rPr>
      <w:rFonts w:ascii="宋体" w:hAnsi="宋体" w:eastAsia="宋体"/>
      <w:b/>
      <w:bCs/>
      <w:sz w:val="21"/>
      <w:szCs w:val="21"/>
    </w:rPr>
  </w:style>
  <w:style w:styleId="Heading4" w:type="paragraph">
    <w:name w:val="Heading 4"/>
    <w:basedOn w:val="Normal"/>
    <w:uiPriority w:val="1"/>
    <w:qFormat/>
    <w:pPr>
      <w:ind w:left="1134"/>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footer" Target="footer2.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hyperlink" Target="http://www.bringspring.com/" TargetMode="External"/><Relationship Id="rId13" Type="http://schemas.openxmlformats.org/officeDocument/2006/relationships/hyperlink" Target="mailto:zqtz@bringspring.com" TargetMode="External"/><Relationship Id="rId14" Type="http://schemas.openxmlformats.org/officeDocument/2006/relationships/hyperlink" Target="http://www.cninfo.com.cn/" TargetMode="External"/><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hyperlink" Target="http://www.cninfo.co/" TargetMode="External"/><Relationship Id="rId18" Type="http://schemas.openxmlformats.org/officeDocument/2006/relationships/header" Target="header4.xml"/><Relationship Id="rId19" Type="http://schemas.openxmlformats.org/officeDocument/2006/relationships/header" Target="header5.xml"/><Relationship Id="rId20" Type="http://schemas.openxmlformats.org/officeDocument/2006/relationships/image" Target="media/image6.jpeg"/><Relationship Id="rId21" Type="http://schemas.openxmlformats.org/officeDocument/2006/relationships/hyperlink" Target="http://www.cninfo.com.cn/cninfo-new/announcement/show" TargetMode="External"/><Relationship Id="rId22" Type="http://schemas.openxmlformats.org/officeDocument/2006/relationships/hyperlink" Target="http://www.nbd.com.cn/articles/2015-12-16/970743.html" TargetMode="External"/><Relationship Id="rId23" Type="http://schemas.openxmlformats.org/officeDocument/2006/relationships/hyperlink" Target="http://www.cninfo.com.cn/cninfo-new/disclosure/szse_gem/bulletin_detail/true/1200274404?announceTime=2014-09-30" TargetMode="External"/><Relationship Id="rId24" Type="http://schemas.openxmlformats.org/officeDocument/2006/relationships/hyperlink" Target="http://www.cninfo.com.cn/cninfo-new/disclosure/szse_gem/bulletin_detail/true/1201237053?announceTime=2015-07-03" TargetMode="External"/><Relationship Id="rId25" Type="http://schemas.openxmlformats.org/officeDocument/2006/relationships/header" Target="header6.xml"/><Relationship Id="rId26" Type="http://schemas.openxmlformats.org/officeDocument/2006/relationships/header" Target="header7.xml"/><Relationship Id="rId27" Type="http://schemas.openxmlformats.org/officeDocument/2006/relationships/hyperlink" Target="http://www.cninfo.com.cn/cninfo-new/disclosure/szse_gem/bulletin_detail/true/1201237053?anno" TargetMode="External"/><Relationship Id="rId28" Type="http://schemas.openxmlformats.org/officeDocument/2006/relationships/header" Target="header8.xml"/><Relationship Id="rId29" Type="http://schemas.openxmlformats.org/officeDocument/2006/relationships/image" Target="media/image7.jpeg"/><Relationship Id="rId30" Type="http://schemas.openxmlformats.org/officeDocument/2006/relationships/header" Target="header9.xml"/><Relationship Id="rId31" Type="http://schemas.openxmlformats.org/officeDocument/2006/relationships/hyperlink" Target="http://www.cninfo.com.cn/cninfo-new/disclosure/szse_gem/b" TargetMode="External"/><Relationship Id="rId32" Type="http://schemas.openxmlformats.org/officeDocument/2006/relationships/header" Target="header10.xml"/><Relationship Id="rId33" Type="http://schemas.openxmlformats.org/officeDocument/2006/relationships/header" Target="header11.xml"/><Relationship Id="rId34" Type="http://schemas.openxmlformats.org/officeDocument/2006/relationships/header" Target="header12.xml"/><Relationship Id="rId35" Type="http://schemas.openxmlformats.org/officeDocument/2006/relationships/header" Target="header13.xml"/><Relationship Id="rId36" Type="http://schemas.openxmlformats.org/officeDocument/2006/relationships/footer" Target="footer3.xml"/><Relationship Id="rId37" Type="http://schemas.openxmlformats.org/officeDocument/2006/relationships/footer" Target="footer4.xml"/><Relationship Id="rId38" Type="http://schemas.openxmlformats.org/officeDocument/2006/relationships/footer" Target="footer5.xml"/><Relationship Id="rId39" Type="http://schemas.openxmlformats.org/officeDocument/2006/relationships/header" Target="header14.xml"/><Relationship Id="rId40" Type="http://schemas.openxmlformats.org/officeDocument/2006/relationships/header" Target="header15.xml"/><Relationship Id="rId41" Type="http://schemas.openxmlformats.org/officeDocument/2006/relationships/header" Target="header16.xml"/><Relationship Id="rId42" Type="http://schemas.openxmlformats.org/officeDocument/2006/relationships/header" Target="header17.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2.jpeg"/></Relationships>

</file>

<file path=word/_rels/header13.xml.rels><?xml version="1.0" encoding="UTF-8" standalone="yes"?>
<Relationships xmlns="http://schemas.openxmlformats.org/package/2006/relationships"><Relationship Id="rId1" Type="http://schemas.openxmlformats.org/officeDocument/2006/relationships/image" Target="media/image2.jpeg"/></Relationships>

</file>

<file path=word/_rels/header15.xml.rels><?xml version="1.0" encoding="UTF-8" standalone="yes"?>
<Relationships xmlns="http://schemas.openxmlformats.org/package/2006/relationships"><Relationship Id="rId1" Type="http://schemas.openxmlformats.org/officeDocument/2006/relationships/image" Target="media/image2.jpeg"/></Relationships>

</file>

<file path=word/_rels/header17.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7.xml.rels><?xml version="1.0" encoding="UTF-8" standalone="yes"?>
<Relationships xmlns="http://schemas.openxmlformats.org/package/2006/relationships"><Relationship Id="rId1" Type="http://schemas.openxmlformats.org/officeDocument/2006/relationships/image" Target="media/image2.jpeg"/></Relationships>

</file>

<file path=word/_rels/header9.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荣科科技股份有限公司</dc:creator>
  <dc:title>荣科科技股份有限公司2015年年度报告全文</dc:title>
  <dcterms:created xsi:type="dcterms:W3CDTF">2020-05-04T16:31:52Z</dcterms:created>
  <dcterms:modified xsi:type="dcterms:W3CDTF">2020-05-04T16:31:52Z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2016-03-29T00:00:00Z</vt:filetime>
  </property>
  <property fmtid="{D5CDD505-2E9C-101B-9397-08002B2CF9AE}" pid="3" name="Creator">
    <vt:lpwstr>Microsoft® Office Word 2007</vt:lpwstr>
  </property>
  <property fmtid="{D5CDD505-2E9C-101B-9397-08002B2CF9AE}" pid="4" name="LastSaved">
    <vt:filetime>2020-05-04T00:00:00Z</vt:filetime>
  </property>
</Properties>
</file>