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spacing w:line="4046" w:lineRule="exact"/>
        <w:ind w:left="302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pict>
          <v:group style="width:177pt;height:202.35pt;mso-position-horizontal-relative:char;mso-position-vertical-relative:line" coordorigin="0,0" coordsize="3540,4047">
            <v:shape style="position:absolute;left:0;top:0;width:3540;height:3888" type="#_x0000_t75" stroked="false">
              <v:imagedata r:id="rId7" o:title=""/>
            </v:shape>
            <v:shape style="position:absolute;left:0;top:158;width:3540;height:3888" type="#_x0000_t75" stroked="false">
              <v:imagedata r:id="rId7" o:title=""/>
            </v:shape>
          </v:group>
        </w:pict>
      </w:r>
      <w:r>
        <w:rPr>
          <w:rFonts w:ascii="Times New Roman" w:hAnsi="Times New Roman" w:cs="Times New Roman" w:eastAsia="Times New Roman" w:hint="default"/>
          <w:position w:val="-8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p>
      <w:pPr>
        <w:spacing w:line="460" w:lineRule="exact" w:before="0"/>
        <w:ind w:left="2299" w:right="2299" w:firstLine="0"/>
        <w:jc w:val="center"/>
        <w:rPr>
          <w:rFonts w:ascii="宋体" w:hAnsi="宋体" w:cs="宋体" w:eastAsia="宋体" w:hint="default"/>
          <w:sz w:val="36"/>
          <w:szCs w:val="36"/>
        </w:rPr>
      </w:pPr>
      <w:r>
        <w:rPr>
          <w:rFonts w:ascii="宋体" w:hAnsi="宋体" w:cs="宋体" w:eastAsia="宋体" w:hint="default"/>
          <w:b/>
          <w:bCs/>
          <w:sz w:val="36"/>
          <w:szCs w:val="36"/>
        </w:rPr>
        <w:t>荣科科技股份有限公司</w:t>
      </w:r>
      <w:r>
        <w:rPr>
          <w:rFonts w:ascii="宋体" w:hAnsi="宋体" w:cs="宋体" w:eastAsia="宋体" w:hint="default"/>
          <w:sz w:val="36"/>
          <w:szCs w:val="36"/>
        </w:rPr>
      </w:r>
    </w:p>
    <w:p>
      <w:pPr>
        <w:spacing w:line="240" w:lineRule="auto" w:before="8"/>
        <w:rPr>
          <w:rFonts w:ascii="宋体" w:hAnsi="宋体" w:cs="宋体" w:eastAsia="宋体" w:hint="default"/>
          <w:b/>
          <w:bCs/>
          <w:sz w:val="28"/>
          <w:szCs w:val="28"/>
        </w:rPr>
      </w:pPr>
    </w:p>
    <w:p>
      <w:pPr>
        <w:pStyle w:val="Heading2"/>
        <w:spacing w:line="240" w:lineRule="auto"/>
        <w:ind w:left="2335" w:right="2299"/>
        <w:jc w:val="center"/>
        <w:rPr>
          <w:b w:val="0"/>
          <w:bCs w:val="0"/>
        </w:rPr>
      </w:pPr>
      <w:r>
        <w:rPr/>
        <w:t>Bringspring Science and Technology</w:t>
      </w:r>
      <w:r>
        <w:rPr>
          <w:spacing w:val="-9"/>
        </w:rPr>
        <w:t> </w:t>
      </w:r>
      <w:r>
        <w:rPr/>
        <w:t>Co.,Ltd.</w:t>
      </w:r>
      <w:r>
        <w:rPr>
          <w:b w:val="0"/>
        </w:rPr>
      </w:r>
    </w:p>
    <w:p>
      <w:pPr>
        <w:spacing w:line="240" w:lineRule="auto" w:before="10"/>
        <w:rPr>
          <w:rFonts w:ascii="宋体" w:hAnsi="宋体" w:cs="宋体" w:eastAsia="宋体" w:hint="default"/>
          <w:b/>
          <w:bCs/>
          <w:sz w:val="34"/>
          <w:szCs w:val="34"/>
        </w:rPr>
      </w:pPr>
    </w:p>
    <w:p>
      <w:pPr>
        <w:spacing w:before="0"/>
        <w:ind w:left="2299" w:right="2299" w:firstLine="0"/>
        <w:jc w:val="center"/>
        <w:rPr>
          <w:rFonts w:ascii="宋体" w:hAnsi="宋体" w:cs="宋体" w:eastAsia="宋体" w:hint="default"/>
          <w:sz w:val="36"/>
          <w:szCs w:val="36"/>
        </w:rPr>
      </w:pPr>
      <w:r>
        <w:rPr>
          <w:rFonts w:ascii="宋体" w:hAnsi="宋体" w:cs="宋体" w:eastAsia="宋体" w:hint="default"/>
          <w:b/>
          <w:bCs/>
          <w:sz w:val="36"/>
          <w:szCs w:val="36"/>
        </w:rPr>
        <w:t>2017</w:t>
      </w:r>
      <w:r>
        <w:rPr>
          <w:rFonts w:ascii="宋体" w:hAnsi="宋体" w:cs="宋体" w:eastAsia="宋体" w:hint="default"/>
          <w:b/>
          <w:bCs/>
          <w:spacing w:val="-98"/>
          <w:sz w:val="36"/>
          <w:szCs w:val="36"/>
        </w:rPr>
        <w:t> </w:t>
      </w:r>
      <w:r>
        <w:rPr>
          <w:rFonts w:ascii="宋体" w:hAnsi="宋体" w:cs="宋体" w:eastAsia="宋体" w:hint="default"/>
          <w:b/>
          <w:bCs/>
          <w:sz w:val="36"/>
          <w:szCs w:val="36"/>
        </w:rPr>
        <w:t>年年度报告</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51"/>
          <w:szCs w:val="51"/>
        </w:rPr>
      </w:pPr>
    </w:p>
    <w:p>
      <w:pPr>
        <w:spacing w:before="0"/>
        <w:ind w:left="2299" w:right="2299" w:firstLine="0"/>
        <w:jc w:val="center"/>
        <w:rPr>
          <w:rFonts w:ascii="宋体" w:hAnsi="宋体" w:cs="宋体" w:eastAsia="宋体" w:hint="default"/>
          <w:sz w:val="32"/>
          <w:szCs w:val="32"/>
        </w:rPr>
      </w:pPr>
      <w:r>
        <w:rPr>
          <w:rFonts w:ascii="宋体" w:hAnsi="宋体" w:cs="宋体" w:eastAsia="宋体" w:hint="default"/>
          <w:b/>
          <w:bCs/>
          <w:sz w:val="32"/>
          <w:szCs w:val="32"/>
        </w:rPr>
        <w:t>2018</w:t>
      </w:r>
      <w:r>
        <w:rPr>
          <w:rFonts w:ascii="宋体" w:hAnsi="宋体" w:cs="宋体" w:eastAsia="宋体" w:hint="default"/>
          <w:b/>
          <w:bCs/>
          <w:spacing w:val="-84"/>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宋体" w:hAnsi="宋体" w:cs="宋体" w:eastAsia="宋体" w:hint="default"/>
          <w:b/>
          <w:bCs/>
          <w:sz w:val="32"/>
          <w:szCs w:val="32"/>
        </w:rPr>
        <w:t>04</w:t>
      </w:r>
      <w:r>
        <w:rPr>
          <w:rFonts w:ascii="宋体" w:hAnsi="宋体" w:cs="宋体" w:eastAsia="宋体" w:hint="default"/>
          <w:b/>
          <w:bCs/>
          <w:spacing w:val="-84"/>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638" w:footer="978" w:top="1440" w:bottom="1160" w:left="1020" w:right="1020"/>
          <w:pgNumType w:start="1"/>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Heading1"/>
        <w:spacing w:line="240" w:lineRule="auto"/>
        <w:ind w:left="2749" w:right="2909"/>
        <w:jc w:val="center"/>
        <w:rPr>
          <w:b w:val="0"/>
          <w:bCs w:val="0"/>
        </w:rPr>
      </w:pPr>
      <w:r>
        <w:rPr/>
        <w:t>第一节</w:t>
      </w:r>
      <w:r>
        <w:rPr>
          <w:spacing w:val="-11"/>
        </w:rPr>
        <w:t> </w:t>
      </w:r>
      <w:r>
        <w:rPr/>
        <w:t>重要提示、目录和释义</w:t>
      </w:r>
      <w:r>
        <w:rPr>
          <w:b w:val="0"/>
          <w:bCs w:val="0"/>
        </w:rPr>
      </w:r>
    </w:p>
    <w:p>
      <w:pPr>
        <w:spacing w:line="240" w:lineRule="auto" w:before="9"/>
        <w:rPr>
          <w:rFonts w:ascii="宋体" w:hAnsi="宋体" w:cs="宋体" w:eastAsia="宋体" w:hint="default"/>
          <w:b/>
          <w:bCs/>
          <w:sz w:val="44"/>
          <w:szCs w:val="44"/>
        </w:rPr>
      </w:pPr>
    </w:p>
    <w:p>
      <w:pPr>
        <w:pStyle w:val="Heading2"/>
        <w:spacing w:line="357" w:lineRule="auto"/>
        <w:ind w:right="97" w:firstLine="480"/>
        <w:jc w:val="left"/>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38" w:lineRule="auto" w:before="137"/>
        <w:ind w:right="97" w:firstLine="480"/>
        <w:jc w:val="left"/>
        <w:rPr>
          <w:b w:val="0"/>
          <w:bCs w:val="0"/>
        </w:rPr>
      </w:pPr>
      <w:r>
        <w:rPr>
          <w:spacing w:val="3"/>
          <w:w w:val="95"/>
        </w:rPr>
        <w:t>公司负责人付永全、主管会计工作负责人冯丽及会计机构负责人</w:t>
      </w:r>
      <w:r>
        <w:rPr>
          <w:rFonts w:ascii="Times New Roman" w:hAnsi="Times New Roman" w:cs="Times New Roman" w:eastAsia="Times New Roman" w:hint="default"/>
          <w:spacing w:val="3"/>
          <w:w w:val="95"/>
        </w:rPr>
        <w:t>(</w:t>
      </w:r>
      <w:r>
        <w:rPr>
          <w:spacing w:val="3"/>
          <w:w w:val="95"/>
        </w:rPr>
        <w:t>会计主管人员</w:t>
      </w:r>
      <w:r>
        <w:rPr>
          <w:rFonts w:ascii="Times New Roman" w:hAnsi="Times New Roman" w:cs="Times New Roman" w:eastAsia="Times New Roman" w:hint="default"/>
          <w:spacing w:val="3"/>
          <w:w w:val="95"/>
        </w:rPr>
        <w:t>)</w:t>
      </w:r>
      <w:r>
        <w:rPr>
          <w:spacing w:val="3"/>
          <w:w w:val="95"/>
        </w:rPr>
        <w:t>朱迎秋</w:t>
      </w:r>
      <w:r>
        <w:rPr>
          <w:w w:val="99"/>
        </w:rPr>
        <w:t> </w:t>
      </w:r>
      <w:r>
        <w:rPr/>
        <w:t>声明：保证年度报告中财务报告的真实、准确、完整。</w:t>
      </w:r>
      <w:r>
        <w:rPr>
          <w:b w:val="0"/>
          <w:bCs w:val="0"/>
        </w:rPr>
      </w:r>
    </w:p>
    <w:p>
      <w:pPr>
        <w:pStyle w:val="Heading2"/>
        <w:spacing w:line="432" w:lineRule="auto" w:before="156"/>
        <w:ind w:left="592" w:right="97"/>
        <w:jc w:val="left"/>
        <w:rPr>
          <w:b w:val="0"/>
          <w:bCs w:val="0"/>
        </w:rPr>
      </w:pPr>
      <w:r>
        <w:rPr/>
        <w:t>所有董事均已出席了审议本报告的董事会会议。</w:t>
      </w:r>
      <w:r>
        <w:rPr>
          <w:w w:val="99"/>
        </w:rPr>
        <w:t> </w:t>
      </w:r>
      <w:r>
        <w:rPr/>
        <w:t>本报告中所涉及的有关公司未来发展等前瞻性陈述，不构成公司对投资者的实际承诺，</w:t>
      </w:r>
      <w:r>
        <w:rPr>
          <w:b w:val="0"/>
          <w:bCs w:val="0"/>
        </w:rPr>
      </w:r>
    </w:p>
    <w:p>
      <w:pPr>
        <w:pStyle w:val="Heading2"/>
        <w:spacing w:line="276" w:lineRule="exact"/>
        <w:ind w:right="97"/>
        <w:jc w:val="left"/>
        <w:rPr>
          <w:b w:val="0"/>
          <w:bCs w:val="0"/>
        </w:rPr>
      </w:pPr>
      <w:r>
        <w:rPr/>
        <w:t>请广大投资者注意投资风险。其他风险提示如下：</w:t>
      </w:r>
      <w:r>
        <w:rPr>
          <w:b w:val="0"/>
          <w:bCs w:val="0"/>
        </w:rPr>
      </w:r>
    </w:p>
    <w:p>
      <w:pPr>
        <w:spacing w:line="240" w:lineRule="auto" w:before="6"/>
        <w:rPr>
          <w:rFonts w:ascii="宋体" w:hAnsi="宋体" w:cs="宋体" w:eastAsia="宋体" w:hint="default"/>
          <w:b/>
          <w:bCs/>
          <w:sz w:val="19"/>
          <w:szCs w:val="19"/>
        </w:rPr>
      </w:pPr>
    </w:p>
    <w:p>
      <w:pPr>
        <w:pStyle w:val="Heading2"/>
        <w:spacing w:line="410" w:lineRule="auto"/>
        <w:ind w:left="592" w:right="97"/>
        <w:jc w:val="left"/>
        <w:rPr>
          <w:b w:val="0"/>
          <w:bCs w:val="0"/>
        </w:rPr>
      </w:pPr>
      <w:r>
        <w:rPr>
          <w:rFonts w:ascii="Times New Roman" w:hAnsi="Times New Roman" w:cs="Times New Roman" w:eastAsia="Times New Roman" w:hint="default"/>
        </w:rPr>
        <w:t>1</w:t>
      </w:r>
      <w:r>
        <w:rPr/>
        <w:t>、市场竞争风险</w:t>
      </w:r>
      <w:r>
        <w:rPr>
          <w:w w:val="99"/>
        </w:rPr>
        <w:t> </w:t>
      </w:r>
      <w:r>
        <w:rPr/>
        <w:t>经过多年的努力与积累，公司的战略转型工作已经取得了实质性的进展。随着上海米健</w:t>
      </w:r>
      <w:r>
        <w:rPr>
          <w:b w:val="0"/>
          <w:bCs w:val="0"/>
        </w:rPr>
      </w:r>
    </w:p>
    <w:p>
      <w:pPr>
        <w:pStyle w:val="Heading2"/>
        <w:spacing w:line="298" w:lineRule="exact"/>
        <w:ind w:right="97"/>
        <w:jc w:val="left"/>
        <w:rPr>
          <w:b w:val="0"/>
          <w:bCs w:val="0"/>
        </w:rPr>
      </w:pPr>
      <w:r>
        <w:rPr/>
        <w:t>的收购完成，公司成长为医疗信息化细分领域的优势企业。但随着客户需求的不断升级，市</w:t>
      </w:r>
      <w:r>
        <w:rPr>
          <w:b w:val="0"/>
          <w:bCs w:val="0"/>
        </w:rPr>
      </w:r>
    </w:p>
    <w:p>
      <w:pPr>
        <w:pStyle w:val="Heading2"/>
        <w:spacing w:line="357" w:lineRule="auto" w:before="154"/>
        <w:ind w:right="237"/>
        <w:jc w:val="both"/>
        <w:rPr>
          <w:b w:val="0"/>
          <w:bCs w:val="0"/>
        </w:rPr>
      </w:pPr>
      <w:r>
        <w:rPr/>
        <w:t>场竞争者不断增多，行业竞争将进一步加剧。如果公司不能及时进行技术创新和业务模式创</w:t>
      </w:r>
      <w:r>
        <w:rPr>
          <w:spacing w:val="-97"/>
        </w:rPr>
        <w:t> </w:t>
      </w:r>
      <w:r>
        <w:rPr>
          <w:spacing w:val="-97"/>
        </w:rPr>
      </w:r>
      <w:r>
        <w:rPr/>
        <w:t>新以提高公司竞争力，公司则存在被竞争对手超越的风险。针对此风险，在产品技术方面，</w:t>
      </w:r>
      <w:r>
        <w:rPr>
          <w:spacing w:val="-97"/>
        </w:rPr>
        <w:t> </w:t>
      </w:r>
      <w:r>
        <w:rPr>
          <w:spacing w:val="-97"/>
        </w:rPr>
      </w:r>
      <w:r>
        <w:rPr/>
        <w:t>公司大力投入，进行差异化创新，力争在细分领域处于全国领先水平；在业务模式方面，逐</w:t>
      </w:r>
      <w:r>
        <w:rPr>
          <w:spacing w:val="-97"/>
        </w:rPr>
        <w:t> </w:t>
      </w:r>
      <w:r>
        <w:rPr>
          <w:spacing w:val="-97"/>
        </w:rPr>
      </w:r>
      <w:r>
        <w:rPr/>
        <w:t>步探索新的服务模式，不断提升用户黏性和荣科的品牌价值。</w:t>
      </w:r>
      <w:r>
        <w:rPr>
          <w:b w:val="0"/>
          <w:bCs w:val="0"/>
        </w:rPr>
      </w:r>
    </w:p>
    <w:p>
      <w:pPr>
        <w:pStyle w:val="Heading2"/>
        <w:spacing w:line="410" w:lineRule="auto" w:before="134"/>
        <w:ind w:left="592" w:right="97"/>
        <w:jc w:val="left"/>
        <w:rPr>
          <w:b w:val="0"/>
          <w:bCs w:val="0"/>
        </w:rPr>
      </w:pPr>
      <w:r>
        <w:rPr>
          <w:rFonts w:ascii="Times New Roman" w:hAnsi="Times New Roman" w:cs="Times New Roman" w:eastAsia="Times New Roman" w:hint="default"/>
        </w:rPr>
        <w:t>2</w:t>
      </w:r>
      <w:r>
        <w:rPr/>
        <w:t>、季节性波动的风险</w:t>
      </w:r>
      <w:r>
        <w:rPr>
          <w:w w:val="99"/>
        </w:rPr>
        <w:t> </w:t>
      </w:r>
      <w:r>
        <w:rPr/>
        <w:t>公司的主要客户集中在社保医疗、金融、教育、电力、电信等行业及政府部门，这些客</w:t>
      </w:r>
      <w:r>
        <w:rPr>
          <w:b w:val="0"/>
          <w:bCs w:val="0"/>
        </w:rPr>
      </w:r>
    </w:p>
    <w:p>
      <w:pPr>
        <w:pStyle w:val="Heading2"/>
        <w:spacing w:line="298" w:lineRule="exact"/>
        <w:ind w:right="97"/>
        <w:jc w:val="left"/>
        <w:rPr>
          <w:b w:val="0"/>
          <w:bCs w:val="0"/>
        </w:rPr>
      </w:pPr>
      <w:r>
        <w:rPr/>
        <w:t>户通常采取预算管理和产品集中采购制度，一般为当年四季度及次年一季度制订次年年度预</w:t>
      </w:r>
      <w:r>
        <w:rPr>
          <w:b w:val="0"/>
          <w:bCs w:val="0"/>
        </w:rPr>
      </w:r>
    </w:p>
    <w:p>
      <w:pPr>
        <w:pStyle w:val="Heading2"/>
        <w:spacing w:line="357" w:lineRule="auto" w:before="154"/>
        <w:ind w:right="97"/>
        <w:jc w:val="left"/>
        <w:rPr>
          <w:b w:val="0"/>
          <w:bCs w:val="0"/>
        </w:rPr>
      </w:pPr>
      <w:r>
        <w:rPr/>
        <w:t>算和投资计划，立项、招标通常集中在次年上半年，其招标、采购和实施具有明显的季节性</w:t>
      </w:r>
      <w:r>
        <w:rPr>
          <w:spacing w:val="-97"/>
        </w:rPr>
        <w:t> </w:t>
      </w:r>
      <w:r>
        <w:rPr>
          <w:spacing w:val="-97"/>
        </w:rPr>
      </w:r>
      <w:r>
        <w:rPr/>
        <w:t>特征。公司除运营维护服务，其余各项业务受到客户的预算管理制度、招投标流程和项目实</w:t>
      </w:r>
      <w:r>
        <w:rPr>
          <w:spacing w:val="-97"/>
        </w:rPr>
        <w:t> </w:t>
      </w:r>
      <w:r>
        <w:rPr>
          <w:spacing w:val="-97"/>
        </w:rPr>
      </w:r>
      <w:r>
        <w:rPr/>
        <w:t>施周期等因素的影响。公司的收入呈现较明显的季节性特征，主要在四季度实现，导致公司</w:t>
      </w:r>
      <w:r>
        <w:rPr>
          <w:spacing w:val="-97"/>
        </w:rPr>
        <w:t> </w:t>
      </w:r>
      <w:r>
        <w:rPr>
          <w:spacing w:val="-97"/>
        </w:rPr>
      </w:r>
      <w:r>
        <w:rPr>
          <w:spacing w:val="-2"/>
        </w:rPr>
        <w:t>存在业绩及经营活动现金流季节性波动的风险。针对此风险，公司将深耕业务线拓展产品线，</w:t>
      </w:r>
      <w:r>
        <w:rPr>
          <w:w w:val="99"/>
        </w:rPr>
        <w:t> </w:t>
      </w:r>
      <w:r>
        <w:rPr/>
        <w:t>平滑业绩波动水平；同时加大回款力度，改善经营活动现金流的季节性波动。</w:t>
      </w:r>
      <w:r>
        <w:rPr>
          <w:b w:val="0"/>
          <w:bCs w:val="0"/>
        </w:rPr>
      </w:r>
    </w:p>
    <w:p>
      <w:pPr>
        <w:pStyle w:val="Heading2"/>
        <w:spacing w:line="408" w:lineRule="auto" w:before="137"/>
        <w:ind w:left="592" w:right="97"/>
        <w:jc w:val="left"/>
        <w:rPr>
          <w:b w:val="0"/>
          <w:bCs w:val="0"/>
        </w:rPr>
      </w:pPr>
      <w:r>
        <w:rPr>
          <w:rFonts w:ascii="Times New Roman" w:hAnsi="Times New Roman" w:cs="Times New Roman" w:eastAsia="Times New Roman" w:hint="default"/>
        </w:rPr>
        <w:t>3</w:t>
      </w:r>
      <w:r>
        <w:rPr/>
        <w:t>、人力资源风险</w:t>
      </w:r>
      <w:r>
        <w:rPr>
          <w:w w:val="99"/>
        </w:rPr>
        <w:t> </w:t>
      </w:r>
      <w:r>
        <w:rPr/>
        <w:t>科技以人为本，公司预实现持续稳定的发展，人才是关键要素之一。随着行业内竞争的</w:t>
      </w:r>
      <w:r>
        <w:rPr>
          <w:b w:val="0"/>
          <w:bCs w:val="0"/>
        </w:rPr>
      </w:r>
    </w:p>
    <w:p>
      <w:pPr>
        <w:pStyle w:val="Heading2"/>
        <w:spacing w:line="300" w:lineRule="exact"/>
        <w:ind w:right="97"/>
        <w:jc w:val="left"/>
        <w:rPr>
          <w:b w:val="0"/>
          <w:bCs w:val="0"/>
        </w:rPr>
      </w:pPr>
      <w:r>
        <w:rPr/>
        <w:t>逐渐加剧，对于高素质人才的争夺会更加激烈，公司可能面临因竞争而流失人才的风险。针</w:t>
      </w:r>
      <w:r>
        <w:rPr>
          <w:b w:val="0"/>
          <w:bCs w:val="0"/>
        </w:rPr>
      </w:r>
    </w:p>
    <w:p>
      <w:pPr>
        <w:spacing w:after="0" w:line="300" w:lineRule="exact"/>
        <w:jc w:val="left"/>
        <w:sectPr>
          <w:pgSz w:w="11910" w:h="16840"/>
          <w:pgMar w:header="638" w:footer="978" w:top="1440" w:bottom="1160" w:left="1020" w:right="860"/>
        </w:sectPr>
      </w:pPr>
    </w:p>
    <w:p>
      <w:pPr>
        <w:spacing w:line="240" w:lineRule="auto" w:before="6"/>
        <w:rPr>
          <w:rFonts w:ascii="宋体" w:hAnsi="宋体" w:cs="宋体" w:eastAsia="宋体" w:hint="default"/>
          <w:b/>
          <w:bCs/>
          <w:sz w:val="29"/>
          <w:szCs w:val="29"/>
        </w:rPr>
      </w:pPr>
      <w:r>
        <w:rPr/>
        <w:pict>
          <v:group style="position:absolute;margin-left:56.34pt;margin-top:31.920025pt;width:482.65pt;height:40.2pt;mso-position-horizontal-relative:page;mso-position-vertical-relative:page;z-index:-822568" coordorigin="1127,638"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52;top:638;width:2160;height:804" type="#_x0000_t75" stroked="false">
                <v:imagedata r:id="rId10" o:title=""/>
              </v:shape>
            </v:group>
            <w10:wrap type="none"/>
          </v:group>
        </w:pict>
      </w:r>
    </w:p>
    <w:p>
      <w:pPr>
        <w:pStyle w:val="Heading2"/>
        <w:spacing w:line="357" w:lineRule="auto" w:before="26"/>
        <w:ind w:right="217"/>
        <w:jc w:val="both"/>
        <w:rPr>
          <w:b w:val="0"/>
          <w:bCs w:val="0"/>
        </w:rPr>
      </w:pPr>
      <w:r>
        <w:rPr/>
        <w:t>对此风险，公司充分发挥人才激励机制，继续提高核心人才的薪酬福利，积极营造良好重才</w:t>
      </w:r>
      <w:r>
        <w:rPr>
          <w:spacing w:val="-97"/>
        </w:rPr>
        <w:t> </w:t>
      </w:r>
      <w:r>
        <w:rPr>
          <w:spacing w:val="-97"/>
        </w:rPr>
      </w:r>
      <w:r>
        <w:rPr/>
        <w:t>爱才氛围，完善职业发展通道，让人才真正得到实惠，人才潜能更大发挥。</w:t>
      </w:r>
      <w:r>
        <w:rPr>
          <w:b w:val="0"/>
          <w:bCs w:val="0"/>
        </w:rPr>
      </w:r>
    </w:p>
    <w:p>
      <w:pPr>
        <w:pStyle w:val="Heading2"/>
        <w:spacing w:line="410" w:lineRule="auto" w:before="137"/>
        <w:ind w:left="592" w:right="0"/>
        <w:jc w:val="left"/>
        <w:rPr>
          <w:b w:val="0"/>
          <w:bCs w:val="0"/>
        </w:rPr>
      </w:pPr>
      <w:r>
        <w:rPr>
          <w:rFonts w:ascii="Times New Roman" w:hAnsi="Times New Roman" w:cs="Times New Roman" w:eastAsia="Times New Roman" w:hint="default"/>
        </w:rPr>
        <w:t>4</w:t>
      </w:r>
      <w:r>
        <w:rPr/>
        <w:t>、应收账款增加风险</w:t>
      </w:r>
      <w:r>
        <w:rPr>
          <w:w w:val="99"/>
        </w:rPr>
        <w:t> </w:t>
      </w:r>
      <w:r>
        <w:rPr/>
        <w:t>公司近年来应收账款随着销售规模的增长而不断增加，应收账款的增加将为公司带来一</w:t>
      </w:r>
      <w:r>
        <w:rPr>
          <w:b w:val="0"/>
          <w:bCs w:val="0"/>
        </w:rPr>
      </w:r>
    </w:p>
    <w:p>
      <w:pPr>
        <w:pStyle w:val="Heading2"/>
        <w:spacing w:line="298" w:lineRule="exact"/>
        <w:ind w:right="0"/>
        <w:jc w:val="both"/>
        <w:rPr>
          <w:b w:val="0"/>
          <w:bCs w:val="0"/>
        </w:rPr>
      </w:pPr>
      <w:r>
        <w:rPr/>
        <w:t>定的风险。公司的主要应收账款集中在金融、社保医疗、政府等资质良好及合作多年的优质</w:t>
      </w:r>
      <w:r>
        <w:rPr>
          <w:b w:val="0"/>
          <w:bCs w:val="0"/>
        </w:rPr>
      </w:r>
    </w:p>
    <w:p>
      <w:pPr>
        <w:pStyle w:val="Heading2"/>
        <w:spacing w:line="357" w:lineRule="auto" w:before="154"/>
        <w:ind w:right="217"/>
        <w:jc w:val="both"/>
        <w:rPr>
          <w:b w:val="0"/>
          <w:bCs w:val="0"/>
        </w:rPr>
      </w:pPr>
      <w:r>
        <w:rPr/>
        <w:t>客户，资金回收保障较高，但随着销售规模的不断增加仍存在一定的风险。针对此风险，公</w:t>
      </w:r>
      <w:r>
        <w:rPr>
          <w:spacing w:val="-97"/>
        </w:rPr>
        <w:t> </w:t>
      </w:r>
      <w:r>
        <w:rPr>
          <w:spacing w:val="-97"/>
        </w:rPr>
      </w:r>
      <w:r>
        <w:rPr/>
        <w:t>司管理层将持续加强应收账款的管理工作，加大应收账款的催收和绩效考核力度，实现对应</w:t>
      </w:r>
      <w:r>
        <w:rPr>
          <w:spacing w:val="-97"/>
        </w:rPr>
        <w:t> </w:t>
      </w:r>
      <w:r>
        <w:rPr>
          <w:spacing w:val="-97"/>
        </w:rPr>
      </w:r>
      <w:r>
        <w:rPr/>
        <w:t>收账款的有效控制，进一步提升资金运营效率。同时，做好客户信用风险评估管理工作，并</w:t>
      </w:r>
      <w:r>
        <w:rPr>
          <w:spacing w:val="-97"/>
        </w:rPr>
        <w:t> </w:t>
      </w:r>
      <w:r>
        <w:rPr>
          <w:spacing w:val="-97"/>
        </w:rPr>
      </w:r>
      <w:r>
        <w:rPr/>
        <w:t>对应收账款回收情况有效监督和控制。</w:t>
      </w:r>
      <w:r>
        <w:rPr>
          <w:b w:val="0"/>
          <w:bCs w:val="0"/>
        </w:rPr>
      </w:r>
    </w:p>
    <w:p>
      <w:pPr>
        <w:pStyle w:val="Heading2"/>
        <w:spacing w:line="410" w:lineRule="auto" w:before="134"/>
        <w:ind w:left="592" w:right="0"/>
        <w:jc w:val="left"/>
        <w:rPr>
          <w:b w:val="0"/>
          <w:bCs w:val="0"/>
        </w:rPr>
      </w:pPr>
      <w:r>
        <w:rPr>
          <w:rFonts w:ascii="Times New Roman" w:hAnsi="Times New Roman" w:cs="Times New Roman" w:eastAsia="Times New Roman" w:hint="default"/>
        </w:rPr>
        <w:t>5</w:t>
      </w:r>
      <w:r>
        <w:rPr/>
        <w:t>、并购与整合风险</w:t>
      </w:r>
      <w:r>
        <w:rPr>
          <w:w w:val="99"/>
        </w:rPr>
        <w:t> </w:t>
      </w:r>
      <w:r>
        <w:rPr/>
        <w:t>报告期内，公司股东大会审议通过了以发行股份购买资产并募集配套资金的方式收购北</w:t>
      </w:r>
      <w:r>
        <w:rPr>
          <w:b w:val="0"/>
          <w:bCs w:val="0"/>
        </w:rPr>
      </w:r>
    </w:p>
    <w:p>
      <w:pPr>
        <w:pStyle w:val="Heading2"/>
        <w:spacing w:line="316" w:lineRule="exact"/>
        <w:ind w:right="0"/>
        <w:jc w:val="both"/>
        <w:rPr>
          <w:b w:val="0"/>
          <w:bCs w:val="0"/>
        </w:rPr>
      </w:pPr>
      <w:r>
        <w:rPr/>
        <w:t>京神州视翰科技股份有限公司的议案，并在</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月收到了中国证监会的相关批准文件。</w:t>
      </w:r>
      <w:r>
        <w:rPr>
          <w:b w:val="0"/>
          <w:bCs w:val="0"/>
        </w:rPr>
      </w:r>
    </w:p>
    <w:p>
      <w:pPr>
        <w:pStyle w:val="Heading2"/>
        <w:spacing w:line="357" w:lineRule="auto" w:before="135"/>
        <w:ind w:right="217"/>
        <w:jc w:val="both"/>
        <w:rPr>
          <w:b w:val="0"/>
          <w:bCs w:val="0"/>
        </w:rPr>
      </w:pPr>
      <w:r>
        <w:rPr/>
        <w:t>截至本报告出具日，发行股份购买资产暨资产过户和新增股份上市的相关工作已经完成，募</w:t>
      </w:r>
      <w:r>
        <w:rPr>
          <w:spacing w:val="-97"/>
        </w:rPr>
        <w:t> </w:t>
      </w:r>
      <w:r>
        <w:rPr>
          <w:spacing w:val="-97"/>
        </w:rPr>
      </w:r>
      <w:r>
        <w:rPr/>
        <w:t>集配套资金的相关工作尚未开始。</w:t>
      </w:r>
      <w:r>
        <w:rPr>
          <w:b w:val="0"/>
          <w:bCs w:val="0"/>
        </w:rPr>
      </w:r>
    </w:p>
    <w:p>
      <w:pPr>
        <w:pStyle w:val="Heading2"/>
        <w:spacing w:line="355" w:lineRule="auto" w:before="137"/>
        <w:ind w:right="217" w:firstLine="480"/>
        <w:jc w:val="both"/>
        <w:rPr>
          <w:b w:val="0"/>
          <w:bCs w:val="0"/>
        </w:rPr>
      </w:pPr>
      <w:r>
        <w:rPr>
          <w:spacing w:val="-2"/>
          <w:w w:val="95"/>
        </w:rPr>
        <w:t>（</w:t>
      </w:r>
      <w:r>
        <w:rPr>
          <w:rFonts w:ascii="Times New Roman" w:hAnsi="Times New Roman" w:cs="Times New Roman" w:eastAsia="Times New Roman" w:hint="default"/>
          <w:spacing w:val="-2"/>
          <w:w w:val="95"/>
        </w:rPr>
        <w:t>1</w:t>
      </w:r>
      <w:r>
        <w:rPr>
          <w:spacing w:val="-2"/>
          <w:w w:val="95"/>
        </w:rPr>
        <w:t>）本次交易作价较神州视翰的可辨认净资产的公允价值增值较大，根据《企业会计准</w:t>
      </w:r>
      <w:r>
        <w:rPr>
          <w:w w:val="99"/>
        </w:rPr>
        <w:t> </w:t>
      </w:r>
      <w:r>
        <w:rPr/>
        <w:t>则》的相关规定，合并对价超过被合并方可辨认净资产公允价值的部分将确认为商誉。本次</w:t>
      </w:r>
      <w:r>
        <w:rPr>
          <w:spacing w:val="-97"/>
        </w:rPr>
        <w:t> </w:t>
      </w:r>
      <w:r>
        <w:rPr>
          <w:spacing w:val="-97"/>
        </w:rPr>
      </w:r>
      <w:r>
        <w:rPr/>
        <w:t>交易形成的商誉不作摊销处理，但未来每年年末均需进行减值测试。本次交易完成后，公司</w:t>
      </w:r>
      <w:r>
        <w:rPr>
          <w:spacing w:val="-97"/>
        </w:rPr>
        <w:t> </w:t>
      </w:r>
      <w:r>
        <w:rPr>
          <w:spacing w:val="-97"/>
        </w:rPr>
      </w:r>
      <w:r>
        <w:rPr/>
        <w:t>将力争发挥与标的公司在技术、资金、产业链、市场拓展等方面的协同效应，抓住医疗信息</w:t>
      </w:r>
      <w:r>
        <w:rPr>
          <w:spacing w:val="-97"/>
        </w:rPr>
        <w:t> </w:t>
      </w:r>
      <w:r>
        <w:rPr>
          <w:spacing w:val="-97"/>
        </w:rPr>
      </w:r>
      <w:r>
        <w:rPr/>
        <w:t>化行业的良好发展契机，进一步提升标的公司的持续竞争力。但如神州视翰由于宏观经济形</w:t>
      </w:r>
      <w:r>
        <w:rPr>
          <w:spacing w:val="-97"/>
        </w:rPr>
        <w:t> </w:t>
      </w:r>
      <w:r>
        <w:rPr>
          <w:spacing w:val="-97"/>
        </w:rPr>
      </w:r>
      <w:r>
        <w:rPr/>
        <w:t>势、竞争格局等发生重大不利变化而导致经营状况恶化，则存在商誉减值的风险，从而对公</w:t>
      </w:r>
      <w:r>
        <w:rPr>
          <w:spacing w:val="-97"/>
        </w:rPr>
        <w:t> </w:t>
      </w:r>
      <w:r>
        <w:rPr>
          <w:spacing w:val="-97"/>
        </w:rPr>
      </w:r>
      <w:r>
        <w:rPr/>
        <w:t>司净利润产生不利影响。</w:t>
      </w:r>
      <w:r>
        <w:rPr>
          <w:b w:val="0"/>
          <w:bCs w:val="0"/>
        </w:rPr>
      </w:r>
    </w:p>
    <w:p>
      <w:pPr>
        <w:pStyle w:val="Heading2"/>
        <w:spacing w:line="240" w:lineRule="auto" w:before="137"/>
        <w:ind w:left="592" w:right="0"/>
        <w:jc w:val="left"/>
        <w:rPr>
          <w:b w:val="0"/>
          <w:bCs w:val="0"/>
        </w:rPr>
      </w:pPr>
      <w:r>
        <w:rPr/>
        <w:t>除此之外，公司并购的其他企业同样存在商誉减值的风险。</w:t>
      </w:r>
      <w:r>
        <w:rPr>
          <w:b w:val="0"/>
          <w:bCs w:val="0"/>
        </w:rPr>
      </w:r>
    </w:p>
    <w:p>
      <w:pPr>
        <w:spacing w:line="240" w:lineRule="auto" w:before="6"/>
        <w:rPr>
          <w:rFonts w:ascii="宋体" w:hAnsi="宋体" w:cs="宋体" w:eastAsia="宋体" w:hint="default"/>
          <w:b/>
          <w:bCs/>
          <w:sz w:val="19"/>
          <w:szCs w:val="19"/>
        </w:rPr>
      </w:pPr>
    </w:p>
    <w:p>
      <w:pPr>
        <w:pStyle w:val="Heading2"/>
        <w:spacing w:line="352" w:lineRule="auto"/>
        <w:ind w:right="214" w:firstLine="480"/>
        <w:jc w:val="both"/>
        <w:rPr>
          <w:b w:val="0"/>
          <w:bCs w:val="0"/>
        </w:rPr>
      </w:pPr>
      <w:r>
        <w:rPr/>
        <w:t>（</w:t>
      </w:r>
      <w:r>
        <w:rPr>
          <w:rFonts w:ascii="Times New Roman" w:hAnsi="Times New Roman" w:cs="Times New Roman" w:eastAsia="Times New Roman" w:hint="default"/>
        </w:rPr>
        <w:t>2</w:t>
      </w:r>
      <w:r>
        <w:rPr/>
        <w:t>）公司收购神州视翰</w:t>
      </w:r>
      <w:r>
        <w:rPr>
          <w:spacing w:val="-65"/>
        </w:rPr>
        <w:t> </w:t>
      </w:r>
      <w:r>
        <w:rPr>
          <w:rFonts w:ascii="Times New Roman" w:hAnsi="Times New Roman" w:cs="Times New Roman" w:eastAsia="Times New Roman" w:hint="default"/>
          <w:spacing w:val="-3"/>
        </w:rPr>
        <w:t>100%</w:t>
      </w:r>
      <w:r>
        <w:rPr>
          <w:spacing w:val="-3"/>
        </w:rPr>
        <w:t>股权属于非同一控制下企业合并，根据《企业会计准则</w:t>
      </w:r>
      <w:r>
        <w:rPr>
          <w:spacing w:val="-67"/>
        </w:rPr>
        <w:t> </w:t>
      </w:r>
      <w:r>
        <w:rPr>
          <w:rFonts w:ascii="Times New Roman" w:hAnsi="Times New Roman" w:cs="Times New Roman" w:eastAsia="Times New Roman" w:hint="default"/>
        </w:rPr>
        <w:t>20 </w:t>
      </w:r>
      <w:r>
        <w:rPr>
          <w:spacing w:val="-5"/>
          <w:w w:val="99"/>
        </w:rPr>
        <w:t>号—企业合并》，编制合并财务报表时，应当以购买日确定的各项可辨认资产、负债及或有负</w:t>
      </w:r>
      <w:r>
        <w:rPr>
          <w:spacing w:val="-91"/>
          <w:w w:val="99"/>
        </w:rPr>
        <w:t> </w:t>
      </w:r>
      <w:r>
        <w:rPr>
          <w:spacing w:val="-91"/>
          <w:w w:val="99"/>
        </w:rPr>
      </w:r>
      <w:r>
        <w:rPr/>
        <w:t>债的公允价值为基础对子公司的财务报表进行调整。在合并报表层面，神州视翰可辨认资产</w:t>
      </w:r>
      <w:r>
        <w:rPr>
          <w:spacing w:val="-97"/>
        </w:rPr>
        <w:t> </w:t>
      </w:r>
      <w:r>
        <w:rPr>
          <w:spacing w:val="-97"/>
        </w:rPr>
      </w:r>
      <w:r>
        <w:rPr/>
        <w:t>按照公允价值进行确认，按照该资产预计使用年限进行折旧或摊销。因此，神州视翰无形资</w:t>
      </w:r>
      <w:r>
        <w:rPr>
          <w:spacing w:val="-97"/>
        </w:rPr>
        <w:t> </w:t>
      </w:r>
      <w:r>
        <w:rPr>
          <w:spacing w:val="-97"/>
        </w:rPr>
      </w:r>
      <w:r>
        <w:rPr/>
        <w:t>产的公允价值与账面价值之间增值部分的摊销额将降低收购完成后公司合并报表业绩。</w:t>
      </w:r>
      <w:r>
        <w:rPr>
          <w:b w:val="0"/>
          <w:bCs w:val="0"/>
        </w:rPr>
      </w:r>
    </w:p>
    <w:p>
      <w:pPr>
        <w:pStyle w:val="Heading2"/>
        <w:spacing w:line="240" w:lineRule="auto" w:before="142"/>
        <w:ind w:left="592" w:right="0"/>
        <w:jc w:val="left"/>
        <w:rPr>
          <w:b w:val="0"/>
          <w:bCs w:val="0"/>
        </w:rPr>
      </w:pPr>
      <w:r>
        <w:rPr/>
        <w:t>（</w:t>
      </w:r>
      <w:r>
        <w:rPr>
          <w:rFonts w:ascii="Times New Roman" w:hAnsi="Times New Roman" w:cs="Times New Roman" w:eastAsia="Times New Roman" w:hint="default"/>
        </w:rPr>
        <w:t>3</w:t>
      </w:r>
      <w:r>
        <w:rPr/>
        <w:t>）本次交易完成后，神州视翰成为公司的全资子公司，公司的资产规模和业务范围都</w:t>
      </w:r>
      <w:r>
        <w:rPr>
          <w:b w:val="0"/>
          <w:bCs w:val="0"/>
        </w:rPr>
      </w:r>
    </w:p>
    <w:p>
      <w:pPr>
        <w:spacing w:after="0" w:line="240" w:lineRule="auto"/>
        <w:jc w:val="left"/>
        <w:sectPr>
          <w:headerReference w:type="default" r:id="rId8"/>
          <w:footerReference w:type="default" r:id="rId9"/>
          <w:pgSz w:w="11910" w:h="16840"/>
          <w:pgMar w:header="868" w:footer="978" w:top="1060" w:bottom="1160" w:left="1020" w:right="880"/>
          <w:pgNumType w:start="3"/>
        </w:sectPr>
      </w:pPr>
    </w:p>
    <w:p>
      <w:pPr>
        <w:spacing w:line="240" w:lineRule="auto" w:before="6"/>
        <w:rPr>
          <w:rFonts w:ascii="宋体" w:hAnsi="宋体" w:cs="宋体" w:eastAsia="宋体" w:hint="default"/>
          <w:b/>
          <w:bCs/>
          <w:sz w:val="29"/>
          <w:szCs w:val="29"/>
        </w:rPr>
      </w:pPr>
      <w:r>
        <w:rPr/>
        <w:pict>
          <v:group style="position:absolute;margin-left:56.34pt;margin-top:31.920025pt;width:482.65pt;height:40.2pt;mso-position-horizontal-relative:page;mso-position-vertical-relative:page;z-index:1072" coordorigin="1127,638"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52;top:638;width:2160;height:804" type="#_x0000_t75" stroked="false">
                <v:imagedata r:id="rId10" o:title=""/>
              </v:shape>
            </v:group>
            <w10:wrap type="none"/>
          </v:group>
        </w:pict>
      </w:r>
    </w:p>
    <w:p>
      <w:pPr>
        <w:pStyle w:val="Heading2"/>
        <w:spacing w:line="357" w:lineRule="auto" w:before="26"/>
        <w:ind w:right="217"/>
        <w:jc w:val="both"/>
        <w:rPr>
          <w:b w:val="0"/>
          <w:bCs w:val="0"/>
        </w:rPr>
      </w:pPr>
      <w:r>
        <w:rPr/>
        <w:t>将扩大，通过发挥协同效应，将提升公司的盈利能力和核心竞争力。未来，公司将会对其进</w:t>
      </w:r>
      <w:r>
        <w:rPr>
          <w:spacing w:val="-97"/>
        </w:rPr>
        <w:t> </w:t>
      </w:r>
      <w:r>
        <w:rPr>
          <w:spacing w:val="-97"/>
        </w:rPr>
      </w:r>
      <w:r>
        <w:rPr/>
        <w:t>行业务体系、组织机构、营销网络、管理制度、技术研发、人力资源、财务融资、企业文化</w:t>
      </w:r>
      <w:r>
        <w:rPr>
          <w:spacing w:val="-97"/>
        </w:rPr>
        <w:t> </w:t>
      </w:r>
      <w:r>
        <w:rPr>
          <w:spacing w:val="-97"/>
        </w:rPr>
      </w:r>
      <w:r>
        <w:rPr/>
        <w:t>等方面的整合，以实现优势互补、发挥协同效应、提高整合绩效。但如果本次整合不能达到</w:t>
      </w:r>
      <w:r>
        <w:rPr>
          <w:spacing w:val="-97"/>
        </w:rPr>
        <w:t> </w:t>
      </w:r>
      <w:r>
        <w:rPr>
          <w:spacing w:val="-97"/>
        </w:rPr>
      </w:r>
      <w:r>
        <w:rPr/>
        <w:t>预期效果，将会对公司的经营和股东的利益产生不利影响。</w:t>
      </w:r>
      <w:r>
        <w:rPr>
          <w:b w:val="0"/>
          <w:bCs w:val="0"/>
        </w:rPr>
      </w:r>
    </w:p>
    <w:p>
      <w:pPr>
        <w:pStyle w:val="Heading2"/>
        <w:spacing w:line="240" w:lineRule="auto" w:before="137"/>
        <w:ind w:left="592" w:right="0"/>
        <w:jc w:val="left"/>
        <w:rPr>
          <w:b w:val="0"/>
          <w:bCs w:val="0"/>
        </w:rPr>
      </w:pPr>
      <w:r>
        <w:rPr>
          <w:spacing w:val="4"/>
        </w:rPr>
        <w:t>公司经本次董事会审议通过的利润分配预案为：以截止</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日公司总股本</w:t>
      </w:r>
      <w:r>
        <w:rPr>
          <w:b w:val="0"/>
          <w:bCs w:val="0"/>
          <w:spacing w:val="3"/>
        </w:rPr>
      </w:r>
    </w:p>
    <w:p>
      <w:pPr>
        <w:pStyle w:val="Heading2"/>
        <w:spacing w:line="240" w:lineRule="auto" w:before="135"/>
        <w:ind w:right="0"/>
        <w:jc w:val="both"/>
        <w:rPr>
          <w:b w:val="0"/>
          <w:bCs w:val="0"/>
        </w:rPr>
      </w:pPr>
      <w:r>
        <w:rPr>
          <w:rFonts w:ascii="Times New Roman" w:hAnsi="Times New Roman" w:cs="Times New Roman" w:eastAsia="Times New Roman" w:hint="default"/>
        </w:rPr>
        <w:t>321,429,652 </w:t>
      </w:r>
      <w:r>
        <w:rPr>
          <w:spacing w:val="2"/>
          <w:w w:val="99"/>
        </w:rPr>
        <w:t>股</w:t>
      </w:r>
      <w:r>
        <w:rPr>
          <w:w w:val="99"/>
        </w:rPr>
        <w:t>为</w:t>
      </w:r>
      <w:r>
        <w:rPr>
          <w:spacing w:val="2"/>
          <w:w w:val="99"/>
        </w:rPr>
        <w:t>基数</w:t>
      </w:r>
      <w:r>
        <w:rPr>
          <w:spacing w:val="-84"/>
          <w:w w:val="99"/>
        </w:rPr>
        <w:t>，</w:t>
      </w:r>
      <w:r>
        <w:rPr>
          <w:spacing w:val="2"/>
          <w:w w:val="99"/>
        </w:rPr>
        <w:t>向</w:t>
      </w:r>
      <w:r>
        <w:rPr>
          <w:w w:val="99"/>
        </w:rPr>
        <w:t>全</w:t>
      </w:r>
      <w:r>
        <w:rPr>
          <w:spacing w:val="2"/>
          <w:w w:val="99"/>
        </w:rPr>
        <w:t>体股</w:t>
      </w:r>
      <w:r>
        <w:rPr>
          <w:w w:val="99"/>
        </w:rPr>
        <w:t>东每</w:t>
      </w:r>
      <w:r>
        <w:rPr>
          <w:spacing w:val="-59"/>
        </w:rPr>
        <w:t> </w:t>
      </w:r>
      <w:r>
        <w:rPr>
          <w:rFonts w:ascii="Times New Roman" w:hAnsi="Times New Roman" w:cs="Times New Roman" w:eastAsia="Times New Roman" w:hint="default"/>
        </w:rPr>
        <w:t>10 </w:t>
      </w:r>
      <w:r>
        <w:rPr>
          <w:spacing w:val="2"/>
          <w:w w:val="99"/>
        </w:rPr>
        <w:t>股</w:t>
      </w:r>
      <w:r>
        <w:rPr>
          <w:w w:val="99"/>
        </w:rPr>
        <w:t>派</w:t>
      </w:r>
      <w:r>
        <w:rPr>
          <w:spacing w:val="2"/>
          <w:w w:val="99"/>
        </w:rPr>
        <w:t>发现</w:t>
      </w:r>
      <w:r>
        <w:rPr>
          <w:w w:val="99"/>
        </w:rPr>
        <w:t>金</w:t>
      </w:r>
      <w:r>
        <w:rPr>
          <w:spacing w:val="2"/>
          <w:w w:val="99"/>
        </w:rPr>
        <w:t>红</w:t>
      </w:r>
      <w:r>
        <w:rPr>
          <w:w w:val="99"/>
        </w:rPr>
        <w:t>利</w:t>
      </w:r>
      <w:r>
        <w:rPr>
          <w:spacing w:val="-59"/>
        </w:rPr>
        <w:t> </w:t>
      </w:r>
      <w:r>
        <w:rPr>
          <w:rFonts w:ascii="Times New Roman" w:hAnsi="Times New Roman" w:cs="Times New Roman" w:eastAsia="Times New Roman" w:hint="default"/>
        </w:rPr>
        <w:t>0.12 </w:t>
      </w:r>
      <w:r>
        <w:rPr>
          <w:spacing w:val="-87"/>
          <w:w w:val="99"/>
        </w:rPr>
        <w:t>元</w:t>
      </w:r>
      <w:r>
        <w:rPr>
          <w:spacing w:val="2"/>
          <w:w w:val="99"/>
        </w:rPr>
        <w:t>（含</w:t>
      </w:r>
      <w:r>
        <w:rPr>
          <w:w w:val="99"/>
        </w:rPr>
        <w:t>税</w:t>
      </w:r>
      <w:r>
        <w:rPr>
          <w:spacing w:val="-118"/>
          <w:w w:val="99"/>
        </w:rPr>
        <w:t>）</w:t>
      </w:r>
      <w:r>
        <w:rPr>
          <w:spacing w:val="-87"/>
          <w:w w:val="99"/>
        </w:rPr>
        <w:t>，</w:t>
      </w:r>
      <w:r>
        <w:rPr>
          <w:spacing w:val="2"/>
          <w:w w:val="99"/>
        </w:rPr>
        <w:t>送</w:t>
      </w:r>
      <w:r>
        <w:rPr>
          <w:w w:val="99"/>
        </w:rPr>
        <w:t>红股</w:t>
      </w:r>
      <w:r>
        <w:rPr>
          <w:spacing w:val="-59"/>
        </w:rPr>
        <w:t> </w:t>
      </w:r>
      <w:r>
        <w:rPr>
          <w:rFonts w:ascii="Times New Roman" w:hAnsi="Times New Roman" w:cs="Times New Roman" w:eastAsia="Times New Roman" w:hint="default"/>
        </w:rPr>
        <w:t>0 </w:t>
      </w:r>
      <w:r>
        <w:rPr>
          <w:spacing w:val="-84"/>
          <w:w w:val="99"/>
        </w:rPr>
        <w:t>股</w:t>
      </w:r>
      <w:r>
        <w:rPr>
          <w:w w:val="99"/>
        </w:rPr>
        <w:t>（</w:t>
      </w:r>
      <w:r>
        <w:rPr>
          <w:spacing w:val="2"/>
          <w:w w:val="99"/>
        </w:rPr>
        <w:t>含</w:t>
      </w:r>
      <w:r>
        <w:rPr>
          <w:w w:val="99"/>
        </w:rPr>
        <w:t>税</w:t>
      </w:r>
      <w:r>
        <w:rPr>
          <w:spacing w:val="-118"/>
          <w:w w:val="99"/>
        </w:rPr>
        <w:t>）</w:t>
      </w:r>
      <w:r>
        <w:rPr>
          <w:w w:val="99"/>
        </w:rPr>
        <w:t>，</w:t>
      </w:r>
      <w:r>
        <w:rPr>
          <w:b w:val="0"/>
          <w:bCs w:val="0"/>
        </w:rPr>
      </w:r>
    </w:p>
    <w:p>
      <w:pPr>
        <w:pStyle w:val="Heading2"/>
        <w:spacing w:line="240" w:lineRule="auto" w:before="135"/>
        <w:ind w:right="0"/>
        <w:jc w:val="both"/>
        <w:rPr>
          <w:b w:val="0"/>
          <w:bCs w:val="0"/>
        </w:rPr>
      </w:pPr>
      <w:r>
        <w:rPr/>
        <w:t>以资本公积金向全体股东每</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63"/>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w:t>
      </w:r>
      <w:r>
        <w:rPr>
          <w:b w:val="0"/>
          <w:bCs w:val="0"/>
        </w:rPr>
      </w:r>
    </w:p>
    <w:p>
      <w:pPr>
        <w:spacing w:after="0" w:line="240" w:lineRule="auto"/>
        <w:jc w:val="both"/>
        <w:sectPr>
          <w:pgSz w:w="11910" w:h="16840"/>
          <w:pgMar w:header="868" w:footer="978" w:top="1060" w:bottom="1160" w:left="1020" w:right="880"/>
        </w:sectPr>
      </w:pPr>
    </w:p>
    <w:p>
      <w:pPr>
        <w:spacing w:line="240" w:lineRule="auto" w:before="0"/>
        <w:rPr>
          <w:rFonts w:ascii="宋体" w:hAnsi="宋体" w:cs="宋体" w:eastAsia="宋体" w:hint="default"/>
          <w:b/>
          <w:bCs/>
          <w:sz w:val="20"/>
          <w:szCs w:val="20"/>
        </w:rPr>
      </w:pPr>
      <w:r>
        <w:rPr/>
        <w:pict>
          <v:group style="position:absolute;margin-left:56.34pt;margin-top:28.320024pt;width:482.65pt;height:40.2pt;mso-position-horizontal-relative:page;mso-position-vertical-relative:page;z-index:1096"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2"/>
        <w:ind w:left="2299" w:right="22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b w:val="0"/>
              <w:bCs w:val="0"/>
            </w:rPr>
          </w:pPr>
          <w:hyperlink w:history="true" w:anchor="_bookmark0">
            <w:r>
              <w:rPr/>
              <w:t>第一节</w:t>
            </w:r>
            <w:r>
              <w:rPr>
                <w:spacing w:val="-2"/>
              </w:rPr>
              <w:t> </w:t>
            </w:r>
            <w:r>
              <w:rPr/>
              <w:t>重要提示、目录和释义</w:t>
            </w:r>
            <w:r>
              <w:rPr>
                <w:rFonts w:ascii="Times New Roman" w:hAnsi="Times New Roman" w:cs="Times New Roman" w:eastAsia="Times New Roman" w:hint="default"/>
                <w:b w:val="0"/>
                <w:bCs w:val="0"/>
              </w:rPr>
            </w:r>
          </w:hyperlink>
          <w:r>
            <w:rPr>
              <w:rFonts w:ascii="Times New Roman" w:hAnsi="Times New Roman" w:cs="Times New Roman" w:eastAsia="Times New Roman" w:hint="default"/>
              <w:b w:val="0"/>
              <w:bCs w:val="0"/>
            </w:rPr>
            <w:tab/>
          </w:r>
          <w:r>
            <w:rPr/>
            <w:t>2</w:t>
          </w:r>
          <w:r>
            <w:rPr>
              <w:b w:val="0"/>
              <w:bCs w:val="0"/>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w:t>
            </w:r>
          </w:hyperlink>
          <w:r>
            <w:rPr/>
            <w:t>6</w:t>
          </w:r>
          <w:r>
            <w:rPr>
              <w:b w:val="0"/>
              <w:bCs w:val="0"/>
            </w:rPr>
          </w:r>
        </w:p>
        <w:p>
          <w:pPr>
            <w:pStyle w:val="TOC1"/>
            <w:tabs>
              <w:tab w:pos="9741" w:val="right" w:leader="dot"/>
            </w:tabs>
            <w:spacing w:line="240" w:lineRule="auto"/>
            <w:ind w:right="0"/>
            <w:jc w:val="left"/>
            <w:rPr>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w:t>
            </w:r>
          </w:hyperlink>
          <w:r>
            <w:rPr/>
            <w:t>4</w:t>
          </w:r>
          <w:r>
            <w:rPr>
              <w:b w:val="0"/>
              <w:bCs w:val="0"/>
            </w:rPr>
          </w:r>
        </w:p>
        <w:p>
          <w:pPr>
            <w:pStyle w:val="TOC1"/>
            <w:tabs>
              <w:tab w:pos="9741" w:val="right" w:leader="dot"/>
            </w:tabs>
            <w:spacing w:line="240" w:lineRule="auto"/>
            <w:ind w:right="0"/>
            <w:jc w:val="left"/>
            <w:rPr>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w:t>
            </w:r>
          </w:hyperlink>
          <w:r>
            <w:rPr/>
            <w:t>6</w:t>
          </w:r>
          <w:r>
            <w:rPr>
              <w:b w:val="0"/>
              <w:bCs w:val="0"/>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2"/>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 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w:t>
            </w:r>
          </w:hyperlink>
          <w:r>
            <w:rPr>
              <w:rFonts w:ascii="Times New Roman" w:hAnsi="Times New Roman" w:cs="Times New Roman" w:eastAsia="Times New Roman" w:hint="default"/>
            </w:rPr>
            <w:t>60</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868" w:footer="978" w:top="1060" w:bottom="1160" w:left="1020" w:right="1020"/>
        </w:sectPr>
      </w:pPr>
    </w:p>
    <w:p>
      <w:pPr>
        <w:spacing w:before="645"/>
        <w:ind w:left="2299" w:right="2299" w:firstLine="0"/>
        <w:jc w:val="center"/>
        <w:rPr>
          <w:rFonts w:ascii="宋体" w:hAnsi="宋体" w:cs="宋体" w:eastAsia="宋体" w:hint="default"/>
          <w:sz w:val="32"/>
          <w:szCs w:val="32"/>
        </w:rPr>
      </w:pPr>
      <w:bookmarkStart w:name="_bookmark0" w:id="1"/>
      <w:bookmarkEnd w:id="1"/>
      <w:r>
        <w:rPr/>
      </w: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本公司、公司、股份公司、荣科、荣科科技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荣科有限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沈阳荣科科技工程有限公司，本公司前身</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享云科技有限责任公司，本公司之全资子公司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上海米健、米健信息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上海米健信息技术有限公司，本公司之控股子公司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财通基金管理有限公司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嘉慧投资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浙江海宁嘉慧投资合伙企业（有限合伙）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中华人民共和国证券监督与管理委员会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中国结算深圳分公司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中国证券登记结算有限公司深圳分公司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荣科科技股份有限公司章程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产业基金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沈阳荣科融拓健康数据产业股权投资合伙企业（有限合伙）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神州视翰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北京神州视翰科技股份有限公司（现已变更为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逐鹿投资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pacing w:val="-3"/>
                <w:sz w:val="18"/>
                <w:szCs w:val="18"/>
              </w:rPr>
              <w:t>宁波梅山保税港区逐鹿投资管理合伙企业（有限合伙），为神州视翰</w:t>
            </w:r>
            <w:r>
              <w:rPr>
                <w:rFonts w:ascii="宋体" w:hAnsi="宋体" w:cs="宋体" w:eastAsia="宋体" w:hint="default"/>
                <w:sz w:val="18"/>
                <w:szCs w:val="18"/>
              </w:rPr>
              <w:t> 股东、本次发行股份及支付现金购买资产的交易对手方之一。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本次重组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发行股份及支付现金并募集配套资金购买北京神州视翰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bl>
    <w:p>
      <w:pPr>
        <w:spacing w:after="0" w:line="240" w:lineRule="auto"/>
        <w:jc w:val="left"/>
        <w:rPr>
          <w:rFonts w:ascii="宋体" w:hAnsi="宋体" w:cs="宋体" w:eastAsia="宋体" w:hint="default"/>
          <w:sz w:val="18"/>
          <w:szCs w:val="18"/>
        </w:rPr>
        <w:sectPr>
          <w:headerReference w:type="default" r:id="rId11"/>
          <w:pgSz w:w="11910" w:h="16840"/>
          <w:pgMar w:header="566" w:footer="978" w:top="1360" w:bottom="1160" w:left="1020" w:right="102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2606" w:right="0"/>
        <w:jc w:val="left"/>
        <w:rPr>
          <w:b w:val="0"/>
          <w:bCs w:val="0"/>
        </w:rPr>
      </w:pPr>
      <w:bookmarkStart w:name="_bookmark1" w:id="2"/>
      <w:bookmarkEnd w:id="2"/>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65pt;margin-top:114.645607pt;width:370.05pt;height:19.7pt;mso-position-horizontal-relative:page;mso-position-vertical-relative:paragraph;z-index:-822496"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171.050003pt;margin-top:114.645607pt;width:364pt;height:19.850pt;mso-position-horizontal-relative:page;mso-position-vertical-relative:paragraph;z-index:-822472" coordorigin="3421,2293" coordsize="7280,397">
            <v:shape style="position:absolute;left:3421;top:2293;width:7280;height:397" coordorigin="3421,2293" coordsize="7280,397" path="m3421,2293l10701,2293,10701,2690,3421,2690,3421,2293xe" filled="true" fillcolor="#ffffff" stroked="false">
              <v:path arrowok="t"/>
              <v:fill type="solid"/>
            </v:shape>
            <w10:wrap type="none"/>
          </v:group>
        </w:pict>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荣科科技</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300290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荣科科技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Bringspring Science and Technology</w:t>
            </w:r>
            <w:r>
              <w:rPr>
                <w:rFonts w:ascii="Times New Roman"/>
                <w:spacing w:val="-31"/>
                <w:sz w:val="18"/>
              </w:rPr>
              <w:t> </w:t>
            </w:r>
            <w:r>
              <w:rPr>
                <w:rFonts w:ascii="Times New Roman"/>
                <w:sz w:val="18"/>
              </w:rPr>
              <w:t>Co.,Ltd.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Bringspring</w:t>
            </w:r>
            <w:r>
              <w:rPr>
                <w:rFonts w:ascii="Times New Roman"/>
                <w:spacing w:val="-6"/>
                <w:sz w:val="18"/>
              </w:rPr>
              <w:t> </w:t>
            </w:r>
            <w:r>
              <w:rPr>
                <w:rFonts w:ascii="Times New Roman"/>
                <w:sz w:val="18"/>
              </w:rPr>
              <w:t>tech.</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付永全</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辽宁省沈阳市沈阳经济技术开发区开发大路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110027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沈阳经济技术开发区开发大路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110027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http://www.bringspring.com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13">
              <w:r>
                <w:rPr>
                  <w:rFonts w:ascii="Times New Roman"/>
                  <w:sz w:val="18"/>
                </w:rPr>
                <w:t>zqtz@bringspring.com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徐蓉蓉</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沈阳经济技术开发区开发大路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沈阳经济技术开发区开发大路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zqtz@bringspring.com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zqtz@bringspring.com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《上海证券报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北京市西城区阜城门外大街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号外经贸大厦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陆红、王逸飞、佟海光</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华西证券股份有限公司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6"/>
              <w:jc w:val="left"/>
              <w:rPr>
                <w:rFonts w:ascii="宋体" w:hAnsi="宋体" w:cs="宋体" w:eastAsia="宋体" w:hint="default"/>
                <w:sz w:val="18"/>
                <w:szCs w:val="18"/>
              </w:rPr>
            </w:pPr>
            <w:r>
              <w:rPr>
                <w:rFonts w:ascii="宋体" w:hAnsi="宋体" w:cs="宋体" w:eastAsia="宋体" w:hint="default"/>
                <w:sz w:val="18"/>
                <w:szCs w:val="18"/>
              </w:rPr>
              <w:t>四川省成都市高新区天府二 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号国窑大厦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袁宗、方维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0"/>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418,657,673.48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502,607,273.30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541,872,970.24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18,820,057.94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32,397,475.63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50,635,453.88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17,400,415.40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32,067,247.98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45,976,761.63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18,674,876.00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49,336,256.58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52,973,661.95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0.0586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0.1008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0.1707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0.0586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0.1008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0.1707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1,054,438,182.89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1,112,066,010.96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1,070,124,752.53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709,654,901.21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882,124,184.49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855,317,558.02</w:t>
            </w:r>
          </w:p>
        </w:tc>
      </w:tr>
    </w:tbl>
    <w:p>
      <w:pPr>
        <w:pStyle w:val="BodyText"/>
        <w:spacing w:line="240" w:lineRule="auto" w:before="51"/>
        <w:ind w:right="0"/>
        <w:jc w:val="left"/>
      </w:pPr>
      <w:r>
        <w:rPr/>
        <w:t>截止披露前一交易日的公司总股本：</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518;height:397" coordorigin="13,13" coordsize="4518,397">
              <v:shape style="position:absolute;left:13;top:13;width:4518;height:397" coordorigin="13,13" coordsize="4518,397" path="m13,13l4531,13,4531,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533;top:5;width:2;height:402" coordorigin="4533,5" coordsize="2,402">
              <v:shape style="position:absolute;left:4533;top:5;width:2;height:402" coordorigin="4533,5" coordsize="0,402" path="m4533,5l453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523;height:402" type="#_x0000_t202" filled="false" stroked="false">
                <v:textbox inset="0,0,0,0">
                  <w:txbxContent>
                    <w:p>
                      <w:pPr>
                        <w:spacing w:before="55"/>
                        <w:ind w:left="27" w:right="0"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xbxContent>
                </v:textbox>
                <w10:wrap type="none"/>
              </v:shape>
              <v:shape style="position:absolute;left:4533;top:10;width:5045;height:402" type="#_x0000_t202" filled="false" stroked="false">
                <v:textbox inset="0,0,0,0">
                  <w:txbxContent>
                    <w:p>
                      <w:pPr>
                        <w:spacing w:before="97"/>
                        <w:ind w:left="0" w:right="26" w:firstLine="0"/>
                        <w:jc w:val="right"/>
                        <w:rPr>
                          <w:rFonts w:ascii="Times New Roman" w:hAnsi="Times New Roman" w:cs="Times New Roman" w:eastAsia="Times New Roman" w:hint="default"/>
                          <w:sz w:val="18"/>
                          <w:szCs w:val="18"/>
                        </w:rPr>
                      </w:pPr>
                      <w:r>
                        <w:rPr>
                          <w:rFonts w:ascii="Times New Roman"/>
                          <w:spacing w:val="-1"/>
                          <w:sz w:val="18"/>
                        </w:rPr>
                        <w:t>338,572,507</w:t>
                      </w:r>
                    </w:p>
                  </w:txbxContent>
                </v:textbox>
                <w10:wrap type="none"/>
              </v:shape>
            </v:group>
          </v:group>
        </w:pict>
      </w:r>
      <w:r>
        <w:rPr>
          <w:rFonts w:ascii="宋体" w:hAnsi="宋体" w:cs="宋体" w:eastAsia="宋体" w:hint="default"/>
          <w:position w:val="-7"/>
          <w:sz w:val="20"/>
          <w:szCs w:val="20"/>
        </w:rPr>
      </w:r>
    </w:p>
    <w:p>
      <w:pPr>
        <w:pStyle w:val="BodyText"/>
        <w:spacing w:line="316" w:lineRule="auto" w:before="51"/>
        <w:ind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8"/>
        <w:rPr>
          <w:rFonts w:ascii="宋体" w:hAnsi="宋体" w:cs="宋体" w:eastAsia="宋体" w:hint="default"/>
          <w:sz w:val="6"/>
          <w:szCs w:val="6"/>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518;height:397" coordorigin="13,13" coordsize="4518,397">
              <v:shape style="position:absolute;left:13;top:13;width:4518;height:397" coordorigin="13,13" coordsize="4518,397" path="m13,13l4531,13,4531,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533;top:5;width:2;height:402" coordorigin="4533,5" coordsize="2,402">
              <v:shape style="position:absolute;left:4533;top:5;width:2;height:402" coordorigin="4533,5" coordsize="0,402" path="m4533,5l453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523;height:402" type="#_x0000_t202" filled="false" stroked="false">
                <v:textbox inset="0,0,0,0">
                  <w:txbxContent>
                    <w:p>
                      <w:pPr>
                        <w:spacing w:before="55"/>
                        <w:ind w:left="27" w:right="0" w:firstLine="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9054;top:131;width:4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0.0556</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pgSz w:w="11910" w:h="16840"/>
          <w:pgMar w:header="566" w:footer="978" w:top="1360" w:bottom="1160" w:left="1020" w:right="1020"/>
        </w:sectPr>
      </w:pPr>
    </w:p>
    <w:p>
      <w:pPr>
        <w:spacing w:line="240" w:lineRule="auto" w:before="8"/>
        <w:rPr>
          <w:rFonts w:ascii="宋体" w:hAnsi="宋体" w:cs="宋体" w:eastAsia="宋体" w:hint="default"/>
          <w:sz w:val="23"/>
          <w:szCs w:val="23"/>
        </w:rPr>
      </w:pPr>
      <w:r>
        <w:rPr/>
        <w:pict>
          <v:group style="position:absolute;margin-left:56.34pt;margin-top:28.320024pt;width:482.65pt;height:40.2pt;mso-position-horizontal-relative:page;mso-position-vertical-relative:page;z-index:-822304"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Heading2"/>
        <w:spacing w:line="240" w:lineRule="auto" w:before="26"/>
        <w:ind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86,521,659.77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86,722,177.38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80,600,216.21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164,813,620.12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3,593,709.79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12,635,955.32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-4,597,306.46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7,187,699.29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3,591,310.88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12,639,845.44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-4,914,013.75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6,083,272.83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-108,188,240.59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50,902,365.50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-21,002,715.57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96,963,466.66</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3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1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-17,788.16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-485,034.38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244,728.68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1,625,660.00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1,039,198.00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5,196,900.00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-21,161.10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-107,701.22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39,717.66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167,068.20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41,753.33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822,654.09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74,481.42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1,419,642.54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330,227.65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4,658,692.25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3"/>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headerReference w:type="default" r:id="rId15"/>
          <w:pgSz w:w="11910" w:h="16840"/>
          <w:pgMar w:header="868" w:footer="978" w:top="1060" w:bottom="1160" w:left="1020" w:right="1020"/>
        </w:sectPr>
      </w:pPr>
    </w:p>
    <w:p>
      <w:pPr>
        <w:spacing w:line="240" w:lineRule="auto" w:before="12"/>
        <w:rPr>
          <w:rFonts w:ascii="宋体" w:hAnsi="宋体" w:cs="宋体" w:eastAsia="宋体" w:hint="default"/>
          <w:sz w:val="25"/>
          <w:szCs w:val="25"/>
        </w:rPr>
      </w:pPr>
      <w:r>
        <w:rPr/>
        <w:pict>
          <v:group style="position:absolute;margin-left:56.34pt;margin-top:28.320024pt;width:482.65pt;height:40.2pt;mso-position-horizontal-relative:page;mso-position-vertical-relative:page;z-index:1336"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BodyText"/>
        <w:spacing w:line="240" w:lineRule="auto" w:before="44"/>
        <w:ind w:right="0"/>
        <w:jc w:val="left"/>
      </w:pPr>
      <w:r>
        <w:rPr/>
        <w:t>说明原因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9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footerReference w:type="default" r:id="rId16"/>
          <w:pgSz w:w="11910" w:h="16840"/>
          <w:pgMar w:footer="978" w:header="868" w:top="1060" w:bottom="1160" w:left="1020" w:right="1020"/>
          <w:pgNumType w:start="1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80"/>
        <w:jc w:val="center"/>
        <w:rPr>
          <w:b w:val="0"/>
          <w:bCs w:val="0"/>
        </w:rPr>
      </w:pPr>
      <w:bookmarkStart w:name="_bookmark2" w:id="3"/>
      <w:bookmarkEnd w:id="3"/>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t>（一）主要业务</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94" w:firstLine="360"/>
        <w:jc w:val="left"/>
      </w:pPr>
      <w:r>
        <w:rPr>
          <w:spacing w:val="-2"/>
        </w:rPr>
        <w:t>报告期内，公司所从事的主要业务为智慧医疗、健康数据和智能融合云两个板块。智慧医疗、健康数据业务板块，主要</w:t>
      </w:r>
      <w:r>
        <w:rPr/>
        <w:t> </w:t>
      </w:r>
      <w:r>
        <w:rPr>
          <w:spacing w:val="-4"/>
        </w:rPr>
        <w:t>是基于临床信息化细分产品和健康大数据平台，为客户提供标准、高效的医疗信息化软件产品和服务；智能融合云业务板块，</w:t>
      </w:r>
      <w:r>
        <w:rPr>
          <w:spacing w:val="-40"/>
        </w:rPr>
        <w:t> </w:t>
      </w:r>
      <w:r>
        <w:rPr>
          <w:spacing w:val="-40"/>
        </w:rPr>
      </w:r>
      <w:r>
        <w:rPr/>
        <w:t>主要是依托基于大数据架构的智维云服务与云运营中心，为面向“互联网+”时代的教育、金融等关键行业客户提供全方位</w:t>
      </w:r>
      <w:r>
        <w:rPr>
          <w:spacing w:val="-84"/>
        </w:rPr>
        <w:t> </w:t>
      </w:r>
      <w:r>
        <w:rPr>
          <w:spacing w:val="-84"/>
        </w:rPr>
      </w:r>
      <w:r>
        <w:rPr/>
        <w:t>的智能化的融合云解决方案和服务。</w:t>
      </w:r>
    </w:p>
    <w:p>
      <w:pPr>
        <w:pStyle w:val="BodyText"/>
        <w:spacing w:line="357" w:lineRule="auto" w:before="59"/>
        <w:ind w:left="472" w:right="94"/>
        <w:jc w:val="left"/>
      </w:pPr>
      <w:r>
        <w:rPr/>
        <w:t>1、智慧医疗、健康数据 </w:t>
      </w:r>
      <w:r>
        <w:rPr>
          <w:spacing w:val="-2"/>
        </w:rPr>
        <w:t>公司综合考虑了目前国内智慧医疗、健康数据发展阶段及发展趋势、市场潜在空间、竞争格局、产品化程度及是否具备</w:t>
      </w:r>
    </w:p>
    <w:p>
      <w:pPr>
        <w:pStyle w:val="BodyText"/>
        <w:spacing w:line="224" w:lineRule="exact"/>
        <w:ind w:right="0"/>
        <w:jc w:val="both"/>
      </w:pPr>
      <w:r>
        <w:rPr/>
        <w:t>数据积累条件等多种因素</w:t>
      </w:r>
      <w:r>
        <w:rPr>
          <w:spacing w:val="-84"/>
        </w:rPr>
        <w:t>，</w:t>
      </w:r>
      <w:r>
        <w:rPr/>
        <w:t>同时结合自身的条件</w:t>
      </w:r>
      <w:r>
        <w:rPr>
          <w:spacing w:val="-87"/>
        </w:rPr>
        <w:t>，</w:t>
      </w:r>
      <w:r>
        <w:rPr/>
        <w:t>最终确定临床医疗信息化与医疗大数据领域作为公司未来发展的重点方向，</w:t>
      </w:r>
    </w:p>
    <w:p>
      <w:pPr>
        <w:pStyle w:val="BodyText"/>
        <w:spacing w:line="360" w:lineRule="auto" w:before="76"/>
        <w:ind w:left="472" w:right="4774" w:hanging="360"/>
        <w:jc w:val="left"/>
      </w:pPr>
      <w:r>
        <w:rPr/>
        <w:t>作出了与现有医疗信息化与健康大数据厂商差异化的战略定位。 公司智慧医疗、健康数据产品主要包括三类：</w:t>
      </w:r>
    </w:p>
    <w:p>
      <w:pPr>
        <w:pStyle w:val="BodyText"/>
        <w:spacing w:line="240" w:lineRule="auto" w:before="27"/>
        <w:ind w:left="472" w:right="94"/>
        <w:jc w:val="left"/>
      </w:pPr>
      <w:r>
        <w:rPr/>
        <w:t>（</w:t>
      </w:r>
      <w:r>
        <w:rPr>
          <w:spacing w:val="1"/>
        </w:rPr>
        <w:t>1</w:t>
      </w:r>
      <w:r>
        <w:rPr/>
        <w:t>）临床应用细分</w:t>
      </w:r>
      <w:r>
        <w:rPr>
          <w:spacing w:val="2"/>
        </w:rPr>
        <w:t>领</w:t>
      </w:r>
      <w:r>
        <w:rPr/>
        <w:t>域产品。目前公司及上海米健拥</w:t>
      </w:r>
      <w:r>
        <w:rPr>
          <w:spacing w:val="2"/>
        </w:rPr>
        <w:t>有</w:t>
      </w:r>
      <w:r>
        <w:rPr/>
        <w:t>的临床信息化产品包括重症监护（</w:t>
      </w:r>
      <w:r>
        <w:rPr>
          <w:spacing w:val="1"/>
        </w:rPr>
        <w:t>I</w:t>
      </w:r>
      <w:r>
        <w:rPr>
          <w:spacing w:val="-2"/>
        </w:rPr>
        <w:t>C</w:t>
      </w:r>
      <w:r>
        <w:rPr>
          <w:spacing w:val="1"/>
        </w:rPr>
        <w:t>U</w:t>
      </w:r>
      <w:r>
        <w:rPr>
          <w:spacing w:val="-92"/>
        </w:rPr>
        <w:t>）</w:t>
      </w:r>
      <w:r>
        <w:rPr/>
        <w:t>、急诊管理、肾</w:t>
      </w:r>
      <w:r>
        <w:rPr>
          <w:spacing w:val="2"/>
        </w:rPr>
        <w:t>病</w:t>
      </w:r>
      <w:r>
        <w:rPr/>
        <w:t>内科</w:t>
      </w:r>
    </w:p>
    <w:p>
      <w:pPr>
        <w:pStyle w:val="BodyText"/>
        <w:spacing w:line="316" w:lineRule="auto" w:before="76"/>
        <w:ind w:right="94"/>
        <w:jc w:val="left"/>
      </w:pPr>
      <w:r>
        <w:rPr>
          <w:spacing w:val="-2"/>
        </w:rPr>
        <w:t>（血透）、手术麻醉、护理资源规划、移动临床护理等主要产品，未来将继续向新的临床产品及医保控费等管理系统进行拓</w:t>
      </w:r>
      <w:r>
        <w:rPr>
          <w:spacing w:val="-65"/>
        </w:rPr>
        <w:t> </w:t>
      </w:r>
      <w:r>
        <w:rPr>
          <w:spacing w:val="-65"/>
        </w:rPr>
      </w:r>
      <w:r>
        <w:rPr/>
        <w:t>展。</w:t>
      </w:r>
    </w:p>
    <w:p>
      <w:pPr>
        <w:pStyle w:val="BodyText"/>
        <w:spacing w:line="316" w:lineRule="auto" w:before="57"/>
        <w:ind w:right="192" w:firstLine="360"/>
        <w:jc w:val="both"/>
      </w:pPr>
      <w:r>
        <w:rPr/>
        <w:t>（2）数据平台级产品和医院核心业务产品。主要包括医疗信息系统集成平台、远程医疗诊断云平台、区域健康档案平 台、基于分布式架构的区域数据共享平台以及区域云医院平台、未来将继续向新一代的医院信息化核心系统拓展等。</w:t>
      </w:r>
    </w:p>
    <w:p>
      <w:pPr>
        <w:pStyle w:val="BodyText"/>
        <w:spacing w:line="316" w:lineRule="auto" w:before="59"/>
        <w:ind w:right="190" w:firstLine="360"/>
        <w:jc w:val="both"/>
      </w:pPr>
      <w:r>
        <w:rPr/>
        <w:t>（3）健康大数据O2O平台。借助国家科技支撑项目打造健康管理O2O平台，目前已初具规模，平台将三甲医院、社区医 </w:t>
      </w:r>
      <w:r>
        <w:rPr>
          <w:spacing w:val="-2"/>
        </w:rPr>
        <w:t>院、养老中心、第三方检验中心、健康管理中心等多方资源汇聚于一体，旨在将优质医疗资源、新型健康服务管理理念传递</w:t>
      </w:r>
      <w:r>
        <w:rPr>
          <w:spacing w:val="-63"/>
        </w:rPr>
        <w:t> </w:t>
      </w:r>
      <w:r>
        <w:rPr>
          <w:spacing w:val="-63"/>
        </w:rPr>
      </w:r>
      <w:r>
        <w:rPr/>
        <w:t>到基层，打造健康O2O一站式服务平台。</w:t>
      </w:r>
    </w:p>
    <w:p>
      <w:pPr>
        <w:pStyle w:val="BodyText"/>
        <w:spacing w:line="240" w:lineRule="auto" w:before="59"/>
        <w:ind w:left="472" w:right="6754"/>
        <w:jc w:val="left"/>
      </w:pPr>
      <w:r>
        <w:rPr/>
        <w:t>2、智能融合云服务</w:t>
      </w:r>
    </w:p>
    <w:p>
      <w:pPr>
        <w:pStyle w:val="BodyText"/>
        <w:spacing w:line="316" w:lineRule="auto" w:before="115"/>
        <w:ind w:right="190" w:firstLine="360"/>
        <w:jc w:val="both"/>
      </w:pPr>
      <w:r>
        <w:rPr/>
        <w:t>移动互联网时代，云计算、物联网、人工智能、大数据等技术的蓬勃发展，正在推动</w:t>
      </w:r>
      <w:r>
        <w:rPr>
          <w:spacing w:val="-65"/>
        </w:rPr>
        <w:t> </w:t>
      </w:r>
      <w:r>
        <w:rPr/>
        <w:t>IT</w:t>
      </w:r>
      <w:r>
        <w:rPr>
          <w:spacing w:val="-65"/>
        </w:rPr>
        <w:t> </w:t>
      </w:r>
      <w:r>
        <w:rPr/>
        <w:t>向</w:t>
      </w:r>
      <w:r>
        <w:rPr>
          <w:spacing w:val="-65"/>
        </w:rPr>
        <w:t> </w:t>
      </w:r>
      <w:r>
        <w:rPr/>
        <w:t>DT</w:t>
      </w:r>
      <w:r>
        <w:rPr>
          <w:spacing w:val="-65"/>
        </w:rPr>
        <w:t> </w:t>
      </w:r>
      <w:r>
        <w:rPr/>
        <w:t>加速转变。公司深谙中国</w:t>
      </w:r>
      <w:r>
        <w:rPr/>
        <w:t> </w:t>
      </w:r>
      <w:r>
        <w:rPr>
          <w:spacing w:val="-2"/>
        </w:rPr>
        <w:t>企业文化、管理以及运营理念，充分理解客户对数据中心的诉求，结合行业前沿技术并根据客户不同阶段的需求，推出荣科</w:t>
      </w:r>
      <w:r>
        <w:rPr>
          <w:spacing w:val="-64"/>
        </w:rPr>
        <w:t> </w:t>
      </w:r>
      <w:r>
        <w:rPr>
          <w:spacing w:val="-64"/>
        </w:rPr>
      </w:r>
      <w:r>
        <w:rPr>
          <w:spacing w:val="-2"/>
        </w:rPr>
        <w:t>行业云解决方案和基于大数据平台架构的智维云服务，简称“智能融合云服务”。荣科智能融合云服务，为智慧医疗、健康</w:t>
      </w:r>
      <w:r>
        <w:rPr>
          <w:spacing w:val="-64"/>
        </w:rPr>
        <w:t> </w:t>
      </w:r>
      <w:r>
        <w:rPr>
          <w:spacing w:val="-64"/>
        </w:rPr>
      </w:r>
      <w:r>
        <w:rPr>
          <w:spacing w:val="-2"/>
        </w:rPr>
        <w:t>数据业务拓展提供了最佳云平台和数据服务支撑；为金融、教育等重点行业客户信息化应用需求提供涵盖规划、研发、建设</w:t>
      </w:r>
      <w:r>
        <w:rPr>
          <w:spacing w:val="-64"/>
        </w:rPr>
        <w:t> </w:t>
      </w:r>
      <w:r>
        <w:rPr>
          <w:spacing w:val="-64"/>
        </w:rPr>
      </w:r>
      <w:r>
        <w:rPr/>
        <w:t>及运维各阶段的一体化解决方案服务，实现客户信息化需求与</w:t>
      </w:r>
      <w:r>
        <w:rPr>
          <w:spacing w:val="-41"/>
        </w:rPr>
        <w:t> </w:t>
      </w:r>
      <w:r>
        <w:rPr/>
        <w:t>IT</w:t>
      </w:r>
      <w:r>
        <w:rPr>
          <w:spacing w:val="-42"/>
        </w:rPr>
        <w:t> </w:t>
      </w:r>
      <w:r>
        <w:rPr/>
        <w:t>服务的无缝衔接；同时还可提供面向智慧城市的政务、人</w:t>
      </w:r>
      <w:r>
        <w:rPr/>
        <w:t> 社、民生、交通、公共安全等核心系统智慧建设解决方案服务。</w:t>
      </w:r>
    </w:p>
    <w:p>
      <w:pPr>
        <w:pStyle w:val="BodyText"/>
        <w:spacing w:line="360" w:lineRule="auto" w:before="59"/>
        <w:ind w:left="472" w:right="94"/>
        <w:jc w:val="left"/>
      </w:pPr>
      <w:r>
        <w:rPr/>
        <w:t>（1）智能行业云 </w:t>
      </w:r>
      <w:r>
        <w:rPr>
          <w:spacing w:val="-2"/>
        </w:rPr>
        <w:t>智能行业云主要是为医疗、教育、金融等关键细分行业提供行业云解决方案。公司根据行业客户不同需求，分别推出智</w:t>
      </w:r>
    </w:p>
    <w:p>
      <w:pPr>
        <w:pStyle w:val="BodyText"/>
        <w:spacing w:line="222" w:lineRule="exact"/>
        <w:ind w:right="0"/>
        <w:jc w:val="both"/>
      </w:pPr>
      <w:r>
        <w:rPr/>
        <w:t>慧城市云，智慧民生云、智慧教育云以及智慧金融容灾云等特定的行业云服务。这些行业云服务能够帮助行业客户快速实现</w:t>
      </w:r>
    </w:p>
    <w:p>
      <w:pPr>
        <w:pStyle w:val="BodyText"/>
        <w:spacing w:line="316" w:lineRule="auto" w:before="76"/>
        <w:ind w:right="190"/>
        <w:jc w:val="both"/>
      </w:pPr>
      <w:r>
        <w:rPr>
          <w:spacing w:val="-2"/>
        </w:rPr>
        <w:t>从外部到内部的互联网化，消除传统信息孤岛，实现数据的共享与互联，从而提升企业生产和沟通效率；同时，具备行业特</w:t>
      </w:r>
      <w:r>
        <w:rPr>
          <w:spacing w:val="-63"/>
        </w:rPr>
        <w:t> </w:t>
      </w:r>
      <w:r>
        <w:rPr>
          <w:spacing w:val="-63"/>
        </w:rPr>
      </w:r>
      <w:r>
        <w:rPr>
          <w:spacing w:val="-1"/>
        </w:rPr>
        <w:t>点的云服务，将能够满足各行业差异化服务需求。面对云计算和大数据库的浪潮，传统行业需要集行业应用、ICT</w:t>
      </w:r>
      <w:r>
        <w:rPr>
          <w:spacing w:val="-35"/>
        </w:rPr>
        <w:t> </w:t>
      </w:r>
      <w:r>
        <w:rPr/>
        <w:t>基础架构</w:t>
      </w:r>
      <w:r>
        <w:rPr>
          <w:spacing w:val="-88"/>
        </w:rPr>
        <w:t> </w:t>
      </w:r>
      <w:r>
        <w:rPr>
          <w:spacing w:val="-88"/>
        </w:rPr>
      </w:r>
      <w:r>
        <w:rPr>
          <w:spacing w:val="-2"/>
        </w:rPr>
        <w:t>等于一体且能满足个性化需求的行业云。行业云是新一代信息技术高速发展的必然趋势，它以资源聚合虚拟化、应用服务专</w:t>
      </w:r>
      <w:r>
        <w:rPr>
          <w:spacing w:val="-63"/>
        </w:rPr>
        <w:t> </w:t>
      </w:r>
      <w:r>
        <w:rPr>
          <w:spacing w:val="-63"/>
        </w:rPr>
      </w:r>
      <w:r>
        <w:rPr>
          <w:spacing w:val="-2"/>
        </w:rPr>
        <w:t>业化、供给使用定制化的服务模式，提供高效能、低成本、低功耗的优化系统，我们将帮助用户重构为数据而生、为业务而</w:t>
      </w:r>
      <w:r>
        <w:rPr>
          <w:spacing w:val="-64"/>
        </w:rPr>
        <w:t> </w:t>
      </w:r>
      <w:r>
        <w:rPr>
          <w:spacing w:val="-64"/>
        </w:rPr>
      </w:r>
      <w:r>
        <w:rPr/>
        <w:t>优化的全新</w:t>
      </w:r>
      <w:r>
        <w:rPr>
          <w:spacing w:val="-36"/>
        </w:rPr>
        <w:t> </w:t>
      </w:r>
      <w:r>
        <w:rPr/>
        <w:t>IT</w:t>
      </w:r>
      <w:r>
        <w:rPr>
          <w:spacing w:val="-37"/>
        </w:rPr>
        <w:t> </w:t>
      </w:r>
      <w:r>
        <w:rPr/>
        <w:t>基础架构来解决</w:t>
      </w:r>
      <w:r>
        <w:rPr>
          <w:spacing w:val="-36"/>
        </w:rPr>
        <w:t> </w:t>
      </w:r>
      <w:r>
        <w:rPr/>
        <w:t>IT</w:t>
      </w:r>
      <w:r>
        <w:rPr>
          <w:spacing w:val="-39"/>
        </w:rPr>
        <w:t> </w:t>
      </w:r>
      <w:r>
        <w:rPr>
          <w:spacing w:val="-3"/>
        </w:rPr>
        <w:t>难题。此外，荣科科技通过利用云计算、物联网、大数据等新一代信息技术，为客户提供</w:t>
      </w:r>
    </w:p>
    <w:p>
      <w:pPr>
        <w:spacing w:after="0" w:line="316" w:lineRule="auto"/>
        <w:jc w:val="both"/>
        <w:sectPr>
          <w:headerReference w:type="default" r:id="rId17"/>
          <w:pgSz w:w="11910" w:h="16840"/>
          <w:pgMar w:header="566" w:footer="978" w:top="1360" w:bottom="1160" w:left="1020" w:right="940"/>
        </w:sectPr>
      </w:pPr>
    </w:p>
    <w:p>
      <w:pPr>
        <w:pStyle w:val="BodyText"/>
        <w:spacing w:line="316" w:lineRule="auto" w:before="81"/>
        <w:ind w:right="111"/>
        <w:jc w:val="both"/>
      </w:pPr>
      <w:r>
        <w:rPr/>
        <w:t>政务、人社、民生、交通、公共安全等智慧城市核心系统建设解决方案，实现全面感知、泛在互联、普适计算与融合应用， 为民众创造更美好的城市生活。</w:t>
      </w:r>
    </w:p>
    <w:p>
      <w:pPr>
        <w:pStyle w:val="BodyText"/>
        <w:spacing w:line="360" w:lineRule="auto" w:before="57"/>
        <w:ind w:left="472" w:right="94"/>
        <w:jc w:val="left"/>
      </w:pPr>
      <w:r>
        <w:rPr/>
        <w:t>（2）智维云服务 </w:t>
      </w:r>
      <w:r>
        <w:rPr>
          <w:spacing w:val="-2"/>
        </w:rPr>
        <w:t>伴随移动互联、智能感知和大数据分析的发展，我们以客户体验为中心升级整个服务体系，为客户提供基于智能大数据</w:t>
      </w:r>
    </w:p>
    <w:p>
      <w:pPr>
        <w:pStyle w:val="BodyText"/>
        <w:spacing w:line="222" w:lineRule="exact"/>
        <w:ind w:right="0"/>
        <w:jc w:val="both"/>
      </w:pPr>
      <w:r>
        <w:rPr/>
        <w:t>平台的增值服务——智维云服务。智维云服务全新升级了服务内容与产品，以智维云平台为基础，利用大数据、云计算等先</w:t>
      </w:r>
    </w:p>
    <w:p>
      <w:pPr>
        <w:pStyle w:val="BodyText"/>
        <w:spacing w:line="316" w:lineRule="auto" w:before="76"/>
        <w:ind w:right="189"/>
        <w:jc w:val="both"/>
      </w:pPr>
      <w:r>
        <w:rPr>
          <w:spacing w:val="-2"/>
        </w:rPr>
        <w:t>进技术，为行业客户提供智能式、主动式服务。智维云平台是以云档案为信息节点，实时交互式传递客户业务运行信息、资</w:t>
      </w:r>
      <w:r>
        <w:rPr>
          <w:spacing w:val="-62"/>
        </w:rPr>
        <w:t> </w:t>
      </w:r>
      <w:r>
        <w:rPr>
          <w:spacing w:val="-62"/>
        </w:rPr>
      </w:r>
      <w:r>
        <w:rPr>
          <w:spacing w:val="-2"/>
        </w:rPr>
        <w:t>源配置信息以及其他管理信息，增强客户体验；利用云监控为数据抓手，帮助客户实现监控数据智能分析与可视化，快速发</w:t>
      </w:r>
      <w:r>
        <w:rPr>
          <w:spacing w:val="-64"/>
        </w:rPr>
        <w:t> </w:t>
      </w:r>
      <w:r>
        <w:rPr>
          <w:spacing w:val="-64"/>
        </w:rPr>
      </w:r>
      <w:r>
        <w:rPr/>
        <w:t>现运维中的故障与隐患；结合云管理为管控手段，实现对客户</w:t>
      </w:r>
      <w:r>
        <w:rPr>
          <w:spacing w:val="-45"/>
        </w:rPr>
        <w:t> </w:t>
      </w:r>
      <w:r>
        <w:rPr/>
        <w:t>IT</w:t>
      </w:r>
      <w:r>
        <w:rPr>
          <w:spacing w:val="-46"/>
        </w:rPr>
        <w:t> </w:t>
      </w:r>
      <w:r>
        <w:rPr/>
        <w:t>服务的流程化、规范化、精细化、数字化管理，全面提升</w:t>
      </w:r>
      <w:r>
        <w:rPr/>
        <w:t> IT</w:t>
      </w:r>
      <w:r>
        <w:rPr>
          <w:spacing w:val="-12"/>
        </w:rPr>
        <w:t> </w:t>
      </w:r>
      <w:r>
        <w:rPr/>
        <w:t>服务管理成熟度；最终整合机器学习、大数据等技术打造云专家服务，向客户展现端到端业务应用运行状态，建立深入</w:t>
      </w:r>
      <w:r>
        <w:rPr>
          <w:spacing w:val="-78"/>
        </w:rPr>
        <w:t> </w:t>
      </w:r>
      <w:r>
        <w:rPr>
          <w:spacing w:val="-78"/>
        </w:rPr>
      </w:r>
      <w:r>
        <w:rPr/>
        <w:t>而精准的业务服务质量视图，全面提升问题应对的敏捷性，助力客户构建智能化的</w:t>
      </w:r>
      <w:r>
        <w:rPr>
          <w:spacing w:val="-42"/>
        </w:rPr>
        <w:t> </w:t>
      </w:r>
      <w:r>
        <w:rPr/>
        <w:t>IT</w:t>
      </w:r>
      <w:r>
        <w:rPr>
          <w:spacing w:val="-43"/>
        </w:rPr>
        <w:t> </w:t>
      </w:r>
      <w:r>
        <w:rPr/>
        <w:t>运营体系。整个智维云平台整合业务</w:t>
      </w:r>
      <w:r>
        <w:rPr/>
        <w:t> </w:t>
      </w:r>
      <w:r>
        <w:rPr>
          <w:spacing w:val="-2"/>
        </w:rPr>
        <w:t>数据、监控数据、运营数据等为客户提供端到端的智能增值服务，不仅帮助客户体验新兴和颠覆性技术与服务，同时还帮助</w:t>
      </w:r>
      <w:r>
        <w:rPr>
          <w:spacing w:val="-64"/>
        </w:rPr>
        <w:t> </w:t>
      </w:r>
      <w:r>
        <w:rPr>
          <w:spacing w:val="-64"/>
        </w:rPr>
      </w:r>
      <w:r>
        <w:rPr/>
        <w:t>其实现对传统及新资源的有效管理，以满足业务和运营需求，用数据驱动服务。</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t>（二）所属行业发展阶段、周期特点及公司所处的行业地位</w:t>
      </w:r>
      <w:r>
        <w:rPr>
          <w:b w:val="0"/>
          <w:bCs w:val="0"/>
        </w:rPr>
      </w:r>
    </w:p>
    <w:p>
      <w:pPr>
        <w:spacing w:line="240" w:lineRule="auto" w:before="9"/>
        <w:rPr>
          <w:rFonts w:ascii="宋体" w:hAnsi="宋体" w:cs="宋体" w:eastAsia="宋体" w:hint="default"/>
          <w:b/>
          <w:bCs/>
          <w:sz w:val="27"/>
          <w:szCs w:val="27"/>
        </w:rPr>
      </w:pPr>
    </w:p>
    <w:p>
      <w:pPr>
        <w:pStyle w:val="BodyText"/>
        <w:spacing w:line="360" w:lineRule="auto"/>
        <w:ind w:left="472" w:right="94" w:firstLine="180"/>
        <w:jc w:val="left"/>
      </w:pPr>
      <w:r>
        <w:rPr/>
        <w:t>1、智慧医疗、健康数据 </w:t>
      </w:r>
      <w:r>
        <w:rPr>
          <w:spacing w:val="-2"/>
        </w:rPr>
        <w:t>在新的医疗改革政策的推动下，近年来我国医疗卫生信息化建设规模不断扩大，市场规模增速明显加快。根据中投股份</w:t>
      </w:r>
    </w:p>
    <w:p>
      <w:pPr>
        <w:pStyle w:val="BodyText"/>
        <w:spacing w:line="222" w:lineRule="exact"/>
        <w:ind w:right="0"/>
        <w:jc w:val="both"/>
      </w:pPr>
      <w:r>
        <w:rPr/>
        <w:t>产业研究中心的预计</w:t>
      </w:r>
      <w:r>
        <w:rPr>
          <w:spacing w:val="-87"/>
        </w:rPr>
        <w:t>，</w:t>
      </w:r>
      <w:r>
        <w:rPr>
          <w:spacing w:val="1"/>
        </w:rPr>
        <w:t>2</w:t>
      </w:r>
      <w:r>
        <w:rPr>
          <w:spacing w:val="-2"/>
        </w:rPr>
        <w:t>0</w:t>
      </w:r>
      <w:r>
        <w:rPr>
          <w:spacing w:val="1"/>
        </w:rPr>
        <w:t>1</w:t>
      </w:r>
      <w:r>
        <w:rPr/>
        <w:t>7</w:t>
      </w:r>
      <w:r>
        <w:rPr>
          <w:spacing w:val="-46"/>
        </w:rPr>
        <w:t> </w:t>
      </w:r>
      <w:r>
        <w:rPr/>
        <w:t>年中国医疗信息化行业市场规模将达到</w:t>
      </w:r>
      <w:r>
        <w:rPr>
          <w:spacing w:val="-47"/>
        </w:rPr>
        <w:t> </w:t>
      </w:r>
      <w:r>
        <w:rPr>
          <w:spacing w:val="1"/>
        </w:rPr>
        <w:t>4</w:t>
      </w:r>
      <w:r>
        <w:rPr>
          <w:spacing w:val="-2"/>
        </w:rPr>
        <w:t>4</w:t>
      </w:r>
      <w:r>
        <w:rPr/>
        <w:t>8</w:t>
      </w:r>
      <w:r>
        <w:rPr>
          <w:spacing w:val="-44"/>
        </w:rPr>
        <w:t> </w:t>
      </w:r>
      <w:r>
        <w:rPr/>
        <w:t>亿元</w:t>
      </w:r>
      <w:r>
        <w:rPr>
          <w:spacing w:val="-89"/>
        </w:rPr>
        <w:t>，</w:t>
      </w:r>
      <w:r>
        <w:rPr/>
        <w:t>未来五</w:t>
      </w:r>
      <w:r>
        <w:rPr>
          <w:spacing w:val="-87"/>
        </w:rPr>
        <w:t>年</w:t>
      </w:r>
      <w:r>
        <w:rPr>
          <w:spacing w:val="-3"/>
        </w:rPr>
        <w:t>（</w:t>
      </w:r>
      <w:r>
        <w:rPr>
          <w:spacing w:val="1"/>
        </w:rPr>
        <w:t>2</w:t>
      </w:r>
      <w:r>
        <w:rPr>
          <w:spacing w:val="-2"/>
        </w:rPr>
        <w:t>0</w:t>
      </w:r>
      <w:r>
        <w:rPr>
          <w:spacing w:val="1"/>
        </w:rPr>
        <w:t>1</w:t>
      </w:r>
      <w:r>
        <w:rPr>
          <w:spacing w:val="-2"/>
        </w:rPr>
        <w:t>7</w:t>
      </w:r>
      <w:r>
        <w:rPr>
          <w:spacing w:val="1"/>
        </w:rPr>
        <w:t>-</w:t>
      </w:r>
      <w:r>
        <w:rPr>
          <w:spacing w:val="-2"/>
        </w:rPr>
        <w:t>2</w:t>
      </w:r>
      <w:r>
        <w:rPr>
          <w:spacing w:val="1"/>
        </w:rPr>
        <w:t>0</w:t>
      </w:r>
      <w:r>
        <w:rPr>
          <w:spacing w:val="-2"/>
        </w:rPr>
        <w:t>2</w:t>
      </w:r>
      <w:r>
        <w:rPr>
          <w:spacing w:val="1"/>
        </w:rPr>
        <w:t>1</w:t>
      </w:r>
      <w:r>
        <w:rPr>
          <w:spacing w:val="-89"/>
        </w:rPr>
        <w:t>）</w:t>
      </w:r>
      <w:r>
        <w:rPr/>
        <w:t>年复合增长率约</w:t>
      </w:r>
      <w:r>
        <w:rPr>
          <w:spacing w:val="-45"/>
        </w:rPr>
        <w:t> </w:t>
      </w:r>
      <w:r>
        <w:rPr>
          <w:spacing w:val="1"/>
        </w:rPr>
        <w:t>1</w:t>
      </w:r>
      <w:r>
        <w:rPr>
          <w:spacing w:val="-2"/>
        </w:rPr>
        <w:t>7</w:t>
      </w:r>
      <w:r>
        <w:rPr>
          <w:spacing w:val="1"/>
        </w:rPr>
        <w:t>.</w:t>
      </w:r>
      <w:r>
        <w:rPr>
          <w:spacing w:val="-2"/>
        </w:rPr>
        <w:t>8</w:t>
      </w:r>
      <w:r>
        <w:rPr>
          <w:spacing w:val="1"/>
        </w:rPr>
        <w:t>1</w:t>
      </w:r>
      <w:r>
        <w:rPr>
          <w:spacing w:val="-2"/>
        </w:rPr>
        <w:t>%</w:t>
      </w:r>
      <w:r>
        <w:rPr/>
        <w:t>，</w:t>
      </w:r>
    </w:p>
    <w:p>
      <w:pPr>
        <w:pStyle w:val="BodyText"/>
        <w:spacing w:line="357" w:lineRule="auto" w:before="76"/>
        <w:ind w:left="472" w:right="184" w:hanging="360"/>
        <w:jc w:val="left"/>
      </w:pPr>
      <w:r>
        <w:rPr/>
        <w:t>2021年中国医疗信息化市场规模将达到</w:t>
      </w:r>
      <w:r>
        <w:rPr>
          <w:spacing w:val="-45"/>
        </w:rPr>
        <w:t> </w:t>
      </w:r>
      <w:r>
        <w:rPr/>
        <w:t>863</w:t>
      </w:r>
      <w:r>
        <w:rPr>
          <w:spacing w:val="-46"/>
        </w:rPr>
        <w:t> </w:t>
      </w:r>
      <w:r>
        <w:rPr/>
        <w:t>亿元，市场发展空间广阔。</w:t>
      </w:r>
      <w:r>
        <w:rPr/>
        <w:t> 目前,公司已经成为国内医疗信息化产品门类最为齐全的专业技术提供商，且各类产品均为行业领先水平。报告期内，</w:t>
      </w:r>
    </w:p>
    <w:p>
      <w:pPr>
        <w:pStyle w:val="BodyText"/>
        <w:spacing w:line="224" w:lineRule="exact"/>
        <w:ind w:right="0"/>
        <w:jc w:val="both"/>
      </w:pPr>
      <w:r>
        <w:rPr/>
        <w:t>公司进一步整合总部与上海米健的市场资源，在继续巩固现有区域的同时，有效开拓西北市场。全年共新增医院客户一百多</w:t>
      </w:r>
    </w:p>
    <w:p>
      <w:pPr>
        <w:pStyle w:val="BodyText"/>
        <w:spacing w:line="316" w:lineRule="auto" w:before="76"/>
        <w:ind w:right="190"/>
        <w:jc w:val="both"/>
      </w:pPr>
      <w:r>
        <w:rPr>
          <w:spacing w:val="-2"/>
        </w:rPr>
        <w:t>家，其中包括广东省人民医院、上海新华医院、深圳大学附属医院、南京军区南京总医院、新疆医科大学第一附属医院等国</w:t>
      </w:r>
      <w:r>
        <w:rPr>
          <w:spacing w:val="-63"/>
        </w:rPr>
        <w:t> </w:t>
      </w:r>
      <w:r>
        <w:rPr>
          <w:spacing w:val="-63"/>
        </w:rPr>
      </w:r>
      <w:r>
        <w:rPr>
          <w:spacing w:val="-2"/>
        </w:rPr>
        <w:t>内知名三甲医院。与西藏自治区卫生和计划生育委员会合作的包虫病项目，为西藏全区包虫病人群筛查和流程化管理提供了</w:t>
      </w:r>
      <w:r>
        <w:rPr>
          <w:spacing w:val="-64"/>
        </w:rPr>
        <w:t> </w:t>
      </w:r>
      <w:r>
        <w:rPr>
          <w:spacing w:val="-64"/>
        </w:rPr>
      </w:r>
      <w:r>
        <w:rPr>
          <w:spacing w:val="-2"/>
        </w:rPr>
        <w:t>信息化支撑；与十余家行业领军企业和投融资平台联合筹备成立中国健康医疗大数据股份有限公司；与国际领先的医疗临床</w:t>
      </w:r>
      <w:r>
        <w:rPr>
          <w:spacing w:val="-64"/>
        </w:rPr>
        <w:t> </w:t>
      </w:r>
      <w:r>
        <w:rPr>
          <w:spacing w:val="-64"/>
        </w:rPr>
      </w:r>
      <w:r>
        <w:rPr/>
        <w:t>数据分析公司 Ambient Clinical</w:t>
      </w:r>
      <w:r>
        <w:rPr>
          <w:spacing w:val="-50"/>
        </w:rPr>
        <w:t> </w:t>
      </w:r>
      <w:r>
        <w:rPr/>
        <w:t>签署了合作协议。</w:t>
      </w:r>
    </w:p>
    <w:p>
      <w:pPr>
        <w:pStyle w:val="BodyText"/>
        <w:spacing w:line="326" w:lineRule="auto" w:before="59"/>
        <w:ind w:left="472" w:right="94"/>
        <w:jc w:val="left"/>
      </w:pPr>
      <w:r>
        <w:rPr>
          <w:rFonts w:ascii="Calibri" w:hAnsi="Calibri" w:cs="Calibri" w:eastAsia="Calibri" w:hint="default"/>
        </w:rPr>
        <w:t>2</w:t>
      </w:r>
      <w:r>
        <w:rPr/>
        <w:t>、智能融合云服务 </w:t>
      </w:r>
      <w:r>
        <w:rPr>
          <w:spacing w:val="-2"/>
        </w:rPr>
        <w:t>移动互联网的来临，物联网、人工智能、大数据、云计算等新的技术层出不穷。行业云和云服务将是一个商业模式、厂</w:t>
      </w:r>
    </w:p>
    <w:p>
      <w:pPr>
        <w:pStyle w:val="BodyText"/>
        <w:spacing w:line="316" w:lineRule="auto" w:before="11"/>
        <w:ind w:right="190"/>
        <w:jc w:val="both"/>
      </w:pPr>
      <w:r>
        <w:rPr>
          <w:spacing w:val="-2"/>
        </w:rPr>
        <w:t>商细分、项目交付的转折点。政府的供给侧改革、效率和安全等因素也必然会促进行业云和云服务大规模应用，将带动公司</w:t>
      </w:r>
      <w:r>
        <w:rPr>
          <w:spacing w:val="-64"/>
        </w:rPr>
        <w:t> </w:t>
      </w:r>
      <w:r>
        <w:rPr>
          <w:spacing w:val="-64"/>
        </w:rPr>
      </w:r>
      <w:r>
        <w:rPr/>
        <w:t>进入一个新的发展高度。</w:t>
      </w:r>
    </w:p>
    <w:p>
      <w:pPr>
        <w:pStyle w:val="BodyText"/>
        <w:spacing w:line="316" w:lineRule="auto" w:before="57"/>
        <w:ind w:right="94" w:firstLine="360"/>
        <w:jc w:val="left"/>
      </w:pPr>
      <w:r>
        <w:rPr/>
        <w:t>智能融合云服务提供的行业云和云服务两种核心服务，将依托基于大数据技术架构的智维云平台，主要为医疗、教育、 金融等关键行业客户提供专业化、标准化和互联网化的服务。公司具有十年区域行业客户服务的丰富经验，面对</w:t>
      </w:r>
      <w:r>
        <w:rPr>
          <w:spacing w:val="-45"/>
        </w:rPr>
        <w:t> </w:t>
      </w:r>
      <w:r>
        <w:rPr/>
        <w:t>IT</w:t>
      </w:r>
      <w:r>
        <w:rPr>
          <w:spacing w:val="-46"/>
        </w:rPr>
        <w:t> </w:t>
      </w:r>
      <w:r>
        <w:rPr/>
        <w:t>服务行</w:t>
      </w:r>
      <w:r>
        <w:rPr/>
        <w:t> </w:t>
      </w:r>
      <w:r>
        <w:rPr>
          <w:spacing w:val="-2"/>
        </w:rPr>
        <w:t>业发展趋势，我们已经清楚地意识到市场开拓需要“软件”和“服务”双轮驱动，当前是机遇与挑战并存的时代，服务创新</w:t>
      </w:r>
      <w:r>
        <w:rPr>
          <w:spacing w:val="-65"/>
        </w:rPr>
        <w:t> </w:t>
      </w:r>
      <w:r>
        <w:rPr>
          <w:spacing w:val="-65"/>
        </w:rPr>
      </w:r>
      <w:r>
        <w:rPr>
          <w:spacing w:val="-2"/>
        </w:rPr>
        <w:t>才是占据市场优势的最佳途径，因此面对先进技术（云服务、大数据和人工智能等）我们能够做出更好的选择，加大创新投</w:t>
      </w:r>
      <w:r>
        <w:rPr>
          <w:spacing w:val="-65"/>
        </w:rPr>
        <w:t> </w:t>
      </w:r>
      <w:r>
        <w:rPr>
          <w:spacing w:val="-65"/>
        </w:rPr>
      </w:r>
      <w:r>
        <w:rPr/>
        <w:t>入，满足并引导客户需求，实现转型升级以获取迅速成长，抢占市场先机。</w:t>
      </w:r>
    </w:p>
    <w:p>
      <w:pPr>
        <w:pStyle w:val="BodyText"/>
        <w:spacing w:line="316" w:lineRule="auto" w:before="59"/>
        <w:ind w:right="94" w:firstLine="360"/>
        <w:jc w:val="left"/>
      </w:pPr>
      <w:r>
        <w:rPr>
          <w:spacing w:val="-2"/>
        </w:rPr>
        <w:t>公司智能融合云服务经过多年的发展，获得了区域内良好的口碑和客户认可，在区域经济整体放缓的情况下，报告期内</w:t>
      </w:r>
      <w:r>
        <w:rPr/>
        <w:t> 公司的智能融合云签约继续创造了历史新高。目前，智能融合云在东北区域</w:t>
      </w:r>
      <w:r>
        <w:rPr>
          <w:spacing w:val="-44"/>
        </w:rPr>
        <w:t> </w:t>
      </w:r>
      <w:r>
        <w:rPr/>
        <w:t>IT</w:t>
      </w:r>
      <w:r>
        <w:rPr>
          <w:spacing w:val="-45"/>
        </w:rPr>
        <w:t> </w:t>
      </w:r>
      <w:r>
        <w:rPr/>
        <w:t>服务市场的占有率处于领先地位，凭借多年</w:t>
      </w:r>
      <w:r>
        <w:rPr>
          <w:spacing w:val="-87"/>
        </w:rPr>
        <w:t> </w:t>
      </w:r>
      <w:r>
        <w:rPr>
          <w:spacing w:val="-87"/>
        </w:rPr>
      </w:r>
      <w:r>
        <w:rPr>
          <w:spacing w:val="-4"/>
        </w:rPr>
        <w:t>来与各原厂商的紧密合作关系，荣科建立了可靠的备件渠道，以优良的生态及有竞争力的品质打造东北区域最大的备件中心，</w:t>
      </w:r>
      <w:r>
        <w:rPr>
          <w:spacing w:val="-41"/>
        </w:rPr>
        <w:t> </w:t>
      </w:r>
      <w:r>
        <w:rPr>
          <w:spacing w:val="-41"/>
        </w:rPr>
      </w:r>
      <w:r>
        <w:rPr/>
        <w:t>为客户提供技术与备件的一站式服务，并力争成为医疗、教育、金融等细分行业智能融合云领域的领导者。</w:t>
      </w:r>
    </w:p>
    <w:p>
      <w:pPr>
        <w:spacing w:after="0" w:line="316" w:lineRule="auto"/>
        <w:jc w:val="left"/>
        <w:sectPr>
          <w:pgSz w:w="11910" w:h="16840"/>
          <w:pgMar w:header="566" w:footer="978" w:top="1360" w:bottom="1160" w:left="1020" w:right="940"/>
        </w:sectPr>
      </w:pPr>
    </w:p>
    <w:p>
      <w:pPr>
        <w:spacing w:line="240" w:lineRule="auto" w:before="8"/>
        <w:rPr>
          <w:rFonts w:ascii="宋体" w:hAnsi="宋体" w:cs="宋体" w:eastAsia="宋体" w:hint="default"/>
          <w:sz w:val="23"/>
          <w:szCs w:val="23"/>
        </w:rPr>
      </w:pPr>
      <w:r>
        <w:rPr/>
        <w:pict>
          <v:group style="position:absolute;margin-left:56.34pt;margin-top:28.320024pt;width:482.65pt;height:40.2pt;mso-position-horizontal-relative:page;mso-position-vertical-relative:page;z-index:-822256"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Heading2"/>
        <w:spacing w:line="240" w:lineRule="auto" w:before="26"/>
        <w:ind w:right="0"/>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报告期内，公司以银行贷款及自有资金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201,880,000.00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元受让上海米健信息技术有 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的股权，具体信息详见本报告第十一节、九、</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固定资产期末原值较期初原值增加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90,343,778.18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87.03%</w:t>
            </w:r>
            <w:r>
              <w:rPr>
                <w:rFonts w:ascii="宋体" w:hAnsi="宋体" w:cs="宋体" w:eastAsia="宋体" w:hint="default"/>
                <w:sz w:val="18"/>
                <w:szCs w:val="18"/>
              </w:rPr>
              <w:t>，主要系公司建 设项目达到预定可使用状态由在建工程转入固定资产所致。</w:t>
            </w:r>
          </w:p>
        </w:tc>
      </w:tr>
      <w:tr>
        <w:trPr>
          <w:trHeight w:val="750"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7"/>
              <w:ind w:left="22" w:right="22"/>
              <w:jc w:val="left"/>
              <w:rPr>
                <w:rFonts w:ascii="宋体" w:hAnsi="宋体" w:cs="宋体" w:eastAsia="宋体" w:hint="default"/>
                <w:sz w:val="18"/>
                <w:szCs w:val="18"/>
              </w:rPr>
            </w:pPr>
            <w:r>
              <w:rPr>
                <w:rFonts w:ascii="宋体" w:hAnsi="宋体" w:cs="宋体" w:eastAsia="宋体" w:hint="default"/>
                <w:sz w:val="18"/>
                <w:szCs w:val="18"/>
              </w:rPr>
              <w:t>无形资产期末原值较期初原值增加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3,782,482.07</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元，增幅</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14.47%</w:t>
            </w:r>
            <w:r>
              <w:rPr>
                <w:rFonts w:ascii="宋体" w:hAnsi="宋体" w:cs="宋体" w:eastAsia="宋体" w:hint="default"/>
                <w:sz w:val="18"/>
                <w:szCs w:val="18"/>
              </w:rPr>
              <w:t>，主要系公司本报 告期内研发项目结项转入无形资产所致。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在建工程期末余额较期初余额减少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57,861,987.42</w:t>
            </w:r>
            <w:r>
              <w:rPr>
                <w:rFonts w:ascii="Times New Roman" w:hAnsi="Times New Roman" w:cs="Times New Roman" w:eastAsia="Times New Roman" w:hint="default"/>
                <w:spacing w:val="4"/>
                <w:sz w:val="18"/>
                <w:szCs w:val="18"/>
              </w:rPr>
              <w:t> </w:t>
            </w:r>
            <w:r>
              <w:rPr>
                <w:rFonts w:ascii="宋体" w:hAnsi="宋体" w:cs="宋体" w:eastAsia="宋体" w:hint="default"/>
                <w:spacing w:val="-11"/>
                <w:sz w:val="18"/>
                <w:szCs w:val="18"/>
              </w:rPr>
              <w:t>元，减幅</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100.00%</w:t>
            </w:r>
            <w:r>
              <w:rPr>
                <w:rFonts w:ascii="宋体" w:hAnsi="宋体" w:cs="宋体" w:eastAsia="宋体" w:hint="default"/>
                <w:spacing w:val="-4"/>
                <w:sz w:val="18"/>
                <w:szCs w:val="18"/>
              </w:rPr>
              <w:t>，主要系公司建</w:t>
            </w:r>
            <w:r>
              <w:rPr>
                <w:rFonts w:ascii="宋体" w:hAnsi="宋体" w:cs="宋体" w:eastAsia="宋体" w:hint="default"/>
                <w:sz w:val="18"/>
                <w:szCs w:val="18"/>
              </w:rPr>
              <w:t> 设项目达到预定可使用状态由在建工程转入固定资产所致。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可供出售金融资产期末余额较期初余额增加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6,000,000.00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元，增幅</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35.27%</w:t>
            </w:r>
            <w:r>
              <w:rPr>
                <w:rFonts w:ascii="宋体" w:hAnsi="宋体" w:cs="宋体" w:eastAsia="宋体" w:hint="default"/>
                <w:spacing w:val="-3"/>
                <w:sz w:val="18"/>
                <w:szCs w:val="18"/>
              </w:rPr>
              <w:t>，主要系</w:t>
            </w:r>
            <w:r>
              <w:rPr>
                <w:rFonts w:ascii="宋体" w:hAnsi="宋体" w:cs="宋体" w:eastAsia="宋体" w:hint="default"/>
                <w:sz w:val="18"/>
                <w:szCs w:val="18"/>
              </w:rPr>
              <w:t> 本报告期作为有限合伙人认缴出资所致。</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674"/>
        <w:jc w:val="left"/>
      </w:pPr>
      <w:r>
        <w:rPr/>
        <w:t>公司是否需要遵守特殊行业的披露要求 否</w:t>
      </w:r>
    </w:p>
    <w:p>
      <w:pPr>
        <w:pStyle w:val="BodyText"/>
        <w:spacing w:line="240" w:lineRule="auto" w:before="29"/>
        <w:ind w:right="0"/>
        <w:jc w:val="left"/>
      </w:pPr>
      <w:r>
        <w:rPr/>
        <w:t>报告期内，公司新增软件著作权</w:t>
      </w:r>
      <w:r>
        <w:rPr>
          <w:rFonts w:ascii="Times New Roman" w:hAnsi="Times New Roman" w:cs="Times New Roman" w:eastAsia="Times New Roman" w:hint="default"/>
        </w:rPr>
        <w:t>35</w:t>
      </w:r>
      <w:r>
        <w:rPr/>
        <w:t>项，具体情况如下：</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687"/>
        <w:gridCol w:w="4509"/>
        <w:gridCol w:w="2448"/>
        <w:gridCol w:w="1548"/>
      </w:tblGrid>
      <w:tr>
        <w:trPr>
          <w:trHeight w:val="347" w:hRule="exact"/>
        </w:trPr>
        <w:tc>
          <w:tcPr>
            <w:tcW w:w="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45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证书名称</w:t>
            </w:r>
            <w:r>
              <w:rPr>
                <w:rFonts w:ascii="宋体" w:hAnsi="宋体" w:cs="宋体" w:eastAsia="宋体" w:hint="default"/>
                <w:sz w:val="20"/>
                <w:szCs w:val="20"/>
              </w:rPr>
            </w:r>
          </w:p>
        </w:tc>
        <w:tc>
          <w:tcPr>
            <w:tcW w:w="2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b/>
                <w:bCs/>
                <w:sz w:val="20"/>
                <w:szCs w:val="20"/>
              </w:rPr>
              <w:t>发证机关</w:t>
            </w:r>
            <w:r>
              <w:rPr>
                <w:rFonts w:ascii="宋体" w:hAnsi="宋体" w:cs="宋体" w:eastAsia="宋体" w:hint="default"/>
                <w:sz w:val="20"/>
                <w:szCs w:val="20"/>
              </w:rPr>
            </w:r>
          </w:p>
        </w:tc>
        <w:tc>
          <w:tcPr>
            <w:tcW w:w="1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证书编号</w:t>
            </w:r>
            <w:r>
              <w:rPr>
                <w:rFonts w:ascii="宋体" w:hAnsi="宋体" w:cs="宋体" w:eastAsia="宋体" w:hint="default"/>
                <w:sz w:val="20"/>
                <w:szCs w:val="20"/>
              </w:rPr>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荣科急危重症大数据基础平台系统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2017SR023940</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荣科智慧电商系统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2017SR079088</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荣科项目管理系统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2017SR079688</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荣科智慧城市运营指挥系统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2017SR079687</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荣科基因健康管理系统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2017SR135515</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荣科全基因组分析系统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2017SR135503</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荣科业务应用安全监控系统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2017SR135832</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荣科急危重症大数据应用平台系统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2017SR272427</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荣科疾病辅助诊断系统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2017SR274206</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荣科综合健康服务平台系统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2017SR271696</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11</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荣科城乡低保信息管理系统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2017SR321397</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12</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荣科残联按比例就业年审管理系统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2017SR318414</w:t>
            </w:r>
          </w:p>
        </w:tc>
      </w:tr>
      <w:tr>
        <w:trPr>
          <w:trHeight w:val="345"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13</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荣科会议室管理系统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2017SR321608</w:t>
            </w:r>
          </w:p>
        </w:tc>
      </w:tr>
    </w:tbl>
    <w:p>
      <w:pPr>
        <w:spacing w:after="0" w:line="240" w:lineRule="auto"/>
        <w:jc w:val="center"/>
        <w:rPr>
          <w:rFonts w:ascii="Times New Roman" w:hAnsi="Times New Roman" w:cs="Times New Roman" w:eastAsia="Times New Roman" w:hint="default"/>
          <w:sz w:val="18"/>
          <w:szCs w:val="18"/>
        </w:rPr>
        <w:sectPr>
          <w:headerReference w:type="default" r:id="rId18"/>
          <w:pgSz w:w="11910" w:h="16840"/>
          <w:pgMar w:header="868" w:footer="978" w:top="1060" w:bottom="1160" w:left="1020" w:right="1020"/>
        </w:sectPr>
      </w:pPr>
    </w:p>
    <w:p>
      <w:pPr>
        <w:spacing w:line="240" w:lineRule="auto" w:before="5"/>
        <w:rPr>
          <w:rFonts w:ascii="宋体" w:hAnsi="宋体" w:cs="宋体" w:eastAsia="宋体" w:hint="default"/>
          <w:sz w:val="28"/>
          <w:szCs w:val="28"/>
        </w:rPr>
      </w:pPr>
      <w:r>
        <w:rPr/>
        <w:pict>
          <v:group style="position:absolute;margin-left:56.34pt;margin-top:28.320024pt;width:482.65pt;height:40.2pt;mso-position-horizontal-relative:page;mso-position-vertical-relative:page;z-index:1384"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687"/>
        <w:gridCol w:w="4509"/>
        <w:gridCol w:w="2448"/>
        <w:gridCol w:w="1548"/>
      </w:tblGrid>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14</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荣科护理文书管理系统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7" w:right="0"/>
              <w:jc w:val="left"/>
              <w:rPr>
                <w:rFonts w:ascii="Times New Roman" w:hAnsi="Times New Roman" w:cs="Times New Roman" w:eastAsia="Times New Roman" w:hint="default"/>
                <w:sz w:val="18"/>
                <w:szCs w:val="18"/>
              </w:rPr>
            </w:pPr>
            <w:r>
              <w:rPr>
                <w:rFonts w:ascii="Times New Roman"/>
                <w:sz w:val="18"/>
              </w:rPr>
              <w:t>2017SR420045</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15</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荣科家庭医生服务平台系统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7" w:right="0"/>
              <w:jc w:val="left"/>
              <w:rPr>
                <w:rFonts w:ascii="Times New Roman" w:hAnsi="Times New Roman" w:cs="Times New Roman" w:eastAsia="Times New Roman" w:hint="default"/>
                <w:sz w:val="18"/>
                <w:szCs w:val="18"/>
              </w:rPr>
            </w:pPr>
            <w:r>
              <w:rPr>
                <w:rFonts w:ascii="Times New Roman"/>
                <w:sz w:val="18"/>
              </w:rPr>
              <w:t>2017SR420055</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16</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荣科远程培训视频管理系统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7" w:right="0"/>
              <w:jc w:val="left"/>
              <w:rPr>
                <w:rFonts w:ascii="Times New Roman" w:hAnsi="Times New Roman" w:cs="Times New Roman" w:eastAsia="Times New Roman" w:hint="default"/>
                <w:sz w:val="18"/>
                <w:szCs w:val="18"/>
              </w:rPr>
            </w:pPr>
            <w:r>
              <w:rPr>
                <w:rFonts w:ascii="Times New Roman"/>
                <w:sz w:val="18"/>
              </w:rPr>
              <w:t>2017SR422646</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17</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网格化管理系统（吉林项目申报）</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7" w:right="0"/>
              <w:jc w:val="left"/>
              <w:rPr>
                <w:rFonts w:ascii="Times New Roman" w:hAnsi="Times New Roman" w:cs="Times New Roman" w:eastAsia="Times New Roman" w:hint="default"/>
                <w:sz w:val="18"/>
                <w:szCs w:val="18"/>
              </w:rPr>
            </w:pPr>
            <w:r>
              <w:rPr>
                <w:rFonts w:ascii="Times New Roman"/>
                <w:sz w:val="18"/>
              </w:rPr>
              <w:t>2017SR454663</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18</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荣科移动查房系统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7" w:right="0"/>
              <w:jc w:val="left"/>
              <w:rPr>
                <w:rFonts w:ascii="Times New Roman" w:hAnsi="Times New Roman" w:cs="Times New Roman" w:eastAsia="Times New Roman" w:hint="default"/>
                <w:sz w:val="18"/>
                <w:szCs w:val="18"/>
              </w:rPr>
            </w:pPr>
            <w:r>
              <w:rPr>
                <w:rFonts w:ascii="Times New Roman"/>
                <w:sz w:val="18"/>
              </w:rPr>
              <w:t>2017SR505355</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19</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荣科基于大数据的慢性病管理平台系统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7" w:right="0"/>
              <w:jc w:val="left"/>
              <w:rPr>
                <w:rFonts w:ascii="Times New Roman" w:hAnsi="Times New Roman" w:cs="Times New Roman" w:eastAsia="Times New Roman" w:hint="default"/>
                <w:sz w:val="18"/>
                <w:szCs w:val="18"/>
              </w:rPr>
            </w:pPr>
            <w:r>
              <w:rPr>
                <w:rFonts w:ascii="Times New Roman"/>
                <w:sz w:val="18"/>
              </w:rPr>
              <w:t>2017SR539529</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sz w:val="20"/>
              </w:rPr>
              <w:t>20</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荣科护理大数据分析系统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7" w:right="0"/>
              <w:jc w:val="left"/>
              <w:rPr>
                <w:rFonts w:ascii="Times New Roman" w:hAnsi="Times New Roman" w:cs="Times New Roman" w:eastAsia="Times New Roman" w:hint="default"/>
                <w:sz w:val="18"/>
                <w:szCs w:val="18"/>
              </w:rPr>
            </w:pPr>
            <w:r>
              <w:rPr>
                <w:rFonts w:ascii="Times New Roman"/>
                <w:sz w:val="18"/>
              </w:rPr>
              <w:t>2017SR539533</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21</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荣科护理培训教育系统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7" w:right="0"/>
              <w:jc w:val="left"/>
              <w:rPr>
                <w:rFonts w:ascii="Times New Roman" w:hAnsi="Times New Roman" w:cs="Times New Roman" w:eastAsia="Times New Roman" w:hint="default"/>
                <w:sz w:val="18"/>
                <w:szCs w:val="18"/>
              </w:rPr>
            </w:pPr>
            <w:r>
              <w:rPr>
                <w:rFonts w:ascii="Times New Roman"/>
                <w:sz w:val="18"/>
              </w:rPr>
              <w:t>2017SR539580</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22</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荣科护理绩效考核系统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7" w:right="0"/>
              <w:jc w:val="left"/>
              <w:rPr>
                <w:rFonts w:ascii="Times New Roman" w:hAnsi="Times New Roman" w:cs="Times New Roman" w:eastAsia="Times New Roman" w:hint="default"/>
                <w:sz w:val="18"/>
                <w:szCs w:val="18"/>
              </w:rPr>
            </w:pPr>
            <w:r>
              <w:rPr>
                <w:rFonts w:ascii="Times New Roman"/>
                <w:sz w:val="18"/>
              </w:rPr>
              <w:t>2017SR539584</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23</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荣科护理质量控制系统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7" w:right="0"/>
              <w:jc w:val="left"/>
              <w:rPr>
                <w:rFonts w:ascii="Times New Roman" w:hAnsi="Times New Roman" w:cs="Times New Roman" w:eastAsia="Times New Roman" w:hint="default"/>
                <w:sz w:val="18"/>
                <w:szCs w:val="18"/>
              </w:rPr>
            </w:pPr>
            <w:r>
              <w:rPr>
                <w:rFonts w:ascii="Times New Roman"/>
                <w:sz w:val="18"/>
              </w:rPr>
              <w:t>2017SR540496</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24</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荣科护理智能排班系统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7" w:right="0"/>
              <w:jc w:val="left"/>
              <w:rPr>
                <w:rFonts w:ascii="Times New Roman" w:hAnsi="Times New Roman" w:cs="Times New Roman" w:eastAsia="Times New Roman" w:hint="default"/>
                <w:sz w:val="18"/>
                <w:szCs w:val="18"/>
              </w:rPr>
            </w:pPr>
            <w:r>
              <w:rPr>
                <w:rFonts w:ascii="Times New Roman"/>
                <w:sz w:val="18"/>
              </w:rPr>
              <w:t>2017SR542975</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25</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荣科护士技术档案系统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7" w:right="0"/>
              <w:jc w:val="left"/>
              <w:rPr>
                <w:rFonts w:ascii="Times New Roman" w:hAnsi="Times New Roman" w:cs="Times New Roman" w:eastAsia="Times New Roman" w:hint="default"/>
                <w:sz w:val="18"/>
                <w:szCs w:val="18"/>
              </w:rPr>
            </w:pPr>
            <w:r>
              <w:rPr>
                <w:rFonts w:ascii="Times New Roman"/>
                <w:sz w:val="18"/>
              </w:rPr>
              <w:t>2017SR542981</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26</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荣科信息共享与交换平台安全管理及日志管理系统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7" w:right="0"/>
              <w:jc w:val="left"/>
              <w:rPr>
                <w:rFonts w:ascii="Times New Roman" w:hAnsi="Times New Roman" w:cs="Times New Roman" w:eastAsia="Times New Roman" w:hint="default"/>
                <w:sz w:val="18"/>
                <w:szCs w:val="18"/>
              </w:rPr>
            </w:pPr>
            <w:r>
              <w:rPr>
                <w:rFonts w:ascii="Times New Roman"/>
                <w:sz w:val="18"/>
              </w:rPr>
              <w:t>2017SR589482</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27</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荣科信息共享与交换平台大数据分析系统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7" w:right="0"/>
              <w:jc w:val="left"/>
              <w:rPr>
                <w:rFonts w:ascii="Times New Roman" w:hAnsi="Times New Roman" w:cs="Times New Roman" w:eastAsia="Times New Roman" w:hint="default"/>
                <w:sz w:val="18"/>
                <w:szCs w:val="18"/>
              </w:rPr>
            </w:pPr>
            <w:r>
              <w:rPr>
                <w:rFonts w:ascii="Times New Roman"/>
                <w:sz w:val="18"/>
              </w:rPr>
              <w:t>2017SR589492</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28</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荣科信息共享与交换平台目录交换管理系统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7" w:right="0"/>
              <w:jc w:val="left"/>
              <w:rPr>
                <w:rFonts w:ascii="Times New Roman" w:hAnsi="Times New Roman" w:cs="Times New Roman" w:eastAsia="Times New Roman" w:hint="default"/>
                <w:sz w:val="18"/>
                <w:szCs w:val="18"/>
              </w:rPr>
            </w:pPr>
            <w:r>
              <w:rPr>
                <w:rFonts w:ascii="Times New Roman"/>
                <w:sz w:val="18"/>
              </w:rPr>
              <w:t>2017SR589569</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29</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荣科信息共享与交换平台云管理及部署系统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7" w:right="0"/>
              <w:jc w:val="left"/>
              <w:rPr>
                <w:rFonts w:ascii="Times New Roman" w:hAnsi="Times New Roman" w:cs="Times New Roman" w:eastAsia="Times New Roman" w:hint="default"/>
                <w:sz w:val="18"/>
                <w:szCs w:val="18"/>
              </w:rPr>
            </w:pPr>
            <w:r>
              <w:rPr>
                <w:rFonts w:ascii="Times New Roman"/>
                <w:sz w:val="18"/>
              </w:rPr>
              <w:t>2017SR589567</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30</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荣科信息共享与交换平台服务总线系统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7" w:right="0"/>
              <w:jc w:val="left"/>
              <w:rPr>
                <w:rFonts w:ascii="Times New Roman" w:hAnsi="Times New Roman" w:cs="Times New Roman" w:eastAsia="Times New Roman" w:hint="default"/>
                <w:sz w:val="18"/>
                <w:szCs w:val="18"/>
              </w:rPr>
            </w:pPr>
            <w:r>
              <w:rPr>
                <w:rFonts w:ascii="Times New Roman"/>
                <w:sz w:val="18"/>
              </w:rPr>
              <w:t>2017SR590465</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31</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荣科信息共享与交换平台消息管理系统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7" w:right="0"/>
              <w:jc w:val="left"/>
              <w:rPr>
                <w:rFonts w:ascii="Times New Roman" w:hAnsi="Times New Roman" w:cs="Times New Roman" w:eastAsia="Times New Roman" w:hint="default"/>
                <w:sz w:val="18"/>
                <w:szCs w:val="18"/>
              </w:rPr>
            </w:pPr>
            <w:r>
              <w:rPr>
                <w:rFonts w:ascii="Times New Roman"/>
                <w:sz w:val="18"/>
              </w:rPr>
              <w:t>2017SR590594</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sz w:val="20"/>
              </w:rPr>
              <w:t>32</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荣科信息共享与交换平台统一管理系统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7" w:right="0"/>
              <w:jc w:val="left"/>
              <w:rPr>
                <w:rFonts w:ascii="Times New Roman" w:hAnsi="Times New Roman" w:cs="Times New Roman" w:eastAsia="Times New Roman" w:hint="default"/>
                <w:sz w:val="18"/>
                <w:szCs w:val="18"/>
              </w:rPr>
            </w:pPr>
            <w:r>
              <w:rPr>
                <w:rFonts w:ascii="Times New Roman"/>
                <w:sz w:val="18"/>
              </w:rPr>
              <w:t>2017SR590608</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33</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荣科信息共享与交换平台节点管理系统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7" w:right="0"/>
              <w:jc w:val="left"/>
              <w:rPr>
                <w:rFonts w:ascii="Times New Roman" w:hAnsi="Times New Roman" w:cs="Times New Roman" w:eastAsia="Times New Roman" w:hint="default"/>
                <w:sz w:val="18"/>
                <w:szCs w:val="18"/>
              </w:rPr>
            </w:pPr>
            <w:r>
              <w:rPr>
                <w:rFonts w:ascii="Times New Roman"/>
                <w:sz w:val="18"/>
              </w:rPr>
              <w:t>2017SR590614</w:t>
            </w:r>
          </w:p>
        </w:tc>
      </w:tr>
      <w:tr>
        <w:trPr>
          <w:trHeight w:val="34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34</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荣科家医通系统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7" w:right="0"/>
              <w:jc w:val="left"/>
              <w:rPr>
                <w:rFonts w:ascii="Times New Roman" w:hAnsi="Times New Roman" w:cs="Times New Roman" w:eastAsia="Times New Roman" w:hint="default"/>
                <w:sz w:val="18"/>
                <w:szCs w:val="18"/>
              </w:rPr>
            </w:pPr>
            <w:r>
              <w:rPr>
                <w:rFonts w:ascii="Times New Roman"/>
                <w:sz w:val="18"/>
              </w:rPr>
              <w:t>2017SR650277</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35</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荣科可视化展现系统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07" w:right="0"/>
              <w:jc w:val="left"/>
              <w:rPr>
                <w:rFonts w:ascii="Times New Roman" w:hAnsi="Times New Roman" w:cs="Times New Roman" w:eastAsia="Times New Roman" w:hint="default"/>
                <w:sz w:val="18"/>
                <w:szCs w:val="18"/>
              </w:rPr>
            </w:pPr>
            <w:r>
              <w:rPr>
                <w:rFonts w:ascii="Times New Roman"/>
                <w:sz w:val="18"/>
              </w:rPr>
              <w:t>2017SR654226</w:t>
            </w:r>
          </w:p>
        </w:tc>
      </w:tr>
    </w:tbl>
    <w:p>
      <w:pPr>
        <w:spacing w:line="240" w:lineRule="auto" w:before="4"/>
        <w:rPr>
          <w:rFonts w:ascii="宋体" w:hAnsi="宋体" w:cs="宋体" w:eastAsia="宋体" w:hint="default"/>
          <w:sz w:val="21"/>
          <w:szCs w:val="21"/>
        </w:rPr>
      </w:pPr>
    </w:p>
    <w:p>
      <w:pPr>
        <w:pStyle w:val="BodyText"/>
        <w:spacing w:line="240" w:lineRule="auto" w:before="44"/>
        <w:ind w:right="0"/>
        <w:jc w:val="left"/>
      </w:pPr>
      <w:r>
        <w:rPr/>
        <w:t>报告期内，公司新增专利</w:t>
      </w:r>
      <w:r>
        <w:rPr>
          <w:rFonts w:ascii="Times New Roman" w:hAnsi="Times New Roman" w:cs="Times New Roman" w:eastAsia="Times New Roman" w:hint="default"/>
        </w:rPr>
        <w:t>1</w:t>
      </w:r>
      <w:r>
        <w:rPr/>
        <w:t>项，具体情况如下：</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685"/>
        <w:gridCol w:w="3327"/>
        <w:gridCol w:w="1058"/>
        <w:gridCol w:w="1984"/>
        <w:gridCol w:w="1276"/>
      </w:tblGrid>
      <w:tr>
        <w:trPr>
          <w:trHeight w:val="347" w:hRule="exact"/>
        </w:trPr>
        <w:tc>
          <w:tcPr>
            <w:tcW w:w="6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3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0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21" w:right="0"/>
              <w:jc w:val="left"/>
              <w:rPr>
                <w:rFonts w:ascii="宋体" w:hAnsi="宋体" w:cs="宋体" w:eastAsia="宋体" w:hint="default"/>
                <w:sz w:val="20"/>
                <w:szCs w:val="20"/>
              </w:rPr>
            </w:pPr>
            <w:r>
              <w:rPr>
                <w:rFonts w:ascii="宋体" w:hAnsi="宋体" w:cs="宋体" w:eastAsia="宋体" w:hint="default"/>
                <w:b/>
                <w:bCs/>
                <w:sz w:val="20"/>
                <w:szCs w:val="20"/>
              </w:rPr>
              <w:t>专利类型</w:t>
            </w:r>
            <w:r>
              <w:rPr>
                <w:rFonts w:ascii="宋体" w:hAnsi="宋体" w:cs="宋体" w:eastAsia="宋体" w:hint="default"/>
                <w:sz w:val="20"/>
                <w:szCs w:val="20"/>
              </w:rPr>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b/>
                <w:bCs/>
                <w:sz w:val="20"/>
                <w:szCs w:val="20"/>
              </w:rPr>
              <w:t>授权日期</w:t>
            </w:r>
            <w:r>
              <w:rPr>
                <w:rFonts w:ascii="宋体" w:hAnsi="宋体" w:cs="宋体" w:eastAsia="宋体" w:hint="default"/>
                <w:sz w:val="20"/>
                <w:szCs w:val="20"/>
              </w:rPr>
            </w:r>
          </w:p>
        </w:tc>
      </w:tr>
      <w:tr>
        <w:trPr>
          <w:trHeight w:val="347"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一种可视化监控防护方法</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201510024435.4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20"/>
                <w:szCs w:val="20"/>
              </w:rPr>
            </w:pPr>
            <w:r>
              <w:rPr>
                <w:rFonts w:ascii="Times New Roman"/>
                <w:sz w:val="20"/>
              </w:rPr>
              <w:t>2017.9.29</w:t>
            </w:r>
          </w:p>
        </w:tc>
      </w:tr>
    </w:tbl>
    <w:p>
      <w:pPr>
        <w:spacing w:line="240" w:lineRule="auto" w:before="3"/>
        <w:rPr>
          <w:rFonts w:ascii="宋体" w:hAnsi="宋体" w:cs="宋体" w:eastAsia="宋体" w:hint="default"/>
          <w:sz w:val="21"/>
          <w:szCs w:val="21"/>
        </w:rPr>
      </w:pPr>
    </w:p>
    <w:p>
      <w:pPr>
        <w:pStyle w:val="BodyText"/>
        <w:spacing w:line="240" w:lineRule="auto" w:before="44"/>
        <w:ind w:right="0"/>
        <w:jc w:val="left"/>
      </w:pPr>
      <w:r>
        <w:rPr/>
        <w:t>报告期内，上海米健新增软件著作权</w:t>
      </w:r>
      <w:r>
        <w:rPr>
          <w:rFonts w:ascii="Times New Roman" w:hAnsi="Times New Roman" w:cs="Times New Roman" w:eastAsia="Times New Roman" w:hint="default"/>
        </w:rPr>
        <w:t>23</w:t>
      </w:r>
      <w:r>
        <w:rPr/>
        <w:t>项，具体情况如下：</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507"/>
        <w:gridCol w:w="3381"/>
        <w:gridCol w:w="912"/>
        <w:gridCol w:w="2832"/>
        <w:gridCol w:w="1572"/>
      </w:tblGrid>
      <w:tr>
        <w:trPr>
          <w:trHeight w:val="347" w:hRule="exact"/>
        </w:trPr>
        <w:tc>
          <w:tcPr>
            <w:tcW w:w="5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证书名称</w:t>
            </w:r>
            <w:r>
              <w:rPr>
                <w:rFonts w:ascii="宋体" w:hAnsi="宋体" w:cs="宋体" w:eastAsia="宋体" w:hint="default"/>
                <w:sz w:val="20"/>
                <w:szCs w:val="20"/>
              </w:rPr>
            </w:r>
          </w:p>
        </w:tc>
        <w:tc>
          <w:tcPr>
            <w:tcW w:w="9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版本</w:t>
            </w:r>
            <w:r>
              <w:rPr>
                <w:rFonts w:ascii="宋体" w:hAnsi="宋体" w:cs="宋体" w:eastAsia="宋体" w:hint="default"/>
                <w:sz w:val="20"/>
                <w:szCs w:val="20"/>
              </w:rPr>
            </w:r>
          </w:p>
        </w:tc>
        <w:tc>
          <w:tcPr>
            <w:tcW w:w="28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b/>
                <w:bCs/>
                <w:sz w:val="20"/>
                <w:szCs w:val="20"/>
              </w:rPr>
              <w:t>发证机关</w:t>
            </w:r>
            <w:r>
              <w:rPr>
                <w:rFonts w:ascii="宋体" w:hAnsi="宋体" w:cs="宋体" w:eastAsia="宋体" w:hint="default"/>
                <w:sz w:val="20"/>
                <w:szCs w:val="20"/>
              </w:rPr>
            </w:r>
          </w:p>
        </w:tc>
        <w:tc>
          <w:tcPr>
            <w:tcW w:w="15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证书编号</w:t>
            </w:r>
            <w:r>
              <w:rPr>
                <w:rFonts w:ascii="宋体" w:hAnsi="宋体" w:cs="宋体" w:eastAsia="宋体" w:hint="default"/>
                <w:sz w:val="20"/>
                <w:szCs w:val="20"/>
              </w:rPr>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米健重症医学临床信息系统管理软件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V3.3</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2017SR089804</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米健急诊临床决策支持和质量管理系统</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2017SR089800</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米健血液透析信息管理系统应用软件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2017SR192580</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Meehealth</w:t>
            </w:r>
            <w:r>
              <w:rPr>
                <w:rFonts w:ascii="宋体" w:hAnsi="宋体" w:cs="宋体" w:eastAsia="宋体" w:hint="default"/>
                <w:sz w:val="18"/>
                <w:szCs w:val="18"/>
              </w:rPr>
              <w:t>急诊预检分诊管理软件</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易健）</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V3.0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2017SR328170</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米健家庭医生签约服务管理软件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V1.0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2017SR392567</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米健手术室麻醉临床信息系统应用软件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V6.0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2017SR595504</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上海米健急诊叫号信息软件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V3.0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2017SR488152</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米健移动临床护理应用软件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2017SR452839</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米健护理数据分析应用软件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2017SR452811</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10</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米健重症医学临床信息系统应用软件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V4.0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2017SR595497</w:t>
            </w:r>
          </w:p>
        </w:tc>
      </w:tr>
      <w:tr>
        <w:trPr>
          <w:trHeight w:val="345"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11</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米健护理管理软件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2017SR452717</w:t>
            </w:r>
          </w:p>
        </w:tc>
      </w:tr>
    </w:tbl>
    <w:p>
      <w:pPr>
        <w:spacing w:after="0" w:line="240" w:lineRule="auto"/>
        <w:jc w:val="center"/>
        <w:rPr>
          <w:rFonts w:ascii="Times New Roman" w:hAnsi="Times New Roman" w:cs="Times New Roman" w:eastAsia="Times New Roman" w:hint="default"/>
          <w:sz w:val="18"/>
          <w:szCs w:val="18"/>
        </w:rPr>
        <w:sectPr>
          <w:pgSz w:w="11910" w:h="16840"/>
          <w:pgMar w:header="868" w:footer="978" w:top="1060" w:bottom="1160" w:left="1020" w:right="1020"/>
        </w:sectPr>
      </w:pPr>
    </w:p>
    <w:p>
      <w:pPr>
        <w:spacing w:line="240" w:lineRule="auto" w:before="1"/>
        <w:rPr>
          <w:rFonts w:ascii="Times New Roman" w:hAnsi="Times New Roman" w:cs="Times New Roman" w:eastAsia="Times New Roman"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507"/>
        <w:gridCol w:w="3381"/>
        <w:gridCol w:w="912"/>
        <w:gridCol w:w="2832"/>
        <w:gridCol w:w="1572"/>
      </w:tblGrid>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12</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米健区域急救协同平台应用软件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9" w:right="0"/>
              <w:jc w:val="left"/>
              <w:rPr>
                <w:rFonts w:ascii="Times New Roman" w:hAnsi="Times New Roman" w:cs="Times New Roman" w:eastAsia="Times New Roman" w:hint="default"/>
                <w:sz w:val="18"/>
                <w:szCs w:val="18"/>
              </w:rPr>
            </w:pPr>
            <w:r>
              <w:rPr>
                <w:rFonts w:ascii="Times New Roman"/>
                <w:sz w:val="18"/>
              </w:rPr>
              <w:t>2017SR563745</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13</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米健单病种急救管理平台应用软件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9" w:right="0"/>
              <w:jc w:val="left"/>
              <w:rPr>
                <w:rFonts w:ascii="Times New Roman" w:hAnsi="Times New Roman" w:cs="Times New Roman" w:eastAsia="Times New Roman" w:hint="default"/>
                <w:sz w:val="18"/>
                <w:szCs w:val="18"/>
              </w:rPr>
            </w:pPr>
            <w:r>
              <w:rPr>
                <w:rFonts w:ascii="Times New Roman"/>
                <w:sz w:val="18"/>
              </w:rPr>
              <w:t>2017SR485681</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14</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米健卒中临床信息系统管理软件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9" w:right="0"/>
              <w:jc w:val="left"/>
              <w:rPr>
                <w:rFonts w:ascii="Times New Roman" w:hAnsi="Times New Roman" w:cs="Times New Roman" w:eastAsia="Times New Roman" w:hint="default"/>
                <w:sz w:val="18"/>
                <w:szCs w:val="18"/>
              </w:rPr>
            </w:pPr>
            <w:r>
              <w:rPr>
                <w:rFonts w:ascii="Times New Roman"/>
                <w:sz w:val="18"/>
              </w:rPr>
              <w:t>2017SR508028</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15</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米健胸痛临床信息系统管理软件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9" w:right="0"/>
              <w:jc w:val="left"/>
              <w:rPr>
                <w:rFonts w:ascii="Times New Roman" w:hAnsi="Times New Roman" w:cs="Times New Roman" w:eastAsia="Times New Roman" w:hint="default"/>
                <w:sz w:val="18"/>
                <w:szCs w:val="18"/>
              </w:rPr>
            </w:pPr>
            <w:r>
              <w:rPr>
                <w:rFonts w:ascii="Times New Roman"/>
                <w:sz w:val="18"/>
              </w:rPr>
              <w:t>2017SR563708</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16</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米健创伤急救临床信息系统管理软件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9" w:right="0"/>
              <w:jc w:val="left"/>
              <w:rPr>
                <w:rFonts w:ascii="Times New Roman" w:hAnsi="Times New Roman" w:cs="Times New Roman" w:eastAsia="Times New Roman" w:hint="default"/>
                <w:sz w:val="18"/>
                <w:szCs w:val="18"/>
              </w:rPr>
            </w:pPr>
            <w:r>
              <w:rPr>
                <w:rFonts w:ascii="Times New Roman"/>
                <w:sz w:val="18"/>
              </w:rPr>
              <w:t>2017SR576979</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17</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米健急诊输液管理软件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V4.1</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9" w:right="0"/>
              <w:jc w:val="left"/>
              <w:rPr>
                <w:rFonts w:ascii="Times New Roman" w:hAnsi="Times New Roman" w:cs="Times New Roman" w:eastAsia="Times New Roman" w:hint="default"/>
                <w:sz w:val="18"/>
                <w:szCs w:val="18"/>
              </w:rPr>
            </w:pPr>
            <w:r>
              <w:rPr>
                <w:rFonts w:ascii="Times New Roman"/>
                <w:sz w:val="18"/>
              </w:rPr>
              <w:t>2017SR493497</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20"/>
                <w:szCs w:val="20"/>
              </w:rPr>
            </w:pPr>
            <w:r>
              <w:rPr>
                <w:rFonts w:ascii="Times New Roman"/>
                <w:sz w:val="20"/>
              </w:rPr>
              <w:t>18</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米健包虫病监测信息系统应用软件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V1.0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9" w:right="0"/>
              <w:jc w:val="left"/>
              <w:rPr>
                <w:rFonts w:ascii="Times New Roman" w:hAnsi="Times New Roman" w:cs="Times New Roman" w:eastAsia="Times New Roman" w:hint="default"/>
                <w:sz w:val="18"/>
                <w:szCs w:val="18"/>
              </w:rPr>
            </w:pPr>
            <w:r>
              <w:rPr>
                <w:rFonts w:ascii="Times New Roman"/>
                <w:sz w:val="18"/>
              </w:rPr>
              <w:t>2017SR489829</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19</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米健急诊医学临床信息系统管理软件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V4.1</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9" w:right="0"/>
              <w:jc w:val="left"/>
              <w:rPr>
                <w:rFonts w:ascii="Times New Roman" w:hAnsi="Times New Roman" w:cs="Times New Roman" w:eastAsia="Times New Roman" w:hint="default"/>
                <w:sz w:val="18"/>
                <w:szCs w:val="18"/>
              </w:rPr>
            </w:pPr>
            <w:r>
              <w:rPr>
                <w:rFonts w:ascii="Times New Roman"/>
                <w:sz w:val="18"/>
              </w:rPr>
              <w:t>2017SR708851</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20</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米健重症医学知识库管理应用软件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V4.0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9" w:right="0"/>
              <w:jc w:val="left"/>
              <w:rPr>
                <w:rFonts w:ascii="Times New Roman" w:hAnsi="Times New Roman" w:cs="Times New Roman" w:eastAsia="Times New Roman" w:hint="default"/>
                <w:sz w:val="18"/>
                <w:szCs w:val="18"/>
              </w:rPr>
            </w:pPr>
            <w:r>
              <w:rPr>
                <w:rFonts w:ascii="Times New Roman"/>
                <w:sz w:val="18"/>
              </w:rPr>
              <w:t>2017SR726492</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21</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米健藏医馆健康信息化平台软件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V1.0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9" w:right="0"/>
              <w:jc w:val="left"/>
              <w:rPr>
                <w:rFonts w:ascii="Times New Roman" w:hAnsi="Times New Roman" w:cs="Times New Roman" w:eastAsia="Times New Roman" w:hint="default"/>
                <w:sz w:val="18"/>
                <w:szCs w:val="18"/>
              </w:rPr>
            </w:pPr>
            <w:r>
              <w:rPr>
                <w:rFonts w:ascii="Times New Roman"/>
                <w:sz w:val="18"/>
              </w:rPr>
              <w:t>2017SR622385</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22</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米健耗材智能管理系统应用软件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V1.0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9" w:right="0"/>
              <w:jc w:val="left"/>
              <w:rPr>
                <w:rFonts w:ascii="Times New Roman" w:hAnsi="Times New Roman" w:cs="Times New Roman" w:eastAsia="Times New Roman" w:hint="default"/>
                <w:sz w:val="18"/>
                <w:szCs w:val="18"/>
              </w:rPr>
            </w:pPr>
            <w:r>
              <w:rPr>
                <w:rFonts w:ascii="Times New Roman"/>
                <w:sz w:val="18"/>
              </w:rPr>
              <w:t>2017SR641350</w:t>
            </w:r>
          </w:p>
        </w:tc>
      </w:tr>
      <w:tr>
        <w:trPr>
          <w:trHeight w:val="347"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23</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米健重症医学临床信息系统管理软件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9" w:right="0"/>
              <w:jc w:val="left"/>
              <w:rPr>
                <w:rFonts w:ascii="Times New Roman" w:hAnsi="Times New Roman" w:cs="Times New Roman" w:eastAsia="Times New Roman" w:hint="default"/>
                <w:sz w:val="18"/>
                <w:szCs w:val="18"/>
              </w:rPr>
            </w:pPr>
            <w:r>
              <w:rPr>
                <w:rFonts w:ascii="Times New Roman"/>
                <w:sz w:val="18"/>
              </w:rPr>
              <w:t>2017SR685018</w:t>
            </w:r>
          </w:p>
        </w:tc>
      </w:tr>
    </w:tbl>
    <w:p>
      <w:pPr>
        <w:spacing w:after="0" w:line="240" w:lineRule="auto"/>
        <w:jc w:val="left"/>
        <w:rPr>
          <w:rFonts w:ascii="Times New Roman" w:hAnsi="Times New Roman" w:cs="Times New Roman" w:eastAsia="Times New Roman" w:hint="default"/>
          <w:sz w:val="18"/>
          <w:szCs w:val="18"/>
        </w:rPr>
        <w:sectPr>
          <w:headerReference w:type="default" r:id="rId19"/>
          <w:pgSz w:w="11910" w:h="16840"/>
          <w:pgMar w:header="566" w:footer="978" w:top="13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1"/>
        <w:spacing w:line="240" w:lineRule="auto"/>
        <w:ind w:left="2928" w:right="94"/>
        <w:jc w:val="left"/>
        <w:rPr>
          <w:b w:val="0"/>
          <w:bCs w:val="0"/>
        </w:rPr>
      </w:pPr>
      <w:bookmarkStart w:name="_bookmark3" w:id="4"/>
      <w:bookmarkEnd w:id="4"/>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178"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年是公司深化战略转型的关键年，也是公司不畏艰难、继往开来的新起点。在</w:t>
      </w:r>
      <w:r>
        <w:rPr>
          <w:rFonts w:ascii="Times New Roman" w:hAnsi="Times New Roman" w:cs="Times New Roman" w:eastAsia="Times New Roman" w:hint="default"/>
        </w:rPr>
        <w:t>“</w:t>
      </w:r>
      <w:r>
        <w:rPr/>
        <w:t>数据云医生，健康智天使</w:t>
      </w:r>
      <w:r>
        <w:rPr>
          <w:rFonts w:ascii="Times New Roman" w:hAnsi="Times New Roman" w:cs="Times New Roman" w:eastAsia="Times New Roman" w:hint="default"/>
        </w:rPr>
        <w:t>”</w:t>
      </w:r>
      <w:r>
        <w:rPr/>
        <w:t>战略目 标的前提下，公司稳扎稳打，战略转型逐步完善。报告期内，公司收购了上海米健剩余</w:t>
      </w:r>
      <w:r>
        <w:rPr>
          <w:spacing w:val="-46"/>
        </w:rPr>
        <w:t> </w:t>
      </w:r>
      <w:r>
        <w:rPr>
          <w:rFonts w:ascii="Times New Roman" w:hAnsi="Times New Roman" w:cs="Times New Roman" w:eastAsia="Times New Roman" w:hint="default"/>
        </w:rPr>
        <w:t>49%</w:t>
      </w:r>
      <w:r>
        <w:rPr/>
        <w:t>股权、审议通过了收购神州视 翰</w:t>
      </w:r>
      <w:r>
        <w:rPr>
          <w:spacing w:val="-54"/>
        </w:rPr>
        <w:t> </w:t>
      </w:r>
      <w:r>
        <w:rPr>
          <w:rFonts w:ascii="Times New Roman" w:hAnsi="Times New Roman" w:cs="Times New Roman" w:eastAsia="Times New Roman" w:hint="default"/>
        </w:rPr>
        <w:t>100%</w:t>
      </w:r>
      <w:r>
        <w:rPr/>
        <w:t>股权的相关事宜，并通过产业基金投资了上海今创信息技术有限公司。这一系列的资本运作，加速延伸了公司医疗 </w:t>
      </w:r>
      <w:r>
        <w:rPr>
          <w:spacing w:val="-2"/>
        </w:rPr>
        <w:t>信息化产业链。同时，公司完成了高新技术企业的重新认定，进一步提升核心竞争力，全面转型升级经营管理策略，努力克</w:t>
      </w:r>
      <w:r>
        <w:rPr>
          <w:spacing w:val="-65"/>
        </w:rPr>
        <w:t> </w:t>
      </w:r>
      <w:r>
        <w:rPr>
          <w:spacing w:val="-65"/>
        </w:rPr>
      </w:r>
      <w:r>
        <w:rPr/>
        <w:t>服重重困难，在客户与市场、人才与文化、创新与研发、成本管控、资本运作、风险控制等方面不断改进。</w:t>
      </w:r>
    </w:p>
    <w:p>
      <w:pPr>
        <w:pStyle w:val="Heading3"/>
        <w:spacing w:line="240" w:lineRule="auto" w:before="120"/>
        <w:ind w:left="532" w:right="6754"/>
        <w:jc w:val="left"/>
        <w:rPr>
          <w:b w:val="0"/>
          <w:bCs w:val="0"/>
        </w:rPr>
      </w:pPr>
      <w:r>
        <w:rPr/>
        <w:t>（一）客户与市场方面</w:t>
      </w:r>
      <w:r>
        <w:rPr>
          <w:b w:val="0"/>
          <w:bCs w:val="0"/>
        </w:rPr>
      </w:r>
    </w:p>
    <w:p>
      <w:pPr>
        <w:pStyle w:val="BodyText"/>
        <w:spacing w:line="430" w:lineRule="atLeast" w:before="24"/>
        <w:ind w:left="472" w:right="94"/>
        <w:jc w:val="left"/>
      </w:pPr>
      <w:r>
        <w:rPr>
          <w:rFonts w:ascii="宋体" w:hAnsi="宋体" w:cs="宋体" w:eastAsia="宋体" w:hint="default"/>
          <w:b/>
          <w:bCs/>
        </w:rPr>
        <w:t>1、市场开拓方面</w:t>
      </w:r>
      <w:r>
        <w:rPr>
          <w:rFonts w:ascii="宋体" w:hAnsi="宋体" w:cs="宋体" w:eastAsia="宋体" w:hint="default"/>
          <w:b/>
          <w:bCs/>
          <w:w w:val="99"/>
        </w:rPr>
        <w:t> </w:t>
      </w:r>
      <w:r>
        <w:rPr>
          <w:spacing w:val="-2"/>
        </w:rPr>
        <w:t>报告期内，公司继续执行平台与生态战略，打造绿色、健康、可持续发展的生态系统。在客户层面，以精益求精的工匠</w:t>
      </w:r>
    </w:p>
    <w:p>
      <w:pPr>
        <w:pStyle w:val="BodyText"/>
        <w:spacing w:line="314" w:lineRule="auto" w:before="76"/>
        <w:ind w:right="192"/>
        <w:jc w:val="both"/>
      </w:pPr>
      <w:r>
        <w:rPr>
          <w:spacing w:val="-2"/>
        </w:rPr>
        <w:t>精神，严格遵守行业准则，拓展营销渠道，为客户提供放心、感动、祝福式的荣科服务，得到了客户的高度认可。在医疗健</w:t>
      </w:r>
      <w:r>
        <w:rPr>
          <w:spacing w:val="-64"/>
        </w:rPr>
        <w:t> </w:t>
      </w:r>
      <w:r>
        <w:rPr>
          <w:spacing w:val="-64"/>
        </w:rPr>
      </w:r>
      <w:r>
        <w:rPr>
          <w:spacing w:val="-2"/>
        </w:rPr>
        <w:t>康领域，公司进一步整合总部与上海米健的市场资源，在继续巩固现有区域的同时，有效开拓西北市场。全年共新增医院客</w:t>
      </w:r>
      <w:r>
        <w:rPr>
          <w:spacing w:val="-66"/>
        </w:rPr>
        <w:t> </w:t>
      </w:r>
      <w:r>
        <w:rPr>
          <w:spacing w:val="-66"/>
        </w:rPr>
      </w:r>
      <w:r>
        <w:rPr>
          <w:spacing w:val="-2"/>
        </w:rPr>
        <w:t>户一百多家，其中包括广东省人民医院、上海新华医院、深圳大学附属医院、南京军区南京总医院、新疆医科大学第一附属</w:t>
      </w:r>
      <w:r>
        <w:rPr>
          <w:spacing w:val="-65"/>
        </w:rPr>
        <w:t> </w:t>
      </w:r>
      <w:r>
        <w:rPr>
          <w:spacing w:val="-65"/>
        </w:rPr>
      </w:r>
      <w:r>
        <w:rPr>
          <w:spacing w:val="-2"/>
        </w:rPr>
        <w:t>医院等国内知名三甲医院。与西藏自治区卫生和计划生育委员会合作的包虫病项目，为西藏全区包虫病人群筛查和流程化管</w:t>
      </w:r>
      <w:r>
        <w:rPr>
          <w:spacing w:val="-64"/>
        </w:rPr>
        <w:t> </w:t>
      </w:r>
      <w:r>
        <w:rPr>
          <w:spacing w:val="-64"/>
        </w:rPr>
      </w:r>
      <w:r>
        <w:rPr>
          <w:spacing w:val="-2"/>
        </w:rPr>
        <w:t>理提供了信息化支撑；与十余家行业领军企业和投融资平台联合筹备成立中国健康医疗大数据股份有限公司；与国际领先的</w:t>
      </w:r>
      <w:r>
        <w:rPr>
          <w:spacing w:val="-64"/>
        </w:rPr>
        <w:t> </w:t>
      </w:r>
      <w:r>
        <w:rPr>
          <w:spacing w:val="-64"/>
        </w:rPr>
      </w:r>
      <w:r>
        <w:rPr/>
        <w:t>医疗临床数据分析公司</w:t>
      </w:r>
      <w:r>
        <w:rPr>
          <w:spacing w:val="-52"/>
        </w:rPr>
        <w:t> </w:t>
      </w:r>
      <w:r>
        <w:rPr>
          <w:rFonts w:ascii="Times New Roman" w:hAnsi="Times New Roman" w:cs="Times New Roman" w:eastAsia="Times New Roman" w:hint="default"/>
        </w:rPr>
        <w:t>Ambient</w:t>
      </w:r>
      <w:r>
        <w:rPr>
          <w:rFonts w:ascii="Times New Roman" w:hAnsi="Times New Roman" w:cs="Times New Roman" w:eastAsia="Times New Roman" w:hint="default"/>
          <w:spacing w:val="-8"/>
        </w:rPr>
        <w:t> </w:t>
      </w:r>
      <w:r>
        <w:rPr>
          <w:rFonts w:ascii="Times New Roman" w:hAnsi="Times New Roman" w:cs="Times New Roman" w:eastAsia="Times New Roman" w:hint="default"/>
        </w:rPr>
        <w:t>Clinical</w:t>
      </w:r>
      <w:r>
        <w:rPr>
          <w:rFonts w:ascii="Times New Roman" w:hAnsi="Times New Roman" w:cs="Times New Roman" w:eastAsia="Times New Roman" w:hint="default"/>
          <w:spacing w:val="32"/>
        </w:rPr>
        <w:t> </w:t>
      </w:r>
      <w:r>
        <w:rPr/>
        <w:t>签署了合作协议。报告期内，公司在智慧医疗领域的辛勤耕耘为未来发展奠定了良 好的基础。</w:t>
      </w:r>
    </w:p>
    <w:p>
      <w:pPr>
        <w:spacing w:line="240" w:lineRule="auto" w:before="7"/>
        <w:rPr>
          <w:rFonts w:ascii="宋体" w:hAnsi="宋体" w:cs="宋体" w:eastAsia="宋体" w:hint="default"/>
          <w:sz w:val="19"/>
          <w:szCs w:val="19"/>
        </w:rPr>
      </w:pPr>
    </w:p>
    <w:p>
      <w:pPr>
        <w:pStyle w:val="Heading4"/>
        <w:spacing w:line="240" w:lineRule="auto"/>
        <w:ind w:right="94"/>
        <w:jc w:val="left"/>
        <w:rPr>
          <w:b w:val="0"/>
          <w:bCs w:val="0"/>
        </w:rPr>
      </w:pPr>
      <w:r>
        <w:rPr/>
        <w:t>2、提高客户服务水平与项目管理能力</w:t>
      </w:r>
      <w:r>
        <w:rPr>
          <w:b w:val="0"/>
          <w:bCs w:val="0"/>
        </w:rPr>
      </w:r>
    </w:p>
    <w:p>
      <w:pPr>
        <w:spacing w:line="240" w:lineRule="auto" w:before="11"/>
        <w:rPr>
          <w:rFonts w:ascii="宋体" w:hAnsi="宋体" w:cs="宋体" w:eastAsia="宋体" w:hint="default"/>
          <w:b/>
          <w:bCs/>
          <w:sz w:val="14"/>
          <w:szCs w:val="14"/>
        </w:rPr>
      </w:pPr>
    </w:p>
    <w:p>
      <w:pPr>
        <w:pStyle w:val="BodyText"/>
        <w:spacing w:line="300" w:lineRule="auto"/>
        <w:ind w:right="230"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年，公司级、部门级、项目级管理体系持续完善，公司建立了较为完善的项目监控指标，有效监督各技术部门的 项目开发及进展，有效促进了技术部门人均效率的提升。利用项目风险防控体系，使项目安全风险在得到有效的控制。</w:t>
      </w:r>
    </w:p>
    <w:p>
      <w:pPr>
        <w:pStyle w:val="BodyText"/>
        <w:spacing w:line="316" w:lineRule="auto" w:before="72"/>
        <w:ind w:right="192" w:firstLine="360"/>
        <w:jc w:val="both"/>
      </w:pPr>
      <w:r>
        <w:rPr>
          <w:spacing w:val="-2"/>
        </w:rPr>
        <w:t>在公司级的项目监控方面，明确监管定位，以项目管理规范的落实情况和客户满意度的达成情况为抓手，发现问题，解</w:t>
      </w:r>
      <w:r>
        <w:rPr/>
        <w:t> </w:t>
      </w:r>
      <w:r>
        <w:rPr>
          <w:spacing w:val="-2"/>
        </w:rPr>
        <w:t>决问题，促进客户服务的改善。以项目交付验收为目标，重点监控项目按期交付水平。通过监督项目产值达成状况，按月分</w:t>
      </w:r>
      <w:r>
        <w:rPr>
          <w:spacing w:val="-65"/>
        </w:rPr>
        <w:t> </w:t>
      </w:r>
      <w:r>
        <w:rPr>
          <w:spacing w:val="-65"/>
        </w:rPr>
      </w:r>
      <w:r>
        <w:rPr>
          <w:spacing w:val="-2"/>
        </w:rPr>
        <w:t>析各技术部门的人均绩效，实现精细化管理并促进持续改善。同时通过项目风险防控体系，调动公司上下资源协调努力，有</w:t>
      </w:r>
      <w:r>
        <w:rPr>
          <w:spacing w:val="-66"/>
        </w:rPr>
        <w:t> </w:t>
      </w:r>
      <w:r>
        <w:rPr>
          <w:spacing w:val="-66"/>
        </w:rPr>
      </w:r>
      <w:r>
        <w:rPr/>
        <w:t>效防范项目风险。通过以上措施的落实，有效提高了项目实施效率，很大程度保证了客户的满意度的提升。</w:t>
      </w:r>
    </w:p>
    <w:p>
      <w:pPr>
        <w:spacing w:line="240" w:lineRule="auto" w:before="3"/>
        <w:rPr>
          <w:rFonts w:ascii="宋体" w:hAnsi="宋体" w:cs="宋体" w:eastAsia="宋体" w:hint="default"/>
          <w:sz w:val="19"/>
          <w:szCs w:val="19"/>
        </w:rPr>
      </w:pPr>
    </w:p>
    <w:p>
      <w:pPr>
        <w:pStyle w:val="Heading4"/>
        <w:spacing w:line="240" w:lineRule="auto"/>
        <w:ind w:right="6754"/>
        <w:jc w:val="left"/>
        <w:rPr>
          <w:b w:val="0"/>
          <w:bCs w:val="0"/>
        </w:rPr>
      </w:pPr>
      <w:r>
        <w:rPr/>
        <w:t>3、资质方面</w:t>
      </w:r>
      <w:r>
        <w:rPr>
          <w:b w:val="0"/>
          <w:bCs w:val="0"/>
        </w:rPr>
      </w:r>
    </w:p>
    <w:p>
      <w:pPr>
        <w:spacing w:line="240" w:lineRule="auto" w:before="11"/>
        <w:rPr>
          <w:rFonts w:ascii="宋体" w:hAnsi="宋体" w:cs="宋体" w:eastAsia="宋体" w:hint="default"/>
          <w:b/>
          <w:bCs/>
          <w:sz w:val="14"/>
          <w:szCs w:val="14"/>
        </w:rPr>
      </w:pPr>
    </w:p>
    <w:p>
      <w:pPr>
        <w:pStyle w:val="BodyText"/>
        <w:spacing w:line="300" w:lineRule="auto"/>
        <w:ind w:right="101" w:firstLine="360"/>
        <w:jc w:val="both"/>
      </w:pPr>
      <w:r>
        <w:rPr>
          <w:rFonts w:ascii="Times New Roman" w:hAnsi="Times New Roman" w:cs="Times New Roman" w:eastAsia="Times New Roman" w:hint="default"/>
        </w:rPr>
        <w:t>2017 </w:t>
      </w:r>
      <w:r>
        <w:rPr/>
        <w:t>年，公司主要完成了高新技术企业的重新认定、</w:t>
      </w:r>
      <w:r>
        <w:rPr>
          <w:rFonts w:ascii="Times New Roman" w:hAnsi="Times New Roman" w:cs="Times New Roman" w:eastAsia="Times New Roman" w:hint="default"/>
        </w:rPr>
        <w:t>CMMI3</w:t>
      </w:r>
      <w:r>
        <w:rPr>
          <w:rFonts w:ascii="Times New Roman" w:hAnsi="Times New Roman" w:cs="Times New Roman" w:eastAsia="Times New Roman" w:hint="default"/>
          <w:spacing w:val="-23"/>
        </w:rPr>
        <w:t> </w:t>
      </w:r>
      <w:r>
        <w:rPr/>
        <w:t>级的复核评审、信息安全资质的年度审核等工作，使公司</w:t>
      </w:r>
      <w:r>
        <w:rPr>
          <w:w w:val="99"/>
        </w:rPr>
        <w:t> </w:t>
      </w:r>
      <w:r>
        <w:rPr/>
        <w:t>软件研发能力和信息安全业务保障能力得到了验证和提高。报告期内，公司取得了</w:t>
      </w:r>
      <w:r>
        <w:rPr>
          <w:rFonts w:ascii="Times New Roman" w:hAnsi="Times New Roman" w:cs="Times New Roman" w:eastAsia="Times New Roman" w:hint="default"/>
        </w:rPr>
        <w:t>“</w:t>
      </w:r>
      <w:r>
        <w:rPr/>
        <w:t>音视频集成工程企业壹级</w:t>
      </w:r>
      <w:r>
        <w:rPr>
          <w:rFonts w:ascii="Times New Roman" w:hAnsi="Times New Roman" w:cs="Times New Roman" w:eastAsia="Times New Roman" w:hint="default"/>
        </w:rPr>
        <w:t>”</w:t>
      </w:r>
      <w:r>
        <w:rPr/>
        <w:t>资质，开拓了 公司在系统集成领域新的业务发展方向。此外，公司被评为</w:t>
      </w:r>
      <w:r>
        <w:rPr>
          <w:rFonts w:ascii="Times New Roman" w:hAnsi="Times New Roman" w:cs="Times New Roman" w:eastAsia="Times New Roman" w:hint="default"/>
        </w:rPr>
        <w:t>“</w:t>
      </w:r>
      <w:r>
        <w:rPr/>
        <w:t>沈阳市科技小巨人</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辽宁省企业技术中心</w:t>
      </w:r>
      <w:r>
        <w:rPr>
          <w:rFonts w:ascii="Times New Roman" w:hAnsi="Times New Roman" w:cs="Times New Roman" w:eastAsia="Times New Roman" w:hint="default"/>
        </w:rPr>
        <w:t>”</w:t>
      </w:r>
      <w:r>
        <w:rPr/>
        <w:t>，充分体现了企业 </w:t>
      </w:r>
      <w:r>
        <w:rPr>
          <w:spacing w:val="-2"/>
        </w:rPr>
        <w:t>研发实力和综合竞争能力。公司产品获得了</w:t>
      </w:r>
      <w:r>
        <w:rPr>
          <w:rFonts w:ascii="Times New Roman" w:hAnsi="Times New Roman" w:cs="Times New Roman" w:eastAsia="Times New Roman" w:hint="default"/>
          <w:spacing w:val="-2"/>
        </w:rPr>
        <w:t>“</w:t>
      </w:r>
      <w:r>
        <w:rPr>
          <w:spacing w:val="-2"/>
        </w:rPr>
        <w:t>中国软件行业优秀新产品</w:t>
      </w:r>
      <w:r>
        <w:rPr>
          <w:rFonts w:ascii="Times New Roman" w:hAnsi="Times New Roman" w:cs="Times New Roman" w:eastAsia="Times New Roman" w:hint="default"/>
          <w:spacing w:val="-2"/>
        </w:rPr>
        <w:t>”</w:t>
      </w:r>
      <w:r>
        <w:rPr>
          <w:spacing w:val="-2"/>
        </w:rPr>
        <w:t>称号，全年完成</w:t>
      </w:r>
      <w:r>
        <w:rPr>
          <w:spacing w:val="-38"/>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余项体系及资质的年度审核工作。</w:t>
      </w:r>
    </w:p>
    <w:p>
      <w:pPr>
        <w:pStyle w:val="Heading3"/>
        <w:spacing w:line="240" w:lineRule="auto" w:before="107"/>
        <w:ind w:left="532" w:right="6754"/>
        <w:jc w:val="left"/>
        <w:rPr>
          <w:b w:val="0"/>
          <w:bCs w:val="0"/>
        </w:rPr>
      </w:pPr>
      <w:r>
        <w:rPr/>
        <w:t>（二）人才与文化方面</w:t>
      </w:r>
      <w:r>
        <w:rPr>
          <w:b w:val="0"/>
          <w:bCs w:val="0"/>
        </w:rPr>
      </w:r>
    </w:p>
    <w:p>
      <w:pPr>
        <w:spacing w:line="240" w:lineRule="auto" w:before="10"/>
        <w:rPr>
          <w:rFonts w:ascii="宋体" w:hAnsi="宋体" w:cs="宋体" w:eastAsia="宋体" w:hint="default"/>
          <w:b/>
          <w:bCs/>
          <w:sz w:val="13"/>
          <w:szCs w:val="13"/>
        </w:rPr>
      </w:pPr>
    </w:p>
    <w:p>
      <w:pPr>
        <w:pStyle w:val="BodyText"/>
        <w:spacing w:line="300" w:lineRule="auto"/>
        <w:ind w:right="230"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年，公司继续通过人员结构优化来提升组织的效果及活力，以组织建设、人才团结拉动业务；以激励、考核、培 养来推动业务。特别加大对医疗板块销售团队建设及吸引创业型高能人才的加入，从而实现由人才来拉动业务的策略。</w:t>
      </w:r>
    </w:p>
    <w:p>
      <w:pPr>
        <w:spacing w:line="240" w:lineRule="auto" w:before="3"/>
        <w:rPr>
          <w:rFonts w:ascii="宋体" w:hAnsi="宋体" w:cs="宋体" w:eastAsia="宋体" w:hint="default"/>
          <w:sz w:val="20"/>
          <w:szCs w:val="20"/>
        </w:rPr>
      </w:pPr>
    </w:p>
    <w:p>
      <w:pPr>
        <w:pStyle w:val="BodyText"/>
        <w:spacing w:line="436" w:lineRule="auto"/>
        <w:ind w:left="472" w:right="94"/>
        <w:jc w:val="left"/>
      </w:pPr>
      <w:r>
        <w:rPr>
          <w:rFonts w:ascii="宋体" w:hAnsi="宋体" w:cs="宋体" w:eastAsia="宋体" w:hint="default"/>
          <w:b/>
          <w:bCs/>
        </w:rPr>
        <w:t>1、激励体系建设方面</w:t>
      </w:r>
      <w:r>
        <w:rPr>
          <w:rFonts w:ascii="宋体" w:hAnsi="宋体" w:cs="宋体" w:eastAsia="宋体" w:hint="default"/>
          <w:b/>
          <w:bCs/>
          <w:w w:val="99"/>
        </w:rPr>
        <w:t> </w:t>
      </w:r>
      <w:r>
        <w:rPr>
          <w:spacing w:val="-2"/>
        </w:rPr>
        <w:t>调整事业部的奖金分配机制，明确奖金核算方式，充分激发业务人员的活力；增强各条线员工的感知，了解激励奖金分</w:t>
      </w:r>
    </w:p>
    <w:p>
      <w:pPr>
        <w:spacing w:after="0" w:line="436" w:lineRule="auto"/>
        <w:jc w:val="left"/>
        <w:sectPr>
          <w:pgSz w:w="11910" w:h="16840"/>
          <w:pgMar w:header="566" w:footer="978" w:top="1360" w:bottom="1160" w:left="1020" w:right="940"/>
        </w:sectPr>
      </w:pPr>
    </w:p>
    <w:p>
      <w:pPr>
        <w:pStyle w:val="BodyText"/>
        <w:spacing w:line="240" w:lineRule="auto" w:before="81"/>
        <w:ind w:right="94"/>
        <w:jc w:val="left"/>
      </w:pPr>
      <w:r>
        <w:rPr/>
        <w:t>配方式，真正起到奖金的激励作用；针对自主产品做了专项激励。</w:t>
      </w:r>
    </w:p>
    <w:p>
      <w:pPr>
        <w:spacing w:line="240" w:lineRule="auto" w:before="8"/>
        <w:rPr>
          <w:rFonts w:ascii="宋体" w:hAnsi="宋体" w:cs="宋体" w:eastAsia="宋体" w:hint="default"/>
          <w:sz w:val="23"/>
          <w:szCs w:val="23"/>
        </w:rPr>
      </w:pPr>
    </w:p>
    <w:p>
      <w:pPr>
        <w:pStyle w:val="BodyText"/>
        <w:spacing w:line="436" w:lineRule="auto"/>
        <w:ind w:left="472" w:right="94"/>
        <w:jc w:val="left"/>
      </w:pPr>
      <w:r>
        <w:rPr>
          <w:rFonts w:ascii="宋体" w:hAnsi="宋体" w:cs="宋体" w:eastAsia="宋体" w:hint="default"/>
          <w:b/>
          <w:bCs/>
        </w:rPr>
        <w:t>2、在绩效管理方面</w:t>
      </w:r>
      <w:r>
        <w:rPr>
          <w:rFonts w:ascii="宋体" w:hAnsi="宋体" w:cs="宋体" w:eastAsia="宋体" w:hint="default"/>
          <w:b/>
          <w:bCs/>
          <w:w w:val="99"/>
        </w:rPr>
        <w:t> </w:t>
      </w:r>
      <w:r>
        <w:rPr>
          <w:spacing w:val="-4"/>
        </w:rPr>
        <w:t>加大可控利润考核比重，跟公司策略保持一致。以公司战略为导向制定组织绩效；分层次推进，覆盖全员制定员工绩效。</w:t>
      </w:r>
    </w:p>
    <w:p>
      <w:pPr>
        <w:spacing w:line="240" w:lineRule="auto" w:before="7"/>
        <w:rPr>
          <w:rFonts w:ascii="宋体" w:hAnsi="宋体" w:cs="宋体" w:eastAsia="宋体" w:hint="default"/>
          <w:sz w:val="12"/>
          <w:szCs w:val="12"/>
        </w:rPr>
      </w:pPr>
    </w:p>
    <w:p>
      <w:pPr>
        <w:pStyle w:val="Heading4"/>
        <w:spacing w:line="240" w:lineRule="auto"/>
        <w:ind w:right="6754"/>
        <w:jc w:val="left"/>
        <w:rPr>
          <w:b w:val="0"/>
          <w:bCs w:val="0"/>
        </w:rPr>
      </w:pPr>
      <w:r>
        <w:rPr/>
        <w:t>3、培训方面</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ind w:left="472" w:right="94"/>
        <w:jc w:val="left"/>
      </w:pPr>
      <w:r>
        <w:rPr/>
        <w:t>（</w:t>
      </w:r>
      <w:r>
        <w:rPr>
          <w:rFonts w:ascii="Times New Roman" w:hAnsi="Times New Roman" w:cs="Times New Roman" w:eastAsia="Times New Roman" w:hint="default"/>
        </w:rPr>
        <w:t>1</w:t>
      </w:r>
      <w:r>
        <w:rPr/>
        <w:t>）将</w:t>
      </w:r>
      <w:r>
        <w:rPr>
          <w:rFonts w:ascii="Times New Roman" w:hAnsi="Times New Roman" w:cs="Times New Roman" w:eastAsia="Times New Roman" w:hint="default"/>
        </w:rPr>
        <w:t>“</w:t>
      </w:r>
      <w:r>
        <w:rPr/>
        <w:t>荣科云学院</w:t>
      </w:r>
      <w:r>
        <w:rPr>
          <w:rFonts w:ascii="Times New Roman" w:hAnsi="Times New Roman" w:cs="Times New Roman" w:eastAsia="Times New Roman" w:hint="default"/>
        </w:rPr>
        <w:t>”</w:t>
      </w:r>
      <w:r>
        <w:rPr/>
        <w:t>升级，使其在课程管理方面更有力的支持培训工作；</w:t>
      </w:r>
    </w:p>
    <w:p>
      <w:pPr>
        <w:pStyle w:val="BodyText"/>
        <w:spacing w:line="300" w:lineRule="auto" w:before="103"/>
        <w:ind w:right="94" w:firstLine="360"/>
        <w:jc w:val="left"/>
      </w:pPr>
      <w:r>
        <w:rPr>
          <w:spacing w:val="-2"/>
        </w:rPr>
        <w:t>（</w:t>
      </w:r>
      <w:r>
        <w:rPr>
          <w:rFonts w:ascii="Times New Roman" w:hAnsi="Times New Roman" w:cs="Times New Roman" w:eastAsia="Times New Roman" w:hint="default"/>
          <w:spacing w:val="-2"/>
        </w:rPr>
        <w:t>2</w:t>
      </w:r>
      <w:r>
        <w:rPr>
          <w:spacing w:val="-2"/>
        </w:rPr>
        <w:t>）加强销售人员对产品知识的培训，并通过微信、微课堂等多种培训模式，真正实现了</w:t>
      </w:r>
      <w:r>
        <w:rPr>
          <w:rFonts w:ascii="Times New Roman" w:hAnsi="Times New Roman" w:cs="Times New Roman" w:eastAsia="Times New Roman" w:hint="default"/>
          <w:spacing w:val="-2"/>
        </w:rPr>
        <w:t>“</w:t>
      </w:r>
      <w:r>
        <w:rPr>
          <w:spacing w:val="-2"/>
        </w:rPr>
        <w:t>按参训人员类别、等级有针</w:t>
      </w:r>
      <w:r>
        <w:rPr/>
        <w:t> 对性实施</w:t>
      </w:r>
      <w:r>
        <w:rPr>
          <w:rFonts w:ascii="Times New Roman" w:hAnsi="Times New Roman" w:cs="Times New Roman" w:eastAsia="Times New Roman" w:hint="default"/>
        </w:rPr>
        <w:t>”</w:t>
      </w:r>
      <w:r>
        <w:rPr/>
        <w:t>的培训目标。</w:t>
      </w:r>
    </w:p>
    <w:p>
      <w:pPr>
        <w:spacing w:line="240" w:lineRule="auto" w:before="10"/>
        <w:rPr>
          <w:rFonts w:ascii="宋体" w:hAnsi="宋体" w:cs="宋体" w:eastAsia="宋体" w:hint="default"/>
          <w:sz w:val="18"/>
          <w:szCs w:val="18"/>
        </w:rPr>
      </w:pPr>
    </w:p>
    <w:p>
      <w:pPr>
        <w:pStyle w:val="Heading4"/>
        <w:spacing w:line="240" w:lineRule="auto"/>
        <w:ind w:right="6754"/>
        <w:jc w:val="left"/>
        <w:rPr>
          <w:b w:val="0"/>
          <w:bCs w:val="0"/>
        </w:rPr>
      </w:pPr>
      <w:r>
        <w:rPr/>
        <w:t>4、人才培养及领导力方面</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ind w:left="472" w:right="94"/>
        <w:jc w:val="left"/>
      </w:pPr>
      <w:r>
        <w:rPr/>
        <w:t>（</w:t>
      </w:r>
      <w:r>
        <w:rPr>
          <w:rFonts w:ascii="Times New Roman" w:hAnsi="Times New Roman" w:cs="Times New Roman" w:eastAsia="Times New Roman" w:hint="default"/>
        </w:rPr>
        <w:t>1</w:t>
      </w:r>
      <w:r>
        <w:rPr/>
        <w:t>）继续开展干部管理工作，通过管理者的能力素质模型有针对性的进行培养；</w:t>
      </w:r>
    </w:p>
    <w:p>
      <w:pPr>
        <w:pStyle w:val="BodyText"/>
        <w:spacing w:line="300" w:lineRule="auto" w:before="103"/>
        <w:ind w:right="184" w:firstLine="360"/>
        <w:jc w:val="left"/>
      </w:pPr>
      <w:r>
        <w:rPr/>
        <w:t>（</w:t>
      </w:r>
      <w:r>
        <w:rPr>
          <w:rFonts w:ascii="Times New Roman" w:hAnsi="Times New Roman" w:cs="Times New Roman" w:eastAsia="Times New Roman" w:hint="default"/>
        </w:rPr>
        <w:t>2</w:t>
      </w:r>
      <w:r>
        <w:rPr/>
        <w:t>）通过宣讲及交流的形式增进大家的理解，通过领导力测评，测评现有管理者的领导力水平，并继续根据测评结果 制定针对性的培养及提升计划。</w:t>
      </w:r>
    </w:p>
    <w:p>
      <w:pPr>
        <w:pStyle w:val="Heading3"/>
        <w:spacing w:line="240" w:lineRule="auto" w:before="123"/>
        <w:ind w:left="532" w:right="6754"/>
        <w:jc w:val="left"/>
        <w:rPr>
          <w:b w:val="0"/>
          <w:bCs w:val="0"/>
        </w:rPr>
      </w:pPr>
      <w:r>
        <w:rPr/>
        <w:t>（三）创新与研发方面</w:t>
      </w:r>
      <w:r>
        <w:rPr>
          <w:b w:val="0"/>
          <w:bCs w:val="0"/>
        </w:rPr>
      </w:r>
    </w:p>
    <w:p>
      <w:pPr>
        <w:spacing w:line="240" w:lineRule="auto" w:before="10"/>
        <w:rPr>
          <w:rFonts w:ascii="宋体" w:hAnsi="宋体" w:cs="宋体" w:eastAsia="宋体" w:hint="default"/>
          <w:b/>
          <w:bCs/>
          <w:sz w:val="13"/>
          <w:szCs w:val="13"/>
        </w:rPr>
      </w:pPr>
    </w:p>
    <w:p>
      <w:pPr>
        <w:pStyle w:val="BodyText"/>
        <w:spacing w:line="307" w:lineRule="auto"/>
        <w:ind w:right="192" w:firstLine="360"/>
        <w:jc w:val="both"/>
      </w:pPr>
      <w:r>
        <w:rPr>
          <w:spacing w:val="-2"/>
        </w:rPr>
        <w:t>作为一个快速成长的科技创业型企业，荣科发展的动力始终来源于创新研发。报告期内，公司的跨国创新研究机构</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2"/>
        </w:rPr>
        <w:t>荣科研究院在吸纳行业知名专家学者和研发人员方面的平台作用凸显，聘请了多位美国资深专家，参与研究院策划与项目管</w:t>
      </w:r>
      <w:r>
        <w:rPr>
          <w:spacing w:val="-64"/>
        </w:rPr>
        <w:t> </w:t>
      </w:r>
      <w:r>
        <w:rPr>
          <w:spacing w:val="-64"/>
        </w:rPr>
      </w:r>
      <w:r>
        <w:rPr>
          <w:spacing w:val="-2"/>
        </w:rPr>
        <w:t>理，以助力</w:t>
      </w:r>
      <w:r>
        <w:rPr>
          <w:rFonts w:ascii="Times New Roman" w:hAnsi="Times New Roman" w:cs="Times New Roman" w:eastAsia="Times New Roman" w:hint="default"/>
          <w:spacing w:val="-2"/>
        </w:rPr>
        <w:t>“</w:t>
      </w:r>
      <w:r>
        <w:rPr>
          <w:spacing w:val="-2"/>
        </w:rPr>
        <w:t>数据云医生，健康智天使</w:t>
      </w:r>
      <w:r>
        <w:rPr>
          <w:rFonts w:ascii="Times New Roman" w:hAnsi="Times New Roman" w:cs="Times New Roman" w:eastAsia="Times New Roman" w:hint="default"/>
          <w:spacing w:val="-2"/>
        </w:rPr>
        <w:t>”</w:t>
      </w:r>
      <w:r>
        <w:rPr>
          <w:spacing w:val="-2"/>
        </w:rPr>
        <w:t>的公司发展战略为前提，持续推动互联网、云计算、大数据、人工智能等前沿技术发</w:t>
      </w:r>
      <w:r>
        <w:rPr>
          <w:spacing w:val="-45"/>
        </w:rPr>
        <w:t> </w:t>
      </w:r>
      <w:r>
        <w:rPr>
          <w:spacing w:val="-45"/>
        </w:rPr>
      </w:r>
      <w:r>
        <w:rPr/>
        <w:t>展，为公司的创新研发源源不断的注入力量。</w:t>
      </w:r>
    </w:p>
    <w:p>
      <w:pPr>
        <w:pStyle w:val="Heading3"/>
        <w:spacing w:line="240" w:lineRule="auto" w:before="120"/>
        <w:ind w:left="532" w:right="6754"/>
        <w:jc w:val="left"/>
        <w:rPr>
          <w:b w:val="0"/>
          <w:bCs w:val="0"/>
        </w:rPr>
      </w:pPr>
      <w:r>
        <w:rPr/>
        <w:t>（四）成本管控方面</w:t>
      </w:r>
      <w:r>
        <w:rPr>
          <w:b w:val="0"/>
          <w:bCs w:val="0"/>
        </w:rPr>
      </w:r>
    </w:p>
    <w:p>
      <w:pPr>
        <w:spacing w:line="240" w:lineRule="auto" w:before="10"/>
        <w:rPr>
          <w:rFonts w:ascii="宋体" w:hAnsi="宋体" w:cs="宋体" w:eastAsia="宋体" w:hint="default"/>
          <w:b/>
          <w:bCs/>
          <w:sz w:val="13"/>
          <w:szCs w:val="13"/>
        </w:rPr>
      </w:pPr>
    </w:p>
    <w:p>
      <w:pPr>
        <w:pStyle w:val="BodyText"/>
        <w:spacing w:line="316" w:lineRule="auto"/>
        <w:ind w:right="192" w:firstLine="360"/>
        <w:jc w:val="both"/>
      </w:pPr>
      <w:r>
        <w:rPr>
          <w:spacing w:val="-2"/>
        </w:rPr>
        <w:t>报告期内，公司一方面对制度、流程等管理系统进行了升级，实现了管理变革，另一方面持续对人员结构进行优化，提</w:t>
      </w:r>
      <w:r>
        <w:rPr/>
        <w:t> </w:t>
      </w:r>
      <w:r>
        <w:rPr>
          <w:spacing w:val="-2"/>
        </w:rPr>
        <w:t>升工作效率及组织效率。加强项目成本管理，推动预算管理机制，不断的增强全员预算管理意识，提高预算管理水平。不断</w:t>
      </w:r>
      <w:r>
        <w:rPr>
          <w:spacing w:val="-65"/>
        </w:rPr>
        <w:t> </w:t>
      </w:r>
      <w:r>
        <w:rPr>
          <w:spacing w:val="-65"/>
        </w:rPr>
      </w:r>
      <w:r>
        <w:rPr/>
        <w:t>实现以预算为导向，降低成本费用支出，推动促进公司战略、经营目标的实现。</w:t>
      </w:r>
    </w:p>
    <w:p>
      <w:pPr>
        <w:pStyle w:val="Heading3"/>
        <w:spacing w:line="240" w:lineRule="auto" w:before="111"/>
        <w:ind w:left="532" w:right="6754"/>
        <w:jc w:val="left"/>
        <w:rPr>
          <w:b w:val="0"/>
          <w:bCs w:val="0"/>
        </w:rPr>
      </w:pPr>
      <w:r>
        <w:rPr/>
        <w:t>(五)资本运作方面</w:t>
      </w:r>
      <w:r>
        <w:rPr>
          <w:b w:val="0"/>
          <w:bCs w:val="0"/>
        </w:rPr>
      </w:r>
    </w:p>
    <w:p>
      <w:pPr>
        <w:spacing w:line="240" w:lineRule="auto" w:before="10"/>
        <w:rPr>
          <w:rFonts w:ascii="宋体" w:hAnsi="宋体" w:cs="宋体" w:eastAsia="宋体" w:hint="default"/>
          <w:b/>
          <w:bCs/>
          <w:sz w:val="13"/>
          <w:szCs w:val="13"/>
        </w:rPr>
      </w:pPr>
    </w:p>
    <w:p>
      <w:pPr>
        <w:pStyle w:val="BodyText"/>
        <w:spacing w:line="312" w:lineRule="auto"/>
        <w:ind w:right="94" w:firstLine="360"/>
        <w:jc w:val="left"/>
      </w:pPr>
      <w:r>
        <w:rPr/>
        <w:t>报告期内，公司充分利用资本市场的平台，成功完成了对上海米健剩余</w:t>
      </w:r>
      <w:r>
        <w:rPr>
          <w:spacing w:val="-46"/>
        </w:rPr>
        <w:t> </w:t>
      </w:r>
      <w:r>
        <w:rPr>
          <w:rFonts w:ascii="Times New Roman" w:hAnsi="Times New Roman" w:cs="Times New Roman" w:eastAsia="Times New Roman" w:hint="default"/>
        </w:rPr>
        <w:t>49%</w:t>
      </w:r>
      <w:r>
        <w:rPr/>
        <w:t>股权的收购，使上海米健成为公司的全资 </w:t>
      </w:r>
      <w:r>
        <w:rPr>
          <w:spacing w:val="-2"/>
        </w:rPr>
        <w:t>子公司，确立了公司在医疗临床信息化领域的优势地位；在此基础上，又成功完成了以发行股份及支付现金并募集配套资金</w:t>
      </w:r>
      <w:r>
        <w:rPr>
          <w:spacing w:val="-65"/>
        </w:rPr>
        <w:t> </w:t>
      </w:r>
      <w:r>
        <w:rPr>
          <w:spacing w:val="-65"/>
        </w:rPr>
      </w:r>
      <w:r>
        <w:rPr>
          <w:spacing w:val="-2"/>
        </w:rPr>
        <w:t>的方式收购北京神州视翰的相关审批流程，并将上述材料报送中国证监会并购发审委审核。同时，产业基金继续为公司输送</w:t>
      </w:r>
      <w:r>
        <w:rPr>
          <w:spacing w:val="-65"/>
        </w:rPr>
        <w:t> </w:t>
      </w:r>
      <w:r>
        <w:rPr>
          <w:spacing w:val="-65"/>
        </w:rPr>
      </w:r>
      <w:r>
        <w:rPr/>
        <w:t>医疗信息化领域细分行业的优势企业资源，投资了上海今创信息有限公司</w:t>
      </w:r>
      <w:r>
        <w:rPr>
          <w:spacing w:val="-46"/>
        </w:rPr>
        <w:t> </w:t>
      </w:r>
      <w:r>
        <w:rPr>
          <w:rFonts w:ascii="Times New Roman" w:hAnsi="Times New Roman" w:cs="Times New Roman" w:eastAsia="Times New Roman" w:hint="default"/>
        </w:rPr>
        <w:t>10%</w:t>
      </w:r>
      <w:r>
        <w:rPr/>
        <w:t>的股权。资本运作的效果初步显现，</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 </w:t>
      </w:r>
      <w:r>
        <w:rPr>
          <w:spacing w:val="-4"/>
        </w:rPr>
        <w:t>上海米健已然成为公司利润新的支撑点，并以其在业界良好的口碑和卓越领先的技术水平，大大提升了上市公司的公众形象，</w:t>
      </w:r>
      <w:r>
        <w:rPr>
          <w:spacing w:val="-41"/>
        </w:rPr>
        <w:t> </w:t>
      </w:r>
      <w:r>
        <w:rPr>
          <w:spacing w:val="-41"/>
        </w:rPr>
      </w:r>
      <w:r>
        <w:rPr/>
        <w:t>也树立了公司在资本运作方向的标杆。</w:t>
      </w:r>
    </w:p>
    <w:p>
      <w:pPr>
        <w:pStyle w:val="Heading3"/>
        <w:spacing w:line="240" w:lineRule="auto" w:before="114"/>
        <w:ind w:left="532" w:right="6754"/>
        <w:jc w:val="left"/>
        <w:rPr>
          <w:b w:val="0"/>
          <w:bCs w:val="0"/>
        </w:rPr>
      </w:pPr>
      <w:r>
        <w:rPr/>
        <w:t>（六）风险控制方面</w:t>
      </w:r>
      <w:r>
        <w:rPr>
          <w:b w:val="0"/>
          <w:bCs w:val="0"/>
        </w:rPr>
      </w:r>
    </w:p>
    <w:p>
      <w:pPr>
        <w:spacing w:line="240" w:lineRule="auto" w:before="10"/>
        <w:rPr>
          <w:rFonts w:ascii="宋体" w:hAnsi="宋体" w:cs="宋体" w:eastAsia="宋体" w:hint="default"/>
          <w:b/>
          <w:bCs/>
          <w:sz w:val="13"/>
          <w:szCs w:val="13"/>
        </w:rPr>
      </w:pPr>
    </w:p>
    <w:p>
      <w:pPr>
        <w:pStyle w:val="BodyText"/>
        <w:spacing w:line="300" w:lineRule="auto"/>
        <w:ind w:right="213" w:firstLine="360"/>
        <w:jc w:val="both"/>
      </w:pPr>
      <w:r>
        <w:rPr/>
        <w:t>报告期内，公司通过强化内部控制，提升管理效能，控制经营风险，持续建设</w:t>
      </w:r>
      <w:r>
        <w:rPr>
          <w:rFonts w:ascii="Times New Roman" w:hAnsi="Times New Roman" w:cs="Times New Roman" w:eastAsia="Times New Roman" w:hint="default"/>
        </w:rPr>
        <w:t>“</w:t>
      </w:r>
      <w:r>
        <w:rPr/>
        <w:t>以风险为导向，以制度为保障，以流程 为驱动，以内审为工具</w:t>
      </w:r>
      <w:r>
        <w:rPr>
          <w:rFonts w:ascii="Times New Roman" w:hAnsi="Times New Roman" w:cs="Times New Roman" w:eastAsia="Times New Roman" w:hint="default"/>
        </w:rPr>
        <w:t>”</w:t>
      </w:r>
      <w:r>
        <w:rPr/>
        <w:t>的内部控制体系。开展降成本和提高经营效率两项重点工作，同时关注风险管理和内部控制的有效 性以及经营活动的效率和效果，为实现公司经营目标提供合理保证。</w:t>
      </w:r>
    </w:p>
    <w:p>
      <w:pPr>
        <w:spacing w:line="240" w:lineRule="auto" w:before="8"/>
        <w:rPr>
          <w:rFonts w:ascii="宋体" w:hAnsi="宋体" w:cs="宋体" w:eastAsia="宋体" w:hint="default"/>
          <w:sz w:val="21"/>
          <w:szCs w:val="21"/>
        </w:rPr>
      </w:pPr>
    </w:p>
    <w:p>
      <w:pPr>
        <w:pStyle w:val="Heading2"/>
        <w:spacing w:line="240" w:lineRule="auto"/>
        <w:ind w:right="6754"/>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675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4" w:firstLine="360"/>
        <w:jc w:val="left"/>
      </w:pPr>
      <w:r>
        <w:rPr/>
        <w:t>本报告期营业收入</w:t>
      </w:r>
      <w:r>
        <w:rPr>
          <w:spacing w:val="-38"/>
        </w:rPr>
        <w:t> </w:t>
      </w:r>
      <w:r>
        <w:rPr>
          <w:rFonts w:ascii="Times New Roman" w:hAnsi="Times New Roman" w:cs="Times New Roman" w:eastAsia="Times New Roman" w:hint="default"/>
        </w:rPr>
        <w:t>418,657,673.48</w:t>
      </w:r>
      <w:r>
        <w:rPr>
          <w:rFonts w:ascii="Times New Roman" w:hAnsi="Times New Roman" w:cs="Times New Roman" w:eastAsia="Times New Roman" w:hint="default"/>
          <w:spacing w:val="3"/>
        </w:rPr>
        <w:t> </w:t>
      </w:r>
      <w:r>
        <w:rPr/>
        <w:t>元，同比减幅</w:t>
      </w:r>
      <w:r>
        <w:rPr>
          <w:spacing w:val="-38"/>
        </w:rPr>
        <w:t> </w:t>
      </w:r>
      <w:r>
        <w:rPr>
          <w:rFonts w:ascii="Times New Roman" w:hAnsi="Times New Roman" w:cs="Times New Roman" w:eastAsia="Times New Roman" w:hint="default"/>
        </w:rPr>
        <w:t>16.70%</w:t>
      </w:r>
      <w:r>
        <w:rPr/>
        <w:t>，营业成本</w:t>
      </w:r>
      <w:r>
        <w:rPr>
          <w:spacing w:val="-38"/>
        </w:rPr>
        <w:t> </w:t>
      </w:r>
      <w:r>
        <w:rPr>
          <w:rFonts w:ascii="Times New Roman" w:hAnsi="Times New Roman" w:cs="Times New Roman" w:eastAsia="Times New Roman" w:hint="default"/>
        </w:rPr>
        <w:t>290,255,400.08</w:t>
      </w:r>
      <w:r>
        <w:rPr>
          <w:rFonts w:ascii="Times New Roman" w:hAnsi="Times New Roman" w:cs="Times New Roman" w:eastAsia="Times New Roman" w:hint="default"/>
          <w:spacing w:val="5"/>
        </w:rPr>
        <w:t> </w:t>
      </w:r>
      <w:r>
        <w:rPr/>
        <w:t>元，同比减幅</w:t>
      </w:r>
      <w:r>
        <w:rPr>
          <w:spacing w:val="-41"/>
        </w:rPr>
        <w:t> </w:t>
      </w:r>
      <w:r>
        <w:rPr>
          <w:rFonts w:ascii="Times New Roman" w:hAnsi="Times New Roman" w:cs="Times New Roman" w:eastAsia="Times New Roman" w:hint="default"/>
        </w:rPr>
        <w:t>15.35%</w:t>
      </w:r>
      <w:r>
        <w:rPr/>
        <w:t>，主要系本报 告期区域经济环境低迷以及市场竞争日益激烈，致使公司营业收入及营业成本均有所下降。</w:t>
      </w:r>
    </w:p>
    <w:p>
      <w:pPr>
        <w:spacing w:after="0" w:line="300" w:lineRule="auto"/>
        <w:jc w:val="left"/>
        <w:sectPr>
          <w:pgSz w:w="11910" w:h="16840"/>
          <w:pgMar w:header="566" w:footer="978" w:top="1360" w:bottom="1160" w:left="1020" w:right="940"/>
        </w:sectPr>
      </w:pPr>
    </w:p>
    <w:p>
      <w:pPr>
        <w:pStyle w:val="BodyText"/>
        <w:spacing w:line="338" w:lineRule="auto" w:before="81"/>
        <w:ind w:left="472" w:right="0"/>
        <w:jc w:val="left"/>
      </w:pPr>
      <w:r>
        <w:rPr/>
        <w:t>本报告期销售费用</w:t>
      </w:r>
      <w:r>
        <w:rPr>
          <w:spacing w:val="-46"/>
        </w:rPr>
        <w:t> </w:t>
      </w:r>
      <w:r>
        <w:rPr>
          <w:rFonts w:ascii="Times New Roman" w:hAnsi="Times New Roman" w:cs="Times New Roman" w:eastAsia="Times New Roman" w:hint="default"/>
        </w:rPr>
        <w:t>25,327,864.65</w:t>
      </w:r>
      <w:r>
        <w:rPr>
          <w:rFonts w:ascii="Times New Roman" w:hAnsi="Times New Roman" w:cs="Times New Roman" w:eastAsia="Times New Roman" w:hint="default"/>
          <w:spacing w:val="-2"/>
        </w:rPr>
        <w:t> </w:t>
      </w:r>
      <w:r>
        <w:rPr/>
        <w:t>元，同比增幅</w:t>
      </w:r>
      <w:r>
        <w:rPr>
          <w:spacing w:val="-46"/>
        </w:rPr>
        <w:t> </w:t>
      </w:r>
      <w:r>
        <w:rPr>
          <w:rFonts w:ascii="Times New Roman" w:hAnsi="Times New Roman" w:cs="Times New Roman" w:eastAsia="Times New Roman" w:hint="default"/>
        </w:rPr>
        <w:t>20.22%</w:t>
      </w:r>
      <w:r>
        <w:rPr/>
        <w:t>，主要系本报告期内职工薪酬及市场拓展费用等增加所致。 本报告期管理费用 </w:t>
      </w:r>
      <w:r>
        <w:rPr>
          <w:rFonts w:ascii="Times New Roman" w:hAnsi="Times New Roman" w:cs="Times New Roman" w:eastAsia="Times New Roman" w:hint="default"/>
        </w:rPr>
        <w:t>82,803,922.22 </w:t>
      </w:r>
      <w:r>
        <w:rPr/>
        <w:t>元，同比增幅</w:t>
      </w:r>
      <w:r>
        <w:rPr>
          <w:spacing w:val="-27"/>
        </w:rPr>
        <w:t> </w:t>
      </w:r>
      <w:r>
        <w:rPr>
          <w:rFonts w:ascii="Times New Roman" w:hAnsi="Times New Roman" w:cs="Times New Roman" w:eastAsia="Times New Roman" w:hint="default"/>
        </w:rPr>
        <w:t>8.14%</w:t>
      </w:r>
      <w:r>
        <w:rPr/>
        <w:t>，主要系本报告期内中介机构服务费、固定资产折旧费等增加所</w:t>
      </w:r>
    </w:p>
    <w:p>
      <w:pPr>
        <w:pStyle w:val="BodyText"/>
        <w:spacing w:line="217" w:lineRule="exact"/>
        <w:ind w:right="0"/>
        <w:jc w:val="left"/>
      </w:pPr>
      <w:r>
        <w:rPr/>
        <w:t>致。</w:t>
      </w:r>
    </w:p>
    <w:p>
      <w:pPr>
        <w:pStyle w:val="BodyText"/>
        <w:spacing w:line="338" w:lineRule="auto" w:before="117"/>
        <w:ind w:left="472" w:right="106"/>
        <w:jc w:val="left"/>
      </w:pPr>
      <w:r>
        <w:rPr/>
        <w:t>本报告期财务费用</w:t>
      </w:r>
      <w:r>
        <w:rPr>
          <w:spacing w:val="-46"/>
        </w:rPr>
        <w:t> </w:t>
      </w:r>
      <w:r>
        <w:rPr>
          <w:rFonts w:ascii="Times New Roman" w:hAnsi="Times New Roman" w:cs="Times New Roman" w:eastAsia="Times New Roman" w:hint="default"/>
        </w:rPr>
        <w:t>2,142,460.23</w:t>
      </w:r>
      <w:r>
        <w:rPr>
          <w:rFonts w:ascii="Times New Roman" w:hAnsi="Times New Roman" w:cs="Times New Roman" w:eastAsia="Times New Roman" w:hint="default"/>
          <w:spacing w:val="-2"/>
        </w:rPr>
        <w:t> </w:t>
      </w:r>
      <w:r>
        <w:rPr/>
        <w:t>元，同比增幅</w:t>
      </w:r>
      <w:r>
        <w:rPr>
          <w:spacing w:val="-48"/>
        </w:rPr>
        <w:t> </w:t>
      </w:r>
      <w:r>
        <w:rPr>
          <w:rFonts w:ascii="Times New Roman" w:hAnsi="Times New Roman" w:cs="Times New Roman" w:eastAsia="Times New Roman" w:hint="default"/>
        </w:rPr>
        <w:t>167.55%</w:t>
      </w:r>
      <w:r>
        <w:rPr/>
        <w:t>，主要系公司本报告期借款增加相应利息支出增加所致。 本报告期资产减值损失</w:t>
      </w:r>
      <w:r>
        <w:rPr>
          <w:spacing w:val="-46"/>
        </w:rPr>
        <w:t> </w:t>
      </w:r>
      <w:r>
        <w:rPr>
          <w:rFonts w:ascii="Times New Roman" w:hAnsi="Times New Roman" w:cs="Times New Roman" w:eastAsia="Times New Roman" w:hint="default"/>
        </w:rPr>
        <w:t>4,735,227.32</w:t>
      </w:r>
      <w:r>
        <w:rPr>
          <w:rFonts w:ascii="Times New Roman" w:hAnsi="Times New Roman" w:cs="Times New Roman" w:eastAsia="Times New Roman" w:hint="default"/>
          <w:spacing w:val="-2"/>
        </w:rPr>
        <w:t> </w:t>
      </w:r>
      <w:r>
        <w:rPr/>
        <w:t>元，同比减幅</w:t>
      </w:r>
      <w:r>
        <w:rPr>
          <w:spacing w:val="-48"/>
        </w:rPr>
        <w:t> </w:t>
      </w:r>
      <w:r>
        <w:rPr>
          <w:rFonts w:ascii="Times New Roman" w:hAnsi="Times New Roman" w:cs="Times New Roman" w:eastAsia="Times New Roman" w:hint="default"/>
        </w:rPr>
        <w:t>79.67%</w:t>
      </w:r>
      <w:r>
        <w:rPr/>
        <w:t>，主要系本报告期账龄较长的应收账款回款增加所致。 本报告期研发投入</w:t>
      </w:r>
      <w:r>
        <w:rPr>
          <w:spacing w:val="-46"/>
        </w:rPr>
        <w:t> </w:t>
      </w:r>
      <w:r>
        <w:rPr>
          <w:rFonts w:ascii="Times New Roman" w:hAnsi="Times New Roman" w:cs="Times New Roman" w:eastAsia="Times New Roman" w:hint="default"/>
        </w:rPr>
        <w:t>36,892,569.05</w:t>
      </w:r>
      <w:r>
        <w:rPr>
          <w:rFonts w:ascii="Times New Roman" w:hAnsi="Times New Roman" w:cs="Times New Roman" w:eastAsia="Times New Roman" w:hint="default"/>
          <w:spacing w:val="-2"/>
        </w:rPr>
        <w:t> </w:t>
      </w:r>
      <w:r>
        <w:rPr/>
        <w:t>元，同比增幅</w:t>
      </w:r>
      <w:r>
        <w:rPr>
          <w:spacing w:val="-46"/>
        </w:rPr>
        <w:t> </w:t>
      </w:r>
      <w:r>
        <w:rPr>
          <w:rFonts w:ascii="Times New Roman" w:hAnsi="Times New Roman" w:cs="Times New Roman" w:eastAsia="Times New Roman" w:hint="default"/>
        </w:rPr>
        <w:t>5.56%</w:t>
      </w:r>
      <w:r>
        <w:rPr/>
        <w:t>，主要系本报告期内研发投入增加所致。 本报告期经营活动产生的现金流量净额</w:t>
      </w:r>
      <w:r>
        <w:rPr>
          <w:spacing w:val="-49"/>
        </w:rPr>
        <w:t> </w:t>
      </w:r>
      <w:r>
        <w:rPr>
          <w:rFonts w:ascii="Times New Roman" w:hAnsi="Times New Roman" w:cs="Times New Roman" w:eastAsia="Times New Roman" w:hint="default"/>
        </w:rPr>
        <w:t>18,674,876.00</w:t>
      </w:r>
      <w:r>
        <w:rPr>
          <w:rFonts w:ascii="Times New Roman" w:hAnsi="Times New Roman" w:cs="Times New Roman" w:eastAsia="Times New Roman" w:hint="default"/>
          <w:spacing w:val="-7"/>
        </w:rPr>
        <w:t> </w:t>
      </w:r>
      <w:r>
        <w:rPr/>
        <w:t>元，同比减幅</w:t>
      </w:r>
      <w:r>
        <w:rPr>
          <w:spacing w:val="-51"/>
        </w:rPr>
        <w:t> </w:t>
      </w:r>
      <w:r>
        <w:rPr>
          <w:rFonts w:ascii="Times New Roman" w:hAnsi="Times New Roman" w:cs="Times New Roman" w:eastAsia="Times New Roman" w:hint="default"/>
        </w:rPr>
        <w:t>62.15%</w:t>
      </w:r>
      <w:r>
        <w:rPr/>
        <w:t>，主要系本报告期销售商品、提供劳务收到</w:t>
      </w:r>
    </w:p>
    <w:p>
      <w:pPr>
        <w:pStyle w:val="BodyText"/>
        <w:spacing w:line="217" w:lineRule="exact"/>
        <w:ind w:right="0"/>
        <w:jc w:val="left"/>
      </w:pPr>
      <w:r>
        <w:rPr/>
        <w:t>的现金减少及支付给职工以及为职工支付的现金增加所致。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5954"/>
        <w:jc w:val="left"/>
      </w:pPr>
      <w:r>
        <w:rPr/>
        <w:t>公司是否需要遵守光伏产业链相关业的披露要求 否</w:t>
      </w:r>
    </w:p>
    <w:p>
      <w:pPr>
        <w:pStyle w:val="BodyText"/>
        <w:spacing w:line="340" w:lineRule="auto" w:before="29"/>
        <w:ind w:right="37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55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1"/>
        <w:ind w:right="119"/>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40" w:lineRule="auto" w:before="43"/>
        <w:ind w:right="645"/>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39"/>
        <w:ind w:right="0"/>
        <w:jc w:val="left"/>
      </w:pPr>
      <w:r>
        <w:rPr/>
        <w:t>营业收入整体情况</w:t>
      </w:r>
    </w:p>
    <w:p>
      <w:pPr>
        <w:pStyle w:val="BodyText"/>
        <w:spacing w:line="240" w:lineRule="auto" w:before="117"/>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418,657,673.48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502,607,273.30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-16.70%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132,371,708.87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143,063,339.00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83,444,928.57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38,919,211.85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114.41%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71,924,623.93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100,770,308.15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44,679,935.27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111,950,874.48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51,120,128.15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79,067,160.96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30,761,495.12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18,925,302.32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4,354,853.57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9,911,076.54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-56.06%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健康数据服务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132,371,708.87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143,063,339.00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-7.47%</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286,285,964.61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359,543,934.30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278,171,387.47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392,743,282.20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20,166,851.88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17,784,151.17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5,048,344.17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3,958,191.06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5,764,236.15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12,025,275.89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109,506,853.81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76,096,372.98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43.91%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66" w:footer="978" w:top="1360" w:bottom="1160" w:left="1020" w:right="102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440" w:bottom="1160" w:left="1020" w:right="1020"/>
          <w:cols w:num="2" w:equalWidth="0">
            <w:col w:w="3173" w:space="5745"/>
            <w:col w:w="952"/>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132,371,708.87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56,214,509.60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-15.56%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83,444,928.57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67,173,345.87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71,924,623.93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60,592,790.81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-23.28%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44,679,935.27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39,491,688.49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-53.69%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51,120,128.15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40,647,270.53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-35.21%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健康数据服务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132,371,708.87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56,214,509.60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-15.56%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286,285,964.61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234,040,890.48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278,171,387.47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221,400,981.22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109,506,853.81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49,492,102.02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20.37%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8.83%</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type w:val="continuous"/>
          <w:pgSz w:w="11910" w:h="16840"/>
          <w:pgMar w:top="1440" w:bottom="1160" w:left="1020" w:right="1020"/>
        </w:sectPr>
      </w:pPr>
    </w:p>
    <w:p>
      <w:pPr>
        <w:pStyle w:val="Heading3"/>
        <w:spacing w:line="240" w:lineRule="auto" w:before="55"/>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7"/>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56,214,509.60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66,573,322.59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67,173,345.87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27,671,664.72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60,592,790.81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78,978,247.33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39,491,688.49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85,270,619.47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40,647,270.53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62,738,725.56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22,851,819.90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13,627,718.55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3,283,974.88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8,037,021.23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-59.14%</w:t>
            </w:r>
          </w:p>
        </w:tc>
      </w:tr>
    </w:tbl>
    <w:p>
      <w:pPr>
        <w:pStyle w:val="BodyText"/>
        <w:spacing w:line="240" w:lineRule="auto" w:before="51"/>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健康数据服务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56,214,509.60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66,573,322.59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234,040,890.48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276,323,996.86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3"/>
        <w:ind w:left="472" w:right="0"/>
        <w:jc w:val="left"/>
      </w:pPr>
      <w:r>
        <w:rPr/>
        <w:t>①</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日，根据公司第二届董事会第二十四次会议审议通过的《关于注销控股子公司沈阳荣科全濠科技有</w:t>
      </w:r>
    </w:p>
    <w:p>
      <w:pPr>
        <w:pStyle w:val="BodyText"/>
        <w:spacing w:line="240" w:lineRule="auto" w:before="63"/>
        <w:ind w:right="0"/>
        <w:jc w:val="left"/>
      </w:pPr>
      <w:r>
        <w:rPr/>
        <w:t>限公司的议案</w:t>
      </w:r>
      <w:r>
        <w:rPr>
          <w:spacing w:val="-89"/>
        </w:rPr>
        <w:t>》</w:t>
      </w:r>
      <w:r>
        <w:rPr/>
        <w:t>，公司拟注销子公司沈阳荣科全濠科技有限公司。</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日，沈阳荣科全濠科技有限公司取得（沈</w:t>
      </w:r>
    </w:p>
    <w:p>
      <w:pPr>
        <w:pStyle w:val="BodyText"/>
        <w:spacing w:line="240" w:lineRule="auto" w:before="63"/>
        <w:ind w:right="0"/>
        <w:jc w:val="left"/>
      </w:pPr>
      <w:r>
        <w:rPr>
          <w:rFonts w:ascii="Times New Roman" w:hAnsi="Times New Roman" w:cs="Times New Roman" w:eastAsia="Times New Roman" w:hint="default"/>
        </w:rPr>
        <w:t>08</w:t>
      </w:r>
      <w:r>
        <w:rPr/>
        <w:t>）工商外资销准字【</w:t>
      </w:r>
      <w:r>
        <w:rPr>
          <w:rFonts w:ascii="Times New Roman" w:hAnsi="Times New Roman" w:cs="Times New Roman" w:eastAsia="Times New Roman" w:hint="default"/>
        </w:rPr>
        <w:t>2017</w:t>
      </w:r>
      <w:r>
        <w:rPr/>
        <w:t>】第</w:t>
      </w:r>
      <w:r>
        <w:rPr>
          <w:spacing w:val="-49"/>
        </w:rPr>
        <w:t> </w:t>
      </w:r>
      <w:r>
        <w:rPr>
          <w:rFonts w:ascii="Times New Roman" w:hAnsi="Times New Roman" w:cs="Times New Roman" w:eastAsia="Times New Roman" w:hint="default"/>
        </w:rPr>
        <w:t>2017022808</w:t>
      </w:r>
      <w:r>
        <w:rPr>
          <w:rFonts w:ascii="Times New Roman" w:hAnsi="Times New Roman" w:cs="Times New Roman" w:eastAsia="Times New Roman" w:hint="default"/>
          <w:spacing w:val="-4"/>
        </w:rPr>
        <w:t> </w:t>
      </w:r>
      <w:r>
        <w:rPr/>
        <w:t>号外商投资企业注销登记通知书。相关注销工作已经完成。</w:t>
      </w:r>
    </w:p>
    <w:p>
      <w:pPr>
        <w:pStyle w:val="BodyText"/>
        <w:spacing w:line="240" w:lineRule="auto" w:before="101"/>
        <w:ind w:left="472" w:right="0"/>
        <w:jc w:val="left"/>
      </w:pPr>
      <w:r>
        <w:rPr/>
        <w:t>②</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日，公司之子公司上海米健信息技术有限公司出资设立全资子公司上海米健健康科技有限公司。截至</w:t>
      </w:r>
    </w:p>
    <w:p>
      <w:pPr>
        <w:pStyle w:val="BodyText"/>
        <w:spacing w:line="300" w:lineRule="auto" w:before="63"/>
        <w:ind w:right="111"/>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日止，上海米健健康科技有限公司注册资本</w:t>
      </w:r>
      <w:r>
        <w:rPr>
          <w:spacing w:val="-49"/>
        </w:rPr>
        <w:t> </w:t>
      </w:r>
      <w:r>
        <w:rPr>
          <w:rFonts w:ascii="Times New Roman" w:hAnsi="Times New Roman" w:cs="Times New Roman" w:eastAsia="Times New Roman" w:hint="default"/>
        </w:rPr>
        <w:t>200</w:t>
      </w:r>
      <w:r>
        <w:rPr>
          <w:rFonts w:ascii="Times New Roman" w:hAnsi="Times New Roman" w:cs="Times New Roman" w:eastAsia="Times New Roman" w:hint="default"/>
          <w:spacing w:val="-5"/>
        </w:rPr>
        <w:t> </w:t>
      </w:r>
      <w:r>
        <w:rPr/>
        <w:t>万元，实收资本</w:t>
      </w:r>
      <w:r>
        <w:rPr>
          <w:spacing w:val="-49"/>
        </w:rPr>
        <w:t> </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t>元，公司将其纳入</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年度合并财务报 表。</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75,109,212.79</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17.94%</w:t>
            </w:r>
          </w:p>
        </w:tc>
      </w:tr>
      <w:tr>
        <w:trPr>
          <w:trHeight w:val="410"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78" w:header="566" w:top="1360" w:bottom="1160" w:left="1020" w:right="1020"/>
          <w:pgNumType w:start="20"/>
        </w:sectPr>
      </w:pPr>
    </w:p>
    <w:p>
      <w:pPr>
        <w:spacing w:line="240" w:lineRule="auto" w:before="12"/>
        <w:rPr>
          <w:rFonts w:ascii="宋体" w:hAnsi="宋体" w:cs="宋体" w:eastAsia="宋体" w:hint="default"/>
          <w:sz w:val="4"/>
          <w:szCs w:val="4"/>
        </w:rPr>
      </w:pPr>
    </w:p>
    <w:p>
      <w:pPr>
        <w:spacing w:line="37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18.850pt;mso-position-horizontal-relative:char;mso-position-vertical-relative:line" coordorigin="0,0" coordsize="9588,377">
            <v:group style="position:absolute;left:13;top:13;width:4252;height:357" coordorigin="13,13" coordsize="4252,357">
              <v:shape style="position:absolute;left:13;top:13;width:4252;height:357" coordorigin="13,13" coordsize="4252,357" path="m13,13l4265,13,4265,370,13,37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72;width:9578;height:2" coordorigin="5,372" coordsize="9578,2">
              <v:shape style="position:absolute;left:5;top:372;width:9578;height:2" coordorigin="5,372" coordsize="9578,0" path="m5,372l9582,372e" filled="false" stroked="true" strokeweight=".48pt" strokecolor="#000000">
                <v:path arrowok="t"/>
              </v:shape>
            </v:group>
            <v:group style="position:absolute;left:10;top:5;width:2;height:362" coordorigin="10,5" coordsize="2,362">
              <v:shape style="position:absolute;left:10;top:5;width:2;height:362" coordorigin="10,5" coordsize="0,362" path="m10,5l10,367e" filled="false" stroked="true" strokeweight=".48pt" strokecolor="#000000">
                <v:path arrowok="t"/>
              </v:shape>
            </v:group>
            <v:group style="position:absolute;left:4267;top:5;width:2;height:362" coordorigin="4267,5" coordsize="2,362">
              <v:shape style="position:absolute;left:4267;top:5;width:2;height:362" coordorigin="4267,5" coordsize="0,362" path="m4267,5l4267,367e" filled="false" stroked="true" strokeweight=".48pt" strokecolor="#000000">
                <v:path arrowok="t"/>
              </v:shape>
            </v:group>
            <v:group style="position:absolute;left:9578;top:5;width:2;height:362" coordorigin="9578,5" coordsize="2,362">
              <v:shape style="position:absolute;left:9578;top:5;width:2;height:362" coordorigin="9578,5" coordsize="0,362" path="m9578,5l9578,367e" filled="false" stroked="true" strokeweight=".48pt" strokecolor="#000000">
                <v:path arrowok="t"/>
              </v:shape>
              <v:shape style="position:absolute;left:37;top:8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例</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21,237,207.54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16,316,111.13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16,123,401.69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10,753,089.79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10,679,402.64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2.55%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75,109,212.79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17.94%</w:t>
            </w:r>
          </w:p>
        </w:tc>
      </w:tr>
    </w:tbl>
    <w:p>
      <w:pPr>
        <w:pStyle w:val="BodyText"/>
        <w:spacing w:line="240" w:lineRule="auto" w:before="50"/>
        <w:ind w:right="0"/>
        <w:jc w:val="left"/>
      </w:pPr>
      <w:r>
        <w:rPr/>
        <w:t>主要客户其他情况说明</w:t>
      </w:r>
    </w:p>
    <w:p>
      <w:pPr>
        <w:pStyle w:val="BodyText"/>
        <w:spacing w:line="340" w:lineRule="auto" w:before="117"/>
        <w:ind w:right="8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40,114,573.06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24.59%</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2"/>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11,322,222.59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8,762,662.41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7,650,038.47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6,439,478.66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5,940,170.93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40,114,573.06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24.59%</w:t>
            </w:r>
          </w:p>
        </w:tc>
      </w:tr>
    </w:tbl>
    <w:p>
      <w:pPr>
        <w:pStyle w:val="BodyText"/>
        <w:spacing w:line="240" w:lineRule="auto" w:before="52"/>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25,327,864.65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21,067,301.73</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主要系本报告期内职工薪酬及市场 拓展费用等增加所致。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82,803,922.22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76,570,903.34</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
              <w:jc w:val="left"/>
              <w:rPr>
                <w:rFonts w:ascii="宋体" w:hAnsi="宋体" w:cs="宋体" w:eastAsia="宋体" w:hint="default"/>
                <w:sz w:val="18"/>
                <w:szCs w:val="18"/>
              </w:rPr>
            </w:pPr>
            <w:r>
              <w:rPr>
                <w:rFonts w:ascii="宋体" w:hAnsi="宋体" w:cs="宋体" w:eastAsia="宋体" w:hint="default"/>
                <w:sz w:val="18"/>
                <w:szCs w:val="18"/>
              </w:rPr>
              <w:t>主要系本报告期内中介机构服务费、 固定资产折旧费等增加所致。</w:t>
            </w:r>
          </w:p>
        </w:tc>
      </w:tr>
      <w:tr>
        <w:trPr>
          <w:trHeight w:val="71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2,142,460.23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-3,171,771.45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主要系公司本报告期借款增加相应 利息支出增加所致。</w:t>
            </w:r>
          </w:p>
        </w:tc>
      </w:tr>
    </w:tbl>
    <w:p>
      <w:pPr>
        <w:spacing w:after="0" w:line="316" w:lineRule="auto"/>
        <w:jc w:val="left"/>
        <w:rPr>
          <w:rFonts w:ascii="宋体" w:hAnsi="宋体" w:cs="宋体" w:eastAsia="宋体" w:hint="default"/>
          <w:sz w:val="18"/>
          <w:szCs w:val="18"/>
        </w:rPr>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10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71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8" w:right="0"/>
              <w:jc w:val="left"/>
              <w:rPr>
                <w:rFonts w:ascii="Times New Roman" w:hAnsi="Times New Roman" w:cs="Times New Roman" w:eastAsia="Times New Roman" w:hint="default"/>
                <w:sz w:val="18"/>
                <w:szCs w:val="18"/>
              </w:rPr>
            </w:pPr>
            <w:r>
              <w:rPr>
                <w:rFonts w:ascii="Times New Roman"/>
                <w:sz w:val="18"/>
              </w:rPr>
              <w:t>4,735,227.32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23,296,663.56</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4" w:right="0"/>
              <w:jc w:val="left"/>
              <w:rPr>
                <w:rFonts w:ascii="Times New Roman" w:hAnsi="Times New Roman" w:cs="Times New Roman" w:eastAsia="Times New Roman" w:hint="default"/>
                <w:sz w:val="18"/>
                <w:szCs w:val="18"/>
              </w:rPr>
            </w:pPr>
            <w:r>
              <w:rPr>
                <w:rFonts w:ascii="Times New Roman"/>
                <w:sz w:val="18"/>
              </w:rPr>
              <w:t>-79.67%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83"/>
              <w:jc w:val="left"/>
              <w:rPr>
                <w:rFonts w:ascii="宋体" w:hAnsi="宋体" w:cs="宋体" w:eastAsia="宋体" w:hint="default"/>
                <w:sz w:val="18"/>
                <w:szCs w:val="18"/>
              </w:rPr>
            </w:pPr>
            <w:r>
              <w:rPr>
                <w:rFonts w:ascii="宋体" w:hAnsi="宋体" w:cs="宋体" w:eastAsia="宋体" w:hint="default"/>
                <w:sz w:val="18"/>
                <w:szCs w:val="18"/>
              </w:rPr>
              <w:t>主要系本报告期账龄较长的应收账 款回款增加所致。</w:t>
            </w:r>
          </w:p>
        </w:tc>
      </w:tr>
    </w:tbl>
    <w:p>
      <w:pPr>
        <w:spacing w:line="240" w:lineRule="auto" w:before="4"/>
        <w:rPr>
          <w:rFonts w:ascii="宋体" w:hAnsi="宋体" w:cs="宋体" w:eastAsia="宋体" w:hint="default"/>
          <w:sz w:val="19"/>
          <w:szCs w:val="19"/>
        </w:rPr>
      </w:pPr>
    </w:p>
    <w:p>
      <w:pPr>
        <w:pStyle w:val="Heading3"/>
        <w:spacing w:line="240" w:lineRule="auto" w:before="34"/>
        <w:ind w:left="1012" w:right="723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012" w:right="7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报告期内，公司正在研发的项目如下：</w:t>
      </w:r>
    </w:p>
    <w:tbl>
      <w:tblPr>
        <w:tblW w:w="0" w:type="auto"/>
        <w:jc w:val="left"/>
        <w:tblInd w:w="118" w:type="dxa"/>
        <w:tblLayout w:type="fixed"/>
        <w:tblCellMar>
          <w:top w:w="0" w:type="dxa"/>
          <w:left w:w="0" w:type="dxa"/>
          <w:bottom w:w="0" w:type="dxa"/>
          <w:right w:w="0" w:type="dxa"/>
        </w:tblCellMar>
        <w:tblLook w:val="01E0"/>
      </w:tblPr>
      <w:tblGrid>
        <w:gridCol w:w="528"/>
        <w:gridCol w:w="1188"/>
        <w:gridCol w:w="7656"/>
        <w:gridCol w:w="876"/>
        <w:gridCol w:w="828"/>
      </w:tblGrid>
      <w:tr>
        <w:trPr>
          <w:trHeight w:val="427" w:hRule="exact"/>
        </w:trPr>
        <w:tc>
          <w:tcPr>
            <w:tcW w:w="5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6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项目简介</w:t>
            </w:r>
          </w:p>
        </w:tc>
        <w:tc>
          <w:tcPr>
            <w:tcW w:w="8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目前阶段</w:t>
            </w:r>
          </w:p>
        </w:tc>
        <w:tc>
          <w:tcPr>
            <w:tcW w:w="8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拟达目标</w:t>
            </w:r>
          </w:p>
        </w:tc>
      </w:tr>
      <w:tr>
        <w:trPr>
          <w:trHeight w:val="369"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3"/>
              <w:ind w:left="3" w:right="0"/>
              <w:jc w:val="left"/>
              <w:rPr>
                <w:rFonts w:ascii="宋体" w:hAnsi="宋体" w:cs="宋体" w:eastAsia="宋体" w:hint="default"/>
                <w:sz w:val="18"/>
                <w:szCs w:val="18"/>
              </w:rPr>
            </w:pPr>
            <w:r>
              <w:rPr>
                <w:rFonts w:ascii="宋体" w:hAnsi="宋体" w:cs="宋体" w:eastAsia="宋体" w:hint="default"/>
                <w:sz w:val="18"/>
                <w:szCs w:val="18"/>
              </w:rPr>
              <w:t>与国家科技支撑计划项目和募投项目相应。针对慢性病人群搭建健康大数据服务平台，将三甲医</w:t>
            </w:r>
          </w:p>
        </w:tc>
        <w:tc>
          <w:tcPr>
            <w:tcW w:w="876" w:type="dxa"/>
            <w:tcBorders>
              <w:top w:val="single" w:sz="6" w:space="0" w:color="000000"/>
              <w:left w:val="single" w:sz="6" w:space="0" w:color="000000"/>
              <w:bottom w:val="nil" w:sz="6" w:space="0" w:color="auto"/>
              <w:right w:val="single" w:sz="6" w:space="0" w:color="000000"/>
            </w:tcBorders>
          </w:tcPr>
          <w:p>
            <w:pPr/>
          </w:p>
        </w:tc>
        <w:tc>
          <w:tcPr>
            <w:tcW w:w="828"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1188" w:type="dxa"/>
            <w:tcBorders>
              <w:top w:val="nil" w:sz="6" w:space="0" w:color="auto"/>
              <w:left w:val="single" w:sz="6" w:space="0" w:color="000000"/>
              <w:bottom w:val="nil" w:sz="6" w:space="0" w:color="auto"/>
              <w:right w:val="single" w:sz="6" w:space="0" w:color="000000"/>
            </w:tcBorders>
          </w:tcPr>
          <w:p>
            <w:pPr>
              <w:pStyle w:val="TableParagraph"/>
              <w:spacing w:line="316" w:lineRule="auto" w:before="3"/>
              <w:ind w:left="3" w:right="1"/>
              <w:jc w:val="left"/>
              <w:rPr>
                <w:rFonts w:ascii="宋体" w:hAnsi="宋体" w:cs="宋体" w:eastAsia="宋体" w:hint="default"/>
                <w:sz w:val="18"/>
                <w:szCs w:val="18"/>
              </w:rPr>
            </w:pPr>
            <w:r>
              <w:rPr>
                <w:rFonts w:ascii="宋体" w:hAnsi="宋体" w:cs="宋体" w:eastAsia="宋体" w:hint="default"/>
                <w:spacing w:val="14"/>
                <w:sz w:val="18"/>
                <w:szCs w:val="18"/>
              </w:rPr>
              <w:t>健康大数据平</w:t>
            </w:r>
            <w:r>
              <w:rPr>
                <w:rFonts w:ascii="宋体" w:hAnsi="宋体" w:cs="宋体" w:eastAsia="宋体" w:hint="default"/>
                <w:sz w:val="18"/>
                <w:szCs w:val="18"/>
              </w:rPr>
              <w:t> 台</w:t>
            </w: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316" w:lineRule="auto" w:before="3"/>
              <w:ind w:left="3" w:right="1"/>
              <w:jc w:val="left"/>
              <w:rPr>
                <w:rFonts w:ascii="宋体" w:hAnsi="宋体" w:cs="宋体" w:eastAsia="宋体" w:hint="default"/>
                <w:sz w:val="18"/>
                <w:szCs w:val="18"/>
              </w:rPr>
            </w:pPr>
            <w:r>
              <w:rPr>
                <w:rFonts w:ascii="宋体" w:hAnsi="宋体" w:cs="宋体" w:eastAsia="宋体" w:hint="default"/>
                <w:sz w:val="18"/>
                <w:szCs w:val="18"/>
              </w:rPr>
              <w:t>院、社区服务中心、体检中心、健康管理中心等多方资源汇聚到平台上来，旨在将优质医疗资源 新型健康服务管理理念传递到基层，平台通过家庭医生签约服务落地分级诊疗，通过创新叠加商</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196" w:lineRule="exact" w:before="3"/>
              <w:ind w:left="-10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70" w:right="0"/>
              <w:jc w:val="left"/>
              <w:rPr>
                <w:rFonts w:ascii="宋体" w:hAnsi="宋体" w:cs="宋体" w:eastAsia="宋体" w:hint="default"/>
                <w:sz w:val="18"/>
                <w:szCs w:val="18"/>
              </w:rPr>
            </w:pPr>
            <w:r>
              <w:rPr>
                <w:rFonts w:ascii="宋体" w:hAnsi="宋体" w:cs="宋体" w:eastAsia="宋体" w:hint="default"/>
                <w:sz w:val="18"/>
                <w:szCs w:val="18"/>
              </w:rPr>
              <w:t>产品试用</w:t>
            </w:r>
          </w:p>
        </w:tc>
        <w:tc>
          <w:tcPr>
            <w:tcW w:w="828"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运营平台</w:t>
            </w:r>
          </w:p>
        </w:tc>
      </w:tr>
      <w:tr>
        <w:trPr>
          <w:trHeight w:val="370" w:hRule="exact"/>
        </w:trPr>
        <w:tc>
          <w:tcPr>
            <w:tcW w:w="528" w:type="dxa"/>
            <w:tcBorders>
              <w:top w:val="nil" w:sz="6" w:space="0" w:color="auto"/>
              <w:left w:val="single" w:sz="6" w:space="0" w:color="000000"/>
              <w:bottom w:val="single" w:sz="6" w:space="0" w:color="000000"/>
              <w:right w:val="single" w:sz="6" w:space="0" w:color="000000"/>
            </w:tcBorders>
          </w:tcPr>
          <w:p>
            <w:pPr/>
          </w:p>
        </w:tc>
        <w:tc>
          <w:tcPr>
            <w:tcW w:w="1188" w:type="dxa"/>
            <w:tcBorders>
              <w:top w:val="nil" w:sz="6" w:space="0" w:color="auto"/>
              <w:left w:val="single" w:sz="6" w:space="0" w:color="000000"/>
              <w:bottom w:val="single" w:sz="6" w:space="0" w:color="000000"/>
              <w:right w:val="single" w:sz="6" w:space="0" w:color="000000"/>
            </w:tcBorders>
          </w:tcPr>
          <w:p>
            <w:pPr/>
          </w:p>
        </w:tc>
        <w:tc>
          <w:tcPr>
            <w:tcW w:w="765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
              <w:ind w:left="3" w:right="0"/>
              <w:jc w:val="left"/>
              <w:rPr>
                <w:rFonts w:ascii="宋体" w:hAnsi="宋体" w:cs="宋体" w:eastAsia="宋体" w:hint="default"/>
                <w:sz w:val="18"/>
                <w:szCs w:val="18"/>
              </w:rPr>
            </w:pPr>
            <w:r>
              <w:rPr>
                <w:rFonts w:ascii="宋体" w:hAnsi="宋体" w:cs="宋体" w:eastAsia="宋体" w:hint="default"/>
                <w:sz w:val="18"/>
                <w:szCs w:val="18"/>
              </w:rPr>
              <w:t>业模式，提高家庭医生签约积极性，通过服务促进医患互动，实现优质医疗资源服务下沉。</w:t>
            </w:r>
          </w:p>
        </w:tc>
        <w:tc>
          <w:tcPr>
            <w:tcW w:w="876" w:type="dxa"/>
            <w:tcBorders>
              <w:top w:val="nil" w:sz="6" w:space="0" w:color="auto"/>
              <w:left w:val="single" w:sz="6" w:space="0" w:color="000000"/>
              <w:bottom w:val="single" w:sz="6" w:space="0" w:color="000000"/>
              <w:right w:val="single" w:sz="6" w:space="0" w:color="000000"/>
            </w:tcBorders>
          </w:tcPr>
          <w:p>
            <w:pPr/>
          </w:p>
        </w:tc>
        <w:tc>
          <w:tcPr>
            <w:tcW w:w="828" w:type="dxa"/>
            <w:tcBorders>
              <w:top w:val="nil" w:sz="6" w:space="0" w:color="auto"/>
              <w:left w:val="single" w:sz="6" w:space="0" w:color="000000"/>
              <w:bottom w:val="single" w:sz="6" w:space="0" w:color="000000"/>
              <w:right w:val="single" w:sz="6" w:space="0" w:color="000000"/>
            </w:tcBorders>
          </w:tcPr>
          <w:p>
            <w:pPr/>
          </w:p>
        </w:tc>
      </w:tr>
      <w:tr>
        <w:trPr>
          <w:trHeight w:val="369"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3"/>
              <w:ind w:left="3" w:right="0"/>
              <w:jc w:val="left"/>
              <w:rPr>
                <w:rFonts w:ascii="宋体" w:hAnsi="宋体" w:cs="宋体" w:eastAsia="宋体" w:hint="default"/>
                <w:sz w:val="18"/>
                <w:szCs w:val="18"/>
              </w:rPr>
            </w:pPr>
            <w:r>
              <w:rPr>
                <w:rFonts w:ascii="宋体" w:hAnsi="宋体" w:cs="宋体" w:eastAsia="宋体" w:hint="default"/>
                <w:spacing w:val="14"/>
                <w:sz w:val="18"/>
                <w:szCs w:val="18"/>
              </w:rPr>
              <w:t>急危重症大数</w:t>
            </w: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3"/>
              <w:ind w:left="3" w:right="0"/>
              <w:jc w:val="left"/>
              <w:rPr>
                <w:rFonts w:ascii="宋体" w:hAnsi="宋体" w:cs="宋体" w:eastAsia="宋体" w:hint="default"/>
                <w:sz w:val="18"/>
                <w:szCs w:val="18"/>
              </w:rPr>
            </w:pPr>
            <w:r>
              <w:rPr>
                <w:rFonts w:ascii="宋体" w:hAnsi="宋体" w:cs="宋体" w:eastAsia="宋体" w:hint="default"/>
                <w:sz w:val="18"/>
                <w:szCs w:val="18"/>
              </w:rPr>
              <w:t>主要是解决医疗设备集成问题，以及根据业务流程和管理需求开发出精细化的软件应用系统。重</w:t>
            </w:r>
          </w:p>
        </w:tc>
        <w:tc>
          <w:tcPr>
            <w:tcW w:w="876" w:type="dxa"/>
            <w:tcBorders>
              <w:top w:val="single" w:sz="6" w:space="0" w:color="000000"/>
              <w:left w:val="single" w:sz="6" w:space="0" w:color="000000"/>
              <w:bottom w:val="nil" w:sz="6" w:space="0" w:color="auto"/>
              <w:right w:val="single" w:sz="6" w:space="0" w:color="000000"/>
            </w:tcBorders>
          </w:tcPr>
          <w:p>
            <w:pPr/>
          </w:p>
        </w:tc>
        <w:tc>
          <w:tcPr>
            <w:tcW w:w="82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w:t>
            </w:r>
          </w:p>
        </w:tc>
        <w:tc>
          <w:tcPr>
            <w:tcW w:w="118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left="3" w:right="-19"/>
              <w:jc w:val="left"/>
              <w:rPr>
                <w:rFonts w:ascii="宋体" w:hAnsi="宋体" w:cs="宋体" w:eastAsia="宋体" w:hint="default"/>
                <w:sz w:val="18"/>
                <w:szCs w:val="18"/>
              </w:rPr>
            </w:pPr>
            <w:r>
              <w:rPr>
                <w:rFonts w:ascii="宋体" w:hAnsi="宋体" w:cs="宋体" w:eastAsia="宋体" w:hint="default"/>
                <w:spacing w:val="-3"/>
                <w:sz w:val="18"/>
                <w:szCs w:val="18"/>
              </w:rPr>
              <w:t>据平台（</w:t>
            </w:r>
            <w:r>
              <w:rPr>
                <w:rFonts w:ascii="Times New Roman" w:hAnsi="Times New Roman" w:cs="Times New Roman" w:eastAsia="Times New Roman" w:hint="default"/>
                <w:spacing w:val="-3"/>
                <w:sz w:val="18"/>
                <w:szCs w:val="18"/>
              </w:rPr>
              <w:t>ICU</w:t>
            </w:r>
            <w:r>
              <w:rPr>
                <w:rFonts w:ascii="宋体" w:hAnsi="宋体" w:cs="宋体" w:eastAsia="宋体" w:hint="default"/>
                <w:spacing w:val="-3"/>
                <w:sz w:val="18"/>
                <w:szCs w:val="18"/>
              </w:rPr>
              <w:t>）</w:t>
            </w:r>
            <w:r>
              <w:rPr>
                <w:rFonts w:ascii="宋体" w:hAnsi="宋体" w:cs="宋体" w:eastAsia="宋体" w:hint="default"/>
                <w:sz w:val="18"/>
                <w:szCs w:val="18"/>
              </w:rPr>
            </w: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left="3" w:right="0"/>
              <w:jc w:val="left"/>
              <w:rPr>
                <w:rFonts w:ascii="宋体" w:hAnsi="宋体" w:cs="宋体" w:eastAsia="宋体" w:hint="default"/>
                <w:sz w:val="18"/>
                <w:szCs w:val="18"/>
              </w:rPr>
            </w:pPr>
            <w:r>
              <w:rPr>
                <w:rFonts w:ascii="宋体" w:hAnsi="宋体" w:cs="宋体" w:eastAsia="宋体" w:hint="default"/>
                <w:sz w:val="18"/>
                <w:szCs w:val="18"/>
              </w:rPr>
              <w:t>症监护信息系统和医疗设备一体化解决方案相结合，就满足了重症监护的真正需求。该系统与上</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产品推广</w:t>
            </w:r>
          </w:p>
        </w:tc>
        <w:tc>
          <w:tcPr>
            <w:tcW w:w="82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65" w:hRule="exact"/>
        </w:trPr>
        <w:tc>
          <w:tcPr>
            <w:tcW w:w="528" w:type="dxa"/>
            <w:tcBorders>
              <w:top w:val="nil" w:sz="6" w:space="0" w:color="auto"/>
              <w:left w:val="single" w:sz="6" w:space="0" w:color="000000"/>
              <w:bottom w:val="single" w:sz="6" w:space="0" w:color="000000"/>
              <w:right w:val="single" w:sz="6" w:space="0" w:color="000000"/>
            </w:tcBorders>
          </w:tcPr>
          <w:p>
            <w:pPr/>
          </w:p>
        </w:tc>
        <w:tc>
          <w:tcPr>
            <w:tcW w:w="1188" w:type="dxa"/>
            <w:tcBorders>
              <w:top w:val="nil" w:sz="6" w:space="0" w:color="auto"/>
              <w:left w:val="single" w:sz="6" w:space="0" w:color="000000"/>
              <w:bottom w:val="single" w:sz="6" w:space="0" w:color="000000"/>
              <w:right w:val="single" w:sz="6" w:space="0" w:color="000000"/>
            </w:tcBorders>
          </w:tcPr>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7656" w:type="dxa"/>
            <w:tcBorders>
              <w:top w:val="nil" w:sz="6" w:space="0" w:color="auto"/>
              <w:left w:val="single" w:sz="6" w:space="0" w:color="000000"/>
              <w:bottom w:val="single" w:sz="6" w:space="0" w:color="000000"/>
              <w:right w:val="single" w:sz="6" w:space="0" w:color="000000"/>
            </w:tcBorders>
          </w:tcPr>
          <w:p>
            <w:pPr>
              <w:pStyle w:val="TableParagraph"/>
              <w:spacing w:line="248" w:lineRule="exact"/>
              <w:ind w:left="3" w:right="0"/>
              <w:jc w:val="left"/>
              <w:rPr>
                <w:rFonts w:ascii="宋体" w:hAnsi="宋体" w:cs="宋体" w:eastAsia="宋体" w:hint="default"/>
                <w:sz w:val="18"/>
                <w:szCs w:val="18"/>
              </w:rPr>
            </w:pPr>
            <w:r>
              <w:rPr>
                <w:rFonts w:ascii="宋体" w:hAnsi="宋体" w:cs="宋体" w:eastAsia="宋体" w:hint="default"/>
                <w:sz w:val="18"/>
                <w:szCs w:val="18"/>
              </w:rPr>
              <w:t>海米健的</w:t>
            </w:r>
            <w:r>
              <w:rPr>
                <w:rFonts w:ascii="Times New Roman" w:hAnsi="Times New Roman" w:cs="Times New Roman" w:eastAsia="Times New Roman" w:hint="default"/>
                <w:sz w:val="18"/>
                <w:szCs w:val="18"/>
              </w:rPr>
              <w:t>ICU</w:t>
            </w:r>
            <w:r>
              <w:rPr>
                <w:rFonts w:ascii="宋体" w:hAnsi="宋体" w:cs="宋体" w:eastAsia="宋体" w:hint="default"/>
                <w:sz w:val="18"/>
                <w:szCs w:val="18"/>
              </w:rPr>
              <w:t>产品进行整合，并启动了大规模推广工作，已经有多个用户使用。</w:t>
            </w:r>
          </w:p>
        </w:tc>
        <w:tc>
          <w:tcPr>
            <w:tcW w:w="876" w:type="dxa"/>
            <w:tcBorders>
              <w:top w:val="nil" w:sz="6" w:space="0" w:color="auto"/>
              <w:left w:val="single" w:sz="6" w:space="0" w:color="000000"/>
              <w:bottom w:val="single" w:sz="6" w:space="0" w:color="000000"/>
              <w:right w:val="single" w:sz="6" w:space="0" w:color="000000"/>
            </w:tcBorders>
          </w:tcPr>
          <w:p>
            <w:pPr/>
          </w:p>
        </w:tc>
        <w:tc>
          <w:tcPr>
            <w:tcW w:w="828" w:type="dxa"/>
            <w:tcBorders>
              <w:top w:val="nil" w:sz="6" w:space="0" w:color="auto"/>
              <w:left w:val="single" w:sz="6" w:space="0" w:color="000000"/>
              <w:bottom w:val="single" w:sz="6" w:space="0" w:color="000000"/>
              <w:right w:val="single" w:sz="6" w:space="0" w:color="000000"/>
            </w:tcBorders>
          </w:tcPr>
          <w:p>
            <w:pPr/>
          </w:p>
        </w:tc>
      </w:tr>
      <w:tr>
        <w:trPr>
          <w:trHeight w:val="370"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3"/>
              <w:ind w:left="3" w:right="0"/>
              <w:jc w:val="left"/>
              <w:rPr>
                <w:rFonts w:ascii="宋体" w:hAnsi="宋体" w:cs="宋体" w:eastAsia="宋体" w:hint="default"/>
                <w:sz w:val="18"/>
                <w:szCs w:val="18"/>
              </w:rPr>
            </w:pPr>
            <w:r>
              <w:rPr>
                <w:rFonts w:ascii="宋体" w:hAnsi="宋体" w:cs="宋体" w:eastAsia="宋体" w:hint="default"/>
                <w:spacing w:val="14"/>
                <w:sz w:val="18"/>
                <w:szCs w:val="18"/>
              </w:rPr>
              <w:t>云计算全基因</w:t>
            </w: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3"/>
              <w:ind w:left="3" w:right="0"/>
              <w:jc w:val="left"/>
              <w:rPr>
                <w:rFonts w:ascii="宋体" w:hAnsi="宋体" w:cs="宋体" w:eastAsia="宋体" w:hint="default"/>
                <w:sz w:val="18"/>
                <w:szCs w:val="18"/>
              </w:rPr>
            </w:pPr>
            <w:r>
              <w:rPr>
                <w:rFonts w:ascii="宋体" w:hAnsi="宋体" w:cs="宋体" w:eastAsia="宋体" w:hint="default"/>
                <w:sz w:val="18"/>
                <w:szCs w:val="18"/>
              </w:rPr>
              <w:t>在基因知识数据库的基础上，开发自动、高效、易用的并行的生物信息分析云平台。该平台能实</w:t>
            </w:r>
          </w:p>
        </w:tc>
        <w:tc>
          <w:tcPr>
            <w:tcW w:w="876" w:type="dxa"/>
            <w:tcBorders>
              <w:top w:val="single" w:sz="6" w:space="0" w:color="000000"/>
              <w:left w:val="single" w:sz="6" w:space="0" w:color="000000"/>
              <w:bottom w:val="nil" w:sz="6" w:space="0" w:color="auto"/>
              <w:right w:val="single" w:sz="6" w:space="0" w:color="000000"/>
            </w:tcBorders>
          </w:tcPr>
          <w:p>
            <w:pPr/>
          </w:p>
        </w:tc>
        <w:tc>
          <w:tcPr>
            <w:tcW w:w="82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w:t>
            </w:r>
          </w:p>
        </w:tc>
        <w:tc>
          <w:tcPr>
            <w:tcW w:w="118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left="3" w:right="0"/>
              <w:jc w:val="left"/>
              <w:rPr>
                <w:rFonts w:ascii="宋体" w:hAnsi="宋体" w:cs="宋体" w:eastAsia="宋体" w:hint="default"/>
                <w:sz w:val="18"/>
                <w:szCs w:val="18"/>
              </w:rPr>
            </w:pPr>
            <w:r>
              <w:rPr>
                <w:rFonts w:ascii="宋体" w:hAnsi="宋体" w:cs="宋体" w:eastAsia="宋体" w:hint="default"/>
                <w:spacing w:val="14"/>
                <w:sz w:val="18"/>
                <w:szCs w:val="18"/>
              </w:rPr>
              <w:t>组测序分析平</w:t>
            </w: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left="3" w:right="0"/>
              <w:jc w:val="left"/>
              <w:rPr>
                <w:rFonts w:ascii="宋体" w:hAnsi="宋体" w:cs="宋体" w:eastAsia="宋体" w:hint="default"/>
                <w:sz w:val="18"/>
                <w:szCs w:val="18"/>
              </w:rPr>
            </w:pPr>
            <w:r>
              <w:rPr>
                <w:rFonts w:ascii="宋体" w:hAnsi="宋体" w:cs="宋体" w:eastAsia="宋体" w:hint="default"/>
                <w:sz w:val="18"/>
                <w:szCs w:val="18"/>
              </w:rPr>
              <w:t>现大规模超多任务并发运行</w:t>
            </w:r>
            <w:r>
              <w:rPr>
                <w:rFonts w:ascii="Times New Roman" w:hAnsi="Times New Roman" w:cs="Times New Roman" w:eastAsia="Times New Roman" w:hint="default"/>
                <w:sz w:val="18"/>
                <w:szCs w:val="18"/>
              </w:rPr>
              <w:t>,</w:t>
            </w:r>
            <w:r>
              <w:rPr>
                <w:rFonts w:ascii="宋体" w:hAnsi="宋体" w:cs="宋体" w:eastAsia="宋体" w:hint="default"/>
                <w:sz w:val="18"/>
                <w:szCs w:val="18"/>
              </w:rPr>
              <w:t>不受样本数量的限制；可自动分析多种基因测序数据</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并最终能为用</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产品试用</w:t>
            </w:r>
          </w:p>
        </w:tc>
        <w:tc>
          <w:tcPr>
            <w:tcW w:w="82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运营平台</w:t>
            </w:r>
          </w:p>
        </w:tc>
      </w:tr>
      <w:tr>
        <w:trPr>
          <w:trHeight w:val="365" w:hRule="exact"/>
        </w:trPr>
        <w:tc>
          <w:tcPr>
            <w:tcW w:w="528" w:type="dxa"/>
            <w:tcBorders>
              <w:top w:val="nil" w:sz="6" w:space="0" w:color="auto"/>
              <w:left w:val="single" w:sz="6" w:space="0" w:color="000000"/>
              <w:bottom w:val="single" w:sz="6" w:space="0" w:color="000000"/>
              <w:right w:val="single" w:sz="6" w:space="0" w:color="000000"/>
            </w:tcBorders>
          </w:tcPr>
          <w:p>
            <w:pPr/>
          </w:p>
        </w:tc>
        <w:tc>
          <w:tcPr>
            <w:tcW w:w="1188" w:type="dxa"/>
            <w:tcBorders>
              <w:top w:val="nil" w:sz="6" w:space="0" w:color="auto"/>
              <w:left w:val="single" w:sz="6" w:space="0" w:color="000000"/>
              <w:bottom w:val="single" w:sz="6" w:space="0" w:color="000000"/>
              <w:right w:val="single" w:sz="6" w:space="0" w:color="000000"/>
            </w:tcBorders>
          </w:tcPr>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7656" w:type="dxa"/>
            <w:tcBorders>
              <w:top w:val="nil" w:sz="6" w:space="0" w:color="auto"/>
              <w:left w:val="single" w:sz="6" w:space="0" w:color="000000"/>
              <w:bottom w:val="single" w:sz="6" w:space="0" w:color="000000"/>
              <w:right w:val="single" w:sz="6" w:space="0" w:color="000000"/>
            </w:tcBorders>
          </w:tcPr>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户自动生成分析报告。目前产品第一阶段技术研发已经完成，正在进行应用测试。</w:t>
            </w:r>
          </w:p>
        </w:tc>
        <w:tc>
          <w:tcPr>
            <w:tcW w:w="876" w:type="dxa"/>
            <w:tcBorders>
              <w:top w:val="nil" w:sz="6" w:space="0" w:color="auto"/>
              <w:left w:val="single" w:sz="6" w:space="0" w:color="000000"/>
              <w:bottom w:val="single" w:sz="6" w:space="0" w:color="000000"/>
              <w:right w:val="single" w:sz="6" w:space="0" w:color="000000"/>
            </w:tcBorders>
          </w:tcPr>
          <w:p>
            <w:pPr/>
          </w:p>
        </w:tc>
        <w:tc>
          <w:tcPr>
            <w:tcW w:w="828" w:type="dxa"/>
            <w:tcBorders>
              <w:top w:val="nil" w:sz="6" w:space="0" w:color="auto"/>
              <w:left w:val="single" w:sz="6" w:space="0" w:color="000000"/>
              <w:bottom w:val="single" w:sz="6" w:space="0" w:color="000000"/>
              <w:right w:val="single" w:sz="6" w:space="0" w:color="000000"/>
            </w:tcBorders>
          </w:tcPr>
          <w:p>
            <w:pPr/>
          </w:p>
        </w:tc>
      </w:tr>
      <w:tr>
        <w:trPr>
          <w:trHeight w:val="370"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4"/>
              <w:ind w:left="3" w:right="0"/>
              <w:jc w:val="left"/>
              <w:rPr>
                <w:rFonts w:ascii="宋体" w:hAnsi="宋体" w:cs="宋体" w:eastAsia="宋体" w:hint="default"/>
                <w:sz w:val="18"/>
                <w:szCs w:val="18"/>
              </w:rPr>
            </w:pPr>
            <w:r>
              <w:rPr>
                <w:rFonts w:ascii="宋体" w:hAnsi="宋体" w:cs="宋体" w:eastAsia="宋体" w:hint="default"/>
                <w:spacing w:val="14"/>
                <w:sz w:val="18"/>
                <w:szCs w:val="18"/>
              </w:rPr>
              <w:t>基于视频的特</w:t>
            </w: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4"/>
              <w:ind w:left="3" w:right="0"/>
              <w:jc w:val="left"/>
              <w:rPr>
                <w:rFonts w:ascii="宋体" w:hAnsi="宋体" w:cs="宋体" w:eastAsia="宋体" w:hint="default"/>
                <w:sz w:val="18"/>
                <w:szCs w:val="18"/>
              </w:rPr>
            </w:pPr>
            <w:r>
              <w:rPr>
                <w:rFonts w:ascii="宋体" w:hAnsi="宋体" w:cs="宋体" w:eastAsia="宋体" w:hint="default"/>
                <w:sz w:val="18"/>
                <w:szCs w:val="18"/>
              </w:rPr>
              <w:t>将智能视频监控技术与物联网融合，借助物联网思路和技术为智能视频监控产品的发展提供一个</w:t>
            </w:r>
          </w:p>
        </w:tc>
        <w:tc>
          <w:tcPr>
            <w:tcW w:w="876" w:type="dxa"/>
            <w:tcBorders>
              <w:top w:val="single" w:sz="6" w:space="0" w:color="000000"/>
              <w:left w:val="single" w:sz="6" w:space="0" w:color="000000"/>
              <w:bottom w:val="nil" w:sz="6" w:space="0" w:color="auto"/>
              <w:right w:val="single" w:sz="6" w:space="0" w:color="000000"/>
            </w:tcBorders>
          </w:tcPr>
          <w:p>
            <w:pPr/>
          </w:p>
        </w:tc>
        <w:tc>
          <w:tcPr>
            <w:tcW w:w="82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w:t>
            </w:r>
          </w:p>
        </w:tc>
        <w:tc>
          <w:tcPr>
            <w:tcW w:w="118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left="3" w:right="0"/>
              <w:jc w:val="left"/>
              <w:rPr>
                <w:rFonts w:ascii="宋体" w:hAnsi="宋体" w:cs="宋体" w:eastAsia="宋体" w:hint="default"/>
                <w:sz w:val="18"/>
                <w:szCs w:val="18"/>
              </w:rPr>
            </w:pPr>
            <w:r>
              <w:rPr>
                <w:rFonts w:ascii="宋体" w:hAnsi="宋体" w:cs="宋体" w:eastAsia="宋体" w:hint="default"/>
                <w:spacing w:val="14"/>
                <w:sz w:val="18"/>
                <w:szCs w:val="18"/>
              </w:rPr>
              <w:t>定行为智能分</w:t>
            </w: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left="3" w:right="0"/>
              <w:jc w:val="left"/>
              <w:rPr>
                <w:rFonts w:ascii="宋体" w:hAnsi="宋体" w:cs="宋体" w:eastAsia="宋体" w:hint="default"/>
                <w:sz w:val="18"/>
                <w:szCs w:val="18"/>
              </w:rPr>
            </w:pPr>
            <w:r>
              <w:rPr>
                <w:rFonts w:ascii="宋体" w:hAnsi="宋体" w:cs="宋体" w:eastAsia="宋体" w:hint="default"/>
                <w:sz w:val="18"/>
                <w:szCs w:val="18"/>
              </w:rPr>
              <w:t>有力的支撑，形成对一些特定行为的建模学习和识别核心算法，如走私行为、恐怖行为等。</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产品推广</w:t>
            </w:r>
          </w:p>
        </w:tc>
        <w:tc>
          <w:tcPr>
            <w:tcW w:w="82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64" w:hRule="exact"/>
        </w:trPr>
        <w:tc>
          <w:tcPr>
            <w:tcW w:w="528" w:type="dxa"/>
            <w:tcBorders>
              <w:top w:val="nil" w:sz="6" w:space="0" w:color="auto"/>
              <w:left w:val="single" w:sz="6" w:space="0" w:color="000000"/>
              <w:bottom w:val="single" w:sz="6" w:space="0" w:color="000000"/>
              <w:right w:val="single" w:sz="6" w:space="0" w:color="000000"/>
            </w:tcBorders>
          </w:tcPr>
          <w:p>
            <w:pPr/>
          </w:p>
        </w:tc>
        <w:tc>
          <w:tcPr>
            <w:tcW w:w="1188" w:type="dxa"/>
            <w:tcBorders>
              <w:top w:val="nil" w:sz="6" w:space="0" w:color="auto"/>
              <w:left w:val="single" w:sz="6" w:space="0" w:color="000000"/>
              <w:bottom w:val="single" w:sz="6" w:space="0" w:color="000000"/>
              <w:right w:val="single" w:sz="6" w:space="0" w:color="000000"/>
            </w:tcBorders>
          </w:tcPr>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析与识别模型</w:t>
            </w:r>
          </w:p>
        </w:tc>
        <w:tc>
          <w:tcPr>
            <w:tcW w:w="7656" w:type="dxa"/>
            <w:tcBorders>
              <w:top w:val="nil" w:sz="6" w:space="0" w:color="auto"/>
              <w:left w:val="single" w:sz="6" w:space="0" w:color="000000"/>
              <w:bottom w:val="single" w:sz="6" w:space="0" w:color="000000"/>
              <w:right w:val="single" w:sz="6" w:space="0" w:color="000000"/>
            </w:tcBorders>
          </w:tcPr>
          <w:p>
            <w:pPr/>
          </w:p>
        </w:tc>
        <w:tc>
          <w:tcPr>
            <w:tcW w:w="876" w:type="dxa"/>
            <w:tcBorders>
              <w:top w:val="nil" w:sz="6" w:space="0" w:color="auto"/>
              <w:left w:val="single" w:sz="6" w:space="0" w:color="000000"/>
              <w:bottom w:val="single" w:sz="6" w:space="0" w:color="000000"/>
              <w:right w:val="single" w:sz="6" w:space="0" w:color="000000"/>
            </w:tcBorders>
          </w:tcPr>
          <w:p>
            <w:pPr/>
          </w:p>
        </w:tc>
        <w:tc>
          <w:tcPr>
            <w:tcW w:w="828" w:type="dxa"/>
            <w:tcBorders>
              <w:top w:val="nil" w:sz="6" w:space="0" w:color="auto"/>
              <w:left w:val="single" w:sz="6" w:space="0" w:color="000000"/>
              <w:bottom w:val="single" w:sz="6" w:space="0" w:color="000000"/>
              <w:right w:val="single" w:sz="6" w:space="0" w:color="000000"/>
            </w:tcBorders>
          </w:tcPr>
          <w:p>
            <w:pPr/>
          </w:p>
        </w:tc>
      </w:tr>
      <w:tr>
        <w:trPr>
          <w:trHeight w:val="1051"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3" w:right="1"/>
              <w:jc w:val="left"/>
              <w:rPr>
                <w:rFonts w:ascii="宋体" w:hAnsi="宋体" w:cs="宋体" w:eastAsia="宋体" w:hint="default"/>
                <w:sz w:val="18"/>
                <w:szCs w:val="18"/>
              </w:rPr>
            </w:pPr>
            <w:r>
              <w:rPr>
                <w:rFonts w:ascii="宋体" w:hAnsi="宋体" w:cs="宋体" w:eastAsia="宋体" w:hint="default"/>
                <w:spacing w:val="14"/>
                <w:sz w:val="18"/>
                <w:szCs w:val="18"/>
              </w:rPr>
              <w:t>荣科肾内综合</w:t>
            </w:r>
            <w:r>
              <w:rPr>
                <w:rFonts w:ascii="宋体" w:hAnsi="宋体" w:cs="宋体" w:eastAsia="宋体" w:hint="default"/>
                <w:sz w:val="18"/>
                <w:szCs w:val="18"/>
              </w:rPr>
              <w:t> 管理系统</w:t>
            </w:r>
          </w:p>
        </w:tc>
        <w:tc>
          <w:tcPr>
            <w:tcW w:w="765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4"/>
              <w:ind w:left="3" w:right="1"/>
              <w:jc w:val="both"/>
              <w:rPr>
                <w:rFonts w:ascii="宋体" w:hAnsi="宋体" w:cs="宋体" w:eastAsia="宋体" w:hint="default"/>
                <w:sz w:val="18"/>
                <w:szCs w:val="18"/>
              </w:rPr>
            </w:pPr>
            <w:r>
              <w:rPr>
                <w:rFonts w:ascii="宋体" w:hAnsi="宋体" w:cs="宋体" w:eastAsia="宋体" w:hint="default"/>
                <w:sz w:val="18"/>
                <w:szCs w:val="18"/>
              </w:rPr>
              <w:t>肾内系统对临床预警分析功能升级，完成了基于物联网的数据采集数据整合，同时研发完成基于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Times New Roman" w:hAnsi="Times New Roman" w:cs="Times New Roman" w:eastAsia="Times New Roman" w:hint="default"/>
                <w:spacing w:val="-2"/>
                <w:sz w:val="18"/>
                <w:szCs w:val="18"/>
              </w:rPr>
              <w:t>Saas</w:t>
            </w:r>
            <w:r>
              <w:rPr>
                <w:rFonts w:ascii="宋体" w:hAnsi="宋体" w:cs="宋体" w:eastAsia="宋体" w:hint="default"/>
                <w:spacing w:val="-2"/>
                <w:sz w:val="18"/>
                <w:szCs w:val="18"/>
              </w:rPr>
              <w:t>模式的血液透析平台，适用于集团化血液透析中心，研发完成慢性肾病管理系统；基于产品自</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身的完善和市场推广力度的加大，在市场上取得了一系列突破。</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产品化</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75"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4"/>
              <w:ind w:left="3" w:right="0"/>
              <w:jc w:val="left"/>
              <w:rPr>
                <w:rFonts w:ascii="宋体" w:hAnsi="宋体" w:cs="宋体" w:eastAsia="宋体" w:hint="default"/>
                <w:sz w:val="18"/>
                <w:szCs w:val="18"/>
              </w:rPr>
            </w:pPr>
            <w:r>
              <w:rPr>
                <w:rFonts w:ascii="宋体" w:hAnsi="宋体" w:cs="宋体" w:eastAsia="宋体" w:hint="default"/>
                <w:sz w:val="18"/>
                <w:szCs w:val="18"/>
              </w:rPr>
              <w:t>智慧社区运营平台是基于</w:t>
            </w:r>
            <w:r>
              <w:rPr>
                <w:rFonts w:ascii="Times New Roman" w:hAnsi="Times New Roman" w:cs="Times New Roman" w:eastAsia="Times New Roman" w:hint="default"/>
                <w:sz w:val="18"/>
                <w:szCs w:val="18"/>
              </w:rPr>
              <w:t>O2O</w:t>
            </w:r>
            <w:r>
              <w:rPr>
                <w:rFonts w:ascii="宋体" w:hAnsi="宋体" w:cs="宋体" w:eastAsia="宋体" w:hint="default"/>
                <w:sz w:val="18"/>
                <w:szCs w:val="18"/>
              </w:rPr>
              <w:t>模式，实现社区线上、线下综合服务的一种新理念。充分利用物联</w:t>
            </w:r>
          </w:p>
        </w:tc>
        <w:tc>
          <w:tcPr>
            <w:tcW w:w="876" w:type="dxa"/>
            <w:tcBorders>
              <w:top w:val="single" w:sz="6" w:space="0" w:color="000000"/>
              <w:left w:val="single" w:sz="6" w:space="0" w:color="000000"/>
              <w:bottom w:val="nil" w:sz="6" w:space="0" w:color="auto"/>
              <w:right w:val="single" w:sz="6" w:space="0" w:color="000000"/>
            </w:tcBorders>
          </w:tcPr>
          <w:p>
            <w:pPr/>
          </w:p>
        </w:tc>
        <w:tc>
          <w:tcPr>
            <w:tcW w:w="828" w:type="dxa"/>
            <w:tcBorders>
              <w:top w:val="single" w:sz="6" w:space="0" w:color="000000"/>
              <w:left w:val="single" w:sz="6" w:space="0" w:color="000000"/>
              <w:bottom w:val="nil" w:sz="6" w:space="0" w:color="auto"/>
              <w:right w:val="single" w:sz="6" w:space="0" w:color="000000"/>
            </w:tcBorders>
          </w:tcPr>
          <w:p>
            <w:pPr/>
          </w:p>
        </w:tc>
      </w:tr>
      <w:tr>
        <w:trPr>
          <w:trHeight w:val="307" w:hRule="exact"/>
        </w:trPr>
        <w:tc>
          <w:tcPr>
            <w:tcW w:w="528" w:type="dxa"/>
            <w:tcBorders>
              <w:top w:val="nil" w:sz="6" w:space="0" w:color="auto"/>
              <w:left w:val="single" w:sz="6" w:space="0" w:color="000000"/>
              <w:bottom w:val="nil" w:sz="6" w:space="0" w:color="auto"/>
              <w:right w:val="single" w:sz="6" w:space="0" w:color="000000"/>
            </w:tcBorders>
          </w:tcPr>
          <w:p>
            <w:pPr/>
          </w:p>
        </w:tc>
        <w:tc>
          <w:tcPr>
            <w:tcW w:w="1188" w:type="dxa"/>
            <w:tcBorders>
              <w:top w:val="nil" w:sz="6" w:space="0" w:color="auto"/>
              <w:left w:val="single" w:sz="6" w:space="0" w:color="000000"/>
              <w:bottom w:val="nil" w:sz="6" w:space="0" w:color="auto"/>
              <w:right w:val="single" w:sz="6" w:space="0" w:color="000000"/>
            </w:tcBorders>
          </w:tcPr>
          <w:p>
            <w:pP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网、云计算、移动互联网等新一代信息技术的集成应用，为社区居民提供一个安全、舒适、便利</w:t>
            </w:r>
          </w:p>
        </w:tc>
        <w:tc>
          <w:tcPr>
            <w:tcW w:w="876" w:type="dxa"/>
            <w:tcBorders>
              <w:top w:val="nil" w:sz="6" w:space="0" w:color="auto"/>
              <w:left w:val="single" w:sz="6" w:space="0" w:color="000000"/>
              <w:bottom w:val="nil" w:sz="6" w:space="0" w:color="auto"/>
              <w:right w:val="single" w:sz="6" w:space="0" w:color="000000"/>
            </w:tcBorders>
          </w:tcPr>
          <w:p>
            <w:pPr/>
          </w:p>
        </w:tc>
        <w:tc>
          <w:tcPr>
            <w:tcW w:w="828"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w:t>
            </w:r>
          </w:p>
        </w:tc>
        <w:tc>
          <w:tcPr>
            <w:tcW w:w="1188" w:type="dxa"/>
            <w:tcBorders>
              <w:top w:val="nil" w:sz="6" w:space="0" w:color="auto"/>
              <w:left w:val="single" w:sz="6" w:space="0" w:color="000000"/>
              <w:bottom w:val="nil" w:sz="6" w:space="0" w:color="auto"/>
              <w:right w:val="single" w:sz="6" w:space="0" w:color="000000"/>
            </w:tcBorders>
          </w:tcPr>
          <w:p>
            <w:pPr>
              <w:pStyle w:val="TableParagraph"/>
              <w:spacing w:line="316" w:lineRule="auto" w:before="3"/>
              <w:ind w:left="3" w:right="1"/>
              <w:jc w:val="left"/>
              <w:rPr>
                <w:rFonts w:ascii="宋体" w:hAnsi="宋体" w:cs="宋体" w:eastAsia="宋体" w:hint="default"/>
                <w:sz w:val="18"/>
                <w:szCs w:val="18"/>
              </w:rPr>
            </w:pPr>
            <w:r>
              <w:rPr>
                <w:rFonts w:ascii="宋体" w:hAnsi="宋体" w:cs="宋体" w:eastAsia="宋体" w:hint="default"/>
                <w:spacing w:val="14"/>
                <w:sz w:val="18"/>
                <w:szCs w:val="18"/>
              </w:rPr>
              <w:t>智慧社区运营</w:t>
            </w:r>
            <w:r>
              <w:rPr>
                <w:rFonts w:ascii="宋体" w:hAnsi="宋体" w:cs="宋体" w:eastAsia="宋体" w:hint="default"/>
                <w:sz w:val="18"/>
                <w:szCs w:val="18"/>
              </w:rPr>
              <w:t> 平台</w:t>
            </w: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316" w:lineRule="auto" w:before="3"/>
              <w:ind w:left="3" w:right="1"/>
              <w:jc w:val="left"/>
              <w:rPr>
                <w:rFonts w:ascii="宋体" w:hAnsi="宋体" w:cs="宋体" w:eastAsia="宋体" w:hint="default"/>
                <w:sz w:val="18"/>
                <w:szCs w:val="18"/>
              </w:rPr>
            </w:pPr>
            <w:r>
              <w:rPr>
                <w:rFonts w:ascii="宋体" w:hAnsi="宋体" w:cs="宋体" w:eastAsia="宋体" w:hint="default"/>
                <w:sz w:val="18"/>
                <w:szCs w:val="18"/>
              </w:rPr>
              <w:t>的现代化、智慧化生活环境，从而形成基于信息化、智能化社会管理与服务的一种新的管理形态</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的社区。通过构建社区实体服务门店，整合服务代理、生活超市、社区医疗保健、社区教育等资</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产品化</w:t>
            </w:r>
          </w:p>
        </w:tc>
        <w:tc>
          <w:tcPr>
            <w:tcW w:w="828"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12" w:hRule="exact"/>
        </w:trPr>
        <w:tc>
          <w:tcPr>
            <w:tcW w:w="528" w:type="dxa"/>
            <w:tcBorders>
              <w:top w:val="nil" w:sz="6" w:space="0" w:color="auto"/>
              <w:left w:val="single" w:sz="6" w:space="0" w:color="000000"/>
              <w:bottom w:val="nil" w:sz="6" w:space="0" w:color="auto"/>
              <w:right w:val="single" w:sz="6" w:space="0" w:color="000000"/>
            </w:tcBorders>
          </w:tcPr>
          <w:p>
            <w:pPr/>
          </w:p>
        </w:tc>
        <w:tc>
          <w:tcPr>
            <w:tcW w:w="1188" w:type="dxa"/>
            <w:tcBorders>
              <w:top w:val="nil" w:sz="6" w:space="0" w:color="auto"/>
              <w:left w:val="single" w:sz="6" w:space="0" w:color="000000"/>
              <w:bottom w:val="nil" w:sz="6" w:space="0" w:color="auto"/>
              <w:right w:val="single" w:sz="6" w:space="0" w:color="000000"/>
            </w:tcBorders>
          </w:tcPr>
          <w:p>
            <w:pP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left="3" w:right="0"/>
              <w:jc w:val="left"/>
              <w:rPr>
                <w:rFonts w:ascii="宋体" w:hAnsi="宋体" w:cs="宋体" w:eastAsia="宋体" w:hint="default"/>
                <w:sz w:val="18"/>
                <w:szCs w:val="18"/>
              </w:rPr>
            </w:pPr>
            <w:r>
              <w:rPr>
                <w:rFonts w:ascii="宋体" w:hAnsi="宋体" w:cs="宋体" w:eastAsia="宋体" w:hint="default"/>
                <w:sz w:val="18"/>
                <w:szCs w:val="18"/>
              </w:rPr>
              <w:t>源，与银行保险、电信金融、生鲜物流、医院药厂、学校、社区多方合作，满足社区居民日常生</w:t>
            </w:r>
          </w:p>
        </w:tc>
        <w:tc>
          <w:tcPr>
            <w:tcW w:w="876" w:type="dxa"/>
            <w:tcBorders>
              <w:top w:val="nil" w:sz="6" w:space="0" w:color="auto"/>
              <w:left w:val="single" w:sz="6" w:space="0" w:color="000000"/>
              <w:bottom w:val="nil" w:sz="6" w:space="0" w:color="auto"/>
              <w:right w:val="single" w:sz="6" w:space="0" w:color="000000"/>
            </w:tcBorders>
          </w:tcPr>
          <w:p>
            <w:pPr/>
          </w:p>
        </w:tc>
        <w:tc>
          <w:tcPr>
            <w:tcW w:w="828" w:type="dxa"/>
            <w:tcBorders>
              <w:top w:val="nil" w:sz="6" w:space="0" w:color="auto"/>
              <w:left w:val="single" w:sz="6" w:space="0" w:color="000000"/>
              <w:bottom w:val="nil" w:sz="6" w:space="0" w:color="auto"/>
              <w:right w:val="single" w:sz="6" w:space="0" w:color="000000"/>
            </w:tcBorders>
          </w:tcPr>
          <w:p>
            <w:pPr/>
          </w:p>
        </w:tc>
      </w:tr>
      <w:tr>
        <w:trPr>
          <w:trHeight w:val="369" w:hRule="exact"/>
        </w:trPr>
        <w:tc>
          <w:tcPr>
            <w:tcW w:w="528" w:type="dxa"/>
            <w:tcBorders>
              <w:top w:val="nil" w:sz="6" w:space="0" w:color="auto"/>
              <w:left w:val="single" w:sz="6" w:space="0" w:color="000000"/>
              <w:bottom w:val="single" w:sz="6" w:space="0" w:color="000000"/>
              <w:right w:val="single" w:sz="6" w:space="0" w:color="000000"/>
            </w:tcBorders>
          </w:tcPr>
          <w:p>
            <w:pPr/>
          </w:p>
        </w:tc>
        <w:tc>
          <w:tcPr>
            <w:tcW w:w="1188" w:type="dxa"/>
            <w:tcBorders>
              <w:top w:val="nil" w:sz="6" w:space="0" w:color="auto"/>
              <w:left w:val="single" w:sz="6" w:space="0" w:color="000000"/>
              <w:bottom w:val="single" w:sz="6" w:space="0" w:color="000000"/>
              <w:right w:val="single" w:sz="6" w:space="0" w:color="000000"/>
            </w:tcBorders>
          </w:tcPr>
          <w:p>
            <w:pPr/>
          </w:p>
        </w:tc>
        <w:tc>
          <w:tcPr>
            <w:tcW w:w="765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
              <w:ind w:left="3" w:right="0"/>
              <w:jc w:val="left"/>
              <w:rPr>
                <w:rFonts w:ascii="宋体" w:hAnsi="宋体" w:cs="宋体" w:eastAsia="宋体" w:hint="default"/>
                <w:sz w:val="18"/>
                <w:szCs w:val="18"/>
              </w:rPr>
            </w:pPr>
            <w:r>
              <w:rPr>
                <w:rFonts w:ascii="宋体" w:hAnsi="宋体" w:cs="宋体" w:eastAsia="宋体" w:hint="default"/>
                <w:sz w:val="18"/>
                <w:szCs w:val="18"/>
              </w:rPr>
              <w:t>活需求。目前该平台已服务于沈阳市沈北区，大规模的市场推广工作已经展开。</w:t>
            </w:r>
          </w:p>
        </w:tc>
        <w:tc>
          <w:tcPr>
            <w:tcW w:w="876" w:type="dxa"/>
            <w:tcBorders>
              <w:top w:val="nil" w:sz="6" w:space="0" w:color="auto"/>
              <w:left w:val="single" w:sz="6" w:space="0" w:color="000000"/>
              <w:bottom w:val="single" w:sz="6" w:space="0" w:color="000000"/>
              <w:right w:val="single" w:sz="6" w:space="0" w:color="000000"/>
            </w:tcBorders>
          </w:tcPr>
          <w:p>
            <w:pPr/>
          </w:p>
        </w:tc>
        <w:tc>
          <w:tcPr>
            <w:tcW w:w="828" w:type="dxa"/>
            <w:tcBorders>
              <w:top w:val="nil" w:sz="6" w:space="0" w:color="auto"/>
              <w:left w:val="single" w:sz="6" w:space="0" w:color="000000"/>
              <w:bottom w:val="single" w:sz="6" w:space="0" w:color="000000"/>
              <w:right w:val="single" w:sz="6" w:space="0" w:color="000000"/>
            </w:tcBorders>
          </w:tcPr>
          <w:p>
            <w:pPr/>
          </w:p>
        </w:tc>
      </w:tr>
      <w:tr>
        <w:trPr>
          <w:trHeight w:val="370"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4"/>
              <w:ind w:left="3" w:right="0"/>
              <w:jc w:val="left"/>
              <w:rPr>
                <w:rFonts w:ascii="宋体" w:hAnsi="宋体" w:cs="宋体" w:eastAsia="宋体" w:hint="default"/>
                <w:sz w:val="18"/>
                <w:szCs w:val="18"/>
              </w:rPr>
            </w:pPr>
            <w:r>
              <w:rPr>
                <w:rFonts w:ascii="宋体" w:hAnsi="宋体" w:cs="宋体" w:eastAsia="宋体" w:hint="default"/>
                <w:sz w:val="18"/>
                <w:szCs w:val="18"/>
              </w:rPr>
              <w:t>荣科民政社会救助服务平台主要是为全省各地市民政局搭建统一业务平台，实现底层数据共享，</w:t>
            </w:r>
          </w:p>
        </w:tc>
        <w:tc>
          <w:tcPr>
            <w:tcW w:w="876" w:type="dxa"/>
            <w:tcBorders>
              <w:top w:val="single" w:sz="6" w:space="0" w:color="000000"/>
              <w:left w:val="single" w:sz="6" w:space="0" w:color="000000"/>
              <w:bottom w:val="nil" w:sz="6" w:space="0" w:color="auto"/>
              <w:right w:val="single" w:sz="6" w:space="0" w:color="000000"/>
            </w:tcBorders>
          </w:tcPr>
          <w:p>
            <w:pPr/>
          </w:p>
        </w:tc>
        <w:tc>
          <w:tcPr>
            <w:tcW w:w="828"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w:t>
            </w:r>
          </w:p>
        </w:tc>
        <w:tc>
          <w:tcPr>
            <w:tcW w:w="1188" w:type="dxa"/>
            <w:tcBorders>
              <w:top w:val="nil" w:sz="6" w:space="0" w:color="auto"/>
              <w:left w:val="single" w:sz="6" w:space="0" w:color="000000"/>
              <w:bottom w:val="nil" w:sz="6" w:space="0" w:color="auto"/>
              <w:right w:val="single" w:sz="6" w:space="0" w:color="000000"/>
            </w:tcBorders>
          </w:tcPr>
          <w:p>
            <w:pPr>
              <w:pStyle w:val="TableParagraph"/>
              <w:spacing w:line="316" w:lineRule="auto" w:before="3"/>
              <w:ind w:left="3" w:right="1"/>
              <w:jc w:val="left"/>
              <w:rPr>
                <w:rFonts w:ascii="宋体" w:hAnsi="宋体" w:cs="宋体" w:eastAsia="宋体" w:hint="default"/>
                <w:sz w:val="18"/>
                <w:szCs w:val="18"/>
              </w:rPr>
            </w:pPr>
            <w:r>
              <w:rPr>
                <w:rFonts w:ascii="宋体" w:hAnsi="宋体" w:cs="宋体" w:eastAsia="宋体" w:hint="default"/>
                <w:spacing w:val="14"/>
                <w:sz w:val="18"/>
                <w:szCs w:val="18"/>
              </w:rPr>
              <w:t>民政社会救助</w:t>
            </w:r>
            <w:r>
              <w:rPr>
                <w:rFonts w:ascii="宋体" w:hAnsi="宋体" w:cs="宋体" w:eastAsia="宋体" w:hint="default"/>
                <w:sz w:val="18"/>
                <w:szCs w:val="18"/>
              </w:rPr>
              <w:t> 公众服务平台</w:t>
            </w: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316" w:lineRule="auto" w:before="3"/>
              <w:ind w:left="3" w:right="1"/>
              <w:jc w:val="left"/>
              <w:rPr>
                <w:rFonts w:ascii="宋体" w:hAnsi="宋体" w:cs="宋体" w:eastAsia="宋体" w:hint="default"/>
                <w:sz w:val="18"/>
                <w:szCs w:val="18"/>
              </w:rPr>
            </w:pPr>
            <w:r>
              <w:rPr>
                <w:rFonts w:ascii="宋体" w:hAnsi="宋体" w:cs="宋体" w:eastAsia="宋体" w:hint="default"/>
                <w:sz w:val="18"/>
                <w:szCs w:val="18"/>
              </w:rPr>
              <w:t>便于各级民政工作人员日常操作及市级领导全面了解救助信息统筹本市民政工作，同时满足与省</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民政厅和财政部门进行信息报送，全面提升市本级民政业务信息化建设。目前该平台已服务于沈</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产品化</w:t>
            </w:r>
          </w:p>
        </w:tc>
        <w:tc>
          <w:tcPr>
            <w:tcW w:w="828"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69" w:hRule="exact"/>
        </w:trPr>
        <w:tc>
          <w:tcPr>
            <w:tcW w:w="528" w:type="dxa"/>
            <w:tcBorders>
              <w:top w:val="nil" w:sz="6" w:space="0" w:color="auto"/>
              <w:left w:val="single" w:sz="6" w:space="0" w:color="000000"/>
              <w:bottom w:val="single" w:sz="6" w:space="0" w:color="000000"/>
              <w:right w:val="single" w:sz="6" w:space="0" w:color="000000"/>
            </w:tcBorders>
          </w:tcPr>
          <w:p>
            <w:pPr/>
          </w:p>
        </w:tc>
        <w:tc>
          <w:tcPr>
            <w:tcW w:w="1188" w:type="dxa"/>
            <w:tcBorders>
              <w:top w:val="nil" w:sz="6" w:space="0" w:color="auto"/>
              <w:left w:val="single" w:sz="6" w:space="0" w:color="000000"/>
              <w:bottom w:val="single" w:sz="6" w:space="0" w:color="000000"/>
              <w:right w:val="single" w:sz="6" w:space="0" w:color="000000"/>
            </w:tcBorders>
          </w:tcPr>
          <w:p>
            <w:pPr/>
          </w:p>
        </w:tc>
        <w:tc>
          <w:tcPr>
            <w:tcW w:w="765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
              <w:ind w:left="3" w:right="0"/>
              <w:jc w:val="left"/>
              <w:rPr>
                <w:rFonts w:ascii="宋体" w:hAnsi="宋体" w:cs="宋体" w:eastAsia="宋体" w:hint="default"/>
                <w:sz w:val="18"/>
                <w:szCs w:val="18"/>
              </w:rPr>
            </w:pPr>
            <w:r>
              <w:rPr>
                <w:rFonts w:ascii="宋体" w:hAnsi="宋体" w:cs="宋体" w:eastAsia="宋体" w:hint="default"/>
                <w:sz w:val="18"/>
                <w:szCs w:val="18"/>
              </w:rPr>
              <w:t>阳市皇姑区民政，下一步计划全面推广。</w:t>
            </w:r>
          </w:p>
        </w:tc>
        <w:tc>
          <w:tcPr>
            <w:tcW w:w="876" w:type="dxa"/>
            <w:tcBorders>
              <w:top w:val="nil" w:sz="6" w:space="0" w:color="auto"/>
              <w:left w:val="single" w:sz="6" w:space="0" w:color="000000"/>
              <w:bottom w:val="single" w:sz="6" w:space="0" w:color="000000"/>
              <w:right w:val="single" w:sz="6" w:space="0" w:color="000000"/>
            </w:tcBorders>
          </w:tcPr>
          <w:p>
            <w:pPr/>
          </w:p>
        </w:tc>
        <w:tc>
          <w:tcPr>
            <w:tcW w:w="828" w:type="dxa"/>
            <w:tcBorders>
              <w:top w:val="nil" w:sz="6" w:space="0" w:color="auto"/>
              <w:left w:val="single" w:sz="6" w:space="0" w:color="000000"/>
              <w:bottom w:val="single" w:sz="6" w:space="0" w:color="000000"/>
              <w:right w:val="single" w:sz="6" w:space="0" w:color="000000"/>
            </w:tcBorders>
          </w:tcPr>
          <w:p>
            <w:pPr/>
          </w:p>
        </w:tc>
      </w:tr>
      <w:tr>
        <w:trPr>
          <w:trHeight w:val="1051"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3" w:right="1"/>
              <w:jc w:val="left"/>
              <w:rPr>
                <w:rFonts w:ascii="宋体" w:hAnsi="宋体" w:cs="宋体" w:eastAsia="宋体" w:hint="default"/>
                <w:sz w:val="18"/>
                <w:szCs w:val="18"/>
              </w:rPr>
            </w:pPr>
            <w:r>
              <w:rPr>
                <w:rFonts w:ascii="宋体" w:hAnsi="宋体" w:cs="宋体" w:eastAsia="宋体" w:hint="default"/>
                <w:spacing w:val="14"/>
                <w:sz w:val="18"/>
                <w:szCs w:val="18"/>
              </w:rPr>
              <w:t>医院护理资源</w:t>
            </w:r>
            <w:r>
              <w:rPr>
                <w:rFonts w:ascii="宋体" w:hAnsi="宋体" w:cs="宋体" w:eastAsia="宋体" w:hint="default"/>
                <w:sz w:val="18"/>
                <w:szCs w:val="18"/>
              </w:rPr>
              <w:t> 规划平台</w:t>
            </w:r>
          </w:p>
        </w:tc>
        <w:tc>
          <w:tcPr>
            <w:tcW w:w="76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4"/>
              <w:ind w:left="3" w:right="1"/>
              <w:jc w:val="both"/>
              <w:rPr>
                <w:rFonts w:ascii="宋体" w:hAnsi="宋体" w:cs="宋体" w:eastAsia="宋体" w:hint="default"/>
                <w:sz w:val="18"/>
                <w:szCs w:val="18"/>
              </w:rPr>
            </w:pPr>
            <w:r>
              <w:rPr>
                <w:rFonts w:ascii="宋体" w:hAnsi="宋体" w:cs="宋体" w:eastAsia="宋体" w:hint="default"/>
                <w:sz w:val="18"/>
                <w:szCs w:val="18"/>
              </w:rPr>
              <w:t>完成护理产品线的扩充升级，新研发完成了临床护理系统，目前护理产品线涵盖管理及临床两部</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分，护理资源规划平台及临床护理系统。护理大数据分析已初见成效，系统已经在阜外心血管医</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院、南京总医院上线，得到了客户的高度好评；并启动了大规模的市场推广工作。</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产品升级</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049"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3" w:right="1"/>
              <w:jc w:val="left"/>
              <w:rPr>
                <w:rFonts w:ascii="宋体" w:hAnsi="宋体" w:cs="宋体" w:eastAsia="宋体" w:hint="default"/>
                <w:sz w:val="18"/>
                <w:szCs w:val="18"/>
              </w:rPr>
            </w:pPr>
            <w:r>
              <w:rPr>
                <w:rFonts w:ascii="宋体" w:hAnsi="宋体" w:cs="宋体" w:eastAsia="宋体" w:hint="default"/>
                <w:spacing w:val="14"/>
                <w:sz w:val="18"/>
                <w:szCs w:val="18"/>
              </w:rPr>
              <w:t>放疗网络信息</w:t>
            </w:r>
            <w:r>
              <w:rPr>
                <w:rFonts w:ascii="宋体" w:hAnsi="宋体" w:cs="宋体" w:eastAsia="宋体" w:hint="default"/>
                <w:sz w:val="18"/>
                <w:szCs w:val="18"/>
              </w:rPr>
              <w:t> 管理系统平台</w:t>
            </w:r>
          </w:p>
        </w:tc>
        <w:tc>
          <w:tcPr>
            <w:tcW w:w="76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3" w:right="1"/>
              <w:jc w:val="both"/>
              <w:rPr>
                <w:rFonts w:ascii="宋体" w:hAnsi="宋体" w:cs="宋体" w:eastAsia="宋体" w:hint="default"/>
                <w:sz w:val="18"/>
                <w:szCs w:val="18"/>
              </w:rPr>
            </w:pPr>
            <w:r>
              <w:rPr>
                <w:rFonts w:ascii="宋体" w:hAnsi="宋体" w:cs="宋体" w:eastAsia="宋体" w:hint="default"/>
                <w:sz w:val="18"/>
                <w:szCs w:val="18"/>
              </w:rPr>
              <w:t>该系统主要是改变放疗专业传统的设备与设备之间、设备与现有软件系统之间不互通模式，以患</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者治疗及随访为主线，建立放疗业务的完整的闭环流程，实现业务的信息化，智能化，可追溯化</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管理，实现医院信息化系统互联互通。有效提高放疗工作效率，减少医疗差错。</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产品推广</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bl>
    <w:p>
      <w:pPr>
        <w:spacing w:after="0" w:line="240" w:lineRule="auto"/>
        <w:jc w:val="center"/>
        <w:rPr>
          <w:rFonts w:ascii="宋体" w:hAnsi="宋体" w:cs="宋体" w:eastAsia="宋体" w:hint="default"/>
          <w:sz w:val="18"/>
          <w:szCs w:val="18"/>
        </w:rPr>
        <w:sectPr>
          <w:pgSz w:w="11910" w:h="16840"/>
          <w:pgMar w:header="566" w:footer="978" w:top="1360" w:bottom="1160" w:left="120" w:right="460"/>
        </w:sectPr>
      </w:pPr>
    </w:p>
    <w:tbl>
      <w:tblPr>
        <w:tblW w:w="0" w:type="auto"/>
        <w:jc w:val="left"/>
        <w:tblInd w:w="118" w:type="dxa"/>
        <w:tblLayout w:type="fixed"/>
        <w:tblCellMar>
          <w:top w:w="0" w:type="dxa"/>
          <w:left w:w="0" w:type="dxa"/>
          <w:bottom w:w="0" w:type="dxa"/>
          <w:right w:w="0" w:type="dxa"/>
        </w:tblCellMar>
        <w:tblLook w:val="01E0"/>
      </w:tblPr>
      <w:tblGrid>
        <w:gridCol w:w="528"/>
        <w:gridCol w:w="1188"/>
        <w:gridCol w:w="7656"/>
        <w:gridCol w:w="876"/>
        <w:gridCol w:w="828"/>
      </w:tblGrid>
      <w:tr>
        <w:trPr>
          <w:trHeight w:val="1051"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3" w:right="1"/>
              <w:jc w:val="left"/>
              <w:rPr>
                <w:rFonts w:ascii="宋体" w:hAnsi="宋体" w:cs="宋体" w:eastAsia="宋体" w:hint="default"/>
                <w:sz w:val="18"/>
                <w:szCs w:val="18"/>
              </w:rPr>
            </w:pPr>
            <w:r>
              <w:rPr>
                <w:rFonts w:ascii="宋体" w:hAnsi="宋体" w:cs="宋体" w:eastAsia="宋体" w:hint="default"/>
                <w:spacing w:val="14"/>
                <w:sz w:val="18"/>
                <w:szCs w:val="18"/>
              </w:rPr>
              <w:t>临床智能护理</w:t>
            </w:r>
            <w:r>
              <w:rPr>
                <w:rFonts w:ascii="宋体" w:hAnsi="宋体" w:cs="宋体" w:eastAsia="宋体" w:hint="default"/>
                <w:sz w:val="18"/>
                <w:szCs w:val="18"/>
              </w:rPr>
              <w:t> 系统</w:t>
            </w:r>
          </w:p>
        </w:tc>
        <w:tc>
          <w:tcPr>
            <w:tcW w:w="76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
              <w:jc w:val="both"/>
              <w:rPr>
                <w:rFonts w:ascii="宋体" w:hAnsi="宋体" w:cs="宋体" w:eastAsia="宋体" w:hint="default"/>
                <w:sz w:val="18"/>
                <w:szCs w:val="18"/>
              </w:rPr>
            </w:pPr>
            <w:r>
              <w:rPr>
                <w:rFonts w:ascii="宋体" w:hAnsi="宋体" w:cs="宋体" w:eastAsia="宋体" w:hint="default"/>
                <w:sz w:val="18"/>
                <w:szCs w:val="18"/>
              </w:rPr>
              <w:t>该护理系统作为公司护理产品线的补充产品，重点倾向于临床护理业务管理，从患者信息、生命</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体征采集、医嘱执行、护理评估、护理预警、护理措施等多方向辅助护士临床工作，减少医疗差</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错。</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68"/>
              <w:jc w:val="right"/>
              <w:rPr>
                <w:rFonts w:ascii="宋体" w:hAnsi="宋体" w:cs="宋体" w:eastAsia="宋体" w:hint="default"/>
                <w:sz w:val="18"/>
                <w:szCs w:val="18"/>
              </w:rPr>
            </w:pPr>
            <w:r>
              <w:rPr>
                <w:rFonts w:ascii="宋体" w:hAnsi="宋体" w:cs="宋体" w:eastAsia="宋体" w:hint="default"/>
                <w:sz w:val="18"/>
                <w:szCs w:val="18"/>
              </w:rPr>
              <w:t>产品升级</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363"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38"/>
              <w:ind w:left="3" w:right="1"/>
              <w:jc w:val="left"/>
              <w:rPr>
                <w:rFonts w:ascii="宋体" w:hAnsi="宋体" w:cs="宋体" w:eastAsia="宋体" w:hint="default"/>
                <w:sz w:val="18"/>
                <w:szCs w:val="18"/>
              </w:rPr>
            </w:pPr>
            <w:r>
              <w:rPr>
                <w:rFonts w:ascii="宋体" w:hAnsi="宋体" w:cs="宋体" w:eastAsia="宋体" w:hint="default"/>
                <w:sz w:val="18"/>
                <w:szCs w:val="18"/>
              </w:rPr>
              <w:t>企</w:t>
            </w:r>
            <w:r>
              <w:rPr>
                <w:rFonts w:ascii="宋体" w:hAnsi="宋体" w:cs="宋体" w:eastAsia="宋体" w:hint="default"/>
                <w:spacing w:val="-63"/>
                <w:sz w:val="18"/>
                <w:szCs w:val="18"/>
              </w:rPr>
              <w:t> </w:t>
            </w:r>
            <w:r>
              <w:rPr>
                <w:rFonts w:ascii="宋体" w:hAnsi="宋体" w:cs="宋体" w:eastAsia="宋体" w:hint="default"/>
                <w:sz w:val="18"/>
                <w:szCs w:val="18"/>
              </w:rPr>
              <w:t>业</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系</w:t>
            </w:r>
            <w:r>
              <w:rPr>
                <w:rFonts w:ascii="宋体" w:hAnsi="宋体" w:cs="宋体" w:eastAsia="宋体" w:hint="default"/>
                <w:spacing w:val="-63"/>
                <w:sz w:val="18"/>
                <w:szCs w:val="18"/>
              </w:rPr>
              <w:t> </w:t>
            </w:r>
            <w:r>
              <w:rPr>
                <w:rFonts w:ascii="宋体" w:hAnsi="宋体" w:cs="宋体" w:eastAsia="宋体" w:hint="default"/>
                <w:sz w:val="18"/>
                <w:szCs w:val="18"/>
              </w:rPr>
              <w:t>统</w:t>
            </w:r>
            <w:r>
              <w:rPr>
                <w:rFonts w:ascii="宋体" w:hAnsi="宋体" w:cs="宋体" w:eastAsia="宋体" w:hint="default"/>
                <w:sz w:val="18"/>
                <w:szCs w:val="18"/>
              </w:rPr>
              <w:t> 改造</w:t>
            </w:r>
          </w:p>
        </w:tc>
        <w:tc>
          <w:tcPr>
            <w:tcW w:w="765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2"/>
              <w:ind w:left="3" w:right="-2"/>
              <w:jc w:val="both"/>
              <w:rPr>
                <w:rFonts w:ascii="宋体" w:hAnsi="宋体" w:cs="宋体" w:eastAsia="宋体" w:hint="default"/>
                <w:sz w:val="18"/>
                <w:szCs w:val="18"/>
              </w:rPr>
            </w:pPr>
            <w:r>
              <w:rPr>
                <w:rFonts w:ascii="宋体" w:hAnsi="宋体" w:cs="宋体" w:eastAsia="宋体" w:hint="default"/>
                <w:spacing w:val="-2"/>
                <w:sz w:val="18"/>
                <w:szCs w:val="18"/>
              </w:rPr>
              <w:t>针对公司自主研发的自用</w:t>
            </w:r>
            <w:r>
              <w:rPr>
                <w:rFonts w:ascii="Times New Roman" w:hAnsi="Times New Roman" w:cs="Times New Roman" w:eastAsia="Times New Roman" w:hint="default"/>
                <w:spacing w:val="-2"/>
                <w:sz w:val="18"/>
                <w:szCs w:val="18"/>
              </w:rPr>
              <w:t>ERP</w:t>
            </w:r>
            <w:r>
              <w:rPr>
                <w:rFonts w:ascii="宋体" w:hAnsi="宋体" w:cs="宋体" w:eastAsia="宋体" w:hint="default"/>
                <w:spacing w:val="-2"/>
                <w:sz w:val="18"/>
                <w:szCs w:val="18"/>
              </w:rPr>
              <w:t>系统进行改造，技术架构及整体功能上进行全面升级，以达到公司快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速发展过程中对</w:t>
            </w:r>
            <w:r>
              <w:rPr>
                <w:rFonts w:ascii="Times New Roman" w:hAnsi="Times New Roman" w:cs="Times New Roman" w:eastAsia="Times New Roman" w:hint="default"/>
                <w:sz w:val="18"/>
                <w:szCs w:val="18"/>
              </w:rPr>
              <w:t>ERP</w:t>
            </w:r>
            <w:r>
              <w:rPr>
                <w:rFonts w:ascii="宋体" w:hAnsi="宋体" w:cs="宋体" w:eastAsia="宋体" w:hint="default"/>
                <w:sz w:val="18"/>
                <w:szCs w:val="18"/>
              </w:rPr>
              <w:t>系统的应用期望。从底层</w:t>
            </w:r>
            <w:r>
              <w:rPr>
                <w:rFonts w:ascii="Times New Roman" w:hAnsi="Times New Roman" w:cs="Times New Roman" w:eastAsia="Times New Roman" w:hint="default"/>
                <w:sz w:val="18"/>
                <w:szCs w:val="18"/>
              </w:rPr>
              <w:t>oracle</w:t>
            </w:r>
            <w:r>
              <w:rPr>
                <w:rFonts w:ascii="宋体" w:hAnsi="宋体" w:cs="宋体" w:eastAsia="宋体" w:hint="default"/>
                <w:sz w:val="18"/>
                <w:szCs w:val="18"/>
              </w:rPr>
              <w:t>方面进行优化，提高</w:t>
            </w:r>
            <w:r>
              <w:rPr>
                <w:rFonts w:ascii="Times New Roman" w:hAnsi="Times New Roman" w:cs="Times New Roman" w:eastAsia="Times New Roman" w:hint="default"/>
                <w:sz w:val="18"/>
                <w:szCs w:val="18"/>
              </w:rPr>
              <w:t>ERP</w:t>
            </w:r>
            <w:r>
              <w:rPr>
                <w:rFonts w:ascii="宋体" w:hAnsi="宋体" w:cs="宋体" w:eastAsia="宋体" w:hint="default"/>
                <w:sz w:val="18"/>
                <w:szCs w:val="18"/>
              </w:rPr>
              <w:t>系统中各功能的访问</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速度。通过参数快速定位前端注入等问题，增加用户操作监控，对频繁操作敏感方法进行监控，</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增强了系统安全性。新开发了手机端</w:t>
            </w:r>
            <w:r>
              <w:rPr>
                <w:rFonts w:ascii="Times New Roman" w:hAnsi="Times New Roman" w:cs="Times New Roman" w:eastAsia="Times New Roman" w:hint="default"/>
                <w:sz w:val="18"/>
                <w:szCs w:val="18"/>
              </w:rPr>
              <w:t>APP</w:t>
            </w:r>
            <w:r>
              <w:rPr>
                <w:rFonts w:ascii="宋体" w:hAnsi="宋体" w:cs="宋体" w:eastAsia="宋体" w:hint="default"/>
                <w:sz w:val="18"/>
                <w:szCs w:val="18"/>
              </w:rPr>
              <w:t>版</w:t>
            </w:r>
            <w:r>
              <w:rPr>
                <w:rFonts w:ascii="Times New Roman" w:hAnsi="Times New Roman" w:cs="Times New Roman" w:eastAsia="Times New Roman" w:hint="default"/>
                <w:sz w:val="18"/>
                <w:szCs w:val="18"/>
              </w:rPr>
              <w:t>ERP</w:t>
            </w:r>
            <w:r>
              <w:rPr>
                <w:rFonts w:ascii="宋体" w:hAnsi="宋体" w:cs="宋体" w:eastAsia="宋体" w:hint="default"/>
                <w:sz w:val="18"/>
                <w:szCs w:val="18"/>
              </w:rPr>
              <w:t>系统，方便移动办公。</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产品推广</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675"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智慧电商平台</w:t>
            </w:r>
          </w:p>
        </w:tc>
        <w:tc>
          <w:tcPr>
            <w:tcW w:w="765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3" w:right="1"/>
              <w:jc w:val="both"/>
              <w:rPr>
                <w:rFonts w:ascii="宋体" w:hAnsi="宋体" w:cs="宋体" w:eastAsia="宋体" w:hint="default"/>
                <w:sz w:val="18"/>
                <w:szCs w:val="18"/>
              </w:rPr>
            </w:pPr>
            <w:r>
              <w:rPr>
                <w:rFonts w:ascii="宋体" w:hAnsi="宋体" w:cs="宋体" w:eastAsia="宋体" w:hint="default"/>
                <w:spacing w:val="3"/>
                <w:sz w:val="18"/>
                <w:szCs w:val="18"/>
              </w:rPr>
              <w:t>智慧电商平台是可为行业客户打造一套线下运营体系和线上电商推广相结合的</w:t>
            </w:r>
            <w:r>
              <w:rPr>
                <w:rFonts w:ascii="Times New Roman" w:hAnsi="Times New Roman" w:cs="Times New Roman" w:eastAsia="Times New Roman" w:hint="default"/>
                <w:spacing w:val="3"/>
                <w:sz w:val="18"/>
                <w:szCs w:val="18"/>
              </w:rPr>
              <w:t>B2B2C+O2O</w:t>
            </w:r>
            <w:r>
              <w:rPr>
                <w:rFonts w:ascii="宋体" w:hAnsi="宋体" w:cs="宋体" w:eastAsia="宋体" w:hint="default"/>
                <w:spacing w:val="3"/>
                <w:sz w:val="18"/>
                <w:szCs w:val="18"/>
              </w:rPr>
              <w:t>模式</w:t>
            </w:r>
            <w:r>
              <w:rPr>
                <w:rFonts w:ascii="宋体" w:hAnsi="宋体" w:cs="宋体" w:eastAsia="宋体" w:hint="default"/>
                <w:sz w:val="18"/>
                <w:szCs w:val="18"/>
              </w:rPr>
              <w:t> 的电商平台。平台可提供线上交易，线下体验的全新</w:t>
            </w:r>
            <w:r>
              <w:rPr>
                <w:rFonts w:ascii="Times New Roman" w:hAnsi="Times New Roman" w:cs="Times New Roman" w:eastAsia="Times New Roman" w:hint="default"/>
                <w:sz w:val="18"/>
                <w:szCs w:val="18"/>
              </w:rPr>
              <w:t>O2O</w:t>
            </w:r>
            <w:r>
              <w:rPr>
                <w:rFonts w:ascii="宋体" w:hAnsi="宋体" w:cs="宋体" w:eastAsia="宋体" w:hint="default"/>
                <w:sz w:val="18"/>
                <w:szCs w:val="18"/>
              </w:rPr>
              <w:t>模式，功能包括：二维码支付、消息推</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送、手机导航、室内定位、用户大数据分析等功能，并提供完整的信息化营销、云购物车、订单</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履约、供应商管理、消费者运营、结算等功能。目前该平台已服务于铁法煤业集团铁强环保材料</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股份有限公司，下一步计划全面推广。</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产品推广</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69"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智慧城市运营指挥平台是实现政府协调指挥各相关部门，处理特殊、突发、紧急事件和向公众提</w:t>
            </w:r>
          </w:p>
        </w:tc>
        <w:tc>
          <w:tcPr>
            <w:tcW w:w="876" w:type="dxa"/>
            <w:tcBorders>
              <w:top w:val="single" w:sz="6" w:space="0" w:color="000000"/>
              <w:left w:val="single" w:sz="6" w:space="0" w:color="000000"/>
              <w:bottom w:val="nil" w:sz="6" w:space="0" w:color="auto"/>
              <w:right w:val="single" w:sz="6" w:space="0" w:color="000000"/>
            </w:tcBorders>
          </w:tcPr>
          <w:p>
            <w:pPr/>
          </w:p>
        </w:tc>
        <w:tc>
          <w:tcPr>
            <w:tcW w:w="828"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528" w:type="dxa"/>
            <w:tcBorders>
              <w:top w:val="nil" w:sz="6" w:space="0" w:color="auto"/>
              <w:left w:val="single" w:sz="6" w:space="0" w:color="000000"/>
              <w:bottom w:val="nil" w:sz="6" w:space="0" w:color="auto"/>
              <w:right w:val="single" w:sz="6" w:space="0" w:color="000000"/>
            </w:tcBorders>
          </w:tcPr>
          <w:p>
            <w:pPr/>
          </w:p>
        </w:tc>
        <w:tc>
          <w:tcPr>
            <w:tcW w:w="1188" w:type="dxa"/>
            <w:tcBorders>
              <w:top w:val="nil" w:sz="6" w:space="0" w:color="auto"/>
              <w:left w:val="single" w:sz="6" w:space="0" w:color="000000"/>
              <w:bottom w:val="nil" w:sz="6" w:space="0" w:color="auto"/>
              <w:right w:val="single" w:sz="6" w:space="0" w:color="000000"/>
            </w:tcBorders>
          </w:tcPr>
          <w:p>
            <w:pP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供社会紧急救助服务的联合行动系统。指挥中心整合政府各委办局相关数据资源，形成统一数据</w:t>
            </w:r>
          </w:p>
        </w:tc>
        <w:tc>
          <w:tcPr>
            <w:tcW w:w="876" w:type="dxa"/>
            <w:tcBorders>
              <w:top w:val="nil" w:sz="6" w:space="0" w:color="auto"/>
              <w:left w:val="single" w:sz="6" w:space="0" w:color="000000"/>
              <w:bottom w:val="nil" w:sz="6" w:space="0" w:color="auto"/>
              <w:right w:val="single" w:sz="6" w:space="0" w:color="000000"/>
            </w:tcBorders>
          </w:tcPr>
          <w:p>
            <w:pPr/>
          </w:p>
        </w:tc>
        <w:tc>
          <w:tcPr>
            <w:tcW w:w="82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28" w:type="dxa"/>
            <w:tcBorders>
              <w:top w:val="nil" w:sz="6" w:space="0" w:color="auto"/>
              <w:left w:val="single" w:sz="6" w:space="0" w:color="000000"/>
              <w:bottom w:val="nil" w:sz="6" w:space="0" w:color="auto"/>
              <w:right w:val="single" w:sz="6" w:space="0" w:color="000000"/>
            </w:tcBorders>
          </w:tcPr>
          <w:p>
            <w:pPr/>
          </w:p>
        </w:tc>
        <w:tc>
          <w:tcPr>
            <w:tcW w:w="1188" w:type="dxa"/>
            <w:tcBorders>
              <w:top w:val="nil" w:sz="6" w:space="0" w:color="auto"/>
              <w:left w:val="single" w:sz="6" w:space="0" w:color="000000"/>
              <w:bottom w:val="nil" w:sz="6" w:space="0" w:color="auto"/>
              <w:right w:val="single" w:sz="6" w:space="0" w:color="000000"/>
            </w:tcBorders>
          </w:tcPr>
          <w:p>
            <w:pP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平台，以此进行城市指标的综合分析，形成预警机制；并通过前端全方位的感知体系建设（信息</w:t>
            </w:r>
          </w:p>
        </w:tc>
        <w:tc>
          <w:tcPr>
            <w:tcW w:w="876" w:type="dxa"/>
            <w:tcBorders>
              <w:top w:val="nil" w:sz="6" w:space="0" w:color="auto"/>
              <w:left w:val="single" w:sz="6" w:space="0" w:color="000000"/>
              <w:bottom w:val="nil" w:sz="6" w:space="0" w:color="auto"/>
              <w:right w:val="single" w:sz="6" w:space="0" w:color="000000"/>
            </w:tcBorders>
          </w:tcPr>
          <w:p>
            <w:pPr/>
          </w:p>
        </w:tc>
        <w:tc>
          <w:tcPr>
            <w:tcW w:w="828"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w:t>
            </w:r>
          </w:p>
        </w:tc>
        <w:tc>
          <w:tcPr>
            <w:tcW w:w="118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3" w:right="1"/>
              <w:jc w:val="left"/>
              <w:rPr>
                <w:rFonts w:ascii="宋体" w:hAnsi="宋体" w:cs="宋体" w:eastAsia="宋体" w:hint="default"/>
                <w:sz w:val="18"/>
                <w:szCs w:val="18"/>
              </w:rPr>
            </w:pPr>
            <w:r>
              <w:rPr>
                <w:rFonts w:ascii="宋体" w:hAnsi="宋体" w:cs="宋体" w:eastAsia="宋体" w:hint="default"/>
                <w:spacing w:val="14"/>
                <w:sz w:val="18"/>
                <w:szCs w:val="18"/>
              </w:rPr>
              <w:t>智慧城市运营</w:t>
            </w:r>
            <w:r>
              <w:rPr>
                <w:rFonts w:ascii="宋体" w:hAnsi="宋体" w:cs="宋体" w:eastAsia="宋体" w:hint="default"/>
                <w:sz w:val="18"/>
                <w:szCs w:val="18"/>
              </w:rPr>
              <w:t> 指挥平台</w:t>
            </w: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3" w:right="1"/>
              <w:jc w:val="left"/>
              <w:rPr>
                <w:rFonts w:ascii="宋体" w:hAnsi="宋体" w:cs="宋体" w:eastAsia="宋体" w:hint="default"/>
                <w:sz w:val="18"/>
                <w:szCs w:val="18"/>
              </w:rPr>
            </w:pPr>
            <w:r>
              <w:rPr>
                <w:rFonts w:ascii="宋体" w:hAnsi="宋体" w:cs="宋体" w:eastAsia="宋体" w:hint="default"/>
                <w:sz w:val="18"/>
                <w:szCs w:val="18"/>
              </w:rPr>
              <w:t>采集）：包括电子监控、传感器、雷达、无人机、光电跟踪仪、车载设备、移动设备等，并通过</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智能分析平台自动识别采集到的信息应急业务的接处警平台，形成预警、报警信息。指挥中心依</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产品推广</w:t>
            </w:r>
          </w:p>
        </w:tc>
        <w:tc>
          <w:tcPr>
            <w:tcW w:w="82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12" w:hRule="exact"/>
        </w:trPr>
        <w:tc>
          <w:tcPr>
            <w:tcW w:w="528" w:type="dxa"/>
            <w:tcBorders>
              <w:top w:val="nil" w:sz="6" w:space="0" w:color="auto"/>
              <w:left w:val="single" w:sz="6" w:space="0" w:color="000000"/>
              <w:bottom w:val="nil" w:sz="6" w:space="0" w:color="auto"/>
              <w:right w:val="single" w:sz="6" w:space="0" w:color="000000"/>
            </w:tcBorders>
          </w:tcPr>
          <w:p>
            <w:pPr/>
          </w:p>
        </w:tc>
        <w:tc>
          <w:tcPr>
            <w:tcW w:w="1188" w:type="dxa"/>
            <w:tcBorders>
              <w:top w:val="nil" w:sz="6" w:space="0" w:color="auto"/>
              <w:left w:val="single" w:sz="6" w:space="0" w:color="000000"/>
              <w:bottom w:val="nil" w:sz="6" w:space="0" w:color="auto"/>
              <w:right w:val="single" w:sz="6" w:space="0" w:color="000000"/>
            </w:tcBorders>
          </w:tcPr>
          <w:p>
            <w:pP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据相关信息实现跨地区、跨部门、跨警区以及不同警种之间的统一指挥协调，快速反应、统一应</w:t>
            </w:r>
          </w:p>
        </w:tc>
        <w:tc>
          <w:tcPr>
            <w:tcW w:w="876" w:type="dxa"/>
            <w:tcBorders>
              <w:top w:val="nil" w:sz="6" w:space="0" w:color="auto"/>
              <w:left w:val="single" w:sz="6" w:space="0" w:color="000000"/>
              <w:bottom w:val="nil" w:sz="6" w:space="0" w:color="auto"/>
              <w:right w:val="single" w:sz="6" w:space="0" w:color="000000"/>
            </w:tcBorders>
          </w:tcPr>
          <w:p>
            <w:pPr/>
          </w:p>
        </w:tc>
        <w:tc>
          <w:tcPr>
            <w:tcW w:w="82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28" w:type="dxa"/>
            <w:tcBorders>
              <w:top w:val="nil" w:sz="6" w:space="0" w:color="auto"/>
              <w:left w:val="single" w:sz="6" w:space="0" w:color="000000"/>
              <w:bottom w:val="nil" w:sz="6" w:space="0" w:color="auto"/>
              <w:right w:val="single" w:sz="6" w:space="0" w:color="000000"/>
            </w:tcBorders>
          </w:tcPr>
          <w:p>
            <w:pPr/>
          </w:p>
        </w:tc>
        <w:tc>
          <w:tcPr>
            <w:tcW w:w="1188" w:type="dxa"/>
            <w:tcBorders>
              <w:top w:val="nil" w:sz="6" w:space="0" w:color="auto"/>
              <w:left w:val="single" w:sz="6" w:space="0" w:color="000000"/>
              <w:bottom w:val="nil" w:sz="6" w:space="0" w:color="auto"/>
              <w:right w:val="single" w:sz="6" w:space="0" w:color="000000"/>
            </w:tcBorders>
          </w:tcPr>
          <w:p>
            <w:pP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急、联合行动，真正实现社会服务的联动，有效应对突发性公共事件，并全面掌握城市运行状态</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p>
        </w:tc>
        <w:tc>
          <w:tcPr>
            <w:tcW w:w="828" w:type="dxa"/>
            <w:tcBorders>
              <w:top w:val="nil" w:sz="6" w:space="0" w:color="auto"/>
              <w:left w:val="single" w:sz="6" w:space="0" w:color="000000"/>
              <w:bottom w:val="nil" w:sz="6" w:space="0" w:color="auto"/>
              <w:right w:val="single" w:sz="6" w:space="0" w:color="000000"/>
            </w:tcBorders>
          </w:tcPr>
          <w:p>
            <w:pPr/>
          </w:p>
        </w:tc>
      </w:tr>
      <w:tr>
        <w:trPr>
          <w:trHeight w:val="370" w:hRule="exact"/>
        </w:trPr>
        <w:tc>
          <w:tcPr>
            <w:tcW w:w="528" w:type="dxa"/>
            <w:tcBorders>
              <w:top w:val="nil" w:sz="6" w:space="0" w:color="auto"/>
              <w:left w:val="single" w:sz="6" w:space="0" w:color="000000"/>
              <w:bottom w:val="single" w:sz="6" w:space="0" w:color="000000"/>
              <w:right w:val="single" w:sz="6" w:space="0" w:color="000000"/>
            </w:tcBorders>
          </w:tcPr>
          <w:p>
            <w:pPr/>
          </w:p>
        </w:tc>
        <w:tc>
          <w:tcPr>
            <w:tcW w:w="1188" w:type="dxa"/>
            <w:tcBorders>
              <w:top w:val="nil" w:sz="6" w:space="0" w:color="auto"/>
              <w:left w:val="single" w:sz="6" w:space="0" w:color="000000"/>
              <w:bottom w:val="single" w:sz="6" w:space="0" w:color="000000"/>
              <w:right w:val="single" w:sz="6" w:space="0" w:color="000000"/>
            </w:tcBorders>
          </w:tcPr>
          <w:p>
            <w:pPr/>
          </w:p>
        </w:tc>
        <w:tc>
          <w:tcPr>
            <w:tcW w:w="765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目前该平台已服务于沈阳市政府，下一步计划全面推广。</w:t>
            </w:r>
          </w:p>
        </w:tc>
        <w:tc>
          <w:tcPr>
            <w:tcW w:w="876" w:type="dxa"/>
            <w:tcBorders>
              <w:top w:val="nil" w:sz="6" w:space="0" w:color="auto"/>
              <w:left w:val="single" w:sz="6" w:space="0" w:color="000000"/>
              <w:bottom w:val="single" w:sz="6" w:space="0" w:color="000000"/>
              <w:right w:val="single" w:sz="6" w:space="0" w:color="000000"/>
            </w:tcBorders>
          </w:tcPr>
          <w:p>
            <w:pPr/>
          </w:p>
        </w:tc>
        <w:tc>
          <w:tcPr>
            <w:tcW w:w="828" w:type="dxa"/>
            <w:tcBorders>
              <w:top w:val="nil" w:sz="6" w:space="0" w:color="auto"/>
              <w:left w:val="single" w:sz="6" w:space="0" w:color="000000"/>
              <w:bottom w:val="single" w:sz="6" w:space="0" w:color="000000"/>
              <w:right w:val="single" w:sz="6" w:space="0" w:color="000000"/>
            </w:tcBorders>
          </w:tcPr>
          <w:p>
            <w:pPr/>
          </w:p>
        </w:tc>
      </w:tr>
      <w:tr>
        <w:trPr>
          <w:trHeight w:val="369"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pacing w:val="14"/>
                <w:sz w:val="18"/>
                <w:szCs w:val="18"/>
              </w:rPr>
              <w:t>基于移动互联</w:t>
            </w: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以政府、医疗、社保、教育、企业服务等民生服务子平台为基础，建立行政服务与公共服务平台</w:t>
            </w:r>
          </w:p>
        </w:tc>
        <w:tc>
          <w:tcPr>
            <w:tcW w:w="8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82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14</w:t>
            </w:r>
          </w:p>
        </w:tc>
        <w:tc>
          <w:tcPr>
            <w:tcW w:w="11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14"/>
                <w:sz w:val="18"/>
                <w:szCs w:val="18"/>
              </w:rPr>
              <w:t>网的智慧民生</w:t>
            </w: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推进智能终端与服务一体化解决方案。通过各行业系统过滤、整合、统一形成智慧民生系统。</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68"/>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65" w:hRule="exact"/>
        </w:trPr>
        <w:tc>
          <w:tcPr>
            <w:tcW w:w="528" w:type="dxa"/>
            <w:tcBorders>
              <w:top w:val="nil" w:sz="6" w:space="0" w:color="auto"/>
              <w:left w:val="single" w:sz="6" w:space="0" w:color="000000"/>
              <w:bottom w:val="single" w:sz="6" w:space="0" w:color="000000"/>
              <w:right w:val="single" w:sz="6" w:space="0" w:color="000000"/>
            </w:tcBorders>
          </w:tcPr>
          <w:p>
            <w:pPr/>
          </w:p>
        </w:tc>
        <w:tc>
          <w:tcPr>
            <w:tcW w:w="118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7656" w:type="dxa"/>
            <w:tcBorders>
              <w:top w:val="nil" w:sz="6" w:space="0" w:color="auto"/>
              <w:left w:val="single" w:sz="6" w:space="0" w:color="000000"/>
              <w:bottom w:val="single" w:sz="6" w:space="0" w:color="000000"/>
              <w:right w:val="single" w:sz="6" w:space="0" w:color="000000"/>
            </w:tcBorders>
          </w:tcPr>
          <w:p>
            <w:pPr/>
          </w:p>
        </w:tc>
        <w:tc>
          <w:tcPr>
            <w:tcW w:w="876" w:type="dxa"/>
            <w:tcBorders>
              <w:top w:val="nil" w:sz="6" w:space="0" w:color="auto"/>
              <w:left w:val="single" w:sz="6" w:space="0" w:color="000000"/>
              <w:bottom w:val="single" w:sz="6" w:space="0" w:color="000000"/>
              <w:right w:val="single" w:sz="6" w:space="0" w:color="000000"/>
            </w:tcBorders>
          </w:tcPr>
          <w:p>
            <w:pPr/>
          </w:p>
        </w:tc>
        <w:tc>
          <w:tcPr>
            <w:tcW w:w="828" w:type="dxa"/>
            <w:tcBorders>
              <w:top w:val="nil" w:sz="6" w:space="0" w:color="auto"/>
              <w:left w:val="single" w:sz="6" w:space="0" w:color="000000"/>
              <w:bottom w:val="single" w:sz="6" w:space="0" w:color="000000"/>
              <w:right w:val="single" w:sz="6" w:space="0" w:color="000000"/>
            </w:tcBorders>
          </w:tcPr>
          <w:p>
            <w:pPr/>
          </w:p>
        </w:tc>
      </w:tr>
      <w:tr>
        <w:trPr>
          <w:trHeight w:val="614"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pacing w:val="14"/>
                <w:sz w:val="18"/>
                <w:szCs w:val="18"/>
              </w:rPr>
              <w:t>基于移动互联</w:t>
            </w: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300" w:lineRule="auto" w:before="60"/>
              <w:ind w:left="3" w:right="1"/>
              <w:jc w:val="left"/>
              <w:rPr>
                <w:rFonts w:ascii="宋体" w:hAnsi="宋体" w:cs="宋体" w:eastAsia="宋体" w:hint="default"/>
                <w:sz w:val="18"/>
                <w:szCs w:val="18"/>
              </w:rPr>
            </w:pPr>
            <w:r>
              <w:rPr>
                <w:rFonts w:ascii="宋体" w:hAnsi="宋体" w:cs="宋体" w:eastAsia="宋体" w:hint="default"/>
                <w:sz w:val="18"/>
                <w:szCs w:val="18"/>
              </w:rPr>
              <w:t>社会保障卡金融功能的应用推行和创新是人力资源社会保障管理模式和金融服务模式的重要举措</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充分发挥合作银行服务优势，直接对参保人进行各类缴费和待遇发放，全程系统数据记录，确保</w:t>
            </w:r>
          </w:p>
        </w:tc>
        <w:tc>
          <w:tcPr>
            <w:tcW w:w="876" w:type="dxa"/>
            <w:tcBorders>
              <w:top w:val="single" w:sz="6" w:space="0" w:color="000000"/>
              <w:left w:val="single" w:sz="6" w:space="0" w:color="000000"/>
              <w:bottom w:val="nil" w:sz="6" w:space="0" w:color="auto"/>
              <w:right w:val="single" w:sz="6" w:space="0" w:color="000000"/>
            </w:tcBorders>
          </w:tcPr>
          <w:p>
            <w:pPr/>
          </w:p>
        </w:tc>
        <w:tc>
          <w:tcPr>
            <w:tcW w:w="828" w:type="dxa"/>
            <w:tcBorders>
              <w:top w:val="single" w:sz="6" w:space="0" w:color="000000"/>
              <w:left w:val="single" w:sz="6" w:space="0" w:color="000000"/>
              <w:bottom w:val="nil" w:sz="6" w:space="0" w:color="auto"/>
              <w:right w:val="single" w:sz="6" w:space="0" w:color="000000"/>
            </w:tcBorders>
          </w:tcPr>
          <w:p>
            <w:pPr/>
          </w:p>
        </w:tc>
      </w:tr>
      <w:tr>
        <w:trPr>
          <w:trHeight w:val="789" w:hRule="exact"/>
        </w:trPr>
        <w:tc>
          <w:tcPr>
            <w:tcW w:w="528" w:type="dxa"/>
            <w:tcBorders>
              <w:top w:val="nil" w:sz="6" w:space="0" w:color="auto"/>
              <w:left w:val="single" w:sz="6" w:space="0" w:color="000000"/>
              <w:bottom w:val="single" w:sz="6" w:space="0" w:color="000000"/>
              <w:right w:val="single" w:sz="6" w:space="0" w:color="000000"/>
            </w:tcBorders>
          </w:tcPr>
          <w:p>
            <w:pPr>
              <w:pStyle w:val="TableParagraph"/>
              <w:spacing w:line="190" w:lineRule="exact"/>
              <w:ind w:left="1" w:right="0"/>
              <w:jc w:val="center"/>
              <w:rPr>
                <w:rFonts w:ascii="Times New Roman" w:hAnsi="Times New Roman" w:cs="Times New Roman" w:eastAsia="Times New Roman" w:hint="default"/>
                <w:sz w:val="18"/>
                <w:szCs w:val="18"/>
              </w:rPr>
            </w:pPr>
            <w:r>
              <w:rPr>
                <w:rFonts w:ascii="Times New Roman"/>
                <w:sz w:val="18"/>
              </w:rPr>
              <w:t>15</w:t>
            </w:r>
          </w:p>
        </w:tc>
        <w:tc>
          <w:tcPr>
            <w:tcW w:w="1188" w:type="dxa"/>
            <w:tcBorders>
              <w:top w:val="nil" w:sz="6" w:space="0" w:color="auto"/>
              <w:left w:val="single" w:sz="6" w:space="0" w:color="000000"/>
              <w:bottom w:val="single" w:sz="6" w:space="0" w:color="000000"/>
              <w:right w:val="single" w:sz="6" w:space="0" w:color="000000"/>
            </w:tcBorders>
          </w:tcPr>
          <w:p>
            <w:pPr>
              <w:pStyle w:val="TableParagraph"/>
              <w:spacing w:line="179" w:lineRule="exact"/>
              <w:ind w:left="3" w:right="0"/>
              <w:jc w:val="left"/>
              <w:rPr>
                <w:rFonts w:ascii="宋体" w:hAnsi="宋体" w:cs="宋体" w:eastAsia="宋体" w:hint="default"/>
                <w:sz w:val="18"/>
                <w:szCs w:val="18"/>
              </w:rPr>
            </w:pPr>
            <w:r>
              <w:rPr>
                <w:rFonts w:ascii="宋体" w:hAnsi="宋体" w:cs="宋体" w:eastAsia="宋体" w:hint="default"/>
                <w:spacing w:val="14"/>
                <w:sz w:val="18"/>
                <w:szCs w:val="18"/>
              </w:rPr>
              <w:t>网的社保卡综</w:t>
            </w:r>
          </w:p>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合应用系统</w:t>
            </w:r>
          </w:p>
        </w:tc>
        <w:tc>
          <w:tcPr>
            <w:tcW w:w="765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7"/>
              <w:ind w:left="3" w:right="0"/>
              <w:jc w:val="left"/>
              <w:rPr>
                <w:rFonts w:ascii="宋体" w:hAnsi="宋体" w:cs="宋体" w:eastAsia="宋体" w:hint="default"/>
                <w:sz w:val="18"/>
                <w:szCs w:val="18"/>
              </w:rPr>
            </w:pPr>
            <w:r>
              <w:rPr>
                <w:rFonts w:ascii="宋体" w:hAnsi="宋体" w:cs="宋体" w:eastAsia="宋体" w:hint="default"/>
                <w:sz w:val="18"/>
                <w:szCs w:val="18"/>
              </w:rPr>
              <w:t>金融社会保障卡使用安全和便捷，切实的实现基于</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社保</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w:t>
            </w:r>
            <w:r>
              <w:rPr>
                <w:rFonts w:ascii="宋体" w:hAnsi="宋体" w:cs="宋体" w:eastAsia="宋体" w:hint="default"/>
                <w:sz w:val="18"/>
                <w:szCs w:val="18"/>
              </w:rPr>
              <w:t>便民</w:t>
            </w:r>
            <w:r>
              <w:rPr>
                <w:rFonts w:ascii="Times New Roman" w:hAnsi="Times New Roman" w:cs="Times New Roman" w:eastAsia="Times New Roman" w:hint="default"/>
                <w:sz w:val="18"/>
                <w:szCs w:val="18"/>
              </w:rPr>
              <w:t>"</w:t>
            </w:r>
            <w:r>
              <w:rPr>
                <w:rFonts w:ascii="宋体" w:hAnsi="宋体" w:cs="宋体" w:eastAsia="宋体" w:hint="default"/>
                <w:sz w:val="18"/>
                <w:szCs w:val="18"/>
              </w:rPr>
              <w:t>的系统规划。</w:t>
            </w:r>
          </w:p>
        </w:tc>
        <w:tc>
          <w:tcPr>
            <w:tcW w:w="876" w:type="dxa"/>
            <w:tcBorders>
              <w:top w:val="nil" w:sz="6" w:space="0" w:color="auto"/>
              <w:left w:val="single" w:sz="6" w:space="0" w:color="000000"/>
              <w:bottom w:val="single" w:sz="6" w:space="0" w:color="000000"/>
              <w:right w:val="single" w:sz="6" w:space="0" w:color="000000"/>
            </w:tcBorders>
          </w:tcPr>
          <w:p>
            <w:pPr>
              <w:pStyle w:val="TableParagraph"/>
              <w:spacing w:line="179" w:lineRule="exact"/>
              <w:ind w:right="68"/>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28" w:type="dxa"/>
            <w:tcBorders>
              <w:top w:val="nil" w:sz="6" w:space="0" w:color="auto"/>
              <w:left w:val="single" w:sz="6" w:space="0" w:color="000000"/>
              <w:bottom w:val="single" w:sz="6" w:space="0" w:color="000000"/>
              <w:right w:val="single" w:sz="6"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70"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临床决策支持系统应用医学信息学技术收集和分析海量人群的纷繁复杂的医学相关信息在精准医</w:t>
            </w:r>
          </w:p>
        </w:tc>
        <w:tc>
          <w:tcPr>
            <w:tcW w:w="876" w:type="dxa"/>
            <w:tcBorders>
              <w:top w:val="single" w:sz="6" w:space="0" w:color="000000"/>
              <w:left w:val="single" w:sz="6" w:space="0" w:color="000000"/>
              <w:bottom w:val="nil" w:sz="6" w:space="0" w:color="auto"/>
              <w:right w:val="single" w:sz="6" w:space="0" w:color="000000"/>
            </w:tcBorders>
          </w:tcPr>
          <w:p>
            <w:pPr/>
          </w:p>
        </w:tc>
        <w:tc>
          <w:tcPr>
            <w:tcW w:w="828" w:type="dxa"/>
            <w:tcBorders>
              <w:top w:val="single" w:sz="6" w:space="0" w:color="000000"/>
              <w:left w:val="single" w:sz="6" w:space="0" w:color="000000"/>
              <w:bottom w:val="nil" w:sz="6" w:space="0" w:color="auto"/>
              <w:right w:val="single" w:sz="6" w:space="0" w:color="000000"/>
            </w:tcBorders>
          </w:tcPr>
          <w:p>
            <w:pPr/>
          </w:p>
        </w:tc>
      </w:tr>
      <w:tr>
        <w:trPr>
          <w:trHeight w:val="1248" w:hRule="exact"/>
        </w:trPr>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w:t>
            </w:r>
          </w:p>
        </w:tc>
        <w:tc>
          <w:tcPr>
            <w:tcW w:w="118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 w:right="1"/>
              <w:jc w:val="both"/>
              <w:rPr>
                <w:rFonts w:ascii="宋体" w:hAnsi="宋体" w:cs="宋体" w:eastAsia="宋体" w:hint="default"/>
                <w:sz w:val="18"/>
                <w:szCs w:val="18"/>
              </w:rPr>
            </w:pPr>
            <w:r>
              <w:rPr>
                <w:rFonts w:ascii="宋体" w:hAnsi="宋体" w:cs="宋体" w:eastAsia="宋体" w:hint="default"/>
                <w:spacing w:val="14"/>
                <w:sz w:val="18"/>
                <w:szCs w:val="18"/>
              </w:rPr>
              <w:t>基于精准医疗</w:t>
            </w:r>
            <w:r>
              <w:rPr>
                <w:rFonts w:ascii="宋体" w:hAnsi="宋体" w:cs="宋体" w:eastAsia="宋体" w:hint="default"/>
                <w:sz w:val="18"/>
                <w:szCs w:val="18"/>
              </w:rPr>
              <w:t> </w:t>
            </w:r>
            <w:r>
              <w:rPr>
                <w:rFonts w:ascii="宋体" w:hAnsi="宋体" w:cs="宋体" w:eastAsia="宋体" w:hint="default"/>
                <w:spacing w:val="14"/>
                <w:sz w:val="18"/>
                <w:szCs w:val="18"/>
              </w:rPr>
              <w:t>的临床决策支</w:t>
            </w:r>
            <w:r>
              <w:rPr>
                <w:rFonts w:ascii="宋体" w:hAnsi="宋体" w:cs="宋体" w:eastAsia="宋体" w:hint="default"/>
                <w:sz w:val="18"/>
                <w:szCs w:val="18"/>
              </w:rPr>
              <w:t> 持系统</w:t>
            </w: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312" w:lineRule="auto" w:before="10"/>
              <w:ind w:left="3" w:right="1"/>
              <w:jc w:val="both"/>
              <w:rPr>
                <w:rFonts w:ascii="宋体" w:hAnsi="宋体" w:cs="宋体" w:eastAsia="宋体" w:hint="default"/>
                <w:sz w:val="18"/>
                <w:szCs w:val="18"/>
              </w:rPr>
            </w:pPr>
            <w:r>
              <w:rPr>
                <w:rFonts w:ascii="宋体" w:hAnsi="宋体" w:cs="宋体" w:eastAsia="宋体" w:hint="default"/>
                <w:sz w:val="18"/>
                <w:szCs w:val="18"/>
              </w:rPr>
              <w:t>疗理念的指导下得出每一个个体的精准疾病预防、诊疗和康复计划</w:t>
            </w:r>
            <w:r>
              <w:rPr>
                <w:rFonts w:ascii="Times New Roman" w:hAnsi="Times New Roman" w:cs="Times New Roman" w:eastAsia="Times New Roman" w:hint="default"/>
                <w:sz w:val="18"/>
                <w:szCs w:val="18"/>
              </w:rPr>
              <w:t>,</w:t>
            </w:r>
            <w:r>
              <w:rPr>
                <w:rFonts w:ascii="宋体" w:hAnsi="宋体" w:cs="宋体" w:eastAsia="宋体" w:hint="default"/>
                <w:sz w:val="18"/>
                <w:szCs w:val="18"/>
              </w:rPr>
              <w:t>实现精准医疗的目标。项目聚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焦在精准医学应用方面比较成熟的病种，包括肿瘤（肺癌、胃癌、乳腺癌），眼科，心脏病，肾</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病等，首先通过流病、临床、基因数据采集等方式来收集并形成各病种的数据库，然后在数据库</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的基础上，通过人工智能和机器学习等技术来开发实现精准医疗的临床决策支持系统，以期形成</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2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69" w:hRule="exact"/>
        </w:trPr>
        <w:tc>
          <w:tcPr>
            <w:tcW w:w="528" w:type="dxa"/>
            <w:tcBorders>
              <w:top w:val="nil" w:sz="6" w:space="0" w:color="auto"/>
              <w:left w:val="single" w:sz="6" w:space="0" w:color="000000"/>
              <w:bottom w:val="single" w:sz="6" w:space="0" w:color="000000"/>
              <w:right w:val="single" w:sz="6" w:space="0" w:color="000000"/>
            </w:tcBorders>
          </w:tcPr>
          <w:p>
            <w:pPr/>
          </w:p>
        </w:tc>
        <w:tc>
          <w:tcPr>
            <w:tcW w:w="1188" w:type="dxa"/>
            <w:tcBorders>
              <w:top w:val="nil" w:sz="6" w:space="0" w:color="auto"/>
              <w:left w:val="single" w:sz="6" w:space="0" w:color="000000"/>
              <w:bottom w:val="single" w:sz="6" w:space="0" w:color="000000"/>
              <w:right w:val="single" w:sz="6" w:space="0" w:color="000000"/>
            </w:tcBorders>
          </w:tcPr>
          <w:p>
            <w:pPr/>
          </w:p>
        </w:tc>
        <w:tc>
          <w:tcPr>
            <w:tcW w:w="765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个性化的疾病模式分析和治疗。</w:t>
            </w:r>
          </w:p>
        </w:tc>
        <w:tc>
          <w:tcPr>
            <w:tcW w:w="876" w:type="dxa"/>
            <w:tcBorders>
              <w:top w:val="nil" w:sz="6" w:space="0" w:color="auto"/>
              <w:left w:val="single" w:sz="6" w:space="0" w:color="000000"/>
              <w:bottom w:val="single" w:sz="6" w:space="0" w:color="000000"/>
              <w:right w:val="single" w:sz="6" w:space="0" w:color="000000"/>
            </w:tcBorders>
          </w:tcPr>
          <w:p>
            <w:pPr/>
          </w:p>
        </w:tc>
        <w:tc>
          <w:tcPr>
            <w:tcW w:w="828" w:type="dxa"/>
            <w:tcBorders>
              <w:top w:val="nil" w:sz="6" w:space="0" w:color="auto"/>
              <w:left w:val="single" w:sz="6" w:space="0" w:color="000000"/>
              <w:bottom w:val="single" w:sz="6" w:space="0" w:color="000000"/>
              <w:right w:val="single" w:sz="6" w:space="0" w:color="000000"/>
            </w:tcBorders>
          </w:tcPr>
          <w:p>
            <w:pPr/>
          </w:p>
        </w:tc>
      </w:tr>
      <w:tr>
        <w:trPr>
          <w:trHeight w:val="739"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17</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1"/>
              <w:jc w:val="left"/>
              <w:rPr>
                <w:rFonts w:ascii="宋体" w:hAnsi="宋体" w:cs="宋体" w:eastAsia="宋体" w:hint="default"/>
                <w:sz w:val="18"/>
                <w:szCs w:val="18"/>
              </w:rPr>
            </w:pPr>
            <w:r>
              <w:rPr>
                <w:rFonts w:ascii="宋体" w:hAnsi="宋体" w:cs="宋体" w:eastAsia="宋体" w:hint="default"/>
                <w:spacing w:val="14"/>
                <w:sz w:val="18"/>
                <w:szCs w:val="18"/>
              </w:rPr>
              <w:t>家庭医生分级</w:t>
            </w:r>
            <w:r>
              <w:rPr>
                <w:rFonts w:ascii="宋体" w:hAnsi="宋体" w:cs="宋体" w:eastAsia="宋体" w:hint="default"/>
                <w:sz w:val="18"/>
                <w:szCs w:val="18"/>
              </w:rPr>
              <w:t> 诊疗平台</w:t>
            </w:r>
          </w:p>
        </w:tc>
        <w:tc>
          <w:tcPr>
            <w:tcW w:w="76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90"/>
              <w:jc w:val="left"/>
              <w:rPr>
                <w:rFonts w:ascii="宋体" w:hAnsi="宋体" w:cs="宋体" w:eastAsia="宋体" w:hint="default"/>
                <w:sz w:val="18"/>
                <w:szCs w:val="18"/>
              </w:rPr>
            </w:pPr>
            <w:r>
              <w:rPr>
                <w:rFonts w:ascii="宋体" w:hAnsi="宋体" w:cs="宋体" w:eastAsia="宋体" w:hint="default"/>
                <w:spacing w:val="-1"/>
                <w:sz w:val="18"/>
                <w:szCs w:val="18"/>
              </w:rPr>
              <w:t>结合政府家庭医生签约和分级诊疗需求，将国家科技支撑计划项目科研成果转化形成可推广产品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通过家庭医生签约服务落地分级诊疗。</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61"/>
              <w:ind w:left="-10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70"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bl>
    <w:p>
      <w:pPr>
        <w:pStyle w:val="BodyText"/>
        <w:spacing w:line="240" w:lineRule="auto" w:before="52"/>
        <w:ind w:left="1012" w:right="584"/>
        <w:jc w:val="left"/>
      </w:pPr>
      <w:r>
        <w:rPr/>
        <w:t>报告期内，上海米健研发的项目如下：</w:t>
      </w:r>
    </w:p>
    <w:p>
      <w:pPr>
        <w:spacing w:line="240" w:lineRule="auto" w:before="0"/>
        <w:rPr>
          <w:rFonts w:ascii="宋体" w:hAnsi="宋体" w:cs="宋体" w:eastAsia="宋体" w:hint="default"/>
          <w:sz w:val="8"/>
          <w:szCs w:val="8"/>
        </w:rPr>
      </w:pPr>
    </w:p>
    <w:tbl>
      <w:tblPr>
        <w:tblW w:w="0" w:type="auto"/>
        <w:jc w:val="left"/>
        <w:tblInd w:w="274" w:type="dxa"/>
        <w:tblLayout w:type="fixed"/>
        <w:tblCellMar>
          <w:top w:w="0" w:type="dxa"/>
          <w:left w:w="0" w:type="dxa"/>
          <w:bottom w:w="0" w:type="dxa"/>
          <w:right w:w="0" w:type="dxa"/>
        </w:tblCellMar>
        <w:tblLook w:val="01E0"/>
      </w:tblPr>
      <w:tblGrid>
        <w:gridCol w:w="684"/>
        <w:gridCol w:w="1272"/>
        <w:gridCol w:w="6439"/>
        <w:gridCol w:w="992"/>
        <w:gridCol w:w="942"/>
      </w:tblGrid>
      <w:tr>
        <w:trPr>
          <w:trHeight w:val="427" w:hRule="exact"/>
        </w:trPr>
        <w:tc>
          <w:tcPr>
            <w:tcW w:w="6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2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0"/>
              <w:ind w:left="26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64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项目简介</w:t>
            </w:r>
          </w:p>
        </w:tc>
        <w:tc>
          <w:tcPr>
            <w:tcW w:w="9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0"/>
              <w:ind w:left="128" w:right="0"/>
              <w:jc w:val="left"/>
              <w:rPr>
                <w:rFonts w:ascii="宋体" w:hAnsi="宋体" w:cs="宋体" w:eastAsia="宋体" w:hint="default"/>
                <w:sz w:val="18"/>
                <w:szCs w:val="18"/>
              </w:rPr>
            </w:pPr>
            <w:r>
              <w:rPr>
                <w:rFonts w:ascii="宋体" w:hAnsi="宋体" w:cs="宋体" w:eastAsia="宋体" w:hint="default"/>
                <w:sz w:val="18"/>
                <w:szCs w:val="18"/>
              </w:rPr>
              <w:t>目前状态</w:t>
            </w:r>
          </w:p>
        </w:tc>
        <w:tc>
          <w:tcPr>
            <w:tcW w:w="9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拟达目标</w:t>
            </w:r>
          </w:p>
        </w:tc>
      </w:tr>
      <w:tr>
        <w:trPr>
          <w:trHeight w:val="1049"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3" w:right="1"/>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57"/>
                <w:sz w:val="18"/>
                <w:szCs w:val="18"/>
              </w:rPr>
              <w:t> </w:t>
            </w:r>
            <w:r>
              <w:rPr>
                <w:rFonts w:ascii="宋体" w:hAnsi="宋体" w:cs="宋体" w:eastAsia="宋体" w:hint="default"/>
                <w:sz w:val="18"/>
                <w:szCs w:val="18"/>
              </w:rPr>
              <w:t>间</w:t>
            </w:r>
            <w:r>
              <w:rPr>
                <w:rFonts w:ascii="宋体" w:hAnsi="宋体" w:cs="宋体" w:eastAsia="宋体" w:hint="default"/>
                <w:spacing w:val="-54"/>
                <w:sz w:val="18"/>
                <w:szCs w:val="18"/>
              </w:rPr>
              <w:t> </w:t>
            </w:r>
            <w:r>
              <w:rPr>
                <w:rFonts w:ascii="宋体" w:hAnsi="宋体" w:cs="宋体" w:eastAsia="宋体" w:hint="default"/>
                <w:sz w:val="18"/>
                <w:szCs w:val="18"/>
              </w:rPr>
              <w:t>手</w:t>
            </w:r>
            <w:r>
              <w:rPr>
                <w:rFonts w:ascii="宋体" w:hAnsi="宋体" w:cs="宋体" w:eastAsia="宋体" w:hint="default"/>
                <w:spacing w:val="-57"/>
                <w:sz w:val="18"/>
                <w:szCs w:val="18"/>
              </w:rPr>
              <w:t> </w:t>
            </w:r>
            <w:r>
              <w:rPr>
                <w:rFonts w:ascii="宋体" w:hAnsi="宋体" w:cs="宋体" w:eastAsia="宋体" w:hint="default"/>
                <w:sz w:val="18"/>
                <w:szCs w:val="18"/>
              </w:rPr>
              <w:t>术</w:t>
            </w:r>
            <w:r>
              <w:rPr>
                <w:rFonts w:ascii="宋体" w:hAnsi="宋体" w:cs="宋体" w:eastAsia="宋体" w:hint="default"/>
                <w:spacing w:val="-57"/>
                <w:sz w:val="18"/>
                <w:szCs w:val="18"/>
              </w:rPr>
              <w:t> </w:t>
            </w:r>
            <w:r>
              <w:rPr>
                <w:rFonts w:ascii="宋体" w:hAnsi="宋体" w:cs="宋体" w:eastAsia="宋体" w:hint="default"/>
                <w:sz w:val="18"/>
                <w:szCs w:val="18"/>
              </w:rPr>
              <w:t>临</w:t>
            </w:r>
            <w:r>
              <w:rPr>
                <w:rFonts w:ascii="宋体" w:hAnsi="宋体" w:cs="宋体" w:eastAsia="宋体" w:hint="default"/>
                <w:spacing w:val="-54"/>
                <w:sz w:val="18"/>
                <w:szCs w:val="18"/>
              </w:rPr>
              <w:t> </w:t>
            </w:r>
            <w:r>
              <w:rPr>
                <w:rFonts w:ascii="宋体" w:hAnsi="宋体" w:cs="宋体" w:eastAsia="宋体" w:hint="default"/>
                <w:sz w:val="18"/>
                <w:szCs w:val="18"/>
              </w:rPr>
              <w:t>床</w:t>
            </w:r>
            <w:r>
              <w:rPr>
                <w:rFonts w:ascii="宋体" w:hAnsi="宋体" w:cs="宋体" w:eastAsia="宋体" w:hint="default"/>
                <w:sz w:val="18"/>
                <w:szCs w:val="18"/>
              </w:rPr>
              <w:t> 信息系统</w:t>
            </w:r>
          </w:p>
        </w:tc>
        <w:tc>
          <w:tcPr>
            <w:tcW w:w="6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3" w:right="1"/>
              <w:jc w:val="left"/>
              <w:rPr>
                <w:rFonts w:ascii="宋体" w:hAnsi="宋体" w:cs="宋体" w:eastAsia="宋体" w:hint="default"/>
                <w:sz w:val="18"/>
                <w:szCs w:val="18"/>
              </w:rPr>
            </w:pPr>
            <w:r>
              <w:rPr>
                <w:rFonts w:ascii="宋体" w:hAnsi="宋体" w:cs="宋体" w:eastAsia="宋体" w:hint="default"/>
                <w:sz w:val="18"/>
                <w:szCs w:val="18"/>
              </w:rPr>
              <w:t>本项目目标是在现有的手术麻醉临床信息系统的基础上，增加日间手术功能模块 </w:t>
            </w:r>
            <w:r>
              <w:rPr>
                <w:rFonts w:ascii="宋体" w:hAnsi="宋体" w:cs="宋体" w:eastAsia="宋体" w:hint="default"/>
                <w:spacing w:val="-2"/>
                <w:sz w:val="18"/>
                <w:szCs w:val="18"/>
              </w:rPr>
              <w:t>全面提供对日间手术的支持。从而增加手麻系统的业务机会和销售机会，增加销售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额，提高市场占有率。</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bl>
    <w:p>
      <w:pPr>
        <w:spacing w:after="0" w:line="240" w:lineRule="auto"/>
        <w:jc w:val="center"/>
        <w:rPr>
          <w:rFonts w:ascii="宋体" w:hAnsi="宋体" w:cs="宋体" w:eastAsia="宋体" w:hint="default"/>
          <w:sz w:val="18"/>
          <w:szCs w:val="18"/>
        </w:rPr>
        <w:sectPr>
          <w:pgSz w:w="11910" w:h="16840"/>
          <w:pgMar w:header="566" w:footer="978" w:top="1440" w:bottom="1160" w:left="120" w:right="460"/>
        </w:sectPr>
      </w:pPr>
    </w:p>
    <w:p>
      <w:pPr>
        <w:spacing w:line="240" w:lineRule="auto" w:before="4"/>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684"/>
        <w:gridCol w:w="1272"/>
        <w:gridCol w:w="6439"/>
        <w:gridCol w:w="154"/>
        <w:gridCol w:w="838"/>
        <w:gridCol w:w="942"/>
      </w:tblGrid>
      <w:tr>
        <w:trPr>
          <w:trHeight w:val="739"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
              <w:jc w:val="left"/>
              <w:rPr>
                <w:rFonts w:ascii="宋体" w:hAnsi="宋体" w:cs="宋体" w:eastAsia="宋体" w:hint="default"/>
                <w:sz w:val="18"/>
                <w:szCs w:val="18"/>
              </w:rPr>
            </w:pPr>
            <w:r>
              <w:rPr>
                <w:rFonts w:ascii="宋体" w:hAnsi="宋体" w:cs="宋体" w:eastAsia="宋体" w:hint="default"/>
                <w:sz w:val="18"/>
                <w:szCs w:val="18"/>
              </w:rPr>
              <w:t>急</w:t>
            </w:r>
            <w:r>
              <w:rPr>
                <w:rFonts w:ascii="宋体" w:hAnsi="宋体" w:cs="宋体" w:eastAsia="宋体" w:hint="default"/>
                <w:spacing w:val="-57"/>
                <w:sz w:val="18"/>
                <w:szCs w:val="18"/>
              </w:rPr>
              <w:t> </w:t>
            </w:r>
            <w:r>
              <w:rPr>
                <w:rFonts w:ascii="宋体" w:hAnsi="宋体" w:cs="宋体" w:eastAsia="宋体" w:hint="default"/>
                <w:sz w:val="18"/>
                <w:szCs w:val="18"/>
              </w:rPr>
              <w:t>诊</w:t>
            </w:r>
            <w:r>
              <w:rPr>
                <w:rFonts w:ascii="宋体" w:hAnsi="宋体" w:cs="宋体" w:eastAsia="宋体" w:hint="default"/>
                <w:spacing w:val="-54"/>
                <w:sz w:val="18"/>
                <w:szCs w:val="18"/>
              </w:rPr>
              <w:t> </w:t>
            </w:r>
            <w:r>
              <w:rPr>
                <w:rFonts w:ascii="宋体" w:hAnsi="宋体" w:cs="宋体" w:eastAsia="宋体" w:hint="default"/>
                <w:sz w:val="18"/>
                <w:szCs w:val="18"/>
              </w:rPr>
              <w:t>医</w:t>
            </w:r>
            <w:r>
              <w:rPr>
                <w:rFonts w:ascii="宋体" w:hAnsi="宋体" w:cs="宋体" w:eastAsia="宋体" w:hint="default"/>
                <w:spacing w:val="-57"/>
                <w:sz w:val="18"/>
                <w:szCs w:val="18"/>
              </w:rPr>
              <w:t> </w:t>
            </w:r>
            <w:r>
              <w:rPr>
                <w:rFonts w:ascii="宋体" w:hAnsi="宋体" w:cs="宋体" w:eastAsia="宋体" w:hint="default"/>
                <w:sz w:val="18"/>
                <w:szCs w:val="18"/>
              </w:rPr>
              <w:t>疗</w:t>
            </w:r>
            <w:r>
              <w:rPr>
                <w:rFonts w:ascii="宋体" w:hAnsi="宋体" w:cs="宋体" w:eastAsia="宋体" w:hint="default"/>
                <w:spacing w:val="-57"/>
                <w:sz w:val="18"/>
                <w:szCs w:val="18"/>
              </w:rPr>
              <w:t> </w:t>
            </w:r>
            <w:r>
              <w:rPr>
                <w:rFonts w:ascii="宋体" w:hAnsi="宋体" w:cs="宋体" w:eastAsia="宋体" w:hint="default"/>
                <w:sz w:val="18"/>
                <w:szCs w:val="18"/>
              </w:rPr>
              <w:t>信</w:t>
            </w:r>
            <w:r>
              <w:rPr>
                <w:rFonts w:ascii="宋体" w:hAnsi="宋体" w:cs="宋体" w:eastAsia="宋体" w:hint="default"/>
                <w:spacing w:val="-54"/>
                <w:sz w:val="18"/>
                <w:szCs w:val="18"/>
              </w:rPr>
              <w:t> </w:t>
            </w:r>
            <w:r>
              <w:rPr>
                <w:rFonts w:ascii="宋体" w:hAnsi="宋体" w:cs="宋体" w:eastAsia="宋体" w:hint="default"/>
                <w:sz w:val="18"/>
                <w:szCs w:val="18"/>
              </w:rPr>
              <w:t>息</w:t>
            </w:r>
            <w:r>
              <w:rPr>
                <w:rFonts w:ascii="宋体" w:hAnsi="宋体" w:cs="宋体" w:eastAsia="宋体" w:hint="default"/>
                <w:sz w:val="18"/>
                <w:szCs w:val="18"/>
              </w:rPr>
              <w:t> 系统</w:t>
            </w:r>
          </w:p>
        </w:tc>
        <w:tc>
          <w:tcPr>
            <w:tcW w:w="6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
              <w:jc w:val="left"/>
              <w:rPr>
                <w:rFonts w:ascii="宋体" w:hAnsi="宋体" w:cs="宋体" w:eastAsia="宋体" w:hint="default"/>
                <w:sz w:val="18"/>
                <w:szCs w:val="18"/>
              </w:rPr>
            </w:pPr>
            <w:r>
              <w:rPr>
                <w:rFonts w:ascii="宋体" w:hAnsi="宋体" w:cs="宋体" w:eastAsia="宋体" w:hint="default"/>
                <w:spacing w:val="-2"/>
                <w:sz w:val="18"/>
                <w:szCs w:val="18"/>
              </w:rPr>
              <w:t>系统基于上一版本进行升级，针对部分功能模块做进一步的改进和完善，确保以患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者为中心，开展符合急诊科工作流程的良好互动。</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产品化</w:t>
            </w:r>
          </w:p>
        </w:tc>
      </w:tr>
      <w:tr>
        <w:trPr>
          <w:trHeight w:val="371" w:hRule="exact"/>
        </w:trPr>
        <w:tc>
          <w:tcPr>
            <w:tcW w:w="684" w:type="dxa"/>
            <w:tcBorders>
              <w:top w:val="single" w:sz="6" w:space="0" w:color="000000"/>
              <w:left w:val="single" w:sz="6" w:space="0" w:color="000000"/>
              <w:bottom w:val="nil" w:sz="6" w:space="0" w:color="auto"/>
              <w:right w:val="single" w:sz="6" w:space="0" w:color="000000"/>
            </w:tcBorders>
          </w:tcPr>
          <w:p>
            <w:pPr/>
          </w:p>
        </w:tc>
        <w:tc>
          <w:tcPr>
            <w:tcW w:w="1272" w:type="dxa"/>
            <w:tcBorders>
              <w:top w:val="single" w:sz="6" w:space="0" w:color="000000"/>
              <w:left w:val="single" w:sz="6" w:space="0" w:color="000000"/>
              <w:bottom w:val="nil" w:sz="6" w:space="0" w:color="auto"/>
              <w:right w:val="single" w:sz="6" w:space="0" w:color="000000"/>
            </w:tcBorders>
          </w:tcPr>
          <w:p>
            <w:pPr/>
          </w:p>
        </w:tc>
        <w:tc>
          <w:tcPr>
            <w:tcW w:w="643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pacing w:val="-2"/>
                <w:sz w:val="18"/>
                <w:szCs w:val="18"/>
              </w:rPr>
              <w:t>该项目依据国内对诊疗过程更精细化质量控制的要求，顺应国内急诊科管理水平发</w:t>
            </w:r>
          </w:p>
        </w:tc>
        <w:tc>
          <w:tcPr>
            <w:tcW w:w="992" w:type="dxa"/>
            <w:gridSpan w:val="2"/>
            <w:tcBorders>
              <w:top w:val="single" w:sz="6" w:space="0" w:color="000000"/>
              <w:left w:val="single" w:sz="6" w:space="0" w:color="000000"/>
              <w:bottom w:val="nil" w:sz="6" w:space="0" w:color="auto"/>
              <w:right w:val="single" w:sz="6" w:space="0" w:color="000000"/>
            </w:tcBorders>
          </w:tcPr>
          <w:p>
            <w:pPr/>
          </w:p>
        </w:tc>
        <w:tc>
          <w:tcPr>
            <w:tcW w:w="94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84" w:type="dxa"/>
            <w:tcBorders>
              <w:top w:val="nil" w:sz="6" w:space="0" w:color="auto"/>
              <w:left w:val="single" w:sz="6" w:space="0" w:color="000000"/>
              <w:bottom w:val="nil" w:sz="6" w:space="0" w:color="auto"/>
              <w:right w:val="single" w:sz="6" w:space="0" w:color="000000"/>
            </w:tcBorders>
          </w:tcPr>
          <w:p>
            <w:pPr/>
          </w:p>
        </w:tc>
        <w:tc>
          <w:tcPr>
            <w:tcW w:w="1272" w:type="dxa"/>
            <w:tcBorders>
              <w:top w:val="nil" w:sz="6" w:space="0" w:color="auto"/>
              <w:left w:val="single" w:sz="6" w:space="0" w:color="000000"/>
              <w:bottom w:val="nil" w:sz="6" w:space="0" w:color="auto"/>
              <w:right w:val="single" w:sz="6" w:space="0" w:color="000000"/>
            </w:tcBorders>
          </w:tcPr>
          <w:p>
            <w:pPr/>
          </w:p>
        </w:tc>
        <w:tc>
          <w:tcPr>
            <w:tcW w:w="64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2"/>
                <w:sz w:val="18"/>
                <w:szCs w:val="18"/>
              </w:rPr>
              <w:t>展方向、急诊信息化发展的趋势和公司产品战略，进行急诊质控子系统的研发、实</w:t>
            </w:r>
          </w:p>
        </w:tc>
        <w:tc>
          <w:tcPr>
            <w:tcW w:w="992" w:type="dxa"/>
            <w:gridSpan w:val="2"/>
            <w:tcBorders>
              <w:top w:val="nil" w:sz="6" w:space="0" w:color="auto"/>
              <w:left w:val="single" w:sz="6" w:space="0" w:color="000000"/>
              <w:bottom w:val="nil" w:sz="6" w:space="0" w:color="auto"/>
              <w:right w:val="single" w:sz="6" w:space="0" w:color="000000"/>
            </w:tcBorders>
          </w:tcPr>
          <w:p>
            <w:pPr/>
          </w:p>
        </w:tc>
        <w:tc>
          <w:tcPr>
            <w:tcW w:w="942"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127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急诊质控</w:t>
            </w:r>
          </w:p>
        </w:tc>
        <w:tc>
          <w:tcPr>
            <w:tcW w:w="6439"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3" w:right="0"/>
              <w:jc w:val="left"/>
              <w:rPr>
                <w:rFonts w:ascii="宋体" w:hAnsi="宋体" w:cs="宋体" w:eastAsia="宋体" w:hint="default"/>
                <w:sz w:val="18"/>
                <w:szCs w:val="18"/>
              </w:rPr>
            </w:pPr>
            <w:r>
              <w:rPr>
                <w:rFonts w:ascii="宋体" w:hAnsi="宋体" w:cs="宋体" w:eastAsia="宋体" w:hint="default"/>
                <w:spacing w:val="-2"/>
                <w:sz w:val="18"/>
                <w:szCs w:val="18"/>
              </w:rPr>
              <w:t>施（临床试用）和市场推广。系统实现是在完整的急诊电子病历基础上，在不影响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医护人员正常操作的前提下，根据急诊循证指南和质控要求，实时记录和监控医疗</w:t>
            </w:r>
          </w:p>
        </w:tc>
        <w:tc>
          <w:tcPr>
            <w:tcW w:w="992"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94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产品化</w:t>
            </w:r>
          </w:p>
        </w:tc>
      </w:tr>
      <w:tr>
        <w:trPr>
          <w:trHeight w:val="312" w:hRule="exact"/>
        </w:trPr>
        <w:tc>
          <w:tcPr>
            <w:tcW w:w="684" w:type="dxa"/>
            <w:tcBorders>
              <w:top w:val="nil" w:sz="6" w:space="0" w:color="auto"/>
              <w:left w:val="single" w:sz="6" w:space="0" w:color="000000"/>
              <w:bottom w:val="nil" w:sz="6" w:space="0" w:color="auto"/>
              <w:right w:val="single" w:sz="6" w:space="0" w:color="000000"/>
            </w:tcBorders>
          </w:tcPr>
          <w:p>
            <w:pPr/>
          </w:p>
        </w:tc>
        <w:tc>
          <w:tcPr>
            <w:tcW w:w="1272" w:type="dxa"/>
            <w:tcBorders>
              <w:top w:val="nil" w:sz="6" w:space="0" w:color="auto"/>
              <w:left w:val="single" w:sz="6" w:space="0" w:color="000000"/>
              <w:bottom w:val="nil" w:sz="6" w:space="0" w:color="auto"/>
              <w:right w:val="single" w:sz="6" w:space="0" w:color="000000"/>
            </w:tcBorders>
          </w:tcPr>
          <w:p>
            <w:pPr/>
          </w:p>
        </w:tc>
        <w:tc>
          <w:tcPr>
            <w:tcW w:w="64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2"/>
                <w:sz w:val="18"/>
                <w:szCs w:val="18"/>
              </w:rPr>
              <w:t>行为；从而能够在繁忙和快速变化的急诊工作中，通过与临床流程无缝整合的决策</w:t>
            </w:r>
          </w:p>
        </w:tc>
        <w:tc>
          <w:tcPr>
            <w:tcW w:w="992" w:type="dxa"/>
            <w:gridSpan w:val="2"/>
            <w:tcBorders>
              <w:top w:val="nil" w:sz="6" w:space="0" w:color="auto"/>
              <w:left w:val="single" w:sz="6" w:space="0" w:color="000000"/>
              <w:bottom w:val="nil" w:sz="6" w:space="0" w:color="auto"/>
              <w:right w:val="single" w:sz="6" w:space="0" w:color="000000"/>
            </w:tcBorders>
          </w:tcPr>
          <w:p>
            <w:pPr/>
          </w:p>
        </w:tc>
        <w:tc>
          <w:tcPr>
            <w:tcW w:w="942" w:type="dxa"/>
            <w:tcBorders>
              <w:top w:val="nil" w:sz="6" w:space="0" w:color="auto"/>
              <w:left w:val="single" w:sz="6" w:space="0" w:color="000000"/>
              <w:bottom w:val="nil" w:sz="6" w:space="0" w:color="auto"/>
              <w:right w:val="single" w:sz="6" w:space="0" w:color="000000"/>
            </w:tcBorders>
          </w:tcPr>
          <w:p>
            <w:pPr/>
          </w:p>
        </w:tc>
      </w:tr>
      <w:tr>
        <w:trPr>
          <w:trHeight w:val="368" w:hRule="exact"/>
        </w:trPr>
        <w:tc>
          <w:tcPr>
            <w:tcW w:w="684" w:type="dxa"/>
            <w:tcBorders>
              <w:top w:val="nil" w:sz="6" w:space="0" w:color="auto"/>
              <w:left w:val="single" w:sz="6" w:space="0" w:color="000000"/>
              <w:bottom w:val="single" w:sz="6" w:space="0" w:color="000000"/>
              <w:right w:val="single" w:sz="6" w:space="0" w:color="000000"/>
            </w:tcBorders>
          </w:tcPr>
          <w:p>
            <w:pPr/>
          </w:p>
        </w:tc>
        <w:tc>
          <w:tcPr>
            <w:tcW w:w="1272" w:type="dxa"/>
            <w:tcBorders>
              <w:top w:val="nil" w:sz="6" w:space="0" w:color="auto"/>
              <w:left w:val="single" w:sz="6" w:space="0" w:color="000000"/>
              <w:bottom w:val="single" w:sz="6" w:space="0" w:color="000000"/>
              <w:right w:val="single" w:sz="6" w:space="0" w:color="000000"/>
            </w:tcBorders>
          </w:tcPr>
          <w:p>
            <w:pPr/>
          </w:p>
        </w:tc>
        <w:tc>
          <w:tcPr>
            <w:tcW w:w="643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支持工具，帮助医护人员预防差错，提高指南依从性，持续改进医疗质量。</w:t>
            </w:r>
          </w:p>
        </w:tc>
        <w:tc>
          <w:tcPr>
            <w:tcW w:w="992" w:type="dxa"/>
            <w:gridSpan w:val="2"/>
            <w:tcBorders>
              <w:top w:val="nil" w:sz="6" w:space="0" w:color="auto"/>
              <w:left w:val="single" w:sz="6" w:space="0" w:color="000000"/>
              <w:bottom w:val="single" w:sz="6" w:space="0" w:color="000000"/>
              <w:right w:val="single" w:sz="6" w:space="0" w:color="000000"/>
            </w:tcBorders>
          </w:tcPr>
          <w:p>
            <w:pPr/>
          </w:p>
        </w:tc>
        <w:tc>
          <w:tcPr>
            <w:tcW w:w="942" w:type="dxa"/>
            <w:tcBorders>
              <w:top w:val="nil" w:sz="6" w:space="0" w:color="auto"/>
              <w:left w:val="single" w:sz="6" w:space="0" w:color="000000"/>
              <w:bottom w:val="single" w:sz="6" w:space="0" w:color="000000"/>
              <w:right w:val="single" w:sz="6" w:space="0" w:color="000000"/>
            </w:tcBorders>
          </w:tcPr>
          <w:p>
            <w:pPr/>
          </w:p>
        </w:tc>
      </w:tr>
      <w:tr>
        <w:trPr>
          <w:trHeight w:val="739"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
              <w:jc w:val="left"/>
              <w:rPr>
                <w:rFonts w:ascii="宋体" w:hAnsi="宋体" w:cs="宋体" w:eastAsia="宋体" w:hint="default"/>
                <w:sz w:val="18"/>
                <w:szCs w:val="18"/>
              </w:rPr>
            </w:pPr>
            <w:r>
              <w:rPr>
                <w:rFonts w:ascii="宋体" w:hAnsi="宋体" w:cs="宋体" w:eastAsia="宋体" w:hint="default"/>
                <w:sz w:val="18"/>
                <w:szCs w:val="18"/>
              </w:rPr>
              <w:t>急</w:t>
            </w:r>
            <w:r>
              <w:rPr>
                <w:rFonts w:ascii="宋体" w:hAnsi="宋体" w:cs="宋体" w:eastAsia="宋体" w:hint="default"/>
                <w:spacing w:val="-57"/>
                <w:sz w:val="18"/>
                <w:szCs w:val="18"/>
              </w:rPr>
              <w:t> </w:t>
            </w:r>
            <w:r>
              <w:rPr>
                <w:rFonts w:ascii="宋体" w:hAnsi="宋体" w:cs="宋体" w:eastAsia="宋体" w:hint="default"/>
                <w:sz w:val="18"/>
                <w:szCs w:val="18"/>
              </w:rPr>
              <w:t>诊</w:t>
            </w:r>
            <w:r>
              <w:rPr>
                <w:rFonts w:ascii="宋体" w:hAnsi="宋体" w:cs="宋体" w:eastAsia="宋体" w:hint="default"/>
                <w:spacing w:val="-54"/>
                <w:sz w:val="18"/>
                <w:szCs w:val="18"/>
              </w:rPr>
              <w:t> </w:t>
            </w:r>
            <w:r>
              <w:rPr>
                <w:rFonts w:ascii="宋体" w:hAnsi="宋体" w:cs="宋体" w:eastAsia="宋体" w:hint="default"/>
                <w:sz w:val="18"/>
                <w:szCs w:val="18"/>
              </w:rPr>
              <w:t>预</w:t>
            </w:r>
            <w:r>
              <w:rPr>
                <w:rFonts w:ascii="宋体" w:hAnsi="宋体" w:cs="宋体" w:eastAsia="宋体" w:hint="default"/>
                <w:spacing w:val="-57"/>
                <w:sz w:val="18"/>
                <w:szCs w:val="18"/>
              </w:rPr>
              <w:t> </w:t>
            </w:r>
            <w:r>
              <w:rPr>
                <w:rFonts w:ascii="宋体" w:hAnsi="宋体" w:cs="宋体" w:eastAsia="宋体" w:hint="default"/>
                <w:sz w:val="18"/>
                <w:szCs w:val="18"/>
              </w:rPr>
              <w:t>检</w:t>
            </w:r>
            <w:r>
              <w:rPr>
                <w:rFonts w:ascii="宋体" w:hAnsi="宋体" w:cs="宋体" w:eastAsia="宋体" w:hint="default"/>
                <w:spacing w:val="-57"/>
                <w:sz w:val="18"/>
                <w:szCs w:val="18"/>
              </w:rPr>
              <w:t> </w:t>
            </w:r>
            <w:r>
              <w:rPr>
                <w:rFonts w:ascii="宋体" w:hAnsi="宋体" w:cs="宋体" w:eastAsia="宋体" w:hint="default"/>
                <w:sz w:val="18"/>
                <w:szCs w:val="18"/>
              </w:rPr>
              <w:t>分</w:t>
            </w:r>
            <w:r>
              <w:rPr>
                <w:rFonts w:ascii="宋体" w:hAnsi="宋体" w:cs="宋体" w:eastAsia="宋体" w:hint="default"/>
                <w:spacing w:val="-54"/>
                <w:sz w:val="18"/>
                <w:szCs w:val="18"/>
              </w:rPr>
              <w:t> </w:t>
            </w:r>
            <w:r>
              <w:rPr>
                <w:rFonts w:ascii="宋体" w:hAnsi="宋体" w:cs="宋体" w:eastAsia="宋体" w:hint="default"/>
                <w:sz w:val="18"/>
                <w:szCs w:val="18"/>
              </w:rPr>
              <w:t>诊</w:t>
            </w:r>
            <w:r>
              <w:rPr>
                <w:rFonts w:ascii="宋体" w:hAnsi="宋体" w:cs="宋体" w:eastAsia="宋体" w:hint="default"/>
                <w:sz w:val="18"/>
                <w:szCs w:val="18"/>
              </w:rPr>
              <w:t> 工作站</w:t>
            </w:r>
          </w:p>
        </w:tc>
        <w:tc>
          <w:tcPr>
            <w:tcW w:w="6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90"/>
              <w:jc w:val="left"/>
              <w:rPr>
                <w:rFonts w:ascii="宋体" w:hAnsi="宋体" w:cs="宋体" w:eastAsia="宋体" w:hint="default"/>
                <w:sz w:val="18"/>
                <w:szCs w:val="18"/>
              </w:rPr>
            </w:pPr>
            <w:r>
              <w:rPr>
                <w:rFonts w:ascii="宋体" w:hAnsi="宋体" w:cs="宋体" w:eastAsia="宋体" w:hint="default"/>
                <w:spacing w:val="-5"/>
                <w:sz w:val="18"/>
                <w:szCs w:val="18"/>
              </w:rPr>
              <w:t>本项目旨在把公司现有预检分诊系统结合硬件设备捆绑部署，通过软件、硬件结合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能够降低实施成本，缩短交付周期，进一步提升单点销售价格，提升品牌溢价。</w:t>
            </w:r>
          </w:p>
        </w:tc>
        <w:tc>
          <w:tcPr>
            <w:tcW w:w="1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产品化</w:t>
            </w:r>
          </w:p>
        </w:tc>
      </w:tr>
      <w:tr>
        <w:trPr>
          <w:trHeight w:val="369" w:hRule="exact"/>
        </w:trPr>
        <w:tc>
          <w:tcPr>
            <w:tcW w:w="684" w:type="dxa"/>
            <w:tcBorders>
              <w:top w:val="single" w:sz="6" w:space="0" w:color="000000"/>
              <w:left w:val="single" w:sz="6" w:space="0" w:color="000000"/>
              <w:bottom w:val="nil" w:sz="6" w:space="0" w:color="auto"/>
              <w:right w:val="single" w:sz="6" w:space="0" w:color="000000"/>
            </w:tcBorders>
          </w:tcPr>
          <w:p>
            <w:pPr/>
          </w:p>
        </w:tc>
        <w:tc>
          <w:tcPr>
            <w:tcW w:w="1272" w:type="dxa"/>
            <w:tcBorders>
              <w:top w:val="single" w:sz="6" w:space="0" w:color="000000"/>
              <w:left w:val="single" w:sz="6" w:space="0" w:color="000000"/>
              <w:bottom w:val="nil" w:sz="6" w:space="0" w:color="auto"/>
              <w:right w:val="single" w:sz="6" w:space="0" w:color="000000"/>
            </w:tcBorders>
          </w:tcPr>
          <w:p>
            <w:pPr/>
          </w:p>
        </w:tc>
        <w:tc>
          <w:tcPr>
            <w:tcW w:w="643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pacing w:val="-2"/>
                <w:sz w:val="18"/>
                <w:szCs w:val="18"/>
              </w:rPr>
              <w:t>本项目通过快速的迭代和产品上市，来占领区域市场，改善历史重症产品的某些问</w:t>
            </w:r>
          </w:p>
        </w:tc>
        <w:tc>
          <w:tcPr>
            <w:tcW w:w="154" w:type="dxa"/>
            <w:tcBorders>
              <w:top w:val="single" w:sz="6" w:space="0" w:color="000000"/>
              <w:left w:val="single" w:sz="6" w:space="0" w:color="000000"/>
              <w:bottom w:val="nil" w:sz="6" w:space="0" w:color="auto"/>
              <w:right w:val="nil" w:sz="6" w:space="0" w:color="auto"/>
            </w:tcBorders>
          </w:tcPr>
          <w:p>
            <w:pPr/>
          </w:p>
        </w:tc>
        <w:tc>
          <w:tcPr>
            <w:tcW w:w="838" w:type="dxa"/>
            <w:tcBorders>
              <w:top w:val="single" w:sz="6" w:space="0" w:color="000000"/>
              <w:left w:val="nil" w:sz="6" w:space="0" w:color="auto"/>
              <w:bottom w:val="nil" w:sz="6" w:space="0" w:color="auto"/>
              <w:right w:val="single" w:sz="6" w:space="0" w:color="000000"/>
            </w:tcBorders>
          </w:tcPr>
          <w:p>
            <w:pPr/>
          </w:p>
        </w:tc>
        <w:tc>
          <w:tcPr>
            <w:tcW w:w="942"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684"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1272"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3" w:right="1"/>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57"/>
                <w:sz w:val="18"/>
                <w:szCs w:val="18"/>
              </w:rPr>
              <w:t> </w:t>
            </w:r>
            <w:r>
              <w:rPr>
                <w:rFonts w:ascii="宋体" w:hAnsi="宋体" w:cs="宋体" w:eastAsia="宋体" w:hint="default"/>
                <w:sz w:val="18"/>
                <w:szCs w:val="18"/>
              </w:rPr>
              <w:t>症</w:t>
            </w:r>
            <w:r>
              <w:rPr>
                <w:rFonts w:ascii="宋体" w:hAnsi="宋体" w:cs="宋体" w:eastAsia="宋体" w:hint="default"/>
                <w:spacing w:val="-54"/>
                <w:sz w:val="18"/>
                <w:szCs w:val="18"/>
              </w:rPr>
              <w:t> </w:t>
            </w:r>
            <w:r>
              <w:rPr>
                <w:rFonts w:ascii="宋体" w:hAnsi="宋体" w:cs="宋体" w:eastAsia="宋体" w:hint="default"/>
                <w:sz w:val="18"/>
                <w:szCs w:val="18"/>
              </w:rPr>
              <w:t>医</w:t>
            </w:r>
            <w:r>
              <w:rPr>
                <w:rFonts w:ascii="宋体" w:hAnsi="宋体" w:cs="宋体" w:eastAsia="宋体" w:hint="default"/>
                <w:spacing w:val="-57"/>
                <w:sz w:val="18"/>
                <w:szCs w:val="18"/>
              </w:rPr>
              <w:t> </w:t>
            </w:r>
            <w:r>
              <w:rPr>
                <w:rFonts w:ascii="宋体" w:hAnsi="宋体" w:cs="宋体" w:eastAsia="宋体" w:hint="default"/>
                <w:sz w:val="18"/>
                <w:szCs w:val="18"/>
              </w:rPr>
              <w:t>学</w:t>
            </w:r>
            <w:r>
              <w:rPr>
                <w:rFonts w:ascii="宋体" w:hAnsi="宋体" w:cs="宋体" w:eastAsia="宋体" w:hint="default"/>
                <w:spacing w:val="-57"/>
                <w:sz w:val="18"/>
                <w:szCs w:val="18"/>
              </w:rPr>
              <w:t> </w:t>
            </w:r>
            <w:r>
              <w:rPr>
                <w:rFonts w:ascii="宋体" w:hAnsi="宋体" w:cs="宋体" w:eastAsia="宋体" w:hint="default"/>
                <w:sz w:val="18"/>
                <w:szCs w:val="18"/>
              </w:rPr>
              <w:t>临</w:t>
            </w:r>
            <w:r>
              <w:rPr>
                <w:rFonts w:ascii="宋体" w:hAnsi="宋体" w:cs="宋体" w:eastAsia="宋体" w:hint="default"/>
                <w:spacing w:val="-54"/>
                <w:sz w:val="18"/>
                <w:szCs w:val="18"/>
              </w:rPr>
              <w:t> </w:t>
            </w:r>
            <w:r>
              <w:rPr>
                <w:rFonts w:ascii="宋体" w:hAnsi="宋体" w:cs="宋体" w:eastAsia="宋体" w:hint="default"/>
                <w:sz w:val="18"/>
                <w:szCs w:val="18"/>
              </w:rPr>
              <w:t>床</w:t>
            </w:r>
            <w:r>
              <w:rPr>
                <w:rFonts w:ascii="宋体" w:hAnsi="宋体" w:cs="宋体" w:eastAsia="宋体" w:hint="default"/>
                <w:sz w:val="18"/>
                <w:szCs w:val="18"/>
              </w:rPr>
              <w:t> 信息系统</w:t>
            </w:r>
          </w:p>
        </w:tc>
        <w:tc>
          <w:tcPr>
            <w:tcW w:w="6439"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3" w:right="120"/>
              <w:jc w:val="left"/>
              <w:rPr>
                <w:rFonts w:ascii="宋体" w:hAnsi="宋体" w:cs="宋体" w:eastAsia="宋体" w:hint="default"/>
                <w:sz w:val="18"/>
                <w:szCs w:val="18"/>
              </w:rPr>
            </w:pPr>
            <w:r>
              <w:rPr>
                <w:rFonts w:ascii="宋体" w:hAnsi="宋体" w:cs="宋体" w:eastAsia="宋体" w:hint="default"/>
                <w:sz w:val="18"/>
                <w:szCs w:val="18"/>
              </w:rPr>
              <w:t>题；在临床研究、技术储备方面有深入研究，以实现更多制高点功能（如专利） 系统实现目标是：统一产品架构，优化产品内在流程，加强产品易用性与稳定性</w:t>
            </w:r>
          </w:p>
        </w:tc>
        <w:tc>
          <w:tcPr>
            <w:tcW w:w="154"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nil" w:sz="6" w:space="0" w:color="auto"/>
              <w:left w:val="nil" w:sz="6" w:space="0" w:color="auto"/>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94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产品化</w:t>
            </w:r>
          </w:p>
        </w:tc>
      </w:tr>
      <w:tr>
        <w:trPr>
          <w:trHeight w:val="370" w:hRule="exact"/>
        </w:trPr>
        <w:tc>
          <w:tcPr>
            <w:tcW w:w="684" w:type="dxa"/>
            <w:tcBorders>
              <w:top w:val="nil" w:sz="6" w:space="0" w:color="auto"/>
              <w:left w:val="single" w:sz="6" w:space="0" w:color="000000"/>
              <w:bottom w:val="single" w:sz="6" w:space="0" w:color="000000"/>
              <w:right w:val="single" w:sz="6" w:space="0" w:color="000000"/>
            </w:tcBorders>
          </w:tcPr>
          <w:p>
            <w:pPr/>
          </w:p>
        </w:tc>
        <w:tc>
          <w:tcPr>
            <w:tcW w:w="1272" w:type="dxa"/>
            <w:tcBorders>
              <w:top w:val="nil" w:sz="6" w:space="0" w:color="auto"/>
              <w:left w:val="single" w:sz="6" w:space="0" w:color="000000"/>
              <w:bottom w:val="single" w:sz="6" w:space="0" w:color="000000"/>
              <w:right w:val="single" w:sz="6" w:space="0" w:color="000000"/>
            </w:tcBorders>
          </w:tcPr>
          <w:p>
            <w:pPr/>
          </w:p>
        </w:tc>
        <w:tc>
          <w:tcPr>
            <w:tcW w:w="643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在产品功能和专业性上得以强化，并将产品快速导入市场。</w:t>
            </w:r>
          </w:p>
        </w:tc>
        <w:tc>
          <w:tcPr>
            <w:tcW w:w="154" w:type="dxa"/>
            <w:tcBorders>
              <w:top w:val="nil" w:sz="6" w:space="0" w:color="auto"/>
              <w:left w:val="single" w:sz="6" w:space="0" w:color="000000"/>
              <w:bottom w:val="single" w:sz="6" w:space="0" w:color="000000"/>
              <w:right w:val="nil" w:sz="6" w:space="0" w:color="auto"/>
            </w:tcBorders>
          </w:tcPr>
          <w:p>
            <w:pPr/>
          </w:p>
        </w:tc>
        <w:tc>
          <w:tcPr>
            <w:tcW w:w="838" w:type="dxa"/>
            <w:tcBorders>
              <w:top w:val="nil" w:sz="6" w:space="0" w:color="auto"/>
              <w:left w:val="nil" w:sz="6" w:space="0" w:color="auto"/>
              <w:bottom w:val="single" w:sz="6" w:space="0" w:color="000000"/>
              <w:right w:val="single" w:sz="6" w:space="0" w:color="000000"/>
            </w:tcBorders>
          </w:tcPr>
          <w:p>
            <w:pPr/>
          </w:p>
        </w:tc>
        <w:tc>
          <w:tcPr>
            <w:tcW w:w="942" w:type="dxa"/>
            <w:tcBorders>
              <w:top w:val="nil" w:sz="6" w:space="0" w:color="auto"/>
              <w:left w:val="single" w:sz="6" w:space="0" w:color="000000"/>
              <w:bottom w:val="single" w:sz="6" w:space="0" w:color="000000"/>
              <w:right w:val="single" w:sz="6" w:space="0" w:color="000000"/>
            </w:tcBorders>
          </w:tcPr>
          <w:p>
            <w:pPr/>
          </w:p>
        </w:tc>
      </w:tr>
      <w:tr>
        <w:trPr>
          <w:trHeight w:val="739"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3" w:right="1"/>
              <w:jc w:val="left"/>
              <w:rPr>
                <w:rFonts w:ascii="宋体" w:hAnsi="宋体" w:cs="宋体" w:eastAsia="宋体" w:hint="default"/>
                <w:sz w:val="18"/>
                <w:szCs w:val="18"/>
              </w:rPr>
            </w:pPr>
            <w:r>
              <w:rPr>
                <w:rFonts w:ascii="宋体" w:hAnsi="宋体" w:cs="宋体" w:eastAsia="宋体" w:hint="default"/>
                <w:sz w:val="18"/>
                <w:szCs w:val="18"/>
              </w:rPr>
              <w:t>手</w:t>
            </w:r>
            <w:r>
              <w:rPr>
                <w:rFonts w:ascii="宋体" w:hAnsi="宋体" w:cs="宋体" w:eastAsia="宋体" w:hint="default"/>
                <w:spacing w:val="-57"/>
                <w:sz w:val="18"/>
                <w:szCs w:val="18"/>
              </w:rPr>
              <w:t> </w:t>
            </w:r>
            <w:r>
              <w:rPr>
                <w:rFonts w:ascii="宋体" w:hAnsi="宋体" w:cs="宋体" w:eastAsia="宋体" w:hint="default"/>
                <w:sz w:val="18"/>
                <w:szCs w:val="18"/>
              </w:rPr>
              <w:t>术</w:t>
            </w:r>
            <w:r>
              <w:rPr>
                <w:rFonts w:ascii="宋体" w:hAnsi="宋体" w:cs="宋体" w:eastAsia="宋体" w:hint="default"/>
                <w:spacing w:val="-54"/>
                <w:sz w:val="18"/>
                <w:szCs w:val="18"/>
              </w:rPr>
              <w:t> </w:t>
            </w:r>
            <w:r>
              <w:rPr>
                <w:rFonts w:ascii="宋体" w:hAnsi="宋体" w:cs="宋体" w:eastAsia="宋体" w:hint="default"/>
                <w:sz w:val="18"/>
                <w:szCs w:val="18"/>
              </w:rPr>
              <w:t>室</w:t>
            </w:r>
            <w:r>
              <w:rPr>
                <w:rFonts w:ascii="宋体" w:hAnsi="宋体" w:cs="宋体" w:eastAsia="宋体" w:hint="default"/>
                <w:spacing w:val="-57"/>
                <w:sz w:val="18"/>
                <w:szCs w:val="18"/>
              </w:rPr>
              <w:t> </w:t>
            </w:r>
            <w:r>
              <w:rPr>
                <w:rFonts w:ascii="宋体" w:hAnsi="宋体" w:cs="宋体" w:eastAsia="宋体" w:hint="default"/>
                <w:sz w:val="18"/>
                <w:szCs w:val="18"/>
              </w:rPr>
              <w:t>麻</w:t>
            </w:r>
            <w:r>
              <w:rPr>
                <w:rFonts w:ascii="宋体" w:hAnsi="宋体" w:cs="宋体" w:eastAsia="宋体" w:hint="default"/>
                <w:spacing w:val="-57"/>
                <w:sz w:val="18"/>
                <w:szCs w:val="18"/>
              </w:rPr>
              <w:t> </w:t>
            </w:r>
            <w:r>
              <w:rPr>
                <w:rFonts w:ascii="宋体" w:hAnsi="宋体" w:cs="宋体" w:eastAsia="宋体" w:hint="default"/>
                <w:sz w:val="18"/>
                <w:szCs w:val="18"/>
              </w:rPr>
              <w:t>醉</w:t>
            </w:r>
            <w:r>
              <w:rPr>
                <w:rFonts w:ascii="宋体" w:hAnsi="宋体" w:cs="宋体" w:eastAsia="宋体" w:hint="default"/>
                <w:spacing w:val="-54"/>
                <w:sz w:val="18"/>
                <w:szCs w:val="18"/>
              </w:rPr>
              <w:t> </w:t>
            </w:r>
            <w:r>
              <w:rPr>
                <w:rFonts w:ascii="宋体" w:hAnsi="宋体" w:cs="宋体" w:eastAsia="宋体" w:hint="default"/>
                <w:sz w:val="18"/>
                <w:szCs w:val="18"/>
              </w:rPr>
              <w:t>临</w:t>
            </w:r>
            <w:r>
              <w:rPr>
                <w:rFonts w:ascii="宋体" w:hAnsi="宋体" w:cs="宋体" w:eastAsia="宋体" w:hint="default"/>
                <w:sz w:val="18"/>
                <w:szCs w:val="18"/>
              </w:rPr>
              <w:t> 床信息系统</w:t>
            </w:r>
          </w:p>
        </w:tc>
        <w:tc>
          <w:tcPr>
            <w:tcW w:w="643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0"/>
              <w:ind w:left="3" w:right="1"/>
              <w:jc w:val="left"/>
              <w:rPr>
                <w:rFonts w:ascii="宋体" w:hAnsi="宋体" w:cs="宋体" w:eastAsia="宋体" w:hint="default"/>
                <w:sz w:val="18"/>
                <w:szCs w:val="18"/>
              </w:rPr>
            </w:pPr>
            <w:r>
              <w:rPr>
                <w:rFonts w:ascii="宋体" w:hAnsi="宋体" w:cs="宋体" w:eastAsia="宋体" w:hint="default"/>
                <w:sz w:val="18"/>
                <w:szCs w:val="18"/>
              </w:rPr>
              <w:t>基于老版本，根据市场需求</w:t>
            </w:r>
            <w:r>
              <w:rPr>
                <w:rFonts w:ascii="Times New Roman" w:hAnsi="Times New Roman" w:cs="Times New Roman" w:eastAsia="Times New Roman" w:hint="default"/>
                <w:sz w:val="18"/>
                <w:szCs w:val="18"/>
              </w:rPr>
              <w:t>,</w:t>
            </w:r>
            <w:r>
              <w:rPr>
                <w:rFonts w:ascii="宋体" w:hAnsi="宋体" w:cs="宋体" w:eastAsia="宋体" w:hint="default"/>
                <w:sz w:val="18"/>
                <w:szCs w:val="18"/>
              </w:rPr>
              <w:t>增加新功能，以此提高手麻产品的功能完善程度，提</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高市场竞争力。</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产品化</w:t>
            </w:r>
          </w:p>
        </w:tc>
      </w:tr>
    </w:tbl>
    <w:p>
      <w:pPr>
        <w:pStyle w:val="BodyText"/>
        <w:spacing w:line="240" w:lineRule="auto" w:before="51"/>
        <w:ind w:left="852"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525" w:type="dxa"/>
        <w:tblLayout w:type="fixed"/>
        <w:tblCellMar>
          <w:top w:w="0" w:type="dxa"/>
          <w:left w:w="0" w:type="dxa"/>
          <w:bottom w:w="0" w:type="dxa"/>
          <w:right w:w="0" w:type="dxa"/>
        </w:tblCellMar>
        <w:tblLook w:val="01E0"/>
      </w:tblPr>
      <w:tblGrid>
        <w:gridCol w:w="2976"/>
        <w:gridCol w:w="2376"/>
        <w:gridCol w:w="2292"/>
        <w:gridCol w:w="2248"/>
      </w:tblGrid>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41.63%</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42.25%</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37.47%</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36,892,569.05</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34,949,389.58</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31,861,578.82</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5.88%</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7,886,801.43</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4,757,954.07</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787,657.92</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49.91%</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11.88%</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1.35%</w:t>
            </w:r>
          </w:p>
        </w:tc>
      </w:tr>
    </w:tbl>
    <w:p>
      <w:pPr>
        <w:pStyle w:val="BodyText"/>
        <w:spacing w:line="240" w:lineRule="auto" w:before="52"/>
        <w:ind w:left="852" w:right="0"/>
        <w:jc w:val="left"/>
      </w:pPr>
      <w:r>
        <w:rPr/>
        <w:t>研发投入总额占营业收入的比重较上年发生显著变化的原因</w:t>
      </w:r>
    </w:p>
    <w:p>
      <w:pPr>
        <w:pStyle w:val="BodyText"/>
        <w:spacing w:line="340" w:lineRule="auto" w:before="115"/>
        <w:ind w:left="852"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研发投入资本化率大幅变动的原因及其合理性说明</w:t>
      </w:r>
    </w:p>
    <w:p>
      <w:pPr>
        <w:pStyle w:val="BodyText"/>
        <w:spacing w:line="240" w:lineRule="auto" w:before="41"/>
        <w:ind w:left="8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852"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849" w:type="dxa"/>
        <w:tblLayout w:type="fixed"/>
        <w:tblCellMar>
          <w:top w:w="0" w:type="dxa"/>
          <w:left w:w="0" w:type="dxa"/>
          <w:bottom w:w="0" w:type="dxa"/>
          <w:right w:w="0" w:type="dxa"/>
        </w:tblCellMar>
        <w:tblLook w:val="01E0"/>
      </w:tblPr>
      <w:tblGrid>
        <w:gridCol w:w="2628"/>
        <w:gridCol w:w="2292"/>
        <w:gridCol w:w="2256"/>
        <w:gridCol w:w="2392"/>
      </w:tblGrid>
      <w:tr>
        <w:trPr>
          <w:trHeight w:val="40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482,847,377.90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521,397,093.89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-7.39%</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464,172,501.90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472,060,837.31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-1.67%</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18,674,876.00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49,336,256.58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-62.15%</w:t>
            </w:r>
          </w:p>
        </w:tc>
      </w:tr>
      <w:tr>
        <w:trPr>
          <w:trHeight w:val="400"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41,867.50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229,293.00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-81.74%</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280" w:right="1020"/>
        </w:sectPr>
      </w:pPr>
    </w:p>
    <w:p>
      <w:pPr>
        <w:spacing w:line="240" w:lineRule="auto" w:before="4"/>
        <w:rPr>
          <w:rFonts w:ascii="宋体" w:hAnsi="宋体" w:cs="宋体" w:eastAsia="宋体" w:hint="default"/>
          <w:sz w:val="5"/>
          <w:szCs w:val="5"/>
        </w:rPr>
      </w:pPr>
    </w:p>
    <w:tbl>
      <w:tblPr>
        <w:tblW w:w="0" w:type="auto"/>
        <w:jc w:val="left"/>
        <w:tblInd w:w="849" w:type="dxa"/>
        <w:tblLayout w:type="fixed"/>
        <w:tblCellMar>
          <w:top w:w="0" w:type="dxa"/>
          <w:left w:w="0" w:type="dxa"/>
          <w:bottom w:w="0" w:type="dxa"/>
          <w:right w:w="0" w:type="dxa"/>
        </w:tblCellMar>
        <w:tblLook w:val="01E0"/>
      </w:tblPr>
      <w:tblGrid>
        <w:gridCol w:w="2628"/>
        <w:gridCol w:w="2292"/>
        <w:gridCol w:w="2256"/>
        <w:gridCol w:w="2392"/>
      </w:tblGrid>
      <w:tr>
        <w:trPr>
          <w:trHeight w:val="40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49,683,932.52</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75,520,486.11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-34.21%</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-49,642,065.02</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-75,291,193.11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34.07%</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154,072,070.15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811,280.10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18,891.23%</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205,239,041.52</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24,339,458.60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743.24%</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-51,166,971.37</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-23,528,178.50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-117.47%</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-82,317,396.12</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-49,258,941.30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w w:val="95"/>
                <w:sz w:val="18"/>
              </w:rPr>
              <w:t>-67.11%</w:t>
            </w:r>
            <w:r>
              <w:rPr>
                <w:rFonts w:ascii="Times New Roman"/>
                <w:spacing w:val="-1"/>
                <w:sz w:val="18"/>
              </w:rPr>
            </w:r>
          </w:p>
        </w:tc>
      </w:tr>
    </w:tbl>
    <w:p>
      <w:pPr>
        <w:pStyle w:val="BodyText"/>
        <w:spacing w:line="240" w:lineRule="auto" w:before="50"/>
        <w:ind w:left="852" w:right="0"/>
        <w:jc w:val="left"/>
      </w:pPr>
      <w:r>
        <w:rPr/>
        <w:t>相关数据同比发生重大变动的主要影响因素说明</w:t>
      </w:r>
    </w:p>
    <w:p>
      <w:pPr>
        <w:pStyle w:val="BodyText"/>
        <w:spacing w:line="240" w:lineRule="auto" w:before="117"/>
        <w:ind w:left="8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852" w:right="0"/>
        <w:jc w:val="left"/>
      </w:pPr>
      <w:r>
        <w:rPr>
          <w:rFonts w:ascii="Times New Roman" w:hAnsi="Times New Roman" w:cs="Times New Roman" w:eastAsia="Times New Roman" w:hint="default"/>
        </w:rPr>
        <w:t>1</w:t>
      </w:r>
      <w:r>
        <w:rPr/>
        <w:t>、投资活动现金流入同比减幅</w:t>
      </w:r>
      <w:r>
        <w:rPr>
          <w:spacing w:val="-48"/>
        </w:rPr>
        <w:t> </w:t>
      </w:r>
      <w:r>
        <w:rPr>
          <w:rFonts w:ascii="Times New Roman" w:hAnsi="Times New Roman" w:cs="Times New Roman" w:eastAsia="Times New Roman" w:hint="default"/>
        </w:rPr>
        <w:t>81.74%</w:t>
      </w:r>
      <w:r>
        <w:rPr/>
        <w:t>，主要原因系本报告期处置固定资产收回的现金减少所致。</w:t>
      </w:r>
    </w:p>
    <w:p>
      <w:pPr>
        <w:pStyle w:val="BodyText"/>
        <w:spacing w:line="240" w:lineRule="auto" w:before="101"/>
        <w:ind w:left="852" w:right="0"/>
        <w:jc w:val="left"/>
      </w:pPr>
      <w:r>
        <w:rPr>
          <w:rFonts w:ascii="Times New Roman" w:hAnsi="Times New Roman" w:cs="Times New Roman" w:eastAsia="Times New Roman" w:hint="default"/>
        </w:rPr>
        <w:t>2</w:t>
      </w:r>
      <w:r>
        <w:rPr/>
        <w:t>、投资活动现金流出同比减幅</w:t>
      </w:r>
      <w:r>
        <w:rPr>
          <w:spacing w:val="-48"/>
        </w:rPr>
        <w:t> </w:t>
      </w:r>
      <w:r>
        <w:rPr>
          <w:rFonts w:ascii="Times New Roman" w:hAnsi="Times New Roman" w:cs="Times New Roman" w:eastAsia="Times New Roman" w:hint="default"/>
        </w:rPr>
        <w:t>34.21%</w:t>
      </w:r>
      <w:r>
        <w:rPr/>
        <w:t>，主要原因系本报告期投资所支付的现金、购建固定资产支付的现金减少所致。</w:t>
      </w:r>
    </w:p>
    <w:p>
      <w:pPr>
        <w:pStyle w:val="BodyText"/>
        <w:spacing w:line="240" w:lineRule="auto" w:before="103"/>
        <w:ind w:left="852" w:right="0"/>
        <w:jc w:val="left"/>
      </w:pPr>
      <w:r>
        <w:rPr>
          <w:rFonts w:ascii="Times New Roman" w:hAnsi="Times New Roman" w:cs="Times New Roman" w:eastAsia="Times New Roman" w:hint="default"/>
        </w:rPr>
        <w:t>3</w:t>
      </w:r>
      <w:r>
        <w:rPr/>
        <w:t>、筹资活动现金流入同比增幅</w:t>
      </w:r>
      <w:r>
        <w:rPr>
          <w:spacing w:val="-51"/>
        </w:rPr>
        <w:t> </w:t>
      </w:r>
      <w:r>
        <w:rPr>
          <w:rFonts w:ascii="Times New Roman" w:hAnsi="Times New Roman" w:cs="Times New Roman" w:eastAsia="Times New Roman" w:hint="default"/>
        </w:rPr>
        <w:t>18,891.23%</w:t>
      </w:r>
      <w:r>
        <w:rPr/>
        <w:t>，主要原因系本报告期取得借款收到的现金增加所致。</w:t>
      </w:r>
    </w:p>
    <w:p>
      <w:pPr>
        <w:pStyle w:val="BodyText"/>
        <w:spacing w:line="338" w:lineRule="auto" w:before="103"/>
        <w:ind w:left="852" w:right="2658"/>
        <w:jc w:val="left"/>
      </w:pPr>
      <w:r>
        <w:rPr>
          <w:rFonts w:ascii="Times New Roman" w:hAnsi="Times New Roman" w:cs="Times New Roman" w:eastAsia="Times New Roman" w:hint="default"/>
        </w:rPr>
        <w:t>4</w:t>
      </w:r>
      <w:r>
        <w:rPr/>
        <w:t>、筹资活动现金流出同比增幅</w:t>
      </w:r>
      <w:r>
        <w:rPr>
          <w:spacing w:val="-49"/>
        </w:rPr>
        <w:t> </w:t>
      </w:r>
      <w:r>
        <w:rPr>
          <w:rFonts w:ascii="Times New Roman" w:hAnsi="Times New Roman" w:cs="Times New Roman" w:eastAsia="Times New Roman" w:hint="default"/>
        </w:rPr>
        <w:t>743.24%</w:t>
      </w:r>
      <w:r>
        <w:rPr/>
        <w:t>，主要原因系本报告期支付股权收购款增加所致。 报告期内公司经营活动产生的现金净流量与本年度净利润存在重大差异的原因说明</w:t>
      </w:r>
    </w:p>
    <w:p>
      <w:pPr>
        <w:pStyle w:val="BodyText"/>
        <w:spacing w:line="240" w:lineRule="auto" w:before="43"/>
        <w:ind w:left="8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852" w:right="0"/>
        <w:jc w:val="left"/>
        <w:rPr>
          <w:b w:val="0"/>
          <w:bCs w:val="0"/>
        </w:rPr>
      </w:pP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8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8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w w:val="95"/>
                <w:sz w:val="18"/>
              </w:rPr>
              <w:t>655.11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主要系处置长期股权投资</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4,735,227.32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2"/>
                <w:sz w:val="18"/>
              </w:rPr>
              <w:t>26.11%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主要系计提坏账准备金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62,415.29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主要系个税返还等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104,802.26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0.58%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主要系滞纳金等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left="852" w:right="0"/>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852"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512"/>
        <w:gridCol w:w="1416"/>
        <w:gridCol w:w="864"/>
        <w:gridCol w:w="1742"/>
        <w:gridCol w:w="934"/>
        <w:gridCol w:w="864"/>
        <w:gridCol w:w="2981"/>
      </w:tblGrid>
      <w:tr>
        <w:trPr>
          <w:trHeight w:val="402" w:hRule="exact"/>
        </w:trPr>
        <w:tc>
          <w:tcPr>
            <w:tcW w:w="1512" w:type="dxa"/>
            <w:vMerge w:val="restart"/>
            <w:tcBorders>
              <w:top w:val="single" w:sz="4" w:space="0" w:color="000000"/>
              <w:left w:val="single" w:sz="4" w:space="0" w:color="000000"/>
              <w:right w:val="single" w:sz="4" w:space="0" w:color="000000"/>
            </w:tcBorders>
            <w:shd w:val="clear" w:color="auto" w:fill="D2D2D2"/>
          </w:tcPr>
          <w:p>
            <w:pPr/>
          </w:p>
        </w:tc>
        <w:tc>
          <w:tcPr>
            <w:tcW w:w="22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4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512"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5" w:right="66"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2" w:right="100"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64" w:type="dxa"/>
            <w:vMerge/>
            <w:tcBorders>
              <w:left w:val="single" w:sz="4" w:space="0" w:color="000000"/>
              <w:bottom w:val="single" w:sz="4" w:space="0" w:color="000000"/>
              <w:right w:val="single" w:sz="4" w:space="0" w:color="000000"/>
            </w:tcBorders>
            <w:shd w:val="clear" w:color="auto" w:fill="D2D2D2"/>
          </w:tcPr>
          <w:p>
            <w:pPr/>
          </w:p>
        </w:tc>
        <w:tc>
          <w:tcPr>
            <w:tcW w:w="29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187,285,948.67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266,527,437.89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-6.21%</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主要系公司支付股权收购款所致。</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451,683,469.87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42.84%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451,390,318.29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40.59%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2.25%</w:t>
            </w:r>
          </w:p>
        </w:tc>
        <w:tc>
          <w:tcPr>
            <w:tcW w:w="29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31,766,172.93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44,524,399.42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-0.99%</w:t>
            </w:r>
          </w:p>
        </w:tc>
        <w:tc>
          <w:tcPr>
            <w:tcW w:w="29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151,886,515.82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14.40%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72,832,025.22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6.55%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7.85%</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主要系公司建设项目达到预定可使用</w:t>
            </w:r>
          </w:p>
        </w:tc>
      </w:tr>
    </w:tbl>
    <w:p>
      <w:pPr>
        <w:spacing w:after="0" w:line="240" w:lineRule="auto"/>
        <w:jc w:val="left"/>
        <w:rPr>
          <w:rFonts w:ascii="宋体" w:hAnsi="宋体" w:cs="宋体" w:eastAsia="宋体" w:hint="default"/>
          <w:sz w:val="18"/>
          <w:szCs w:val="18"/>
        </w:rPr>
        <w:sectPr>
          <w:pgSz w:w="11910" w:h="16840"/>
          <w:pgMar w:header="566" w:footer="978" w:top="1360" w:bottom="1160" w:left="280" w:right="1020"/>
        </w:sectPr>
      </w:pPr>
    </w:p>
    <w:p>
      <w:pPr>
        <w:spacing w:line="240" w:lineRule="auto" w:before="4"/>
        <w:rPr>
          <w:rFonts w:ascii="宋体" w:hAnsi="宋体" w:cs="宋体" w:eastAsia="宋体" w:hint="default"/>
          <w:sz w:val="5"/>
          <w:szCs w:val="5"/>
        </w:rPr>
      </w:pPr>
    </w:p>
    <w:tbl>
      <w:tblPr>
        <w:tblW w:w="0" w:type="auto"/>
        <w:jc w:val="left"/>
        <w:tblInd w:w="365" w:type="dxa"/>
        <w:tblLayout w:type="fixed"/>
        <w:tblCellMar>
          <w:top w:w="0" w:type="dxa"/>
          <w:left w:w="0" w:type="dxa"/>
          <w:bottom w:w="0" w:type="dxa"/>
          <w:right w:w="0" w:type="dxa"/>
        </w:tblCellMar>
        <w:tblLook w:val="01E0"/>
      </w:tblPr>
      <w:tblGrid>
        <w:gridCol w:w="1512"/>
        <w:gridCol w:w="1416"/>
        <w:gridCol w:w="864"/>
        <w:gridCol w:w="1742"/>
        <w:gridCol w:w="934"/>
        <w:gridCol w:w="864"/>
        <w:gridCol w:w="2981"/>
      </w:tblGrid>
      <w:tr>
        <w:trPr>
          <w:trHeight w:val="36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状态由在建工程转入固定资产所致。</w:t>
            </w:r>
          </w:p>
        </w:tc>
      </w:tr>
      <w:tr>
        <w:trPr>
          <w:trHeight w:val="714"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57,861,987.42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主要系公司建设项目达到预定可使用 状态由在建工程转入固定资产所致。</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17,689,404.25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c>
          <w:tcPr>
            <w:tcW w:w="174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主要系公司取得借款所致。</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67,539,500.00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6.41%</w:t>
            </w:r>
          </w:p>
        </w:tc>
        <w:tc>
          <w:tcPr>
            <w:tcW w:w="174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6.41%</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主要系公司取得借款所致。</w:t>
            </w:r>
          </w:p>
        </w:tc>
      </w:tr>
      <w:tr>
        <w:trPr>
          <w:trHeight w:val="71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17,010,000.00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0.65%</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主要系公司作为有限合伙人认缴出资 所致。</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129,952,175.05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137,786,903.91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-0.07%</w:t>
            </w:r>
          </w:p>
        </w:tc>
        <w:tc>
          <w:tcPr>
            <w:tcW w:w="29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64,095,429.22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4,930,036.62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主要系收购上海米健</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49.00%</w:t>
            </w:r>
            <w:r>
              <w:rPr>
                <w:rFonts w:ascii="宋体" w:hAnsi="宋体" w:cs="宋体" w:eastAsia="宋体" w:hint="default"/>
                <w:sz w:val="18"/>
                <w:szCs w:val="18"/>
              </w:rPr>
              <w:t>股权的部 分转让款未到支付期所致。</w:t>
            </w:r>
          </w:p>
        </w:tc>
      </w:tr>
    </w:tbl>
    <w:p>
      <w:pPr>
        <w:spacing w:line="240" w:lineRule="auto" w:before="4"/>
        <w:rPr>
          <w:rFonts w:ascii="宋体" w:hAnsi="宋体" w:cs="宋体" w:eastAsia="宋体" w:hint="default"/>
          <w:sz w:val="19"/>
          <w:szCs w:val="19"/>
        </w:rPr>
      </w:pPr>
    </w:p>
    <w:p>
      <w:pPr>
        <w:pStyle w:val="Heading3"/>
        <w:spacing w:line="240" w:lineRule="auto" w:before="34"/>
        <w:ind w:left="1112" w:right="646"/>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6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112" w:right="646"/>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before="44"/>
        <w:ind w:left="0" w:right="1239"/>
        <w:jc w:val="right"/>
      </w:pPr>
      <w:r>
        <w:rPr/>
        <w:pict>
          <v:shape style="position:absolute;margin-left:56.34pt;margin-top:-34.228271pt;width:447.9pt;height:70.150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00"/>
                    <w:gridCol w:w="1960"/>
                    <w:gridCol w:w="3176"/>
                  </w:tblGrid>
                  <w:tr>
                    <w:trPr>
                      <w:trHeight w:val="347" w:hRule="exact"/>
                    </w:trPr>
                    <w:tc>
                      <w:tcPr>
                        <w:tcW w:w="3800"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0"/>
                          <w:ind w:right="1711"/>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1960"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0"/>
                          <w:ind w:left="61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6"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7"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3,795,502.19</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74" w:right="0"/>
                          <w:jc w:val="left"/>
                          <w:rPr>
                            <w:rFonts w:ascii="宋体" w:hAnsi="宋体" w:cs="宋体" w:eastAsia="宋体" w:hint="default"/>
                            <w:sz w:val="18"/>
                            <w:szCs w:val="18"/>
                          </w:rPr>
                        </w:pPr>
                        <w:r>
                          <w:rPr>
                            <w:rFonts w:ascii="宋体" w:hAnsi="宋体" w:cs="宋体" w:eastAsia="宋体" w:hint="default"/>
                            <w:sz w:val="18"/>
                            <w:szCs w:val="18"/>
                          </w:rPr>
                          <w:t>保证金【详见第十一节、七、</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47"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质押【详见第十一节、十四、</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47"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11"/>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b/>
                            <w:spacing w:val="-1"/>
                            <w:sz w:val="18"/>
                          </w:rPr>
                          <w:t>103,795,502.19</w:t>
                        </w:r>
                        <w:r>
                          <w:rPr>
                            <w:rFonts w:ascii="Times New Roman"/>
                            <w:spacing w:val="-1"/>
                            <w:sz w:val="18"/>
                          </w:rPr>
                        </w:r>
                      </w:p>
                    </w:tc>
                    <w:tc>
                      <w:tcPr>
                        <w:tcW w:w="3176"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6"/>
        <w:ind w:left="1112" w:right="646"/>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12" w:right="646"/>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6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1" w:right="0"/>
              <w:jc w:val="left"/>
              <w:rPr>
                <w:rFonts w:ascii="Times New Roman" w:hAnsi="Times New Roman" w:cs="Times New Roman" w:eastAsia="Times New Roman" w:hint="default"/>
                <w:sz w:val="18"/>
                <w:szCs w:val="18"/>
              </w:rPr>
            </w:pPr>
            <w:r>
              <w:rPr>
                <w:rFonts w:ascii="Times New Roman"/>
                <w:sz w:val="18"/>
              </w:rPr>
              <w:t>214,849,700.00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1,163.08%</w:t>
            </w:r>
          </w:p>
        </w:tc>
      </w:tr>
    </w:tbl>
    <w:p>
      <w:pPr>
        <w:spacing w:line="240" w:lineRule="auto" w:before="5"/>
        <w:rPr>
          <w:rFonts w:ascii="宋体" w:hAnsi="宋体" w:cs="宋体" w:eastAsia="宋体" w:hint="default"/>
          <w:sz w:val="19"/>
          <w:szCs w:val="19"/>
        </w:rPr>
      </w:pPr>
    </w:p>
    <w:p>
      <w:pPr>
        <w:pStyle w:val="Heading3"/>
        <w:spacing w:line="240" w:lineRule="auto" w:before="34"/>
        <w:ind w:left="1112" w:right="646"/>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112" w:right="6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612"/>
        <w:jc w:val="right"/>
      </w:pPr>
      <w:r>
        <w:rPr/>
        <w:t>单位：元</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852"/>
        <w:gridCol w:w="1200"/>
        <w:gridCol w:w="564"/>
        <w:gridCol w:w="1188"/>
        <w:gridCol w:w="672"/>
        <w:gridCol w:w="555"/>
        <w:gridCol w:w="658"/>
        <w:gridCol w:w="503"/>
        <w:gridCol w:w="444"/>
        <w:gridCol w:w="1092"/>
        <w:gridCol w:w="1044"/>
        <w:gridCol w:w="444"/>
        <w:gridCol w:w="622"/>
        <w:gridCol w:w="1286"/>
      </w:tblGrid>
      <w:tr>
        <w:trPr>
          <w:trHeight w:val="71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0" w:right="59" w:hanging="89"/>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7" w:right="95"/>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1" w:right="5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4" w:right="6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 w:right="35"/>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5" w:right="66"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 w:right="35"/>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7" w:right="3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5" w:hRule="exact"/>
        </w:trPr>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沈阳荣科融</w:t>
            </w:r>
          </w:p>
        </w:tc>
        <w:tc>
          <w:tcPr>
            <w:tcW w:w="12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健康数据投资信</w:t>
            </w:r>
          </w:p>
        </w:tc>
        <w:tc>
          <w:tcPr>
            <w:tcW w:w="564" w:type="dxa"/>
            <w:tcBorders>
              <w:top w:val="single" w:sz="4" w:space="0" w:color="000000"/>
              <w:left w:val="single" w:sz="4" w:space="0" w:color="000000"/>
              <w:bottom w:val="nil" w:sz="6" w:space="0" w:color="auto"/>
              <w:right w:val="single" w:sz="4" w:space="0" w:color="000000"/>
            </w:tcBorders>
          </w:tcPr>
          <w:p>
            <w:pPr/>
          </w:p>
        </w:tc>
        <w:tc>
          <w:tcPr>
            <w:tcW w:w="1188"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55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北京融拓</w:t>
            </w:r>
          </w:p>
        </w:tc>
        <w:tc>
          <w:tcPr>
            <w:tcW w:w="503" w:type="dxa"/>
            <w:tcBorders>
              <w:top w:val="single" w:sz="4" w:space="0" w:color="000000"/>
              <w:left w:val="single" w:sz="4" w:space="0" w:color="000000"/>
              <w:bottom w:val="nil" w:sz="6" w:space="0" w:color="auto"/>
              <w:right w:val="single" w:sz="4" w:space="0" w:color="000000"/>
            </w:tcBorders>
          </w:tcPr>
          <w:p>
            <w:pPr/>
          </w:p>
        </w:tc>
        <w:tc>
          <w:tcPr>
            <w:tcW w:w="444" w:type="dxa"/>
            <w:tcBorders>
              <w:top w:val="single" w:sz="4" w:space="0" w:color="000000"/>
              <w:left w:val="single" w:sz="4" w:space="0" w:color="000000"/>
              <w:bottom w:val="nil" w:sz="6" w:space="0" w:color="auto"/>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444"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12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8"/>
              <w:ind w:right="33"/>
              <w:jc w:val="center"/>
              <w:rPr>
                <w:rFonts w:ascii="Times New Roman" w:hAnsi="Times New Roman" w:cs="Times New Roman" w:eastAsia="Times New Roman" w:hint="default"/>
                <w:sz w:val="15"/>
                <w:szCs w:val="15"/>
              </w:rPr>
            </w:pPr>
            <w:hyperlink r:id="rId21">
              <w:r>
                <w:rPr>
                  <w:rFonts w:ascii="Times New Roman"/>
                  <w:w w:val="95"/>
                  <w:sz w:val="15"/>
                </w:rPr>
                <w:t>http://www.cninfo.c</w:t>
              </w:r>
              <w:r>
                <w:rPr>
                  <w:rFonts w:ascii="Times New Roman"/>
                  <w:sz w:val="15"/>
                </w:rPr>
              </w:r>
            </w:hyperlink>
          </w:p>
        </w:tc>
      </w:tr>
      <w:tr>
        <w:trPr>
          <w:trHeight w:val="312"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2" w:right="0"/>
              <w:jc w:val="left"/>
              <w:rPr>
                <w:rFonts w:ascii="宋体" w:hAnsi="宋体" w:cs="宋体" w:eastAsia="宋体" w:hint="default"/>
                <w:sz w:val="15"/>
                <w:szCs w:val="15"/>
              </w:rPr>
            </w:pPr>
            <w:r>
              <w:rPr>
                <w:rFonts w:ascii="宋体" w:hAnsi="宋体" w:cs="宋体" w:eastAsia="宋体" w:hint="default"/>
                <w:sz w:val="15"/>
                <w:szCs w:val="15"/>
              </w:rPr>
              <w:t>拓健康数据</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2" w:right="0"/>
              <w:jc w:val="left"/>
              <w:rPr>
                <w:rFonts w:ascii="宋体" w:hAnsi="宋体" w:cs="宋体" w:eastAsia="宋体" w:hint="default"/>
                <w:sz w:val="15"/>
                <w:szCs w:val="15"/>
              </w:rPr>
            </w:pPr>
            <w:r>
              <w:rPr>
                <w:rFonts w:ascii="宋体" w:hAnsi="宋体" w:cs="宋体" w:eastAsia="宋体" w:hint="default"/>
                <w:spacing w:val="-7"/>
                <w:sz w:val="15"/>
                <w:szCs w:val="15"/>
              </w:rPr>
              <w:t>息咨询、股权投资</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2" w:right="0"/>
              <w:jc w:val="left"/>
              <w:rPr>
                <w:rFonts w:ascii="宋体" w:hAnsi="宋体" w:cs="宋体" w:eastAsia="宋体" w:hint="default"/>
                <w:sz w:val="15"/>
                <w:szCs w:val="15"/>
              </w:rPr>
            </w:pPr>
            <w:r>
              <w:rPr>
                <w:rFonts w:ascii="宋体" w:hAnsi="宋体" w:cs="宋体" w:eastAsia="宋体" w:hint="default"/>
                <w:sz w:val="15"/>
                <w:szCs w:val="15"/>
              </w:rPr>
              <w:t>创新投资</w:t>
            </w:r>
          </w:p>
        </w:tc>
        <w:tc>
          <w:tcPr>
            <w:tcW w:w="50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2" w:right="0"/>
              <w:jc w:val="left"/>
              <w:rPr>
                <w:rFonts w:ascii="宋体" w:hAnsi="宋体" w:cs="宋体" w:eastAsia="宋体" w:hint="default"/>
                <w:sz w:val="15"/>
                <w:szCs w:val="15"/>
              </w:rPr>
            </w:pPr>
            <w:r>
              <w:rPr>
                <w:rFonts w:ascii="宋体" w:hAnsi="宋体" w:cs="宋体" w:eastAsia="宋体" w:hint="default"/>
                <w:sz w:val="15"/>
                <w:szCs w:val="15"/>
              </w:rPr>
              <w:t>产业</w:t>
            </w: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center"/>
              <w:rPr>
                <w:rFonts w:ascii="Times New Roman" w:hAnsi="Times New Roman" w:cs="Times New Roman" w:eastAsia="Times New Roman" w:hint="default"/>
                <w:sz w:val="15"/>
                <w:szCs w:val="15"/>
              </w:rPr>
            </w:pPr>
            <w:r>
              <w:rPr>
                <w:rFonts w:ascii="Times New Roman"/>
                <w:sz w:val="15"/>
              </w:rPr>
              <w:t>om.cn/cninfo-new/d</w:t>
            </w:r>
          </w:p>
        </w:tc>
      </w:tr>
      <w:tr>
        <w:trPr>
          <w:trHeight w:val="312"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2" w:right="0"/>
              <w:jc w:val="left"/>
              <w:rPr>
                <w:rFonts w:ascii="宋体" w:hAnsi="宋体" w:cs="宋体" w:eastAsia="宋体" w:hint="default"/>
                <w:sz w:val="15"/>
                <w:szCs w:val="15"/>
              </w:rPr>
            </w:pPr>
            <w:r>
              <w:rPr>
                <w:rFonts w:ascii="宋体" w:hAnsi="宋体" w:cs="宋体" w:eastAsia="宋体" w:hint="default"/>
                <w:sz w:val="15"/>
                <w:szCs w:val="15"/>
              </w:rPr>
              <w:t>产业股权投</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2" w:right="0"/>
              <w:jc w:val="left"/>
              <w:rPr>
                <w:rFonts w:ascii="宋体" w:hAnsi="宋体" w:cs="宋体" w:eastAsia="宋体" w:hint="default"/>
                <w:sz w:val="15"/>
                <w:szCs w:val="15"/>
              </w:rPr>
            </w:pPr>
            <w:r>
              <w:rPr>
                <w:rFonts w:ascii="宋体" w:hAnsi="宋体" w:cs="宋体" w:eastAsia="宋体" w:hint="default"/>
                <w:spacing w:val="-7"/>
                <w:sz w:val="15"/>
                <w:szCs w:val="15"/>
              </w:rPr>
              <w:t>管理；健康数据产</w:t>
            </w:r>
          </w:p>
        </w:tc>
        <w:tc>
          <w:tcPr>
            <w:tcW w:w="56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368" w:right="0"/>
              <w:jc w:val="left"/>
              <w:rPr>
                <w:rFonts w:ascii="Times New Roman" w:hAnsi="Times New Roman" w:cs="Times New Roman" w:eastAsia="Times New Roman" w:hint="default"/>
                <w:sz w:val="15"/>
                <w:szCs w:val="15"/>
              </w:rPr>
            </w:pPr>
            <w:r>
              <w:rPr>
                <w:rFonts w:ascii="Times New Roman"/>
                <w:sz w:val="15"/>
              </w:rPr>
              <w:t>6,000,000.00</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78" w:right="0"/>
              <w:jc w:val="left"/>
              <w:rPr>
                <w:rFonts w:ascii="Times New Roman" w:hAnsi="Times New Roman" w:cs="Times New Roman" w:eastAsia="Times New Roman" w:hint="default"/>
                <w:sz w:val="15"/>
                <w:szCs w:val="15"/>
              </w:rPr>
            </w:pPr>
            <w:r>
              <w:rPr>
                <w:rFonts w:ascii="Times New Roman"/>
                <w:sz w:val="15"/>
              </w:rPr>
              <w:t>10.00%</w:t>
            </w:r>
          </w:p>
        </w:tc>
        <w:tc>
          <w:tcPr>
            <w:tcW w:w="555"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自筹</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2" w:right="0"/>
              <w:jc w:val="left"/>
              <w:rPr>
                <w:rFonts w:ascii="宋体" w:hAnsi="宋体" w:cs="宋体" w:eastAsia="宋体" w:hint="default"/>
                <w:sz w:val="15"/>
                <w:szCs w:val="15"/>
              </w:rPr>
            </w:pPr>
            <w:r>
              <w:rPr>
                <w:rFonts w:ascii="宋体" w:hAnsi="宋体" w:cs="宋体" w:eastAsia="宋体" w:hint="default"/>
                <w:sz w:val="15"/>
                <w:szCs w:val="15"/>
              </w:rPr>
              <w:t>管理有限</w:t>
            </w:r>
          </w:p>
        </w:tc>
        <w:tc>
          <w:tcPr>
            <w:tcW w:w="503"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2" w:right="0"/>
              <w:jc w:val="left"/>
              <w:rPr>
                <w:rFonts w:ascii="宋体" w:hAnsi="宋体" w:cs="宋体" w:eastAsia="宋体" w:hint="default"/>
                <w:sz w:val="15"/>
                <w:szCs w:val="15"/>
              </w:rPr>
            </w:pPr>
            <w:r>
              <w:rPr>
                <w:rFonts w:ascii="宋体" w:hAnsi="宋体" w:cs="宋体" w:eastAsia="宋体" w:hint="default"/>
                <w:sz w:val="15"/>
                <w:szCs w:val="15"/>
              </w:rPr>
              <w:t>基金</w:t>
            </w: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w w:val="99"/>
                <w:sz w:val="15"/>
                <w:szCs w:val="15"/>
              </w:rPr>
              <w:t>否</w:t>
            </w:r>
            <w:r>
              <w:rPr>
                <w:rFonts w:ascii="宋体" w:hAnsi="宋体" w:cs="宋体" w:eastAsia="宋体" w:hint="default"/>
                <w:sz w:val="15"/>
                <w:szCs w:val="15"/>
              </w:rPr>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03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03</w:t>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2"/>
              <w:jc w:val="center"/>
              <w:rPr>
                <w:rFonts w:ascii="Times New Roman" w:hAnsi="Times New Roman" w:cs="Times New Roman" w:eastAsia="Times New Roman" w:hint="default"/>
                <w:sz w:val="15"/>
                <w:szCs w:val="15"/>
              </w:rPr>
            </w:pPr>
            <w:r>
              <w:rPr>
                <w:rFonts w:ascii="Times New Roman"/>
                <w:sz w:val="15"/>
              </w:rPr>
              <w:t>isclosure/fulltext/bu</w:t>
            </w:r>
          </w:p>
        </w:tc>
      </w:tr>
      <w:tr>
        <w:trPr>
          <w:trHeight w:val="322"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2" w:right="0"/>
              <w:jc w:val="left"/>
              <w:rPr>
                <w:rFonts w:ascii="宋体" w:hAnsi="宋体" w:cs="宋体" w:eastAsia="宋体" w:hint="default"/>
                <w:sz w:val="15"/>
                <w:szCs w:val="15"/>
              </w:rPr>
            </w:pPr>
            <w:r>
              <w:rPr>
                <w:rFonts w:ascii="宋体" w:hAnsi="宋体" w:cs="宋体" w:eastAsia="宋体" w:hint="default"/>
                <w:sz w:val="15"/>
                <w:szCs w:val="15"/>
              </w:rPr>
              <w:t>资合伙企业</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2" w:right="0"/>
              <w:jc w:val="left"/>
              <w:rPr>
                <w:rFonts w:ascii="宋体" w:hAnsi="宋体" w:cs="宋体" w:eastAsia="宋体" w:hint="default"/>
                <w:sz w:val="15"/>
                <w:szCs w:val="15"/>
              </w:rPr>
            </w:pPr>
            <w:r>
              <w:rPr>
                <w:rFonts w:ascii="宋体" w:hAnsi="宋体" w:cs="宋体" w:eastAsia="宋体" w:hint="default"/>
                <w:sz w:val="15"/>
                <w:szCs w:val="15"/>
              </w:rPr>
              <w:t>业投资</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2"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503"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8"/>
              <w:jc w:val="center"/>
              <w:rPr>
                <w:rFonts w:ascii="Times New Roman" w:hAnsi="Times New Roman" w:cs="Times New Roman" w:eastAsia="Times New Roman" w:hint="default"/>
                <w:sz w:val="15"/>
                <w:szCs w:val="15"/>
              </w:rPr>
            </w:pPr>
            <w:r>
              <w:rPr>
                <w:rFonts w:ascii="Times New Roman"/>
                <w:sz w:val="15"/>
              </w:rPr>
              <w:t>lletin_detail/true/12</w:t>
            </w:r>
          </w:p>
        </w:tc>
      </w:tr>
      <w:tr>
        <w:trPr>
          <w:trHeight w:val="248" w:hRule="exact"/>
        </w:trPr>
        <w:tc>
          <w:tcPr>
            <w:tcW w:w="852" w:type="dxa"/>
            <w:tcBorders>
              <w:top w:val="nil" w:sz="6" w:space="0" w:color="auto"/>
              <w:left w:val="single" w:sz="4" w:space="0" w:color="000000"/>
              <w:bottom w:val="single" w:sz="4" w:space="0" w:color="000000"/>
              <w:right w:val="single" w:sz="4" w:space="0" w:color="000000"/>
            </w:tcBorders>
          </w:tcPr>
          <w:p>
            <w:pPr>
              <w:pStyle w:val="TableParagraph"/>
              <w:spacing w:line="162" w:lineRule="exact"/>
              <w:ind w:left="22" w:right="0"/>
              <w:jc w:val="left"/>
              <w:rPr>
                <w:rFonts w:ascii="宋体" w:hAnsi="宋体" w:cs="宋体" w:eastAsia="宋体" w:hint="default"/>
                <w:sz w:val="15"/>
                <w:szCs w:val="15"/>
              </w:rPr>
            </w:pPr>
            <w:r>
              <w:rPr>
                <w:rFonts w:ascii="宋体" w:hAnsi="宋体" w:cs="宋体" w:eastAsia="宋体" w:hint="default"/>
                <w:sz w:val="15"/>
                <w:szCs w:val="15"/>
              </w:rPr>
              <w:t>（有限合</w:t>
            </w:r>
          </w:p>
        </w:tc>
        <w:tc>
          <w:tcPr>
            <w:tcW w:w="1200" w:type="dxa"/>
            <w:tcBorders>
              <w:top w:val="nil" w:sz="6" w:space="0" w:color="auto"/>
              <w:left w:val="single" w:sz="4" w:space="0" w:color="000000"/>
              <w:bottom w:val="single" w:sz="4" w:space="0" w:color="000000"/>
              <w:right w:val="single" w:sz="4" w:space="0" w:color="000000"/>
            </w:tcBorders>
          </w:tcPr>
          <w:p>
            <w:pPr/>
          </w:p>
        </w:tc>
        <w:tc>
          <w:tcPr>
            <w:tcW w:w="564" w:type="dxa"/>
            <w:tcBorders>
              <w:top w:val="nil" w:sz="6" w:space="0" w:color="auto"/>
              <w:left w:val="single" w:sz="4" w:space="0" w:color="000000"/>
              <w:bottom w:val="single" w:sz="4" w:space="0" w:color="000000"/>
              <w:right w:val="single" w:sz="4" w:space="0" w:color="000000"/>
            </w:tcBorders>
          </w:tcPr>
          <w:p>
            <w:pPr/>
          </w:p>
        </w:tc>
        <w:tc>
          <w:tcPr>
            <w:tcW w:w="1188"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55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503" w:type="dxa"/>
            <w:tcBorders>
              <w:top w:val="nil" w:sz="6" w:space="0" w:color="auto"/>
              <w:left w:val="single" w:sz="4" w:space="0" w:color="000000"/>
              <w:bottom w:val="single" w:sz="4" w:space="0" w:color="000000"/>
              <w:right w:val="single" w:sz="4" w:space="0" w:color="000000"/>
            </w:tcBorders>
          </w:tcPr>
          <w:p>
            <w:pPr/>
          </w:p>
        </w:tc>
        <w:tc>
          <w:tcPr>
            <w:tcW w:w="444" w:type="dxa"/>
            <w:tcBorders>
              <w:top w:val="nil" w:sz="6" w:space="0" w:color="auto"/>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444"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2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57"/>
              <w:jc w:val="center"/>
              <w:rPr>
                <w:rFonts w:ascii="Times New Roman" w:hAnsi="Times New Roman" w:cs="Times New Roman" w:eastAsia="Times New Roman" w:hint="default"/>
                <w:sz w:val="15"/>
                <w:szCs w:val="15"/>
              </w:rPr>
            </w:pPr>
            <w:r>
              <w:rPr>
                <w:rFonts w:ascii="Times New Roman"/>
                <w:sz w:val="15"/>
              </w:rPr>
              <w:t>02021055?announc</w:t>
            </w:r>
          </w:p>
        </w:tc>
      </w:tr>
    </w:tbl>
    <w:p>
      <w:pPr>
        <w:spacing w:after="0" w:line="240" w:lineRule="auto"/>
        <w:jc w:val="center"/>
        <w:rPr>
          <w:rFonts w:ascii="Times New Roman" w:hAnsi="Times New Roman" w:cs="Times New Roman" w:eastAsia="Times New Roman" w:hint="default"/>
          <w:sz w:val="15"/>
          <w:szCs w:val="15"/>
        </w:rPr>
        <w:sectPr>
          <w:pgSz w:w="11910" w:h="16840"/>
          <w:pgMar w:header="566" w:footer="978" w:top="1360" w:bottom="1160" w:left="20" w:right="520"/>
        </w:sectPr>
      </w:pPr>
    </w:p>
    <w:p>
      <w:pPr>
        <w:spacing w:line="240" w:lineRule="auto" w:before="4"/>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852"/>
        <w:gridCol w:w="1200"/>
        <w:gridCol w:w="564"/>
        <w:gridCol w:w="1188"/>
        <w:gridCol w:w="672"/>
        <w:gridCol w:w="555"/>
        <w:gridCol w:w="658"/>
        <w:gridCol w:w="503"/>
        <w:gridCol w:w="444"/>
        <w:gridCol w:w="1092"/>
        <w:gridCol w:w="1044"/>
        <w:gridCol w:w="444"/>
        <w:gridCol w:w="622"/>
        <w:gridCol w:w="1286"/>
      </w:tblGrid>
      <w:tr>
        <w:trPr>
          <w:trHeight w:val="67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伙）</w:t>
            </w:r>
          </w:p>
        </w:tc>
        <w:tc>
          <w:tcPr>
            <w:tcW w:w="120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69"/>
              <w:ind w:left="22" w:right="90"/>
              <w:jc w:val="left"/>
              <w:rPr>
                <w:rFonts w:ascii="Times New Roman" w:hAnsi="Times New Roman" w:cs="Times New Roman" w:eastAsia="Times New Roman" w:hint="default"/>
                <w:sz w:val="15"/>
                <w:szCs w:val="15"/>
              </w:rPr>
            </w:pPr>
            <w:r>
              <w:rPr>
                <w:rFonts w:ascii="Times New Roman"/>
                <w:w w:val="95"/>
                <w:sz w:val="15"/>
              </w:rPr>
              <w:t>eTime=2016-03-03</w:t>
            </w:r>
            <w:r>
              <w:rPr>
                <w:rFonts w:ascii="Times New Roman"/>
                <w:spacing w:val="7"/>
                <w:w w:val="95"/>
                <w:sz w:val="15"/>
              </w:rPr>
              <w:t> </w:t>
            </w:r>
            <w:r>
              <w:rPr>
                <w:rFonts w:ascii="Times New Roman"/>
                <w:spacing w:val="7"/>
                <w:w w:val="95"/>
                <w:sz w:val="15"/>
              </w:rPr>
            </w:r>
            <w:r>
              <w:rPr>
                <w:rFonts w:ascii="Times New Roman"/>
                <w:sz w:val="15"/>
              </w:rPr>
              <w:t>17:34</w:t>
            </w:r>
          </w:p>
        </w:tc>
      </w:tr>
      <w:tr>
        <w:trPr>
          <w:trHeight w:val="282" w:hRule="exact"/>
        </w:trPr>
        <w:tc>
          <w:tcPr>
            <w:tcW w:w="852"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564" w:type="dxa"/>
            <w:tcBorders>
              <w:top w:val="single" w:sz="4" w:space="0" w:color="000000"/>
              <w:left w:val="single" w:sz="4" w:space="0" w:color="000000"/>
              <w:bottom w:val="nil" w:sz="6" w:space="0" w:color="auto"/>
              <w:right w:val="single" w:sz="4" w:space="0" w:color="000000"/>
            </w:tcBorders>
          </w:tcPr>
          <w:p>
            <w:pPr/>
          </w:p>
        </w:tc>
        <w:tc>
          <w:tcPr>
            <w:tcW w:w="1188"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555" w:type="dxa"/>
            <w:tcBorders>
              <w:top w:val="single" w:sz="4" w:space="0" w:color="000000"/>
              <w:left w:val="single" w:sz="4" w:space="0" w:color="000000"/>
              <w:bottom w:val="nil" w:sz="6" w:space="0" w:color="auto"/>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503" w:type="dxa"/>
            <w:vMerge w:val="restart"/>
            <w:tcBorders>
              <w:top w:val="single" w:sz="4" w:space="0" w:color="000000"/>
              <w:left w:val="single" w:sz="4" w:space="0" w:color="000000"/>
              <w:right w:val="single" w:sz="4" w:space="0" w:color="000000"/>
            </w:tcBorders>
          </w:tcPr>
          <w:p>
            <w:pPr/>
          </w:p>
        </w:tc>
        <w:tc>
          <w:tcPr>
            <w:tcW w:w="444" w:type="dxa"/>
            <w:vMerge w:val="restart"/>
            <w:tcBorders>
              <w:top w:val="single" w:sz="4" w:space="0" w:color="000000"/>
              <w:left w:val="single" w:sz="4" w:space="0" w:color="000000"/>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444"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12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8"/>
              <w:ind w:left="22" w:right="0"/>
              <w:jc w:val="left"/>
              <w:rPr>
                <w:rFonts w:ascii="Times New Roman" w:hAnsi="Times New Roman" w:cs="Times New Roman" w:eastAsia="Times New Roman" w:hint="default"/>
                <w:sz w:val="15"/>
                <w:szCs w:val="15"/>
              </w:rPr>
            </w:pPr>
            <w:hyperlink r:id="rId21">
              <w:r>
                <w:rPr>
                  <w:rFonts w:ascii="Times New Roman"/>
                  <w:sz w:val="15"/>
                </w:rPr>
                <w:t>http://www.cninfo.c</w:t>
              </w:r>
            </w:hyperlink>
          </w:p>
        </w:tc>
      </w:tr>
      <w:tr>
        <w:trPr>
          <w:trHeight w:val="156"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pacing w:val="-7"/>
                <w:sz w:val="15"/>
                <w:szCs w:val="15"/>
              </w:rPr>
              <w:t>信息科技、计算机</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156"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22" w:right="0"/>
              <w:jc w:val="left"/>
              <w:rPr>
                <w:rFonts w:ascii="Times New Roman" w:hAnsi="Times New Roman" w:cs="Times New Roman" w:eastAsia="Times New Roman" w:hint="default"/>
                <w:sz w:val="15"/>
                <w:szCs w:val="15"/>
              </w:rPr>
            </w:pPr>
            <w:r>
              <w:rPr>
                <w:rFonts w:ascii="Times New Roman"/>
                <w:sz w:val="15"/>
              </w:rPr>
              <w:t>om.cn/cninfo-new/d</w:t>
            </w:r>
          </w:p>
        </w:tc>
      </w:tr>
      <w:tr>
        <w:trPr>
          <w:trHeight w:val="152"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pacing w:val="-7"/>
                <w:sz w:val="15"/>
                <w:szCs w:val="15"/>
              </w:rPr>
              <w:t>软硬件科技、网络</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上海米健信</w:t>
            </w:r>
          </w:p>
        </w:tc>
        <w:tc>
          <w:tcPr>
            <w:tcW w:w="1200" w:type="dxa"/>
            <w:tcBorders>
              <w:top w:val="nil" w:sz="6" w:space="0" w:color="auto"/>
              <w:left w:val="single" w:sz="4" w:space="0" w:color="000000"/>
              <w:bottom w:val="nil" w:sz="6" w:space="0" w:color="auto"/>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自有资</w:t>
            </w: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Times New Roman" w:hAnsi="Times New Roman" w:cs="Times New Roman" w:eastAsia="Times New Roman" w:hint="default"/>
                <w:sz w:val="15"/>
                <w:szCs w:val="15"/>
              </w:rPr>
            </w:pPr>
            <w:r>
              <w:rPr>
                <w:rFonts w:ascii="Times New Roman"/>
                <w:sz w:val="15"/>
              </w:rPr>
              <w:t>isclosure/szse_gem/</w:t>
            </w:r>
          </w:p>
        </w:tc>
      </w:tr>
      <w:tr>
        <w:trPr>
          <w:trHeight w:val="152"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科技技术领域内</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息技术有限</w:t>
            </w:r>
          </w:p>
        </w:tc>
        <w:tc>
          <w:tcPr>
            <w:tcW w:w="1200" w:type="dxa"/>
            <w:tcBorders>
              <w:top w:val="nil" w:sz="6" w:space="0" w:color="auto"/>
              <w:left w:val="single" w:sz="4" w:space="0" w:color="000000"/>
              <w:bottom w:val="nil" w:sz="6" w:space="0" w:color="auto"/>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231"/>
              <w:jc w:val="right"/>
              <w:rPr>
                <w:rFonts w:ascii="宋体" w:hAnsi="宋体" w:cs="宋体" w:eastAsia="宋体" w:hint="default"/>
                <w:sz w:val="15"/>
                <w:szCs w:val="15"/>
              </w:rPr>
            </w:pPr>
            <w:r>
              <w:rPr>
                <w:rFonts w:ascii="宋体" w:hAnsi="宋体" w:cs="宋体" w:eastAsia="宋体" w:hint="default"/>
                <w:spacing w:val="-1"/>
                <w:w w:val="95"/>
                <w:sz w:val="15"/>
                <w:szCs w:val="15"/>
              </w:rPr>
              <w:t>收购</w:t>
            </w:r>
            <w:r>
              <w:rPr>
                <w:rFonts w:ascii="宋体" w:hAnsi="宋体" w:cs="宋体" w:eastAsia="宋体" w:hint="default"/>
                <w:spacing w:val="-1"/>
                <w:sz w:val="15"/>
                <w:szCs w:val="15"/>
              </w:rPr>
            </w: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20"/>
              <w:jc w:val="right"/>
              <w:rPr>
                <w:rFonts w:ascii="Times New Roman" w:hAnsi="Times New Roman" w:cs="Times New Roman" w:eastAsia="Times New Roman" w:hint="default"/>
                <w:sz w:val="15"/>
                <w:szCs w:val="15"/>
              </w:rPr>
            </w:pPr>
            <w:r>
              <w:rPr>
                <w:rFonts w:ascii="Times New Roman"/>
                <w:spacing w:val="-1"/>
                <w:sz w:val="15"/>
              </w:rPr>
              <w:t>201,880,000.00</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76" w:right="0"/>
              <w:jc w:val="center"/>
              <w:rPr>
                <w:rFonts w:ascii="Times New Roman" w:hAnsi="Times New Roman" w:cs="Times New Roman" w:eastAsia="Times New Roman" w:hint="default"/>
                <w:sz w:val="15"/>
                <w:szCs w:val="15"/>
              </w:rPr>
            </w:pPr>
            <w:r>
              <w:rPr>
                <w:rFonts w:ascii="Times New Roman"/>
                <w:sz w:val="15"/>
              </w:rPr>
              <w:t>100.00%</w:t>
            </w:r>
          </w:p>
        </w:tc>
        <w:tc>
          <w:tcPr>
            <w:tcW w:w="555"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金及银</w:t>
            </w: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20"/>
              <w:jc w:val="right"/>
              <w:rPr>
                <w:rFonts w:ascii="Times New Roman" w:hAnsi="Times New Roman" w:cs="Times New Roman" w:eastAsia="Times New Roman" w:hint="default"/>
                <w:sz w:val="15"/>
                <w:szCs w:val="15"/>
              </w:rPr>
            </w:pPr>
            <w:r>
              <w:rPr>
                <w:rFonts w:ascii="Times New Roman"/>
                <w:spacing w:val="-1"/>
                <w:sz w:val="15"/>
              </w:rPr>
              <w:t>30,700,000.00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20"/>
              <w:jc w:val="right"/>
              <w:rPr>
                <w:rFonts w:ascii="Times New Roman" w:hAnsi="Times New Roman" w:cs="Times New Roman" w:eastAsia="Times New Roman" w:hint="default"/>
                <w:sz w:val="15"/>
                <w:szCs w:val="15"/>
              </w:rPr>
            </w:pPr>
            <w:r>
              <w:rPr>
                <w:rFonts w:ascii="Times New Roman"/>
                <w:spacing w:val="-1"/>
                <w:sz w:val="15"/>
              </w:rPr>
              <w:t>30,747,755.28</w:t>
            </w: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w w:val="99"/>
                <w:sz w:val="15"/>
                <w:szCs w:val="15"/>
              </w:rPr>
              <w:t>否</w:t>
            </w:r>
            <w:r>
              <w:rPr>
                <w:rFonts w:ascii="宋体" w:hAnsi="宋体" w:cs="宋体" w:eastAsia="宋体" w:hint="default"/>
                <w:sz w:val="15"/>
                <w:szCs w:val="15"/>
              </w:rPr>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Times New Roman" w:hAnsi="Times New Roman" w:cs="Times New Roman" w:eastAsia="Times New Roman" w:hint="default"/>
                <w:sz w:val="15"/>
                <w:szCs w:val="15"/>
              </w:rPr>
            </w:pPr>
            <w:r>
              <w:rPr>
                <w:rFonts w:ascii="Times New Roman"/>
                <w:sz w:val="15"/>
              </w:rPr>
              <w:t>bulletin_detail/true/</w:t>
            </w:r>
          </w:p>
        </w:tc>
      </w:tr>
      <w:tr>
        <w:trPr>
          <w:trHeight w:val="152"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pacing w:val="-7"/>
                <w:sz w:val="15"/>
                <w:szCs w:val="15"/>
              </w:rPr>
              <w:t>的技术开发、技术</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200" w:type="dxa"/>
            <w:tcBorders>
              <w:top w:val="nil" w:sz="6" w:space="0" w:color="auto"/>
              <w:left w:val="single" w:sz="4" w:space="0" w:color="000000"/>
              <w:bottom w:val="nil" w:sz="6" w:space="0" w:color="auto"/>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行借款</w:t>
            </w: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Times New Roman" w:hAnsi="Times New Roman" w:cs="Times New Roman" w:eastAsia="Times New Roman" w:hint="default"/>
                <w:sz w:val="15"/>
                <w:szCs w:val="15"/>
              </w:rPr>
            </w:pPr>
            <w:r>
              <w:rPr>
                <w:rFonts w:ascii="Times New Roman"/>
                <w:sz w:val="15"/>
              </w:rPr>
              <w:t>1202866008?annou</w:t>
            </w:r>
          </w:p>
        </w:tc>
      </w:tr>
      <w:tr>
        <w:trPr>
          <w:trHeight w:val="156"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33"/>
              <w:jc w:val="left"/>
              <w:rPr>
                <w:rFonts w:ascii="宋体" w:hAnsi="宋体" w:cs="宋体" w:eastAsia="宋体" w:hint="default"/>
                <w:sz w:val="15"/>
                <w:szCs w:val="15"/>
              </w:rPr>
            </w:pPr>
            <w:r>
              <w:rPr>
                <w:rFonts w:ascii="宋体" w:hAnsi="宋体" w:cs="宋体" w:eastAsia="宋体" w:hint="default"/>
                <w:sz w:val="15"/>
                <w:szCs w:val="15"/>
              </w:rPr>
              <w:t>咨询、技术转让、</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156"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22" w:right="0"/>
              <w:jc w:val="left"/>
              <w:rPr>
                <w:rFonts w:ascii="Times New Roman" w:hAnsi="Times New Roman" w:cs="Times New Roman" w:eastAsia="Times New Roman" w:hint="default"/>
                <w:sz w:val="15"/>
                <w:szCs w:val="15"/>
              </w:rPr>
            </w:pPr>
            <w:r>
              <w:rPr>
                <w:rFonts w:ascii="Times New Roman"/>
                <w:sz w:val="15"/>
              </w:rPr>
              <w:t>nceTime=2016-12-0</w:t>
            </w:r>
          </w:p>
        </w:tc>
      </w:tr>
      <w:tr>
        <w:trPr>
          <w:trHeight w:val="156"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技术服务等</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276" w:hRule="exact"/>
        </w:trPr>
        <w:tc>
          <w:tcPr>
            <w:tcW w:w="852"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564" w:type="dxa"/>
            <w:tcBorders>
              <w:top w:val="nil" w:sz="6" w:space="0" w:color="auto"/>
              <w:left w:val="single" w:sz="4" w:space="0" w:color="000000"/>
              <w:bottom w:val="single" w:sz="4" w:space="0" w:color="000000"/>
              <w:right w:val="single" w:sz="4" w:space="0" w:color="000000"/>
            </w:tcBorders>
          </w:tcPr>
          <w:p>
            <w:pPr/>
          </w:p>
        </w:tc>
        <w:tc>
          <w:tcPr>
            <w:tcW w:w="1188"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555" w:type="dxa"/>
            <w:tcBorders>
              <w:top w:val="nil" w:sz="6" w:space="0" w:color="auto"/>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503" w:type="dxa"/>
            <w:vMerge/>
            <w:tcBorders>
              <w:left w:val="single" w:sz="4" w:space="0" w:color="000000"/>
              <w:bottom w:val="single" w:sz="4" w:space="0" w:color="000000"/>
              <w:right w:val="single" w:sz="4" w:space="0" w:color="000000"/>
            </w:tcBorders>
          </w:tcPr>
          <w:p>
            <w:pPr/>
          </w:p>
        </w:tc>
        <w:tc>
          <w:tcPr>
            <w:tcW w:w="444" w:type="dxa"/>
            <w:vMerge/>
            <w:tcBorders>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444"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286" w:type="dxa"/>
            <w:tcBorders>
              <w:top w:val="nil" w:sz="6" w:space="0" w:color="auto"/>
              <w:left w:val="single" w:sz="4" w:space="0" w:color="000000"/>
              <w:bottom w:val="single" w:sz="4" w:space="0" w:color="000000"/>
              <w:right w:val="single" w:sz="4" w:space="0" w:color="000000"/>
            </w:tcBorders>
          </w:tcPr>
          <w:p>
            <w:pPr>
              <w:pStyle w:val="TableParagraph"/>
              <w:spacing w:line="160" w:lineRule="exact"/>
              <w:ind w:left="22" w:right="0"/>
              <w:jc w:val="left"/>
              <w:rPr>
                <w:rFonts w:ascii="Times New Roman" w:hAnsi="Times New Roman" w:cs="Times New Roman" w:eastAsia="Times New Roman" w:hint="default"/>
                <w:sz w:val="15"/>
                <w:szCs w:val="15"/>
              </w:rPr>
            </w:pPr>
            <w:r>
              <w:rPr>
                <w:rFonts w:ascii="Times New Roman"/>
                <w:sz w:val="15"/>
              </w:rPr>
              <w:t>8</w:t>
            </w:r>
            <w:r>
              <w:rPr>
                <w:rFonts w:ascii="Times New Roman"/>
                <w:spacing w:val="-4"/>
                <w:sz w:val="15"/>
              </w:rPr>
              <w:t> </w:t>
            </w:r>
            <w:r>
              <w:rPr>
                <w:rFonts w:ascii="Times New Roman"/>
                <w:sz w:val="15"/>
              </w:rPr>
              <w:t>19:26</w:t>
            </w:r>
          </w:p>
        </w:tc>
      </w:tr>
      <w:tr>
        <w:trPr>
          <w:trHeight w:val="283" w:hRule="exact"/>
        </w:trPr>
        <w:tc>
          <w:tcPr>
            <w:tcW w:w="852"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564" w:type="dxa"/>
            <w:tcBorders>
              <w:top w:val="single" w:sz="4" w:space="0" w:color="000000"/>
              <w:left w:val="single" w:sz="4" w:space="0" w:color="000000"/>
              <w:bottom w:val="nil" w:sz="6" w:space="0" w:color="auto"/>
              <w:right w:val="single" w:sz="4" w:space="0" w:color="000000"/>
            </w:tcBorders>
          </w:tcPr>
          <w:p>
            <w:pPr/>
          </w:p>
        </w:tc>
        <w:tc>
          <w:tcPr>
            <w:tcW w:w="1188"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555" w:type="dxa"/>
            <w:tcBorders>
              <w:top w:val="single" w:sz="4" w:space="0" w:color="000000"/>
              <w:left w:val="single" w:sz="4" w:space="0" w:color="000000"/>
              <w:bottom w:val="nil" w:sz="6" w:space="0" w:color="auto"/>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503" w:type="dxa"/>
            <w:vMerge w:val="restart"/>
            <w:tcBorders>
              <w:top w:val="single" w:sz="4" w:space="0" w:color="000000"/>
              <w:left w:val="single" w:sz="4" w:space="0" w:color="000000"/>
              <w:right w:val="single" w:sz="4" w:space="0" w:color="000000"/>
            </w:tcBorders>
          </w:tcPr>
          <w:p>
            <w:pPr/>
          </w:p>
        </w:tc>
        <w:tc>
          <w:tcPr>
            <w:tcW w:w="444" w:type="dxa"/>
            <w:vMerge w:val="restart"/>
            <w:tcBorders>
              <w:top w:val="single" w:sz="4" w:space="0" w:color="000000"/>
              <w:left w:val="single" w:sz="4" w:space="0" w:color="000000"/>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444"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12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9"/>
              <w:ind w:left="22" w:right="0"/>
              <w:jc w:val="left"/>
              <w:rPr>
                <w:rFonts w:ascii="Times New Roman" w:hAnsi="Times New Roman" w:cs="Times New Roman" w:eastAsia="Times New Roman" w:hint="default"/>
                <w:sz w:val="15"/>
                <w:szCs w:val="15"/>
              </w:rPr>
            </w:pPr>
            <w:hyperlink r:id="rId21">
              <w:r>
                <w:rPr>
                  <w:rFonts w:ascii="Times New Roman"/>
                  <w:sz w:val="15"/>
                </w:rPr>
                <w:t>http://www.cninfo.c</w:t>
              </w:r>
            </w:hyperlink>
          </w:p>
        </w:tc>
      </w:tr>
      <w:tr>
        <w:trPr>
          <w:trHeight w:val="156"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pacing w:val="-7"/>
                <w:sz w:val="15"/>
                <w:szCs w:val="15"/>
              </w:rPr>
              <w:t>信息科技、计算机</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156"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22" w:right="0"/>
              <w:jc w:val="left"/>
              <w:rPr>
                <w:rFonts w:ascii="Times New Roman" w:hAnsi="Times New Roman" w:cs="Times New Roman" w:eastAsia="Times New Roman" w:hint="default"/>
                <w:sz w:val="15"/>
                <w:szCs w:val="15"/>
              </w:rPr>
            </w:pPr>
            <w:r>
              <w:rPr>
                <w:rFonts w:ascii="Times New Roman"/>
                <w:sz w:val="15"/>
              </w:rPr>
              <w:t>om.cn/cninfo-new/d</w:t>
            </w:r>
          </w:p>
        </w:tc>
      </w:tr>
      <w:tr>
        <w:trPr>
          <w:trHeight w:val="152"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pacing w:val="-7"/>
                <w:sz w:val="15"/>
                <w:szCs w:val="15"/>
              </w:rPr>
              <w:t>软硬件科技、网络</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上海米健信</w:t>
            </w:r>
          </w:p>
        </w:tc>
        <w:tc>
          <w:tcPr>
            <w:tcW w:w="1200" w:type="dxa"/>
            <w:tcBorders>
              <w:top w:val="nil" w:sz="6" w:space="0" w:color="auto"/>
              <w:left w:val="single" w:sz="4" w:space="0" w:color="000000"/>
              <w:bottom w:val="nil" w:sz="6" w:space="0" w:color="auto"/>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Times New Roman" w:hAnsi="Times New Roman" w:cs="Times New Roman" w:eastAsia="Times New Roman" w:hint="default"/>
                <w:sz w:val="15"/>
                <w:szCs w:val="15"/>
              </w:rPr>
            </w:pPr>
            <w:r>
              <w:rPr>
                <w:rFonts w:ascii="Times New Roman"/>
                <w:sz w:val="15"/>
              </w:rPr>
              <w:t>isclosure/szse_gem/</w:t>
            </w:r>
          </w:p>
        </w:tc>
      </w:tr>
      <w:tr>
        <w:trPr>
          <w:trHeight w:val="152"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科技技术领域内</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自有资</w:t>
            </w: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息技术有限</w:t>
            </w:r>
          </w:p>
        </w:tc>
        <w:tc>
          <w:tcPr>
            <w:tcW w:w="1200" w:type="dxa"/>
            <w:tcBorders>
              <w:top w:val="nil" w:sz="6" w:space="0" w:color="auto"/>
              <w:left w:val="single" w:sz="4" w:space="0" w:color="000000"/>
              <w:bottom w:val="nil" w:sz="6" w:space="0" w:color="auto"/>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231"/>
              <w:jc w:val="right"/>
              <w:rPr>
                <w:rFonts w:ascii="宋体" w:hAnsi="宋体" w:cs="宋体" w:eastAsia="宋体" w:hint="default"/>
                <w:sz w:val="15"/>
                <w:szCs w:val="15"/>
              </w:rPr>
            </w:pPr>
            <w:r>
              <w:rPr>
                <w:rFonts w:ascii="宋体" w:hAnsi="宋体" w:cs="宋体" w:eastAsia="宋体" w:hint="default"/>
                <w:spacing w:val="-1"/>
                <w:w w:val="95"/>
                <w:sz w:val="15"/>
                <w:szCs w:val="15"/>
              </w:rPr>
              <w:t>增资</w:t>
            </w:r>
            <w:r>
              <w:rPr>
                <w:rFonts w:ascii="宋体" w:hAnsi="宋体" w:cs="宋体" w:eastAsia="宋体" w:hint="default"/>
                <w:spacing w:val="-1"/>
                <w:sz w:val="15"/>
                <w:szCs w:val="15"/>
              </w:rPr>
            </w: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23"/>
              <w:jc w:val="right"/>
              <w:rPr>
                <w:rFonts w:ascii="Times New Roman" w:hAnsi="Times New Roman" w:cs="Times New Roman" w:eastAsia="Times New Roman" w:hint="default"/>
                <w:sz w:val="15"/>
                <w:szCs w:val="15"/>
              </w:rPr>
            </w:pPr>
            <w:r>
              <w:rPr>
                <w:rFonts w:ascii="Times New Roman"/>
                <w:spacing w:val="-1"/>
                <w:sz w:val="15"/>
              </w:rPr>
              <w:t>6,969,700.00</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76" w:right="0"/>
              <w:jc w:val="center"/>
              <w:rPr>
                <w:rFonts w:ascii="Times New Roman" w:hAnsi="Times New Roman" w:cs="Times New Roman" w:eastAsia="Times New Roman" w:hint="default"/>
                <w:sz w:val="15"/>
                <w:szCs w:val="15"/>
              </w:rPr>
            </w:pPr>
            <w:r>
              <w:rPr>
                <w:rFonts w:ascii="Times New Roman"/>
                <w:sz w:val="15"/>
              </w:rPr>
              <w:t>100.00%</w:t>
            </w: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w w:val="99"/>
                <w:sz w:val="15"/>
                <w:szCs w:val="15"/>
              </w:rPr>
              <w:t>否</w:t>
            </w:r>
            <w:r>
              <w:rPr>
                <w:rFonts w:ascii="宋体" w:hAnsi="宋体" w:cs="宋体" w:eastAsia="宋体" w:hint="default"/>
                <w:sz w:val="15"/>
                <w:szCs w:val="15"/>
              </w:rPr>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02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w:t>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Times New Roman" w:hAnsi="Times New Roman" w:cs="Times New Roman" w:eastAsia="Times New Roman" w:hint="default"/>
                <w:sz w:val="15"/>
                <w:szCs w:val="15"/>
              </w:rPr>
            </w:pPr>
            <w:r>
              <w:rPr>
                <w:rFonts w:ascii="Times New Roman"/>
                <w:sz w:val="15"/>
              </w:rPr>
              <w:t>bulletin_detail/true/</w:t>
            </w:r>
          </w:p>
        </w:tc>
      </w:tr>
      <w:tr>
        <w:trPr>
          <w:trHeight w:val="152"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pacing w:val="-7"/>
                <w:sz w:val="15"/>
                <w:szCs w:val="15"/>
              </w:rPr>
              <w:t>的技术开发、技术</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w w:val="99"/>
                <w:sz w:val="15"/>
                <w:szCs w:val="15"/>
              </w:rPr>
              <w:t>金</w:t>
            </w:r>
            <w:r>
              <w:rPr>
                <w:rFonts w:ascii="宋体" w:hAnsi="宋体" w:cs="宋体" w:eastAsia="宋体" w:hint="default"/>
                <w:sz w:val="15"/>
                <w:szCs w:val="15"/>
              </w:rPr>
            </w: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200" w:type="dxa"/>
            <w:tcBorders>
              <w:top w:val="nil" w:sz="6" w:space="0" w:color="auto"/>
              <w:left w:val="single" w:sz="4" w:space="0" w:color="000000"/>
              <w:bottom w:val="nil" w:sz="6" w:space="0" w:color="auto"/>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Times New Roman" w:hAnsi="Times New Roman" w:cs="Times New Roman" w:eastAsia="Times New Roman" w:hint="default"/>
                <w:sz w:val="15"/>
                <w:szCs w:val="15"/>
              </w:rPr>
            </w:pPr>
            <w:r>
              <w:rPr>
                <w:rFonts w:ascii="Times New Roman"/>
                <w:sz w:val="15"/>
              </w:rPr>
              <w:t>1203073869?annou</w:t>
            </w:r>
          </w:p>
        </w:tc>
      </w:tr>
      <w:tr>
        <w:trPr>
          <w:trHeight w:val="156"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33"/>
              <w:jc w:val="left"/>
              <w:rPr>
                <w:rFonts w:ascii="宋体" w:hAnsi="宋体" w:cs="宋体" w:eastAsia="宋体" w:hint="default"/>
                <w:sz w:val="15"/>
                <w:szCs w:val="15"/>
              </w:rPr>
            </w:pPr>
            <w:r>
              <w:rPr>
                <w:rFonts w:ascii="宋体" w:hAnsi="宋体" w:cs="宋体" w:eastAsia="宋体" w:hint="default"/>
                <w:sz w:val="15"/>
                <w:szCs w:val="15"/>
              </w:rPr>
              <w:t>咨询、技术转让、</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156"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22" w:right="0"/>
              <w:jc w:val="left"/>
              <w:rPr>
                <w:rFonts w:ascii="Times New Roman" w:hAnsi="Times New Roman" w:cs="Times New Roman" w:eastAsia="Times New Roman" w:hint="default"/>
                <w:sz w:val="15"/>
                <w:szCs w:val="15"/>
              </w:rPr>
            </w:pPr>
            <w:r>
              <w:rPr>
                <w:rFonts w:ascii="Times New Roman"/>
                <w:sz w:val="15"/>
              </w:rPr>
              <w:t>nceTime=2017-02-1</w:t>
            </w:r>
          </w:p>
        </w:tc>
      </w:tr>
      <w:tr>
        <w:trPr>
          <w:trHeight w:val="156" w:hRule="exact"/>
        </w:trPr>
        <w:tc>
          <w:tcPr>
            <w:tcW w:w="852"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技术服务等</w:t>
            </w:r>
          </w:p>
        </w:tc>
        <w:tc>
          <w:tcPr>
            <w:tcW w:w="564"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555" w:type="dxa"/>
            <w:tcBorders>
              <w:top w:val="nil" w:sz="6" w:space="0" w:color="auto"/>
              <w:left w:val="single" w:sz="4" w:space="0" w:color="000000"/>
              <w:bottom w:val="nil" w:sz="6" w:space="0" w:color="auto"/>
              <w:right w:val="single" w:sz="4" w:space="0" w:color="000000"/>
            </w:tcBorders>
          </w:tcPr>
          <w:p>
            <w:pPr/>
          </w:p>
        </w:tc>
        <w:tc>
          <w:tcPr>
            <w:tcW w:w="658" w:type="dxa"/>
            <w:vMerge/>
            <w:tcBorders>
              <w:left w:val="single" w:sz="4" w:space="0" w:color="000000"/>
              <w:right w:val="single" w:sz="4" w:space="0" w:color="000000"/>
            </w:tcBorders>
          </w:tcPr>
          <w:p>
            <w:pPr/>
          </w:p>
        </w:tc>
        <w:tc>
          <w:tcPr>
            <w:tcW w:w="503" w:type="dxa"/>
            <w:vMerge/>
            <w:tcBorders>
              <w:left w:val="single" w:sz="4" w:space="0" w:color="000000"/>
              <w:right w:val="single" w:sz="4" w:space="0" w:color="000000"/>
            </w:tcBorders>
          </w:tcPr>
          <w:p>
            <w:pPr/>
          </w:p>
        </w:tc>
        <w:tc>
          <w:tcPr>
            <w:tcW w:w="444"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44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275" w:hRule="exact"/>
        </w:trPr>
        <w:tc>
          <w:tcPr>
            <w:tcW w:w="852"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564" w:type="dxa"/>
            <w:tcBorders>
              <w:top w:val="nil" w:sz="6" w:space="0" w:color="auto"/>
              <w:left w:val="single" w:sz="4" w:space="0" w:color="000000"/>
              <w:bottom w:val="single" w:sz="4" w:space="0" w:color="000000"/>
              <w:right w:val="single" w:sz="4" w:space="0" w:color="000000"/>
            </w:tcBorders>
          </w:tcPr>
          <w:p>
            <w:pPr/>
          </w:p>
        </w:tc>
        <w:tc>
          <w:tcPr>
            <w:tcW w:w="1188"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555" w:type="dxa"/>
            <w:tcBorders>
              <w:top w:val="nil" w:sz="6" w:space="0" w:color="auto"/>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503" w:type="dxa"/>
            <w:vMerge/>
            <w:tcBorders>
              <w:left w:val="single" w:sz="4" w:space="0" w:color="000000"/>
              <w:bottom w:val="single" w:sz="4" w:space="0" w:color="000000"/>
              <w:right w:val="single" w:sz="4" w:space="0" w:color="000000"/>
            </w:tcBorders>
          </w:tcPr>
          <w:p>
            <w:pPr/>
          </w:p>
        </w:tc>
        <w:tc>
          <w:tcPr>
            <w:tcW w:w="444"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444"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286" w:type="dxa"/>
            <w:tcBorders>
              <w:top w:val="nil" w:sz="6" w:space="0" w:color="auto"/>
              <w:left w:val="single" w:sz="4" w:space="0" w:color="000000"/>
              <w:bottom w:val="single" w:sz="4" w:space="0" w:color="000000"/>
              <w:right w:val="single" w:sz="4" w:space="0" w:color="000000"/>
            </w:tcBorders>
          </w:tcPr>
          <w:p>
            <w:pPr>
              <w:pStyle w:val="TableParagraph"/>
              <w:spacing w:line="160" w:lineRule="exact"/>
              <w:ind w:left="22" w:right="0"/>
              <w:jc w:val="lef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225"/>
              <w:jc w:val="right"/>
              <w:rPr>
                <w:rFonts w:ascii="Times New Roman" w:hAnsi="Times New Roman" w:cs="Times New Roman" w:eastAsia="Times New Roman" w:hint="default"/>
                <w:sz w:val="15"/>
                <w:szCs w:val="15"/>
              </w:rPr>
            </w:pPr>
            <w:r>
              <w:rPr>
                <w:rFonts w:ascii="Times New Roman"/>
                <w:spacing w:val="-1"/>
                <w:w w:val="95"/>
                <w:sz w:val="15"/>
              </w:rPr>
              <w:t>--</w:t>
            </w:r>
            <w:r>
              <w:rPr>
                <w:rFonts w:ascii="Times New Roman"/>
                <w:spacing w:val="-1"/>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214,849,700.00</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30,700,000.00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30,747,755.28</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w:t>
            </w:r>
          </w:p>
        </w:tc>
      </w:tr>
    </w:tbl>
    <w:p>
      <w:pPr>
        <w:spacing w:line="240" w:lineRule="auto" w:before="5"/>
        <w:rPr>
          <w:rFonts w:ascii="宋体" w:hAnsi="宋体" w:cs="宋体" w:eastAsia="宋体" w:hint="default"/>
          <w:sz w:val="19"/>
          <w:szCs w:val="19"/>
        </w:rPr>
      </w:pPr>
    </w:p>
    <w:p>
      <w:pPr>
        <w:pStyle w:val="Heading3"/>
        <w:spacing w:line="240" w:lineRule="auto" w:before="34"/>
        <w:ind w:left="1112" w:right="646"/>
        <w:jc w:val="left"/>
        <w:rPr>
          <w:b w:val="0"/>
          <w:bCs w:val="0"/>
        </w:rPr>
      </w:pPr>
      <w:r>
        <w:rPr/>
        <w:pict>
          <v:group style="position:absolute;margin-left:109.650002pt;margin-top:-260.266327pt;width:27.95pt;height:227.15pt;mso-position-horizontal-relative:page;mso-position-vertical-relative:paragraph;z-index:-822136" coordorigin="2193,-5205" coordsize="559,4543">
            <v:group style="position:absolute;left:2193;top:-5205;width:559;height:2269" coordorigin="2193,-5205" coordsize="559,2269">
              <v:shape style="position:absolute;left:2193;top:-5205;width:559;height:2269" coordorigin="2193,-5205" coordsize="559,2269" path="m2193,-5205l2752,-5205,2752,-2936,2193,-2936,2193,-5205xe" filled="true" fillcolor="#ffffff" stroked="false">
                <v:path arrowok="t"/>
                <v:fill type="solid"/>
              </v:shape>
            </v:group>
            <v:group style="position:absolute;left:2193;top:-2931;width:559;height:2269" coordorigin="2193,-2931" coordsize="559,2269">
              <v:shape style="position:absolute;left:2193;top:-2931;width:559;height:2269" coordorigin="2193,-2931" coordsize="559,2269" path="m2193,-2931l2752,-2931,2752,-662,2193,-662,2193,-2931xe" filled="true" fillcolor="#ffffff" stroked="false">
                <v:path arrowok="t"/>
                <v:fill type="solid"/>
              </v:shape>
            </v:group>
            <w10:wrap type="none"/>
          </v:group>
        </w:pict>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6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12" w:right="646"/>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6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112" w:right="646"/>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12" w:right="6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112" w:right="646"/>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112" w:right="6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612"/>
        <w:jc w:val="right"/>
      </w:pPr>
      <w:r>
        <w:rPr/>
        <w:t>单位：万元</w:t>
      </w:r>
    </w:p>
    <w:p>
      <w:pPr>
        <w:spacing w:line="240" w:lineRule="auto" w:before="1"/>
        <w:rPr>
          <w:rFonts w:ascii="宋体" w:hAnsi="宋体" w:cs="宋体" w:eastAsia="宋体" w:hint="default"/>
          <w:sz w:val="8"/>
          <w:szCs w:val="8"/>
        </w:rPr>
      </w:pPr>
    </w:p>
    <w:tbl>
      <w:tblPr>
        <w:tblW w:w="0" w:type="auto"/>
        <w:jc w:val="left"/>
        <w:tblInd w:w="305" w:type="dxa"/>
        <w:tblLayout w:type="fixed"/>
        <w:tblCellMar>
          <w:top w:w="0" w:type="dxa"/>
          <w:left w:w="0" w:type="dxa"/>
          <w:bottom w:w="0" w:type="dxa"/>
          <w:right w:w="0" w:type="dxa"/>
        </w:tblCellMar>
        <w:tblLook w:val="01E0"/>
      </w:tblPr>
      <w:tblGrid>
        <w:gridCol w:w="864"/>
        <w:gridCol w:w="1008"/>
        <w:gridCol w:w="876"/>
        <w:gridCol w:w="1140"/>
        <w:gridCol w:w="1200"/>
        <w:gridCol w:w="930"/>
        <w:gridCol w:w="870"/>
        <w:gridCol w:w="870"/>
        <w:gridCol w:w="870"/>
        <w:gridCol w:w="870"/>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3"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3" w:right="23" w:hanging="89"/>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45" w:right="54" w:hanging="92"/>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9" w:right="9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0"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0"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39,000.00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4,025.29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36,296.67</w:t>
            </w:r>
          </w:p>
        </w:tc>
        <w:tc>
          <w:tcPr>
            <w:tcW w:w="93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251.75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以存款形 式存放于 募集资金 专户中</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8" w:top="1360" w:bottom="1160" w:left="20" w:right="520"/>
        </w:sectPr>
      </w:pPr>
    </w:p>
    <w:p>
      <w:pPr>
        <w:spacing w:line="240" w:lineRule="auto" w:before="4"/>
        <w:rPr>
          <w:rFonts w:ascii="宋体" w:hAnsi="宋体" w:cs="宋体" w:eastAsia="宋体" w:hint="default"/>
          <w:sz w:val="5"/>
          <w:szCs w:val="5"/>
        </w:rPr>
      </w:pPr>
      <w:r>
        <w:rPr/>
        <w:pict>
          <v:shape style="position:absolute;margin-left:74.158997pt;margin-top:555.450012pt;width:488.85pt;height:82.1pt;mso-position-horizontal-relative:page;mso-position-vertical-relative:page;z-index:-8221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group style="position:absolute;margin-left:80.25pt;margin-top:555.450012pt;width:482.75pt;height:82.25pt;mso-position-horizontal-relative:page;mso-position-vertical-relative:page;z-index:-822088" coordorigin="1605,11109" coordsize="9655,1645">
            <v:shape style="position:absolute;left:1605;top:11109;width:9655;height:1645" coordorigin="1605,11109" coordsize="9655,1645" path="m1605,11109l11260,11109,11260,12754,1605,12754,1605,11109xe" filled="true" fillcolor="#ffffff" stroked="false">
              <v:path arrowok="t"/>
              <v:fill type="solid"/>
            </v:shape>
            <w10:wrap type="none"/>
          </v:group>
        </w:pict>
      </w:r>
    </w:p>
    <w:tbl>
      <w:tblPr>
        <w:tblW w:w="0" w:type="auto"/>
        <w:jc w:val="left"/>
        <w:tblInd w:w="325" w:type="dxa"/>
        <w:tblLayout w:type="fixed"/>
        <w:tblCellMar>
          <w:top w:w="0" w:type="dxa"/>
          <w:left w:w="0" w:type="dxa"/>
          <w:bottom w:w="0" w:type="dxa"/>
          <w:right w:w="0" w:type="dxa"/>
        </w:tblCellMar>
        <w:tblLook w:val="01E0"/>
      </w:tblPr>
      <w:tblGrid>
        <w:gridCol w:w="864"/>
        <w:gridCol w:w="1008"/>
        <w:gridCol w:w="876"/>
        <w:gridCol w:w="1140"/>
        <w:gridCol w:w="1200"/>
        <w:gridCol w:w="930"/>
        <w:gridCol w:w="870"/>
        <w:gridCol w:w="870"/>
        <w:gridCol w:w="870"/>
        <w:gridCol w:w="870"/>
        <w:gridCol w:w="869"/>
      </w:tblGrid>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39,000.00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6" w:right="0"/>
              <w:jc w:val="left"/>
              <w:rPr>
                <w:rFonts w:ascii="Times New Roman" w:hAnsi="Times New Roman" w:cs="Times New Roman" w:eastAsia="Times New Roman" w:hint="default"/>
                <w:sz w:val="18"/>
                <w:szCs w:val="18"/>
              </w:rPr>
            </w:pPr>
            <w:r>
              <w:rPr>
                <w:rFonts w:ascii="Times New Roman"/>
                <w:sz w:val="18"/>
              </w:rPr>
              <w:t>4,025.29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7" w:right="0"/>
              <w:jc w:val="left"/>
              <w:rPr>
                <w:rFonts w:ascii="Times New Roman" w:hAnsi="Times New Roman" w:cs="Times New Roman" w:eastAsia="Times New Roman" w:hint="default"/>
                <w:sz w:val="18"/>
                <w:szCs w:val="18"/>
              </w:rPr>
            </w:pPr>
            <w:r>
              <w:rPr>
                <w:rFonts w:ascii="Times New Roman"/>
                <w:sz w:val="18"/>
              </w:rPr>
              <w:t>36,296.67</w:t>
            </w:r>
          </w:p>
        </w:tc>
        <w:tc>
          <w:tcPr>
            <w:tcW w:w="93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3" w:right="0"/>
              <w:jc w:val="left"/>
              <w:rPr>
                <w:rFonts w:ascii="Times New Roman" w:hAnsi="Times New Roman" w:cs="Times New Roman" w:eastAsia="Times New Roman" w:hint="default"/>
                <w:sz w:val="18"/>
                <w:szCs w:val="18"/>
              </w:rPr>
            </w:pPr>
            <w:r>
              <w:rPr>
                <w:rFonts w:ascii="Times New Roman"/>
                <w:sz w:val="18"/>
              </w:rPr>
              <w:t>251.75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36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1036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996</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号文件核准，截至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6"/>
                <w:sz w:val="18"/>
                <w:szCs w:val="18"/>
              </w:rPr>
              <w:t>日止，公司向特定对象非公开发行人民币普通股（</w:t>
            </w:r>
            <w:r>
              <w:rPr>
                <w:rFonts w:ascii="Times New Roman" w:hAnsi="Times New Roman" w:cs="Times New Roman" w:eastAsia="Times New Roman" w:hint="default"/>
                <w:spacing w:val="-6"/>
                <w:sz w:val="18"/>
                <w:szCs w:val="18"/>
              </w:rPr>
              <w:t>A</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24,714,826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股，每股发行价为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15.78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元，应募集资金总额为人民币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389,999,954.28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元，根据有关规定扣除发行费用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6,142,327.47</w:t>
            </w:r>
          </w:p>
          <w:p>
            <w:pPr>
              <w:pStyle w:val="TableParagraph"/>
              <w:spacing w:line="300" w:lineRule="auto" w:before="63"/>
              <w:ind w:left="22" w:right="27"/>
              <w:jc w:val="left"/>
              <w:rPr>
                <w:rFonts w:ascii="宋体" w:hAnsi="宋体" w:cs="宋体" w:eastAsia="宋体" w:hint="default"/>
                <w:sz w:val="18"/>
                <w:szCs w:val="18"/>
              </w:rPr>
            </w:pPr>
            <w:r>
              <w:rPr>
                <w:rFonts w:ascii="宋体" w:hAnsi="宋体" w:cs="宋体" w:eastAsia="宋体" w:hint="default"/>
                <w:sz w:val="18"/>
                <w:szCs w:val="18"/>
              </w:rPr>
              <w:t>元后，实际募集资金金额为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383,857,626.81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元。报告期投入使用的募集资金为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4,025.29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万元，已累计投入募集资金总额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36,296.67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w:t>
            </w:r>
          </w:p>
        </w:tc>
      </w:tr>
    </w:tbl>
    <w:p>
      <w:pPr>
        <w:spacing w:line="240" w:lineRule="auto" w:before="4"/>
        <w:rPr>
          <w:rFonts w:ascii="宋体" w:hAnsi="宋体" w:cs="宋体" w:eastAsia="宋体" w:hint="default"/>
          <w:sz w:val="19"/>
          <w:szCs w:val="19"/>
        </w:rPr>
      </w:pPr>
    </w:p>
    <w:p>
      <w:pPr>
        <w:pStyle w:val="Heading3"/>
        <w:spacing w:line="240" w:lineRule="auto" w:before="34"/>
        <w:ind w:left="1132"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612"/>
        <w:jc w:val="right"/>
      </w:pPr>
      <w:r>
        <w:rPr/>
        <w:t>单位：万元</w:t>
      </w:r>
    </w:p>
    <w:p>
      <w:pPr>
        <w:spacing w:line="240" w:lineRule="auto" w:before="2"/>
        <w:rPr>
          <w:rFonts w:ascii="宋体" w:hAnsi="宋体" w:cs="宋体" w:eastAsia="宋体" w:hint="default"/>
          <w:sz w:val="8"/>
          <w:szCs w:val="8"/>
        </w:rPr>
      </w:pPr>
    </w:p>
    <w:tbl>
      <w:tblPr>
        <w:tblW w:w="0" w:type="auto"/>
        <w:jc w:val="left"/>
        <w:tblInd w:w="73" w:type="dxa"/>
        <w:tblLayout w:type="fixed"/>
        <w:tblCellMar>
          <w:top w:w="0" w:type="dxa"/>
          <w:left w:w="0" w:type="dxa"/>
          <w:bottom w:w="0" w:type="dxa"/>
          <w:right w:w="0" w:type="dxa"/>
        </w:tblCellMar>
        <w:tblLook w:val="01E0"/>
      </w:tblPr>
      <w:tblGrid>
        <w:gridCol w:w="1524"/>
        <w:gridCol w:w="876"/>
        <w:gridCol w:w="1092"/>
        <w:gridCol w:w="1056"/>
        <w:gridCol w:w="1008"/>
        <w:gridCol w:w="1008"/>
        <w:gridCol w:w="940"/>
        <w:gridCol w:w="944"/>
        <w:gridCol w:w="1044"/>
        <w:gridCol w:w="684"/>
        <w:gridCol w:w="1008"/>
      </w:tblGrid>
      <w:tr>
        <w:trPr>
          <w:trHeight w:val="133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6" w:right="35"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42" w:right="42"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89" w:right="90"/>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8" w:right="71"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29" w:right="47"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49"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 w:right="32" w:firstLine="6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7" w:right="10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57" w:right="66" w:hanging="92"/>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 w:right="47"/>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2" w:hRule="exact"/>
        </w:trPr>
        <w:tc>
          <w:tcPr>
            <w:tcW w:w="1118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基于大数据应用的 医疗卫生服务云平 台建设项目</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2,920.40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5,000.50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71.44%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8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9"/>
              <w:jc w:val="left"/>
              <w:rPr>
                <w:rFonts w:ascii="宋体" w:hAnsi="宋体" w:cs="宋体" w:eastAsia="宋体" w:hint="default"/>
                <w:sz w:val="18"/>
                <w:szCs w:val="18"/>
              </w:rPr>
            </w:pPr>
            <w:r>
              <w:rPr>
                <w:rFonts w:ascii="宋体" w:hAnsi="宋体" w:cs="宋体" w:eastAsia="宋体" w:hint="default"/>
                <w:sz w:val="18"/>
                <w:szCs w:val="18"/>
              </w:rPr>
              <w:t>研发中心及综合办 公楼建设项目</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1,104.89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6,910.41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98.72%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19,385.76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19,385.76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71"/>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38,385.76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4,025.29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36,296.67</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7" w:right="0"/>
              <w:jc w:val="lef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118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71"/>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38,385.76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4,025.29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36,296.67</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7" w:right="0"/>
              <w:jc w:val="lef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36"/>
              <w:jc w:val="right"/>
              <w:rPr>
                <w:rFonts w:ascii="Times New Roman" w:hAnsi="Times New Roman" w:cs="Times New Roman" w:eastAsia="Times New Roman" w:hint="default"/>
                <w:sz w:val="18"/>
                <w:szCs w:val="18"/>
              </w:rPr>
            </w:pPr>
            <w:r>
              <w:rPr>
                <w:rFonts w:ascii="Times New Roman"/>
                <w:sz w:val="18"/>
              </w:rPr>
              <w:t>--</w:t>
            </w:r>
          </w:p>
        </w:tc>
      </w:tr>
      <w:tr>
        <w:trPr>
          <w:trHeight w:val="1650"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2" w:right="49"/>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w:t>
            </w:r>
            <w:r>
              <w:rPr>
                <w:rFonts w:ascii="宋体" w:hAnsi="宋体" w:cs="宋体" w:eastAsia="宋体" w:hint="default"/>
                <w:spacing w:val="-8"/>
                <w:sz w:val="18"/>
                <w:szCs w:val="18"/>
              </w:rPr>
              <w:t>原因（分具体项目</w:t>
            </w:r>
          </w:p>
        </w:tc>
        <w:tc>
          <w:tcPr>
            <w:tcW w:w="96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日止，公司募集资金项目进展顺利，与预期进度相符，目前均已结项。研发中心及综合办公楼建设项 目为成本型支撑性项目，项目经济效益将以支撑公司其他项目体现，无法单独核算项目效益；偿还银行贷款以及补充流动 资金主要用于调整公司整体债务规模以及补充营运资金，对公司整体经营具有综合效应，无法单独核算项目效益；基于大 数据应用的医疗卫生服务云平台建设项目本期实现效益</w:t>
            </w:r>
            <w:r>
              <w:rPr>
                <w:rFonts w:ascii="Times New Roman" w:hAnsi="Times New Roman" w:cs="Times New Roman" w:eastAsia="Times New Roman" w:hint="default"/>
                <w:sz w:val="18"/>
                <w:szCs w:val="18"/>
              </w:rPr>
              <w:t>-9.89 </w:t>
            </w:r>
            <w:r>
              <w:rPr>
                <w:rFonts w:ascii="宋体" w:hAnsi="宋体" w:cs="宋体" w:eastAsia="宋体" w:hint="default"/>
                <w:sz w:val="18"/>
                <w:szCs w:val="18"/>
              </w:rPr>
              <w:t>万元，该项目预计税前内部收益率为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20.55%</w:t>
            </w:r>
            <w:r>
              <w:rPr>
                <w:rFonts w:ascii="宋体" w:hAnsi="宋体" w:cs="宋体" w:eastAsia="宋体" w:hint="default"/>
                <w:sz w:val="18"/>
                <w:szCs w:val="18"/>
              </w:rPr>
              <w:t>，由于该项目于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月结项，本期投产时间为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个月，不足一个完整年度，尚无法判断其全年实现效益情况。</w:t>
            </w:r>
          </w:p>
        </w:tc>
      </w:tr>
      <w:tr>
        <w:trPr>
          <w:trHeight w:val="71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96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募集资金投资项目可行性未发生重大变化。</w:t>
            </w:r>
          </w:p>
        </w:tc>
      </w:tr>
      <w:tr>
        <w:trPr>
          <w:trHeight w:val="102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96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566" w:footer="978" w:top="1360" w:bottom="1160" w:left="0" w:right="520"/>
        </w:sectPr>
      </w:pPr>
    </w:p>
    <w:p>
      <w:pPr>
        <w:spacing w:line="240" w:lineRule="auto" w:before="0"/>
        <w:rPr>
          <w:rFonts w:ascii="宋体" w:hAnsi="宋体" w:cs="宋体" w:eastAsia="宋体" w:hint="default"/>
          <w:sz w:val="20"/>
          <w:szCs w:val="20"/>
        </w:rPr>
      </w:pPr>
      <w:r>
        <w:rPr/>
        <w:pict>
          <v:shape style="position:absolute;margin-left:3.66pt;margin-top:72.000023pt;width:559.950pt;height:694pt;mso-position-horizontal-relative:page;mso-position-vertical-relative:page;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4"/>
                    <w:gridCol w:w="9660"/>
                  </w:tblGrid>
                  <w:tr>
                    <w:trPr>
                      <w:trHeight w:val="1156"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156"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4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524" w:type="dxa"/>
                        <w:vMerge/>
                        <w:tcBorders>
                          <w:left w:val="single" w:sz="4" w:space="0" w:color="000000"/>
                          <w:bottom w:val="single" w:sz="4" w:space="0" w:color="000000"/>
                          <w:right w:val="single" w:sz="4" w:space="0" w:color="000000"/>
                        </w:tcBorders>
                        <w:shd w:val="clear" w:color="auto" w:fill="D2D2D2"/>
                      </w:tcPr>
                      <w:p>
                        <w:pPr/>
                      </w:p>
                    </w:tc>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both"/>
                          <w:rPr>
                            <w:rFonts w:ascii="宋体" w:hAnsi="宋体" w:cs="宋体" w:eastAsia="宋体" w:hint="default"/>
                            <w:sz w:val="18"/>
                            <w:szCs w:val="18"/>
                          </w:rPr>
                        </w:pPr>
                        <w:r>
                          <w:rPr>
                            <w:rFonts w:ascii="宋体" w:hAnsi="宋体" w:cs="宋体" w:eastAsia="宋体" w:hint="default"/>
                            <w:sz w:val="18"/>
                            <w:szCs w:val="18"/>
                          </w:rPr>
                          <w:t>公司已用募集资金置换预先已投入募集资金投资项目的自筹资金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62,886,456.96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元，并取得了华普天健会计师事务所（特殊</w:t>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普通合伙）于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日出具的会专字</w:t>
                        </w:r>
                        <w:r>
                          <w:rPr>
                            <w:rFonts w:ascii="Times New Roman" w:hAnsi="Times New Roman" w:cs="Times New Roman" w:eastAsia="Times New Roman" w:hint="default"/>
                            <w:sz w:val="18"/>
                            <w:szCs w:val="18"/>
                          </w:rPr>
                          <w:t>[2015]2976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号鉴证报告。于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日，公司第二届董事会第二十一次 </w:t>
                        </w:r>
                        <w:r>
                          <w:rPr>
                            <w:rFonts w:ascii="宋体" w:hAnsi="宋体" w:cs="宋体" w:eastAsia="宋体" w:hint="default"/>
                            <w:spacing w:val="-4"/>
                            <w:sz w:val="18"/>
                            <w:szCs w:val="18"/>
                          </w:rPr>
                          <w:t>会议审议通过了《关于以募集资金置换先期投入募集资金项目的自筹资金的议案》、《关于使用募集资金置换预先以自有资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8"/>
                            <w:sz w:val="18"/>
                            <w:szCs w:val="18"/>
                          </w:rPr>
                          <w:t>金偿还银行贷款的议案》，同意以</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62,886,456.96</w:t>
                        </w:r>
                        <w:r>
                          <w:rPr>
                            <w:rFonts w:ascii="Times New Roman" w:hAnsi="Times New Roman" w:cs="Times New Roman" w:eastAsia="Times New Roman" w:hint="default"/>
                            <w:spacing w:val="-15"/>
                            <w:sz w:val="18"/>
                            <w:szCs w:val="18"/>
                          </w:rPr>
                          <w:t> </w:t>
                        </w:r>
                        <w:r>
                          <w:rPr>
                            <w:rFonts w:ascii="宋体" w:hAnsi="宋体" w:cs="宋体" w:eastAsia="宋体" w:hint="default"/>
                            <w:spacing w:val="-2"/>
                            <w:sz w:val="18"/>
                            <w:szCs w:val="18"/>
                          </w:rPr>
                          <w:t>元募集资金置换前期投入募投项目的公司自筹资金。公司独立董事、监事会</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及保荐机构已对该议案发表了明确的同意意见，公司已于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日完成募集资金置换事宜。</w:t>
                        </w:r>
                      </w:p>
                    </w:tc>
                  </w:tr>
                  <w:tr>
                    <w:trPr>
                      <w:trHeight w:val="1026"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4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82" w:hRule="exact"/>
                    </w:trPr>
                    <w:tc>
                      <w:tcPr>
                        <w:tcW w:w="1524" w:type="dxa"/>
                        <w:vMerge/>
                        <w:tcBorders>
                          <w:left w:val="single" w:sz="4" w:space="0" w:color="000000"/>
                          <w:bottom w:val="single" w:sz="4" w:space="0" w:color="000000"/>
                          <w:right w:val="single" w:sz="4" w:space="0" w:color="000000"/>
                        </w:tcBorders>
                        <w:shd w:val="clear" w:color="auto" w:fill="D2D2D2"/>
                      </w:tcPr>
                      <w:p>
                        <w:pPr/>
                      </w:p>
                    </w:tc>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研发中心及综合办公楼建设项目：截至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日止，公司研发中心及综合办公楼建设项目已实施完成。本项目募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集资金承诺投资总额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万元，累计投资金额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6,910.41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万元，项目结余金额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89.59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万元，考虑本项目募集资金专户利息收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94.57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万元后的本项目募集资金专项结余为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万元。根据公司于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日召开的第三届董事会第三次</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会议审议通过的《关于研发中心及综合办公楼建设项目结项并将结余资金永久补充流动资金的议案》以及公司于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年度第二次临时股东大会审议通过的《关于研发中心及综合办公楼建设项目结项并将结余资金永久补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充流动资金的议案》的决定，同意公司将本项目结余资金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万元，以资金转出当日银行结息余额为准永久补充公司流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动资金。本公司已于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日将在上海浦东发展银行股份有限公司沈阳兴工支行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71120154740001181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号账户留存</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的研发中心及综合办公楼建设项目募集资金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万元转入公司其他账户用于永久补充流动资金。截至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300" w:lineRule="auto" w:before="63"/>
                          <w:ind w:left="22" w:right="40"/>
                          <w:jc w:val="left"/>
                          <w:rPr>
                            <w:rFonts w:ascii="宋体" w:hAnsi="宋体" w:cs="宋体" w:eastAsia="宋体" w:hint="default"/>
                            <w:sz w:val="18"/>
                            <w:szCs w:val="18"/>
                          </w:rPr>
                        </w:pPr>
                        <w:r>
                          <w:rPr>
                            <w:rFonts w:ascii="宋体" w:hAnsi="宋体" w:cs="宋体" w:eastAsia="宋体" w:hint="default"/>
                            <w:sz w:val="18"/>
                            <w:szCs w:val="18"/>
                          </w:rPr>
                          <w:t>止，本项目募集资金专户余额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万元，系已实施但尚未支付的项目资金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万元以及滚存利息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万元。本项目实 际投入与计划投入相比未出现较大差异。</w:t>
                        </w:r>
                      </w:p>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基于大数据应用的医疗卫生服务云平台建设项目：截至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日止，公司基于大数据应用的医疗卫生服务云平台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建设项目已实施完成。本项目募集资金承诺投资总额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万元，累计投资金额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5,000.50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万元，项目结余金额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1,999.50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考虑本项目募集资金专户利息收入净额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万元后的本项目募集资金专项结余为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2,229.67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万元。根据公司于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日召开的第三届董事会第九次会议审议通过的《关于部分募投项目结项并将结余资金永久补充流动资金的议案》以及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年度第四次临时股东大会审议通过的《关于部分募投项目结项并将结余资金永久补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充流动资金的议案》的决定，同意公司将本项目结余资金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2,229.67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万元，以资金转出当日银行结息余额为准永久补充公司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流动资金。本公司已于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日将在阜新银行沈阳分行营业部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12009000061181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号账户留存的基于大数据应用的</w:t>
                        </w:r>
                      </w:p>
                      <w:p>
                        <w:pPr>
                          <w:pStyle w:val="TableParagraph"/>
                          <w:spacing w:line="240" w:lineRule="auto" w:before="63"/>
                          <w:ind w:left="22" w:right="-4"/>
                          <w:jc w:val="left"/>
                          <w:rPr>
                            <w:rFonts w:ascii="宋体" w:hAnsi="宋体" w:cs="宋体" w:eastAsia="宋体" w:hint="default"/>
                            <w:sz w:val="18"/>
                            <w:szCs w:val="18"/>
                          </w:rPr>
                        </w:pPr>
                        <w:r>
                          <w:rPr>
                            <w:rFonts w:ascii="宋体" w:hAnsi="宋体" w:cs="宋体" w:eastAsia="宋体" w:hint="default"/>
                            <w:sz w:val="18"/>
                            <w:szCs w:val="18"/>
                          </w:rPr>
                          <w:t>医疗卫生服务云平台建设项目募集资金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2,229.67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万元转入公司其他账户用于永久补充流动资金。截至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本项目募集资金专户余额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41.85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万元，系已实施但尚未支付的项目资金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26.44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万元（含因汇率变化导致未支付项目资金变动</w:t>
                        </w:r>
                      </w:p>
                      <w:p>
                        <w:pPr>
                          <w:pStyle w:val="TableParagraph"/>
                          <w:spacing w:line="300" w:lineRule="auto" w:before="63"/>
                          <w:ind w:left="22" w:right="85"/>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万元）以及滚存利息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万元。本项目募集资金结余主要原因为：公司在实施过程中采取多种技术创新方式实 施项目建设，从项目实际情况出发，充分结合和利用现有的实施环境、实施经验，节约了部分募集资金。</w:t>
                        </w:r>
                      </w:p>
                    </w:tc>
                  </w:tr>
                  <w:tr>
                    <w:trPr>
                      <w:trHeight w:val="71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尚未使用的募集资金全部存储在公司募集资金银行专户中，按募集资金管理办法严格管理和使用。</w:t>
                        </w:r>
                      </w:p>
                    </w:tc>
                  </w:tr>
                  <w:tr>
                    <w:trPr>
                      <w:trHeight w:val="682"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9"/>
                          <w:jc w:val="left"/>
                          <w:rPr>
                            <w:rFonts w:ascii="宋体" w:hAnsi="宋体" w:cs="宋体" w:eastAsia="宋体" w:hint="default"/>
                            <w:sz w:val="18"/>
                            <w:szCs w:val="18"/>
                          </w:rPr>
                        </w:pPr>
                        <w:r>
                          <w:rPr>
                            <w:rFonts w:ascii="宋体" w:hAnsi="宋体" w:cs="宋体" w:eastAsia="宋体" w:hint="default"/>
                            <w:sz w:val="18"/>
                            <w:szCs w:val="18"/>
                          </w:rPr>
                          <w:t>募集资金使用及披 露中存在的问题或</w:t>
                        </w:r>
                      </w:p>
                    </w:tc>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44"/>
        <w:ind w:left="0" w:right="100"/>
        <w:jc w:val="right"/>
      </w:pPr>
      <w:r>
        <w:rPr/>
        <w:t>，</w:t>
      </w:r>
    </w:p>
    <w:p>
      <w:pPr>
        <w:spacing w:after="0" w:line="240" w:lineRule="auto"/>
        <w:jc w:val="right"/>
        <w:sectPr>
          <w:pgSz w:w="11910" w:h="16840"/>
          <w:pgMar w:header="566" w:footer="978" w:top="1440" w:bottom="1160" w:left="0" w:right="480"/>
        </w:sectPr>
      </w:pPr>
    </w:p>
    <w:p>
      <w:pPr>
        <w:spacing w:line="240" w:lineRule="auto" w:before="12"/>
        <w:rPr>
          <w:rFonts w:ascii="宋体" w:hAnsi="宋体" w:cs="宋体" w:eastAsia="宋体" w:hint="default"/>
          <w:sz w:val="4"/>
          <w:szCs w:val="4"/>
        </w:rPr>
      </w:pPr>
    </w:p>
    <w:p>
      <w:pPr>
        <w:spacing w:line="376" w:lineRule="exact"/>
        <w:ind w:left="6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560.2pt;height:18.850pt;mso-position-horizontal-relative:char;mso-position-vertical-relative:line" coordorigin="0,0" coordsize="11204,377">
            <v:group style="position:absolute;left:13;top:13;width:1519;height:357" coordorigin="13,13" coordsize="1519,357">
              <v:shape style="position:absolute;left:13;top:13;width:1519;height:357" coordorigin="13,13" coordsize="1519,357" path="m13,13l1532,13,1532,370,13,370,13,13xe" filled="true" fillcolor="#d2d2d2" stroked="false">
                <v:path arrowok="t"/>
                <v:fill type="solid"/>
              </v:shape>
            </v:group>
            <v:group style="position:absolute;left:5;top:10;width:11194;height:2" coordorigin="5,10" coordsize="11194,2">
              <v:shape style="position:absolute;left:5;top:10;width:11194;height:2" coordorigin="5,10" coordsize="11194,0" path="m5,10l11198,10e" filled="false" stroked="true" strokeweight=".48pt" strokecolor="#000000">
                <v:path arrowok="t"/>
              </v:shape>
            </v:group>
            <v:group style="position:absolute;left:5;top:372;width:11194;height:2" coordorigin="5,372" coordsize="11194,2">
              <v:shape style="position:absolute;left:5;top:372;width:11194;height:2" coordorigin="5,372" coordsize="11194,0" path="m5,372l11198,372e" filled="false" stroked="true" strokeweight=".48pt" strokecolor="#000000">
                <v:path arrowok="t"/>
              </v:shape>
            </v:group>
            <v:group style="position:absolute;left:10;top:5;width:2;height:362" coordorigin="10,5" coordsize="2,362">
              <v:shape style="position:absolute;left:10;top:5;width:2;height:362" coordorigin="10,5" coordsize="0,362" path="m10,5l10,367e" filled="false" stroked="true" strokeweight=".48pt" strokecolor="#000000">
                <v:path arrowok="t"/>
              </v:shape>
            </v:group>
            <v:group style="position:absolute;left:1534;top:5;width:2;height:362" coordorigin="1534,5" coordsize="2,362">
              <v:shape style="position:absolute;left:1534;top:5;width:2;height:362" coordorigin="1534,5" coordsize="0,362" path="m1534,5l1534,367e" filled="false" stroked="true" strokeweight=".48pt" strokecolor="#000000">
                <v:path arrowok="t"/>
              </v:shape>
            </v:group>
            <v:group style="position:absolute;left:11194;top:5;width:2;height:362" coordorigin="11194,5" coordsize="2,362">
              <v:shape style="position:absolute;left:11194;top:5;width:2;height:362" coordorigin="11194,5" coordsize="0,362" path="m11194,5l11194,367e" filled="false" stroked="true" strokeweight=".48pt" strokecolor="#000000">
                <v:path arrowok="t"/>
              </v:shape>
              <v:shape style="position:absolute;left:10;top:10;width:1524;height:362"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其他情况</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9"/>
          <w:szCs w:val="19"/>
        </w:rPr>
      </w:pPr>
    </w:p>
    <w:p>
      <w:pPr>
        <w:pStyle w:val="Heading3"/>
        <w:spacing w:line="240" w:lineRule="auto" w:before="34"/>
        <w:ind w:left="1132" w:right="685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132"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left="1132" w:right="6854"/>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2" w:right="685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132" w:right="7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left="1132" w:right="685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2"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132" w:right="6854"/>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22"/>
          <w:pgSz w:w="11910" w:h="16840"/>
          <w:pgMar w:footer="978" w:header="566" w:top="1360" w:bottom="1160" w:left="0" w:right="480"/>
          <w:pgNumType w:start="30"/>
        </w:sectPr>
      </w:pPr>
    </w:p>
    <w:p>
      <w:pPr>
        <w:pStyle w:val="BodyText"/>
        <w:spacing w:line="240" w:lineRule="auto" w:before="44"/>
        <w:ind w:left="1132"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1132"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132" w:right="0"/>
        <w:jc w:val="left"/>
      </w:pPr>
      <w:r>
        <w:rPr/>
        <w:t>单位：元</w:t>
      </w:r>
    </w:p>
    <w:p>
      <w:pPr>
        <w:spacing w:after="0" w:line="240" w:lineRule="auto"/>
        <w:jc w:val="left"/>
        <w:sectPr>
          <w:type w:val="continuous"/>
          <w:pgSz w:w="11910" w:h="16840"/>
          <w:pgMar w:top="1440" w:bottom="1160" w:left="0" w:right="480"/>
          <w:cols w:num="2" w:equalWidth="0">
            <w:col w:w="5828" w:space="3091"/>
            <w:col w:w="2511"/>
          </w:cols>
        </w:sectPr>
      </w:pPr>
    </w:p>
    <w:p>
      <w:pPr>
        <w:spacing w:line="240" w:lineRule="auto" w:before="2"/>
        <w:rPr>
          <w:rFonts w:ascii="宋体" w:hAnsi="宋体" w:cs="宋体" w:eastAsia="宋体" w:hint="default"/>
          <w:sz w:val="8"/>
          <w:szCs w:val="8"/>
        </w:rPr>
      </w:pPr>
    </w:p>
    <w:tbl>
      <w:tblPr>
        <w:tblW w:w="0" w:type="auto"/>
        <w:jc w:val="left"/>
        <w:tblInd w:w="157" w:type="dxa"/>
        <w:tblLayout w:type="fixed"/>
        <w:tblCellMar>
          <w:top w:w="0" w:type="dxa"/>
          <w:left w:w="0" w:type="dxa"/>
          <w:bottom w:w="0" w:type="dxa"/>
          <w:right w:w="0" w:type="dxa"/>
        </w:tblCellMar>
        <w:tblLook w:val="01E0"/>
      </w:tblPr>
      <w:tblGrid>
        <w:gridCol w:w="1332"/>
        <w:gridCol w:w="972"/>
        <w:gridCol w:w="1776"/>
        <w:gridCol w:w="1232"/>
        <w:gridCol w:w="1288"/>
        <w:gridCol w:w="1092"/>
        <w:gridCol w:w="1152"/>
        <w:gridCol w:w="1152"/>
        <w:gridCol w:w="1152"/>
      </w:tblGrid>
      <w:tr>
        <w:trPr>
          <w:trHeight w:val="402" w:hRule="exact"/>
        </w:trPr>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7" w:hRule="exact"/>
        </w:trPr>
        <w:tc>
          <w:tcPr>
            <w:tcW w:w="1332"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信息科技</w:t>
            </w:r>
            <w:r>
              <w:rPr>
                <w:rFonts w:ascii="宋体" w:hAnsi="宋体" w:cs="宋体" w:eastAsia="宋体" w:hint="default"/>
                <w:spacing w:val="-80"/>
                <w:sz w:val="18"/>
                <w:szCs w:val="18"/>
              </w:rPr>
              <w:t>、</w:t>
            </w:r>
            <w:r>
              <w:rPr>
                <w:rFonts w:ascii="宋体" w:hAnsi="宋体" w:cs="宋体" w:eastAsia="宋体" w:hint="default"/>
                <w:sz w:val="18"/>
                <w:szCs w:val="18"/>
              </w:rPr>
              <w:t>计算机软硬</w:t>
            </w:r>
          </w:p>
        </w:tc>
        <w:tc>
          <w:tcPr>
            <w:tcW w:w="1232" w:type="dxa"/>
            <w:tcBorders>
              <w:top w:val="single" w:sz="4" w:space="0" w:color="000000"/>
              <w:left w:val="single" w:sz="4" w:space="0" w:color="000000"/>
              <w:bottom w:val="nil" w:sz="6" w:space="0" w:color="auto"/>
              <w:right w:val="single" w:sz="4" w:space="0" w:color="000000"/>
            </w:tcBorders>
          </w:tcPr>
          <w:p>
            <w:pPr/>
          </w:p>
        </w:tc>
        <w:tc>
          <w:tcPr>
            <w:tcW w:w="1288"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152" w:type="dxa"/>
            <w:tcBorders>
              <w:top w:val="single" w:sz="4" w:space="0" w:color="000000"/>
              <w:left w:val="single" w:sz="4" w:space="0" w:color="000000"/>
              <w:bottom w:val="nil" w:sz="6" w:space="0" w:color="auto"/>
              <w:right w:val="single" w:sz="4" w:space="0" w:color="000000"/>
            </w:tcBorders>
          </w:tcPr>
          <w:p>
            <w:pPr/>
          </w:p>
        </w:tc>
        <w:tc>
          <w:tcPr>
            <w:tcW w:w="1152" w:type="dxa"/>
            <w:tcBorders>
              <w:top w:val="single" w:sz="4" w:space="0" w:color="000000"/>
              <w:left w:val="single" w:sz="4" w:space="0" w:color="000000"/>
              <w:bottom w:val="nil" w:sz="6" w:space="0" w:color="auto"/>
              <w:right w:val="single" w:sz="4" w:space="0" w:color="000000"/>
            </w:tcBorders>
          </w:tcPr>
          <w:p>
            <w:pPr/>
          </w:p>
        </w:tc>
        <w:tc>
          <w:tcPr>
            <w:tcW w:w="1152"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37"/>
              <w:jc w:val="left"/>
              <w:rPr>
                <w:rFonts w:ascii="宋体" w:hAnsi="宋体" w:cs="宋体" w:eastAsia="宋体" w:hint="default"/>
                <w:sz w:val="18"/>
                <w:szCs w:val="18"/>
              </w:rPr>
            </w:pPr>
            <w:r>
              <w:rPr>
                <w:rFonts w:ascii="宋体" w:hAnsi="宋体" w:cs="宋体" w:eastAsia="宋体" w:hint="default"/>
                <w:sz w:val="18"/>
                <w:szCs w:val="18"/>
              </w:rPr>
              <w:t>上海米健信息技 术有限公司</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pacing w:val="-8"/>
                <w:sz w:val="18"/>
                <w:szCs w:val="18"/>
              </w:rPr>
              <w:t>件科技、网络科技技术</w:t>
            </w:r>
            <w:r>
              <w:rPr>
                <w:rFonts w:ascii="宋体" w:hAnsi="宋体" w:cs="宋体" w:eastAsia="宋体" w:hint="default"/>
                <w:sz w:val="18"/>
                <w:szCs w:val="18"/>
              </w:rPr>
              <w:t> </w:t>
            </w:r>
            <w:r>
              <w:rPr>
                <w:rFonts w:ascii="宋体" w:hAnsi="宋体" w:cs="宋体" w:eastAsia="宋体" w:hint="default"/>
                <w:spacing w:val="-8"/>
                <w:sz w:val="18"/>
                <w:szCs w:val="18"/>
              </w:rPr>
              <w:t>领域内的技术开发、技</w:t>
            </w:r>
            <w:r>
              <w:rPr>
                <w:rFonts w:ascii="宋体" w:hAnsi="宋体" w:cs="宋体" w:eastAsia="宋体" w:hint="default"/>
                <w:sz w:val="18"/>
                <w:szCs w:val="18"/>
              </w:rPr>
              <w:t> </w:t>
            </w:r>
            <w:r>
              <w:rPr>
                <w:rFonts w:ascii="宋体" w:hAnsi="宋体" w:cs="宋体" w:eastAsia="宋体" w:hint="default"/>
                <w:spacing w:val="-8"/>
                <w:sz w:val="18"/>
                <w:szCs w:val="18"/>
              </w:rPr>
              <w:t>术咨询、技术转让、技</w:t>
            </w:r>
          </w:p>
        </w:tc>
        <w:tc>
          <w:tcPr>
            <w:tcW w:w="12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4" w:right="0"/>
              <w:jc w:val="left"/>
              <w:rPr>
                <w:rFonts w:ascii="Times New Roman" w:hAnsi="Times New Roman" w:cs="Times New Roman" w:eastAsia="Times New Roman" w:hint="default"/>
                <w:sz w:val="18"/>
                <w:szCs w:val="18"/>
              </w:rPr>
            </w:pPr>
            <w:r>
              <w:rPr>
                <w:rFonts w:ascii="Times New Roman"/>
                <w:sz w:val="18"/>
              </w:rPr>
              <w:t>20,000,000.00</w:t>
            </w:r>
          </w:p>
        </w:tc>
        <w:tc>
          <w:tcPr>
            <w:tcW w:w="12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0" w:right="0"/>
              <w:jc w:val="left"/>
              <w:rPr>
                <w:rFonts w:ascii="Times New Roman" w:hAnsi="Times New Roman" w:cs="Times New Roman" w:eastAsia="Times New Roman" w:hint="default"/>
                <w:sz w:val="18"/>
                <w:szCs w:val="18"/>
              </w:rPr>
            </w:pPr>
            <w:r>
              <w:rPr>
                <w:rFonts w:ascii="Times New Roman"/>
                <w:sz w:val="18"/>
              </w:rPr>
              <w:t>128,586,907.40</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 w:right="0"/>
              <w:jc w:val="center"/>
              <w:rPr>
                <w:rFonts w:ascii="Times New Roman" w:hAnsi="Times New Roman" w:cs="Times New Roman" w:eastAsia="Times New Roman" w:hint="default"/>
                <w:sz w:val="18"/>
                <w:szCs w:val="18"/>
              </w:rPr>
            </w:pPr>
            <w:r>
              <w:rPr>
                <w:rFonts w:ascii="Times New Roman"/>
                <w:sz w:val="18"/>
              </w:rPr>
              <w:t>75,612,582.25</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3" w:right="0"/>
              <w:jc w:val="center"/>
              <w:rPr>
                <w:rFonts w:ascii="Times New Roman" w:hAnsi="Times New Roman" w:cs="Times New Roman" w:eastAsia="Times New Roman" w:hint="default"/>
                <w:sz w:val="18"/>
                <w:szCs w:val="18"/>
              </w:rPr>
            </w:pPr>
            <w:r>
              <w:rPr>
                <w:rFonts w:ascii="Times New Roman"/>
                <w:sz w:val="18"/>
              </w:rPr>
              <w:t>86,047,134.75</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3" w:right="0"/>
              <w:jc w:val="center"/>
              <w:rPr>
                <w:rFonts w:ascii="Times New Roman" w:hAnsi="Times New Roman" w:cs="Times New Roman" w:eastAsia="Times New Roman" w:hint="default"/>
                <w:sz w:val="18"/>
                <w:szCs w:val="18"/>
              </w:rPr>
            </w:pPr>
            <w:r>
              <w:rPr>
                <w:rFonts w:ascii="Times New Roman"/>
                <w:sz w:val="18"/>
              </w:rPr>
              <w:t>32,275,683.43</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3" w:right="0"/>
              <w:jc w:val="center"/>
              <w:rPr>
                <w:rFonts w:ascii="Times New Roman" w:hAnsi="Times New Roman" w:cs="Times New Roman" w:eastAsia="Times New Roman" w:hint="default"/>
                <w:sz w:val="18"/>
                <w:szCs w:val="18"/>
              </w:rPr>
            </w:pPr>
            <w:r>
              <w:rPr>
                <w:rFonts w:ascii="Times New Roman"/>
                <w:sz w:val="18"/>
              </w:rPr>
              <w:t>28,173,966.10</w:t>
            </w:r>
          </w:p>
        </w:tc>
      </w:tr>
      <w:tr>
        <w:trPr>
          <w:trHeight w:val="357" w:hRule="exact"/>
        </w:trPr>
        <w:tc>
          <w:tcPr>
            <w:tcW w:w="1332"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术服务等</w:t>
            </w:r>
          </w:p>
        </w:tc>
        <w:tc>
          <w:tcPr>
            <w:tcW w:w="1232" w:type="dxa"/>
            <w:tcBorders>
              <w:top w:val="nil" w:sz="6" w:space="0" w:color="auto"/>
              <w:left w:val="single" w:sz="4" w:space="0" w:color="000000"/>
              <w:bottom w:val="single" w:sz="4" w:space="0" w:color="000000"/>
              <w:right w:val="single" w:sz="4" w:space="0" w:color="000000"/>
            </w:tcBorders>
          </w:tcPr>
          <w:p>
            <w:pPr/>
          </w:p>
        </w:tc>
        <w:tc>
          <w:tcPr>
            <w:tcW w:w="1288"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left="1132" w:right="6854"/>
        <w:jc w:val="left"/>
      </w:pPr>
      <w:r>
        <w:rPr/>
        <w:t>报告期内取得和处置子公司的情况</w:t>
      </w:r>
    </w:p>
    <w:p>
      <w:pPr>
        <w:pStyle w:val="BodyText"/>
        <w:spacing w:line="240" w:lineRule="auto" w:before="117"/>
        <w:ind w:left="1132"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655.11</w:t>
            </w:r>
          </w:p>
        </w:tc>
      </w:tr>
    </w:tbl>
    <w:p>
      <w:pPr>
        <w:pStyle w:val="BodyText"/>
        <w:spacing w:line="360" w:lineRule="auto" w:before="49"/>
        <w:ind w:left="1492" w:right="0" w:hanging="360"/>
        <w:jc w:val="left"/>
      </w:pPr>
      <w:r>
        <w:rPr/>
        <w:t>主要控股参股公司情况说明 </w:t>
      </w:r>
      <w:r>
        <w:rPr>
          <w:spacing w:val="-4"/>
        </w:rPr>
        <w:t>报告期内，上海米健紧紧把握行业发展趋势，抓住行业发展的有利时机，结合自身技术优势，洞察市场现状与客户需求，</w:t>
      </w:r>
    </w:p>
    <w:p>
      <w:pPr>
        <w:pStyle w:val="BodyText"/>
        <w:spacing w:line="222" w:lineRule="exact"/>
        <w:ind w:left="1132" w:right="0"/>
        <w:jc w:val="both"/>
      </w:pPr>
      <w:r>
        <w:rPr/>
        <w:t>加快推进产品研发与技术储备，努力为客户提供全面、系统的技术服务，不断提升客户价值。报告期内，上海米健营业收入</w:t>
      </w:r>
    </w:p>
    <w:p>
      <w:pPr>
        <w:pStyle w:val="BodyText"/>
        <w:spacing w:line="314" w:lineRule="auto" w:before="76"/>
        <w:ind w:left="1132" w:right="649"/>
        <w:jc w:val="both"/>
      </w:pPr>
      <w:r>
        <w:rPr/>
        <w:t>同比增长近 </w:t>
      </w:r>
      <w:r>
        <w:rPr>
          <w:rFonts w:ascii="Times New Roman" w:hAnsi="Times New Roman" w:cs="Times New Roman" w:eastAsia="Times New Roman" w:hint="default"/>
        </w:rPr>
        <w:t>60%</w:t>
      </w:r>
      <w:r>
        <w:rPr/>
        <w:t>，同时深化利润管理，明确激励机制，有效控制各项成本，亦实现了营业利润的大幅增长。手术室麻醉、</w:t>
      </w:r>
      <w:r>
        <w:rPr>
          <w:spacing w:val="-68"/>
        </w:rPr>
        <w:t> </w:t>
      </w:r>
      <w:r>
        <w:rPr>
          <w:spacing w:val="-68"/>
        </w:rPr>
      </w:r>
      <w:r>
        <w:rPr>
          <w:spacing w:val="-2"/>
        </w:rPr>
        <w:t>重症医学、急诊临床信息系统三大业务增速明显：手术室麻醉临床信息系统，通过新产品的发布，大幅提高产品化程度，缩</w:t>
      </w:r>
      <w:r>
        <w:rPr>
          <w:spacing w:val="-63"/>
        </w:rPr>
        <w:t> </w:t>
      </w:r>
      <w:r>
        <w:rPr>
          <w:spacing w:val="-63"/>
        </w:rPr>
      </w:r>
      <w:r>
        <w:rPr>
          <w:spacing w:val="-2"/>
        </w:rPr>
        <w:t>短实施周期与回款周期，同时在日间手术室等领域，展开积极探索与实践，为公司后期在该领域的拓展打下坚实基础。重症</w:t>
      </w:r>
      <w:r>
        <w:rPr>
          <w:spacing w:val="-64"/>
        </w:rPr>
        <w:t> </w:t>
      </w:r>
      <w:r>
        <w:rPr>
          <w:spacing w:val="-64"/>
        </w:rPr>
      </w:r>
      <w:r>
        <w:rPr>
          <w:spacing w:val="-2"/>
        </w:rPr>
        <w:t>医学临床信息系统在报告期内投入优势兵力打造样板医院，推进北上广样板医院建设，在全国范围内打造重症产品展示的窗</w:t>
      </w:r>
      <w:r>
        <w:rPr>
          <w:spacing w:val="-64"/>
        </w:rPr>
        <w:t> </w:t>
      </w:r>
      <w:r>
        <w:rPr>
          <w:spacing w:val="-64"/>
        </w:rPr>
      </w:r>
      <w:r>
        <w:rPr>
          <w:spacing w:val="-2"/>
        </w:rPr>
        <w:t>口；同时推出新版本，除了满足市场对重症监护的现有需求外，在产品可靠性、扩展性等方面都带来了巨大突破，明显降低</w:t>
      </w:r>
      <w:r>
        <w:rPr>
          <w:spacing w:val="-63"/>
        </w:rPr>
        <w:t> </w:t>
      </w:r>
      <w:r>
        <w:rPr>
          <w:spacing w:val="-63"/>
        </w:rPr>
      </w:r>
      <w:r>
        <w:rPr>
          <w:spacing w:val="-2"/>
        </w:rPr>
        <w:t>了实施交付成本。急诊临床信息系统则继续拓展在单体三甲医院的项目建设，始终保持业界领先地位，同时通过急诊项目带</w:t>
      </w:r>
    </w:p>
    <w:p>
      <w:pPr>
        <w:spacing w:after="0" w:line="314" w:lineRule="auto"/>
        <w:jc w:val="both"/>
        <w:sectPr>
          <w:type w:val="continuous"/>
          <w:pgSz w:w="11910" w:h="16840"/>
          <w:pgMar w:top="1440" w:bottom="1160" w:left="0" w:right="480"/>
        </w:sectPr>
      </w:pPr>
    </w:p>
    <w:p>
      <w:pPr>
        <w:pStyle w:val="BodyText"/>
        <w:spacing w:line="309" w:lineRule="auto" w:before="81"/>
        <w:ind w:right="190"/>
        <w:jc w:val="both"/>
      </w:pPr>
      <w:r>
        <w:rPr>
          <w:spacing w:val="-2"/>
        </w:rPr>
        <w:t>动重症信息系统的销售。在新产品研发方面，上海米健在急危重症质控统计及区域协同、单病种急救管理系统领域均有所突</w:t>
      </w:r>
      <w:r>
        <w:rPr>
          <w:spacing w:val="-63"/>
        </w:rPr>
        <w:t> </w:t>
      </w:r>
      <w:r>
        <w:rPr>
          <w:spacing w:val="-63"/>
        </w:rPr>
      </w:r>
      <w:r>
        <w:rPr/>
        <w:t>破。</w:t>
      </w:r>
      <w:r>
        <w:rPr>
          <w:rFonts w:ascii="Times New Roman" w:hAnsi="Times New Roman" w:cs="Times New Roman" w:eastAsia="Times New Roman" w:hint="default"/>
        </w:rPr>
        <w:t>2017 </w:t>
      </w:r>
      <w:r>
        <w:rPr/>
        <w:t>年下半年，上海米健中标西藏自治区国家级藏医馆健康信息化平台建设项目，展示了在医疗信息化平台建设及区</w:t>
      </w:r>
      <w:r>
        <w:rPr>
          <w:spacing w:val="-48"/>
        </w:rPr>
        <w:t> </w:t>
      </w:r>
      <w:r>
        <w:rPr>
          <w:spacing w:val="-48"/>
        </w:rPr>
      </w:r>
      <w:r>
        <w:rPr/>
        <w:t>域公共卫生大项目建设方面的雄厚实力。</w:t>
      </w:r>
    </w:p>
    <w:p>
      <w:pPr>
        <w:spacing w:line="240" w:lineRule="auto" w:before="1"/>
        <w:rPr>
          <w:rFonts w:ascii="宋体" w:hAnsi="宋体" w:cs="宋体" w:eastAsia="宋体" w:hint="default"/>
          <w:sz w:val="21"/>
          <w:szCs w:val="21"/>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12"/>
        <w:rPr>
          <w:rFonts w:ascii="宋体" w:hAnsi="宋体" w:cs="宋体" w:eastAsia="宋体" w:hint="default"/>
          <w:b/>
          <w:bCs/>
          <w:sz w:val="16"/>
          <w:szCs w:val="16"/>
        </w:rPr>
      </w:pPr>
    </w:p>
    <w:p>
      <w:pPr>
        <w:spacing w:line="440" w:lineRule="atLeast" w:before="0"/>
        <w:ind w:left="472" w:right="204" w:firstLine="0"/>
        <w:jc w:val="left"/>
        <w:rPr>
          <w:rFonts w:ascii="宋体" w:hAnsi="宋体" w:cs="宋体" w:eastAsia="宋体" w:hint="default"/>
          <w:sz w:val="18"/>
          <w:szCs w:val="18"/>
        </w:rPr>
      </w:pPr>
      <w:r>
        <w:rPr>
          <w:rFonts w:ascii="宋体" w:hAnsi="宋体" w:cs="宋体" w:eastAsia="宋体" w:hint="default"/>
          <w:b/>
          <w:bCs/>
          <w:sz w:val="18"/>
          <w:szCs w:val="18"/>
        </w:rPr>
        <w:t>（一）2018年公司经营计划</w:t>
      </w:r>
      <w:r>
        <w:rPr>
          <w:rFonts w:ascii="宋体" w:hAnsi="宋体" w:cs="宋体" w:eastAsia="宋体" w:hint="default"/>
          <w:b/>
          <w:bCs/>
          <w:w w:val="99"/>
          <w:sz w:val="18"/>
          <w:szCs w:val="18"/>
        </w:rPr>
        <w:t> </w:t>
      </w:r>
      <w:r>
        <w:rPr>
          <w:rFonts w:ascii="宋体" w:hAnsi="宋体" w:cs="宋体" w:eastAsia="宋体" w:hint="default"/>
          <w:sz w:val="18"/>
          <w:szCs w:val="18"/>
        </w:rPr>
        <w:t>2018年是公司进入</w:t>
      </w:r>
      <w:r>
        <w:rPr>
          <w:rFonts w:ascii="Times New Roman" w:hAnsi="Times New Roman" w:cs="Times New Roman" w:eastAsia="Times New Roman" w:hint="default"/>
          <w:sz w:val="18"/>
          <w:szCs w:val="18"/>
        </w:rPr>
        <w:t>“</w:t>
      </w:r>
      <w:r>
        <w:rPr>
          <w:rFonts w:ascii="宋体" w:hAnsi="宋体" w:cs="宋体" w:eastAsia="宋体" w:hint="default"/>
          <w:sz w:val="18"/>
          <w:szCs w:val="18"/>
        </w:rPr>
        <w:t>荣科3.0</w:t>
      </w:r>
      <w:r>
        <w:rPr>
          <w:rFonts w:ascii="Times New Roman" w:hAnsi="Times New Roman" w:cs="Times New Roman" w:eastAsia="Times New Roman" w:hint="default"/>
          <w:sz w:val="18"/>
          <w:szCs w:val="18"/>
        </w:rPr>
        <w:t>”</w:t>
      </w:r>
      <w:r>
        <w:rPr>
          <w:rFonts w:ascii="宋体" w:hAnsi="宋体" w:cs="宋体" w:eastAsia="宋体" w:hint="default"/>
          <w:sz w:val="18"/>
          <w:szCs w:val="18"/>
        </w:rPr>
        <w:t>阶段的关键年，是荣科新时代的开端。未来公司将沿着既定发展战略，秉承“医疗智能创</w:t>
      </w:r>
    </w:p>
    <w:p>
      <w:pPr>
        <w:pStyle w:val="BodyText"/>
        <w:spacing w:line="316" w:lineRule="auto" w:before="63"/>
        <w:ind w:right="94"/>
        <w:jc w:val="left"/>
      </w:pPr>
      <w:r>
        <w:rPr>
          <w:spacing w:val="-2"/>
        </w:rPr>
        <w:t>新价值，健康数据共享未来”的理念加速前行。公司在优化结构、开拓市场、谨防风险的前提下，将加大智慧医疗、健康数</w:t>
      </w:r>
      <w:r>
        <w:rPr>
          <w:spacing w:val="-64"/>
        </w:rPr>
        <w:t> </w:t>
      </w:r>
      <w:r>
        <w:rPr>
          <w:spacing w:val="-64"/>
        </w:rPr>
      </w:r>
      <w:r>
        <w:rPr/>
        <w:t>据方面的投入，乘着医疗信息化政策的东风，助力公司二次腾飞。</w:t>
      </w:r>
    </w:p>
    <w:p>
      <w:pPr>
        <w:pStyle w:val="Heading4"/>
        <w:spacing w:line="240" w:lineRule="auto" w:before="59"/>
        <w:ind w:right="6754"/>
        <w:jc w:val="left"/>
        <w:rPr>
          <w:b w:val="0"/>
          <w:bCs w:val="0"/>
        </w:rPr>
      </w:pPr>
      <w:r>
        <w:rPr>
          <w:rFonts w:ascii="Times New Roman" w:hAnsi="Times New Roman" w:cs="Times New Roman" w:eastAsia="Times New Roman" w:hint="default"/>
        </w:rPr>
        <w:t>1</w:t>
      </w:r>
      <w:r>
        <w:rPr/>
        <w:t>、坚持大健康、大数据战略</w:t>
      </w:r>
      <w:r>
        <w:rPr>
          <w:b w:val="0"/>
          <w:bCs w:val="0"/>
        </w:rPr>
      </w:r>
    </w:p>
    <w:p>
      <w:pPr>
        <w:pStyle w:val="BodyText"/>
        <w:spacing w:line="309" w:lineRule="auto" w:before="101"/>
        <w:ind w:right="192" w:firstLine="360"/>
        <w:jc w:val="both"/>
      </w:pPr>
      <w:r>
        <w:rPr>
          <w:rFonts w:ascii="Times New Roman" w:hAnsi="Times New Roman" w:cs="Times New Roman" w:eastAsia="Times New Roman" w:hint="default"/>
          <w:spacing w:val="-2"/>
        </w:rPr>
        <w:t>2018</w:t>
      </w:r>
      <w:r>
        <w:rPr>
          <w:spacing w:val="-2"/>
        </w:rPr>
        <w:t>年，公司将坚持</w:t>
      </w:r>
      <w:r>
        <w:rPr>
          <w:rFonts w:ascii="Times New Roman" w:hAnsi="Times New Roman" w:cs="Times New Roman" w:eastAsia="Times New Roman" w:hint="default"/>
          <w:spacing w:val="-2"/>
        </w:rPr>
        <w:t>“</w:t>
      </w:r>
      <w:r>
        <w:rPr>
          <w:spacing w:val="-2"/>
        </w:rPr>
        <w:t>数据云医生，健康智天使</w:t>
      </w:r>
      <w:r>
        <w:rPr>
          <w:rFonts w:ascii="Times New Roman" w:hAnsi="Times New Roman" w:cs="Times New Roman" w:eastAsia="Times New Roman" w:hint="default"/>
          <w:spacing w:val="-2"/>
        </w:rPr>
        <w:t>”</w:t>
      </w:r>
      <w:r>
        <w:rPr>
          <w:spacing w:val="-2"/>
        </w:rPr>
        <w:t>的发展战略，围绕健康医疗与大数据的不断升级，深挖业务潜力，开拓</w:t>
      </w:r>
      <w:r>
        <w:rPr/>
        <w:t> </w:t>
      </w:r>
      <w:r>
        <w:rPr>
          <w:spacing w:val="-2"/>
        </w:rPr>
        <w:t>市场，提升核心技术竞争力，以此为基础，不断创新研发，丰富公司的产品和解决方案体系；同时，将进一步完善智能融合</w:t>
      </w:r>
      <w:r>
        <w:rPr>
          <w:spacing w:val="-66"/>
        </w:rPr>
        <w:t> </w:t>
      </w:r>
      <w:r>
        <w:rPr>
          <w:spacing w:val="-66"/>
        </w:rPr>
      </w:r>
      <w:r>
        <w:rPr>
          <w:spacing w:val="-2"/>
        </w:rPr>
        <w:t>云业务体系，探索大数据领域新的服务模式，为各行业客户提供整体解决方案，以政企和运营商为主线，打造两横五纵的体</w:t>
      </w:r>
      <w:r>
        <w:rPr>
          <w:spacing w:val="-66"/>
        </w:rPr>
        <w:t> </w:t>
      </w:r>
      <w:r>
        <w:rPr>
          <w:spacing w:val="-66"/>
        </w:rPr>
      </w:r>
      <w:r>
        <w:rPr>
          <w:spacing w:val="-2"/>
        </w:rPr>
        <w:t>系架构，确保公司在东北区域的领先地位。加强技术研发投入和人才储备。我们将</w:t>
      </w:r>
      <w:r>
        <w:rPr>
          <w:rFonts w:ascii="Times New Roman" w:hAnsi="Times New Roman" w:cs="Times New Roman" w:eastAsia="Times New Roman" w:hint="default"/>
          <w:spacing w:val="-2"/>
        </w:rPr>
        <w:t>“</w:t>
      </w:r>
      <w:r>
        <w:rPr>
          <w:spacing w:val="-2"/>
        </w:rPr>
        <w:t>滚石上山，砥砺前行</w:t>
      </w:r>
      <w:r>
        <w:rPr>
          <w:rFonts w:ascii="Times New Roman" w:hAnsi="Times New Roman" w:cs="Times New Roman" w:eastAsia="Times New Roman" w:hint="default"/>
          <w:spacing w:val="-2"/>
        </w:rPr>
        <w:t>”</w:t>
      </w:r>
      <w:r>
        <w:rPr>
          <w:spacing w:val="-2"/>
        </w:rPr>
        <w:t>，努力成为临床应</w:t>
      </w:r>
      <w:r>
        <w:rPr>
          <w:spacing w:val="-43"/>
        </w:rPr>
        <w:t> </w:t>
      </w:r>
      <w:r>
        <w:rPr>
          <w:spacing w:val="-43"/>
        </w:rPr>
      </w:r>
      <w:r>
        <w:rPr/>
        <w:t>用细分领域的领导者、健康大数据领域的创新者，逐步实现“医疗智能创新价值，健康数据共享未来”的荣科梦。</w:t>
      </w:r>
    </w:p>
    <w:p>
      <w:pPr>
        <w:spacing w:line="340" w:lineRule="auto" w:before="65"/>
        <w:ind w:left="472"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、精细化管理，提升客户满意度</w:t>
      </w:r>
      <w:r>
        <w:rPr>
          <w:rFonts w:ascii="宋体" w:hAnsi="宋体" w:cs="宋体" w:eastAsia="宋体" w:hint="default"/>
          <w:b/>
          <w:bCs/>
          <w:w w:val="99"/>
          <w:sz w:val="18"/>
          <w:szCs w:val="18"/>
        </w:rPr>
        <w:t> </w:t>
      </w:r>
      <w:r>
        <w:rPr>
          <w:rFonts w:ascii="宋体" w:hAnsi="宋体" w:cs="宋体" w:eastAsia="宋体" w:hint="default"/>
          <w:spacing w:val="-2"/>
          <w:sz w:val="18"/>
          <w:szCs w:val="18"/>
        </w:rPr>
        <w:t>深入精细化管理，以项目生命周期为主线，倡导交付模式创新，通过高效的精细化管理严格控制时间及经济成本，最大</w:t>
      </w:r>
    </w:p>
    <w:p>
      <w:pPr>
        <w:pStyle w:val="BodyText"/>
        <w:spacing w:line="240" w:lineRule="auto" w:before="1"/>
        <w:ind w:right="0"/>
        <w:jc w:val="both"/>
      </w:pPr>
      <w:r>
        <w:rPr/>
        <w:t>化增加利润。</w:t>
      </w:r>
    </w:p>
    <w:p>
      <w:pPr>
        <w:pStyle w:val="BodyText"/>
        <w:spacing w:line="316" w:lineRule="auto" w:before="115"/>
        <w:ind w:right="94" w:firstLine="360"/>
        <w:jc w:val="left"/>
      </w:pPr>
      <w:r>
        <w:rPr>
          <w:spacing w:val="-2"/>
        </w:rPr>
        <w:t>继续贯彻由上至下的客户回访机制，全方位了解客户满意度，根据客户所反馈的情况进行反思，改善服务水平，为客户</w:t>
      </w:r>
      <w:r>
        <w:rPr/>
        <w:t> </w:t>
      </w:r>
      <w:r>
        <w:rPr>
          <w:spacing w:val="-4"/>
        </w:rPr>
        <w:t>提供放心、感动、祝福式的荣科服务。面向技术部门继续加强项目监管，以项目交付为核心，提升项目产值，控制项目成本，</w:t>
      </w:r>
      <w:r>
        <w:rPr>
          <w:spacing w:val="-43"/>
        </w:rPr>
        <w:t> </w:t>
      </w:r>
      <w:r>
        <w:rPr>
          <w:spacing w:val="-43"/>
        </w:rPr>
      </w:r>
      <w:r>
        <w:rPr/>
        <w:t>确保事业部的可控利润目标达成。</w:t>
      </w:r>
    </w:p>
    <w:p>
      <w:pPr>
        <w:pStyle w:val="Heading4"/>
        <w:spacing w:line="240" w:lineRule="auto" w:before="59"/>
        <w:ind w:right="6754"/>
        <w:jc w:val="left"/>
        <w:rPr>
          <w:b w:val="0"/>
          <w:bCs w:val="0"/>
        </w:rPr>
      </w:pPr>
      <w:r>
        <w:rPr>
          <w:rFonts w:ascii="Times New Roman" w:hAnsi="Times New Roman" w:cs="Times New Roman" w:eastAsia="Times New Roman" w:hint="default"/>
        </w:rPr>
        <w:t>3</w:t>
      </w:r>
      <w:r>
        <w:rPr/>
        <w:t>、根植文化，增强员工活力</w:t>
      </w:r>
      <w:r>
        <w:rPr>
          <w:b w:val="0"/>
          <w:bCs w:val="0"/>
        </w:rPr>
      </w:r>
    </w:p>
    <w:p>
      <w:pPr>
        <w:pStyle w:val="BodyText"/>
        <w:spacing w:line="312" w:lineRule="auto" w:before="103"/>
        <w:ind w:right="192" w:firstLine="360"/>
        <w:jc w:val="both"/>
      </w:pPr>
      <w:r>
        <w:rPr>
          <w:rFonts w:ascii="Times New Roman" w:hAnsi="Times New Roman" w:cs="Times New Roman" w:eastAsia="Times New Roman" w:hint="default"/>
          <w:spacing w:val="-2"/>
        </w:rPr>
        <w:t>2018</w:t>
      </w:r>
      <w:r>
        <w:rPr>
          <w:spacing w:val="-2"/>
        </w:rPr>
        <w:t>年，公司将不断的进行组织形式和流程的调整，构建平台化管理体系，推进项目型组织及流程建设，对项目进行精</w:t>
      </w:r>
      <w:r>
        <w:rPr/>
        <w:t> </w:t>
      </w:r>
      <w:r>
        <w:rPr>
          <w:spacing w:val="-2"/>
        </w:rPr>
        <w:t>细化管理、全流程经营；人才方面，除了高端人才的团结，核心人才的规划，还要求各部门的专业培养、能力提升、团队建</w:t>
      </w:r>
      <w:r>
        <w:rPr>
          <w:spacing w:val="-64"/>
        </w:rPr>
        <w:t> </w:t>
      </w:r>
      <w:r>
        <w:rPr>
          <w:spacing w:val="-64"/>
        </w:rPr>
      </w:r>
      <w:r>
        <w:rPr>
          <w:spacing w:val="-2"/>
        </w:rPr>
        <w:t>设同时开展，不断激发员工的活力。在绩效方面，以业绩为导向，强调各业务环节相互支撑和整体协同，发挥组织绩效对公</w:t>
      </w:r>
      <w:r>
        <w:rPr>
          <w:spacing w:val="-65"/>
        </w:rPr>
        <w:t> </w:t>
      </w:r>
      <w:r>
        <w:rPr>
          <w:spacing w:val="-65"/>
        </w:rPr>
      </w:r>
      <w:r>
        <w:rPr/>
        <w:t>司目标的落实和支撑分解作用。</w:t>
      </w:r>
    </w:p>
    <w:p>
      <w:pPr>
        <w:pStyle w:val="BodyText"/>
        <w:spacing w:line="316" w:lineRule="auto" w:before="61"/>
        <w:ind w:right="94" w:firstLine="360"/>
        <w:jc w:val="left"/>
      </w:pPr>
      <w:r>
        <w:rPr>
          <w:spacing w:val="-2"/>
        </w:rPr>
        <w:t>在挑战与机遇并存的环境下，深化企业文化，提升文化厚度，增强文化自信，使员工与企业共同成长。公司将作为一个</w:t>
      </w:r>
      <w:r>
        <w:rPr/>
        <w:t> 充满活力的平台，一个让员工发挥潜质，创造价值的生态系统，使员工与公司紧密相连，并肩奋斗。</w:t>
      </w:r>
    </w:p>
    <w:p>
      <w:pPr>
        <w:pStyle w:val="Heading4"/>
        <w:spacing w:line="240" w:lineRule="auto" w:before="59"/>
        <w:ind w:right="6754"/>
        <w:jc w:val="left"/>
        <w:rPr>
          <w:b w:val="0"/>
          <w:bCs w:val="0"/>
        </w:rPr>
      </w:pPr>
      <w:r>
        <w:rPr>
          <w:rFonts w:ascii="Times New Roman" w:hAnsi="Times New Roman" w:cs="Times New Roman" w:eastAsia="Times New Roman" w:hint="default"/>
        </w:rPr>
        <w:t>4</w:t>
      </w:r>
      <w:r>
        <w:rPr/>
        <w:t>、提升研发实力，推动创新发展</w:t>
      </w:r>
      <w:r>
        <w:rPr>
          <w:b w:val="0"/>
          <w:bCs w:val="0"/>
        </w:rPr>
      </w:r>
    </w:p>
    <w:p>
      <w:pPr>
        <w:pStyle w:val="BodyText"/>
        <w:spacing w:line="300" w:lineRule="auto" w:before="103"/>
        <w:ind w:right="94" w:firstLine="360"/>
        <w:jc w:val="left"/>
      </w:pPr>
      <w:r>
        <w:rPr>
          <w:rFonts w:ascii="Times New Roman" w:hAnsi="Times New Roman" w:cs="Times New Roman" w:eastAsia="Times New Roman" w:hint="default"/>
          <w:spacing w:val="-2"/>
        </w:rPr>
        <w:t>2018</w:t>
      </w:r>
      <w:r>
        <w:rPr>
          <w:spacing w:val="-2"/>
        </w:rPr>
        <w:t>年，公司将全面加强技术创新工作，落实荣科研究院在吸纳行业知名专家学者和研发人员方面的平台作用，推动互</w:t>
      </w:r>
      <w:r>
        <w:rPr/>
        <w:t> 联网、云计算、大数据、人工智能、机器学习等前沿技术发展，以实现</w:t>
      </w:r>
      <w:r>
        <w:rPr>
          <w:rFonts w:ascii="Times New Roman" w:hAnsi="Times New Roman" w:cs="Times New Roman" w:eastAsia="Times New Roman" w:hint="default"/>
        </w:rPr>
        <w:t>“</w:t>
      </w:r>
      <w:r>
        <w:rPr/>
        <w:t>数据云医生，健康智天使</w:t>
      </w:r>
      <w:r>
        <w:rPr>
          <w:rFonts w:ascii="Times New Roman" w:hAnsi="Times New Roman" w:cs="Times New Roman" w:eastAsia="Times New Roman" w:hint="default"/>
        </w:rPr>
        <w:t>”</w:t>
      </w:r>
      <w:r>
        <w:rPr/>
        <w:t>的公司发展战略。</w:t>
      </w:r>
    </w:p>
    <w:p>
      <w:pPr>
        <w:pStyle w:val="Heading4"/>
        <w:spacing w:line="240" w:lineRule="auto" w:before="51"/>
        <w:ind w:right="6754"/>
        <w:jc w:val="left"/>
        <w:rPr>
          <w:b w:val="0"/>
          <w:bCs w:val="0"/>
        </w:rPr>
      </w:pPr>
      <w:r>
        <w:rPr>
          <w:rFonts w:ascii="Times New Roman" w:hAnsi="Times New Roman" w:cs="Times New Roman" w:eastAsia="Times New Roman" w:hint="default"/>
        </w:rPr>
        <w:t>5</w:t>
      </w:r>
      <w:r>
        <w:rPr/>
        <w:t>、预算导向，闭环管理</w:t>
      </w:r>
      <w:r>
        <w:rPr>
          <w:b w:val="0"/>
          <w:bCs w:val="0"/>
        </w:rPr>
      </w:r>
    </w:p>
    <w:p>
      <w:pPr>
        <w:pStyle w:val="BodyText"/>
        <w:spacing w:line="309" w:lineRule="auto" w:before="103"/>
        <w:ind w:right="94" w:firstLine="360"/>
        <w:jc w:val="left"/>
      </w:pPr>
      <w:r>
        <w:rPr>
          <w:rFonts w:ascii="Times New Roman" w:hAnsi="Times New Roman" w:cs="Times New Roman" w:eastAsia="Times New Roman" w:hint="default"/>
          <w:spacing w:val="-4"/>
        </w:rPr>
        <w:t>2018</w:t>
      </w:r>
      <w:r>
        <w:rPr>
          <w:spacing w:val="-4"/>
        </w:rPr>
        <w:t>年，公司将高效利用信息化系统让管理有依据，实现精细化管理；建立项目全流程预算管理，实现完整的管理闭环。</w:t>
      </w:r>
      <w:r>
        <w:rPr/>
        <w:t> </w:t>
      </w:r>
      <w:r>
        <w:rPr>
          <w:spacing w:val="-2"/>
        </w:rPr>
        <w:t>同时，持续推动预算管理机制，不断的增强全员预算管理意识，提高预算管理水平。实现以预算为导向，控制降低成本费用</w:t>
      </w:r>
      <w:r>
        <w:rPr>
          <w:spacing w:val="-65"/>
        </w:rPr>
        <w:t> </w:t>
      </w:r>
      <w:r>
        <w:rPr>
          <w:spacing w:val="-65"/>
        </w:rPr>
      </w:r>
      <w:r>
        <w:rPr/>
        <w:t>支出，推动促进公司战略、经营目标的实现。</w:t>
      </w:r>
    </w:p>
    <w:p>
      <w:pPr>
        <w:pStyle w:val="Heading4"/>
        <w:spacing w:line="240" w:lineRule="auto" w:before="65"/>
        <w:ind w:right="6754"/>
        <w:jc w:val="left"/>
        <w:rPr>
          <w:b w:val="0"/>
          <w:bCs w:val="0"/>
        </w:rPr>
      </w:pPr>
      <w:r>
        <w:rPr>
          <w:rFonts w:ascii="Times New Roman" w:hAnsi="Times New Roman" w:cs="Times New Roman" w:eastAsia="Times New Roman" w:hint="default"/>
        </w:rPr>
        <w:t>6</w:t>
      </w:r>
      <w:r>
        <w:rPr/>
        <w:t>、借助资本平台，助力企业腾飞</w:t>
      </w:r>
      <w:r>
        <w:rPr>
          <w:b w:val="0"/>
          <w:bCs w:val="0"/>
        </w:rPr>
      </w:r>
    </w:p>
    <w:p>
      <w:pPr>
        <w:pStyle w:val="BodyText"/>
        <w:spacing w:line="240" w:lineRule="auto" w:before="101"/>
        <w:ind w:left="472" w:right="0"/>
        <w:jc w:val="left"/>
      </w:pPr>
      <w:r>
        <w:rPr>
          <w:rFonts w:ascii="Times New Roman" w:hAnsi="Times New Roman" w:cs="Times New Roman" w:eastAsia="Times New Roman" w:hint="default"/>
        </w:rPr>
        <w:t>2018</w:t>
      </w:r>
      <w:r>
        <w:rPr/>
        <w:t>年，公司在既定战略目标的指导下，将继续寻找国内外有协同效应的并购标的，夯实公司的产业布局和市场布局，</w:t>
      </w:r>
    </w:p>
    <w:p>
      <w:pPr>
        <w:spacing w:after="0" w:line="240" w:lineRule="auto"/>
        <w:jc w:val="left"/>
        <w:sectPr>
          <w:pgSz w:w="11910" w:h="16840"/>
          <w:pgMar w:header="566" w:footer="978" w:top="1360" w:bottom="1160" w:left="1020" w:right="940"/>
        </w:sectPr>
      </w:pPr>
    </w:p>
    <w:p>
      <w:pPr>
        <w:pStyle w:val="BodyText"/>
        <w:spacing w:line="300" w:lineRule="auto" w:before="81"/>
        <w:ind w:right="94"/>
        <w:jc w:val="left"/>
      </w:pPr>
      <w:r>
        <w:rPr>
          <w:spacing w:val="-2"/>
        </w:rPr>
        <w:t>提升公司的核心价值与竞争力，推动公司实现</w:t>
      </w:r>
      <w:r>
        <w:rPr>
          <w:rFonts w:ascii="Times New Roman" w:hAnsi="Times New Roman" w:cs="Times New Roman" w:eastAsia="Times New Roman" w:hint="default"/>
          <w:spacing w:val="-2"/>
        </w:rPr>
        <w:t>“</w:t>
      </w:r>
      <w:r>
        <w:rPr>
          <w:spacing w:val="-2"/>
        </w:rPr>
        <w:t>数据云医生，健康智天使</w:t>
      </w:r>
      <w:r>
        <w:rPr>
          <w:rFonts w:ascii="Times New Roman" w:hAnsi="Times New Roman" w:cs="Times New Roman" w:eastAsia="Times New Roman" w:hint="default"/>
          <w:spacing w:val="-2"/>
        </w:rPr>
        <w:t>”</w:t>
      </w:r>
      <w:r>
        <w:rPr>
          <w:spacing w:val="-2"/>
        </w:rPr>
        <w:t>的战略目标，逐步实现“医疗智能创新价值，健康</w:t>
      </w:r>
      <w:r>
        <w:rPr>
          <w:spacing w:val="-44"/>
        </w:rPr>
        <w:t> </w:t>
      </w:r>
      <w:r>
        <w:rPr>
          <w:spacing w:val="-44"/>
        </w:rPr>
      </w:r>
      <w:r>
        <w:rPr/>
        <w:t>数据共享未来”的荣科梦。</w:t>
      </w:r>
    </w:p>
    <w:p>
      <w:pPr>
        <w:pStyle w:val="Heading4"/>
        <w:spacing w:line="240" w:lineRule="auto" w:before="70"/>
        <w:ind w:right="6754"/>
        <w:jc w:val="left"/>
        <w:rPr>
          <w:b w:val="0"/>
          <w:bCs w:val="0"/>
        </w:rPr>
      </w:pPr>
      <w:r>
        <w:rPr>
          <w:rFonts w:ascii="Times New Roman" w:hAnsi="Times New Roman" w:cs="Times New Roman" w:eastAsia="Times New Roman" w:hint="default"/>
        </w:rPr>
        <w:t>7</w:t>
      </w:r>
      <w:r>
        <w:rPr/>
        <w:t>、完善控制体系，全面管控风险</w:t>
      </w:r>
      <w:r>
        <w:rPr>
          <w:b w:val="0"/>
          <w:bCs w:val="0"/>
        </w:rPr>
      </w:r>
    </w:p>
    <w:p>
      <w:pPr>
        <w:pStyle w:val="BodyText"/>
        <w:spacing w:line="300" w:lineRule="auto" w:before="103"/>
        <w:ind w:right="94" w:firstLine="360"/>
        <w:jc w:val="left"/>
      </w:pPr>
      <w:r>
        <w:rPr>
          <w:rFonts w:ascii="Times New Roman" w:hAnsi="Times New Roman" w:cs="Times New Roman" w:eastAsia="Times New Roman" w:hint="default"/>
          <w:spacing w:val="-2"/>
        </w:rPr>
        <w:t>2018</w:t>
      </w:r>
      <w:r>
        <w:rPr>
          <w:spacing w:val="-2"/>
        </w:rPr>
        <w:t>年，公司将继续开展常规审计和专项审计，强化监察监督工作、宣导工作，不断完善内部控制体系建设，不断细致</w:t>
      </w:r>
      <w:r>
        <w:rPr/>
        <w:t> 管控措施，提升内部控制管理水平，为公司持续发展的打下坚实基础，提供强有力的保障。</w:t>
      </w:r>
    </w:p>
    <w:p>
      <w:pPr>
        <w:pStyle w:val="Heading4"/>
        <w:spacing w:line="240" w:lineRule="auto" w:before="149"/>
        <w:ind w:left="566" w:right="6754" w:hanging="94"/>
        <w:jc w:val="left"/>
        <w:rPr>
          <w:b w:val="0"/>
          <w:bCs w:val="0"/>
        </w:rPr>
      </w:pPr>
      <w:r>
        <w:rPr/>
        <w:t>（二）行业发展趋势及公司战略</w:t>
      </w:r>
      <w:r>
        <w:rPr>
          <w:b w:val="0"/>
          <w:bCs w:val="0"/>
        </w:rPr>
      </w:r>
    </w:p>
    <w:p>
      <w:pPr>
        <w:spacing w:line="240" w:lineRule="auto" w:before="12"/>
        <w:rPr>
          <w:rFonts w:ascii="宋体" w:hAnsi="宋体" w:cs="宋体" w:eastAsia="宋体" w:hint="default"/>
          <w:b/>
          <w:bCs/>
          <w:sz w:val="20"/>
          <w:szCs w:val="20"/>
        </w:rPr>
      </w:pPr>
    </w:p>
    <w:p>
      <w:pPr>
        <w:pStyle w:val="Heading4"/>
        <w:spacing w:line="240" w:lineRule="auto"/>
        <w:ind w:left="566" w:right="6754"/>
        <w:jc w:val="left"/>
        <w:rPr>
          <w:b w:val="0"/>
          <w:bCs w:val="0"/>
        </w:rPr>
      </w:pPr>
      <w:r>
        <w:rPr>
          <w:rFonts w:ascii="Times New Roman" w:hAnsi="Times New Roman" w:cs="Times New Roman" w:eastAsia="Times New Roman" w:hint="default"/>
        </w:rPr>
        <w:t>1</w:t>
      </w:r>
      <w:r>
        <w:rPr/>
        <w:t>、智慧医疗、健康数据方向</w:t>
      </w:r>
      <w:r>
        <w:rPr>
          <w:b w:val="0"/>
          <w:bCs w:val="0"/>
        </w:rPr>
      </w:r>
    </w:p>
    <w:p>
      <w:pPr>
        <w:spacing w:line="240" w:lineRule="auto" w:before="10"/>
        <w:rPr>
          <w:rFonts w:ascii="宋体" w:hAnsi="宋体" w:cs="宋体" w:eastAsia="宋体" w:hint="default"/>
          <w:b/>
          <w:bCs/>
          <w:sz w:val="13"/>
          <w:szCs w:val="13"/>
        </w:rPr>
      </w:pPr>
    </w:p>
    <w:p>
      <w:pPr>
        <w:pStyle w:val="BodyText"/>
        <w:spacing w:line="309" w:lineRule="auto"/>
        <w:ind w:right="94" w:firstLine="360"/>
        <w:jc w:val="left"/>
      </w:pPr>
      <w:r>
        <w:rPr/>
        <w:t>2018年4月12日，国务院总理李克强主持召开国务院常务会议，确定发展</w:t>
      </w:r>
      <w:r>
        <w:rPr>
          <w:rFonts w:ascii="Times New Roman" w:hAnsi="Times New Roman" w:cs="Times New Roman" w:eastAsia="Times New Roman" w:hint="default"/>
        </w:rPr>
        <w:t>“</w:t>
      </w:r>
      <w:r>
        <w:rPr/>
        <w:t>互联网+医疗健康</w:t>
      </w:r>
      <w:r>
        <w:rPr>
          <w:rFonts w:ascii="Times New Roman" w:hAnsi="Times New Roman" w:cs="Times New Roman" w:eastAsia="Times New Roman" w:hint="default"/>
        </w:rPr>
        <w:t>”</w:t>
      </w:r>
      <w:r>
        <w:rPr/>
        <w:t>措施，缓解看病就医难题、 提升人民健康水平。</w:t>
      </w:r>
      <w:r>
        <w:rPr>
          <w:color w:val="333333"/>
        </w:rPr>
        <w:t>会议指出，按照党中央、国务院部署，加快发展</w:t>
      </w:r>
      <w:r>
        <w:rPr>
          <w:rFonts w:ascii="Times New Roman" w:hAnsi="Times New Roman" w:cs="Times New Roman" w:eastAsia="Times New Roman" w:hint="default"/>
          <w:color w:val="333333"/>
        </w:rPr>
        <w:t>“</w:t>
      </w:r>
      <w:r>
        <w:rPr>
          <w:color w:val="333333"/>
        </w:rPr>
        <w:t>互联网+医疗健康</w:t>
      </w:r>
      <w:r>
        <w:rPr>
          <w:rFonts w:ascii="Times New Roman" w:hAnsi="Times New Roman" w:cs="Times New Roman" w:eastAsia="Times New Roman" w:hint="default"/>
          <w:color w:val="333333"/>
        </w:rPr>
        <w:t>”</w:t>
      </w:r>
      <w:r>
        <w:rPr>
          <w:color w:val="333333"/>
        </w:rPr>
        <w:t>，可以提高医疗服务效率，让患者 </w:t>
      </w:r>
      <w:r>
        <w:rPr>
          <w:color w:val="333333"/>
          <w:spacing w:val="-2"/>
        </w:rPr>
        <w:t>少跑腿、更便利，使更多群众能分享优质医疗资源。会议确定，一是加快二级以上医院普遍提供预约诊疗、检验检查结果查</w:t>
      </w:r>
      <w:r>
        <w:rPr>
          <w:color w:val="333333"/>
          <w:spacing w:val="-65"/>
        </w:rPr>
        <w:t> </w:t>
      </w:r>
      <w:r>
        <w:rPr>
          <w:color w:val="333333"/>
          <w:spacing w:val="-65"/>
        </w:rPr>
      </w:r>
      <w:r>
        <w:rPr>
          <w:color w:val="333333"/>
          <w:spacing w:val="-2"/>
        </w:rPr>
        <w:t>询等线上服务。允许医疗机构开展部分常见病、慢性病复诊等互联网医疗服务。二是推进远程医疗覆盖全国所有医联体和县</w:t>
      </w:r>
      <w:r>
        <w:rPr>
          <w:color w:val="333333"/>
          <w:spacing w:val="-65"/>
        </w:rPr>
        <w:t> </w:t>
      </w:r>
      <w:r>
        <w:rPr>
          <w:color w:val="333333"/>
          <w:spacing w:val="-65"/>
        </w:rPr>
      </w:r>
      <w:r>
        <w:rPr>
          <w:color w:val="333333"/>
          <w:spacing w:val="-4"/>
        </w:rPr>
        <w:t>级医院，推动东部优质医疗资源对接中西部需求。支持高速宽带网络覆盖城乡医疗机构，建立互联网专线保障远程医疗需要。</w:t>
      </w:r>
      <w:r>
        <w:rPr>
          <w:color w:val="333333"/>
          <w:spacing w:val="-42"/>
        </w:rPr>
        <w:t> </w:t>
      </w:r>
      <w:r>
        <w:rPr>
          <w:color w:val="333333"/>
          <w:spacing w:val="-42"/>
        </w:rPr>
      </w:r>
      <w:r>
        <w:rPr>
          <w:color w:val="333333"/>
        </w:rPr>
        <w:t>三是探索医疗机构处方与药品零售信息共享。推行医保智能审核和</w:t>
      </w:r>
      <w:r>
        <w:rPr>
          <w:rFonts w:ascii="Times New Roman" w:hAnsi="Times New Roman" w:cs="Times New Roman" w:eastAsia="Times New Roman" w:hint="default"/>
          <w:color w:val="333333"/>
        </w:rPr>
        <w:t>“</w:t>
      </w:r>
      <w:r>
        <w:rPr>
          <w:color w:val="333333"/>
        </w:rPr>
        <w:t>一站式</w:t>
      </w:r>
      <w:r>
        <w:rPr>
          <w:rFonts w:ascii="Times New Roman" w:hAnsi="Times New Roman" w:cs="Times New Roman" w:eastAsia="Times New Roman" w:hint="default"/>
          <w:color w:val="333333"/>
        </w:rPr>
        <w:t>”</w:t>
      </w:r>
      <w:r>
        <w:rPr>
          <w:color w:val="333333"/>
        </w:rPr>
        <w:t>结算。健全</w:t>
      </w:r>
      <w:r>
        <w:rPr>
          <w:rFonts w:ascii="Times New Roman" w:hAnsi="Times New Roman" w:cs="Times New Roman" w:eastAsia="Times New Roman" w:hint="default"/>
          <w:color w:val="333333"/>
        </w:rPr>
        <w:t>“</w:t>
      </w:r>
      <w:r>
        <w:rPr>
          <w:color w:val="333333"/>
        </w:rPr>
        <w:t>互联网+医疗健康</w:t>
      </w:r>
      <w:r>
        <w:rPr>
          <w:rFonts w:ascii="Times New Roman" w:hAnsi="Times New Roman" w:cs="Times New Roman" w:eastAsia="Times New Roman" w:hint="default"/>
          <w:color w:val="333333"/>
        </w:rPr>
        <w:t>”</w:t>
      </w:r>
      <w:r>
        <w:rPr>
          <w:color w:val="333333"/>
        </w:rPr>
        <w:t>标准体系，加快 信息互通共享，强化医疗质量监管和信息安全防护。</w:t>
      </w:r>
      <w:r>
        <w:rPr/>
      </w:r>
    </w:p>
    <w:p>
      <w:pPr>
        <w:pStyle w:val="BodyText"/>
        <w:spacing w:line="240" w:lineRule="auto" w:before="65"/>
        <w:ind w:left="472" w:right="94"/>
        <w:jc w:val="left"/>
      </w:pPr>
      <w:r>
        <w:rPr/>
        <w:t>2018年，如下政策影响到医疗健康行业发展：</w:t>
      </w:r>
    </w:p>
    <w:p>
      <w:pPr>
        <w:pStyle w:val="BodyText"/>
        <w:spacing w:line="240" w:lineRule="auto" w:before="115"/>
        <w:ind w:left="472" w:right="94"/>
        <w:jc w:val="left"/>
      </w:pPr>
      <w:r>
        <w:rPr/>
        <w:t>（</w:t>
      </w:r>
      <w:r>
        <w:rPr>
          <w:spacing w:val="1"/>
        </w:rPr>
        <w:t>1</w:t>
      </w:r>
      <w:r>
        <w:rPr/>
        <w:t>）</w:t>
      </w:r>
      <w:r>
        <w:rPr>
          <w:spacing w:val="1"/>
        </w:rPr>
        <w:t>2</w:t>
      </w:r>
      <w:r>
        <w:rPr>
          <w:spacing w:val="-2"/>
        </w:rPr>
        <w:t>0</w:t>
      </w:r>
      <w:r>
        <w:rPr>
          <w:spacing w:val="1"/>
        </w:rPr>
        <w:t>1</w:t>
      </w:r>
      <w:r>
        <w:rPr>
          <w:spacing w:val="-2"/>
        </w:rPr>
        <w:t>6</w:t>
      </w:r>
      <w:r>
        <w:rPr/>
        <w:t>年</w:t>
      </w:r>
      <w:r>
        <w:rPr>
          <w:spacing w:val="-2"/>
        </w:rPr>
        <w:t>5</w:t>
      </w:r>
      <w:r>
        <w:rPr/>
        <w:t>月，国务院医改办发布《关于推进家庭医生签约服务的指导意见</w:t>
      </w:r>
      <w:r>
        <w:rPr>
          <w:spacing w:val="-89"/>
        </w:rPr>
        <w:t>》</w:t>
      </w:r>
      <w:r>
        <w:rPr/>
        <w:t>；</w:t>
      </w:r>
    </w:p>
    <w:p>
      <w:pPr>
        <w:pStyle w:val="BodyText"/>
        <w:spacing w:line="240" w:lineRule="auto" w:before="117"/>
        <w:ind w:left="472" w:right="94"/>
        <w:jc w:val="left"/>
      </w:pPr>
      <w:r>
        <w:rPr/>
        <w:t>（</w:t>
      </w:r>
      <w:r>
        <w:rPr>
          <w:spacing w:val="1"/>
        </w:rPr>
        <w:t>2</w:t>
      </w:r>
      <w:r>
        <w:rPr/>
        <w:t>）</w:t>
      </w:r>
      <w:r>
        <w:rPr>
          <w:spacing w:val="1"/>
        </w:rPr>
        <w:t>2</w:t>
      </w:r>
      <w:r>
        <w:rPr>
          <w:spacing w:val="-2"/>
        </w:rPr>
        <w:t>0</w:t>
      </w:r>
      <w:r>
        <w:rPr>
          <w:spacing w:val="1"/>
        </w:rPr>
        <w:t>1</w:t>
      </w:r>
      <w:r>
        <w:rPr>
          <w:spacing w:val="-2"/>
        </w:rPr>
        <w:t>6</w:t>
      </w:r>
      <w:r>
        <w:rPr/>
        <w:t>年</w:t>
      </w:r>
      <w:r>
        <w:rPr>
          <w:spacing w:val="-2"/>
        </w:rPr>
        <w:t>6</w:t>
      </w:r>
      <w:r>
        <w:rPr/>
        <w:t>月，国务院办公厅发布《关于促进和规范健康医疗大数据应用发展的指导意见</w:t>
      </w:r>
      <w:r>
        <w:rPr>
          <w:spacing w:val="-89"/>
        </w:rPr>
        <w:t>》</w:t>
      </w:r>
      <w:r>
        <w:rPr/>
        <w:t>；</w:t>
      </w:r>
    </w:p>
    <w:p>
      <w:pPr>
        <w:pStyle w:val="BodyText"/>
        <w:spacing w:line="240" w:lineRule="auto" w:before="117"/>
        <w:ind w:left="472" w:right="94"/>
        <w:jc w:val="left"/>
      </w:pPr>
      <w:r>
        <w:rPr/>
        <w:t>（</w:t>
      </w:r>
      <w:r>
        <w:rPr>
          <w:spacing w:val="1"/>
        </w:rPr>
        <w:t>3</w:t>
      </w:r>
      <w:r>
        <w:rPr/>
        <w:t>）</w:t>
      </w:r>
      <w:r>
        <w:rPr>
          <w:spacing w:val="1"/>
        </w:rPr>
        <w:t>2</w:t>
      </w:r>
      <w:r>
        <w:rPr>
          <w:spacing w:val="-2"/>
        </w:rPr>
        <w:t>0</w:t>
      </w:r>
      <w:r>
        <w:rPr>
          <w:spacing w:val="1"/>
        </w:rPr>
        <w:t>1</w:t>
      </w:r>
      <w:r>
        <w:rPr>
          <w:spacing w:val="-2"/>
        </w:rPr>
        <w:t>6</w:t>
      </w:r>
      <w:r>
        <w:rPr/>
        <w:t>年</w:t>
      </w:r>
      <w:r>
        <w:rPr>
          <w:spacing w:val="1"/>
        </w:rPr>
        <w:t>1</w:t>
      </w:r>
      <w:r>
        <w:rPr>
          <w:spacing w:val="-2"/>
        </w:rPr>
        <w:t>1</w:t>
      </w:r>
      <w:r>
        <w:rPr/>
        <w:t>月</w:t>
      </w:r>
      <w:r>
        <w:rPr>
          <w:spacing w:val="-2"/>
        </w:rPr>
        <w:t> </w:t>
      </w:r>
      <w:r>
        <w:rPr/>
        <w:t>，国家卫计委发布《全国护理事业发展规划（</w:t>
      </w:r>
      <w:r>
        <w:rPr>
          <w:spacing w:val="1"/>
        </w:rPr>
        <w:t>2</w:t>
      </w:r>
      <w:r>
        <w:rPr>
          <w:spacing w:val="-2"/>
        </w:rPr>
        <w:t>0</w:t>
      </w:r>
      <w:r>
        <w:rPr>
          <w:spacing w:val="1"/>
        </w:rPr>
        <w:t>1</w:t>
      </w:r>
      <w:r>
        <w:rPr>
          <w:spacing w:val="-2"/>
        </w:rPr>
        <w:t>6</w:t>
      </w:r>
      <w:r>
        <w:rPr>
          <w:spacing w:val="1"/>
        </w:rPr>
        <w:t>-</w:t>
      </w:r>
      <w:r>
        <w:rPr>
          <w:spacing w:val="-2"/>
        </w:rPr>
        <w:t>2</w:t>
      </w:r>
      <w:r>
        <w:rPr>
          <w:spacing w:val="1"/>
        </w:rPr>
        <w:t>0</w:t>
      </w:r>
      <w:r>
        <w:rPr>
          <w:spacing w:val="-2"/>
        </w:rPr>
        <w:t>2</w:t>
      </w:r>
      <w:r>
        <w:rPr>
          <w:spacing w:val="1"/>
        </w:rPr>
        <w:t>0</w:t>
      </w:r>
      <w:r>
        <w:rPr>
          <w:spacing w:val="-92"/>
        </w:rPr>
        <w:t>）</w:t>
      </w:r>
      <w:r>
        <w:rPr>
          <w:spacing w:val="-89"/>
        </w:rPr>
        <w:t>》</w:t>
      </w:r>
      <w:r>
        <w:rPr/>
        <w:t>；</w:t>
      </w:r>
    </w:p>
    <w:p>
      <w:pPr>
        <w:pStyle w:val="BodyText"/>
        <w:spacing w:line="240" w:lineRule="auto" w:before="115"/>
        <w:ind w:left="472" w:right="94"/>
        <w:jc w:val="left"/>
      </w:pPr>
      <w:r>
        <w:rPr/>
        <w:t>（</w:t>
      </w:r>
      <w:r>
        <w:rPr>
          <w:spacing w:val="1"/>
        </w:rPr>
        <w:t>4</w:t>
      </w:r>
      <w:r>
        <w:rPr/>
        <w:t>）</w:t>
      </w:r>
      <w:r>
        <w:rPr>
          <w:spacing w:val="1"/>
        </w:rPr>
        <w:t>2</w:t>
      </w:r>
      <w:r>
        <w:rPr>
          <w:spacing w:val="-2"/>
        </w:rPr>
        <w:t>0</w:t>
      </w:r>
      <w:r>
        <w:rPr>
          <w:spacing w:val="1"/>
        </w:rPr>
        <w:t>1</w:t>
      </w:r>
      <w:r>
        <w:rPr>
          <w:spacing w:val="-2"/>
        </w:rPr>
        <w:t>7</w:t>
      </w:r>
      <w:r>
        <w:rPr/>
        <w:t>年</w:t>
      </w:r>
      <w:r>
        <w:rPr>
          <w:spacing w:val="-2"/>
        </w:rPr>
        <w:t>2</w:t>
      </w:r>
      <w:r>
        <w:rPr/>
        <w:t>月，国家卫计委发布《十三五全国人口健康信息发展规划</w:t>
      </w:r>
      <w:r>
        <w:rPr>
          <w:spacing w:val="-89"/>
        </w:rPr>
        <w:t>》</w:t>
      </w:r>
      <w:r>
        <w:rPr/>
        <w:t>；</w:t>
      </w:r>
    </w:p>
    <w:p>
      <w:pPr>
        <w:pStyle w:val="BodyText"/>
        <w:spacing w:line="240" w:lineRule="auto" w:before="117"/>
        <w:ind w:left="472" w:right="94"/>
        <w:jc w:val="left"/>
      </w:pPr>
      <w:r>
        <w:rPr/>
        <w:t>（</w:t>
      </w:r>
      <w:r>
        <w:rPr>
          <w:spacing w:val="1"/>
        </w:rPr>
        <w:t>5</w:t>
      </w:r>
      <w:r>
        <w:rPr/>
        <w:t>）</w:t>
      </w:r>
      <w:r>
        <w:rPr>
          <w:spacing w:val="1"/>
        </w:rPr>
        <w:t>2</w:t>
      </w:r>
      <w:r>
        <w:rPr>
          <w:spacing w:val="-2"/>
        </w:rPr>
        <w:t>0</w:t>
      </w:r>
      <w:r>
        <w:rPr>
          <w:spacing w:val="1"/>
        </w:rPr>
        <w:t>1</w:t>
      </w:r>
      <w:r>
        <w:rPr>
          <w:spacing w:val="-2"/>
        </w:rPr>
        <w:t>7</w:t>
      </w:r>
      <w:r>
        <w:rPr/>
        <w:t>年</w:t>
      </w:r>
      <w:r>
        <w:rPr>
          <w:spacing w:val="-2"/>
        </w:rPr>
        <w:t>4</w:t>
      </w:r>
      <w:r>
        <w:rPr/>
        <w:t>月，国务院发布《关于推进医疗联合体建设和发展的指导意见</w:t>
      </w:r>
      <w:r>
        <w:rPr>
          <w:spacing w:val="-89"/>
        </w:rPr>
        <w:t>》</w:t>
      </w:r>
      <w:r>
        <w:rPr/>
        <w:t>；</w:t>
      </w:r>
    </w:p>
    <w:p>
      <w:pPr>
        <w:pStyle w:val="BodyText"/>
        <w:spacing w:line="430" w:lineRule="atLeast"/>
        <w:ind w:left="472" w:right="94" w:firstLine="4"/>
        <w:jc w:val="left"/>
      </w:pPr>
      <w:r>
        <w:rPr>
          <w:spacing w:val="-4"/>
        </w:rPr>
        <w:t>（6）2018年1月，国家卫计委发布《关于印发进一步改善医疗服务行动计划（2018-2020年）》。</w:t>
      </w:r>
      <w:r>
        <w:rPr>
          <w:spacing w:val="-84"/>
        </w:rPr>
        <w:t> </w:t>
      </w:r>
      <w:r>
        <w:rPr>
          <w:spacing w:val="-84"/>
        </w:rPr>
      </w:r>
      <w:r>
        <w:rPr>
          <w:spacing w:val="-2"/>
        </w:rPr>
        <w:t>在新的医疗改革政策的推动下，近年来我国医疗卫生信息化建设规模不断扩大，市场规模增速明显加快。根据中投股份</w:t>
      </w:r>
    </w:p>
    <w:p>
      <w:pPr>
        <w:pStyle w:val="BodyText"/>
        <w:spacing w:line="316" w:lineRule="auto" w:before="76"/>
        <w:ind w:right="94"/>
        <w:jc w:val="left"/>
      </w:pPr>
      <w:r>
        <w:rPr>
          <w:spacing w:val="-3"/>
        </w:rPr>
        <w:t>产业研究中心的预计，2017年中国医疗信息化行业市场规模将达到448亿元，未来五年（2017-2021）年复合增长率约17.81%，</w:t>
      </w:r>
      <w:r>
        <w:rPr>
          <w:spacing w:val="-76"/>
        </w:rPr>
        <w:t> </w:t>
      </w:r>
      <w:r>
        <w:rPr>
          <w:spacing w:val="-76"/>
        </w:rPr>
      </w:r>
      <w:r>
        <w:rPr/>
        <w:t>2021年中国医疗信息化市场规模将达到863亿元，市场发展空间广阔。</w:t>
      </w:r>
    </w:p>
    <w:p>
      <w:pPr>
        <w:pStyle w:val="BodyText"/>
        <w:spacing w:line="316" w:lineRule="auto" w:before="59"/>
        <w:ind w:right="94" w:firstLine="360"/>
        <w:jc w:val="left"/>
      </w:pPr>
      <w:r>
        <w:rPr>
          <w:spacing w:val="-2"/>
        </w:rPr>
        <w:t>公司在智慧医疗、健康数据业务的规划方向与国家政策高度吻合，公司所聚焦的临床应用细分领域、平台级及核心业务</w:t>
      </w:r>
      <w:r>
        <w:rPr/>
        <w:t> </w:t>
      </w:r>
      <w:r>
        <w:rPr>
          <w:spacing w:val="-4"/>
        </w:rPr>
        <w:t>产品、健康数据服务，都是深耕于医疗业务本身，服务于临床，公司将持续整合境内外临床医疗信息化产品和相关核心技术，</w:t>
      </w:r>
      <w:r>
        <w:rPr>
          <w:spacing w:val="-43"/>
        </w:rPr>
        <w:t> </w:t>
      </w:r>
      <w:r>
        <w:rPr>
          <w:spacing w:val="-43"/>
        </w:rPr>
      </w:r>
      <w:r>
        <w:rPr>
          <w:spacing w:val="-2"/>
        </w:rPr>
        <w:t>未来的研发重点将围绕临床医疗信息化的整个产品链及生态链，构建在临床医疗信息化领域的行业壁垒；积极探索创建基于</w:t>
      </w:r>
      <w:r>
        <w:rPr>
          <w:spacing w:val="-64"/>
        </w:rPr>
        <w:t> </w:t>
      </w:r>
      <w:r>
        <w:rPr>
          <w:spacing w:val="-64"/>
        </w:rPr>
      </w:r>
      <w:r>
        <w:rPr/>
        <w:t>大数据分析的健康服务平台与运营服务模式，构筑在健康数据分析与临床医疗信息化等领域独具特色的成长优势。</w:t>
      </w:r>
    </w:p>
    <w:p>
      <w:pPr>
        <w:pStyle w:val="BodyText"/>
        <w:spacing w:line="412" w:lineRule="auto" w:before="136"/>
        <w:ind w:left="472" w:right="94" w:firstLine="4"/>
        <w:jc w:val="left"/>
      </w:pPr>
      <w:r>
        <w:rPr>
          <w:rFonts w:ascii="Times New Roman" w:hAnsi="Times New Roman" w:cs="Times New Roman" w:eastAsia="Times New Roman" w:hint="default"/>
          <w:b/>
          <w:bCs/>
        </w:rPr>
        <w:t>2</w:t>
      </w:r>
      <w:r>
        <w:rPr>
          <w:rFonts w:ascii="宋体" w:hAnsi="宋体" w:cs="宋体" w:eastAsia="宋体" w:hint="default"/>
          <w:b/>
          <w:bCs/>
        </w:rPr>
        <w:t>、智能融合云服务方向</w:t>
      </w:r>
      <w:r>
        <w:rPr>
          <w:rFonts w:ascii="宋体" w:hAnsi="宋体" w:cs="宋体" w:eastAsia="宋体" w:hint="default"/>
          <w:b/>
          <w:bCs/>
          <w:w w:val="99"/>
        </w:rPr>
        <w:t> </w:t>
      </w:r>
      <w:r>
        <w:rPr>
          <w:spacing w:val="-2"/>
        </w:rPr>
        <w:t>荣科智能融合云服务积极求变，拥抱新技术并结合区域的现状，为客户提供全新的立体式行业云服务和智维云服务。荣</w:t>
      </w:r>
    </w:p>
    <w:p>
      <w:pPr>
        <w:pStyle w:val="BodyText"/>
        <w:spacing w:line="196" w:lineRule="exact"/>
        <w:ind w:right="94"/>
        <w:jc w:val="left"/>
      </w:pPr>
      <w:r>
        <w:rPr/>
        <w:t>科科技基于IT服务领域十几年积累沉淀的运维经验，采用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的创新思维模式，本着</w:t>
      </w:r>
      <w:r>
        <w:rPr>
          <w:rFonts w:ascii="Times New Roman" w:hAnsi="Times New Roman" w:cs="Times New Roman" w:eastAsia="Times New Roman" w:hint="default"/>
        </w:rPr>
        <w:t>“</w:t>
      </w:r>
      <w:r>
        <w:rPr/>
        <w:t>智能有我，智慧如我</w:t>
      </w:r>
      <w:r>
        <w:rPr>
          <w:rFonts w:ascii="Times New Roman" w:hAnsi="Times New Roman" w:cs="Times New Roman" w:eastAsia="Times New Roman" w:hint="default"/>
        </w:rPr>
        <w:t>”</w:t>
      </w:r>
      <w:r>
        <w:rPr/>
        <w:t>的产品理</w:t>
      </w:r>
    </w:p>
    <w:p>
      <w:pPr>
        <w:pStyle w:val="BodyText"/>
        <w:spacing w:line="309" w:lineRule="auto" w:before="63"/>
        <w:ind w:right="94"/>
        <w:jc w:val="left"/>
      </w:pPr>
      <w:r>
        <w:rPr/>
        <w:t>念打造了智能运维系列服务产品品牌</w:t>
      </w:r>
      <w:r>
        <w:rPr>
          <w:rFonts w:ascii="Times New Roman" w:hAnsi="Times New Roman" w:cs="Times New Roman" w:eastAsia="Times New Roman" w:hint="default"/>
        </w:rPr>
        <w:t>“</w:t>
      </w:r>
      <w:r>
        <w:rPr/>
        <w:t>Smart</w:t>
      </w:r>
      <w:r>
        <w:rPr>
          <w:spacing w:val="-52"/>
        </w:rPr>
        <w:t> </w:t>
      </w:r>
      <w:r>
        <w:rPr/>
        <w:t>We</w:t>
      </w:r>
      <w:r>
        <w:rPr>
          <w:rFonts w:ascii="Times New Roman" w:hAnsi="Times New Roman" w:cs="Times New Roman" w:eastAsia="Times New Roman" w:hint="default"/>
        </w:rPr>
        <w:t>”</w:t>
      </w:r>
      <w:r>
        <w:rPr/>
        <w:t>，旨在为客户提供全方位、一体化运维解决方案。目前已经在创新的道路上 </w:t>
      </w:r>
      <w:r>
        <w:rPr>
          <w:spacing w:val="-4"/>
        </w:rPr>
        <w:t>取得很好的成绩，在整个东北区域处于领先优势。另外，公司抓住云计算、大数据、物联网、人工智能等新兴技术发展契机，</w:t>
      </w:r>
      <w:r>
        <w:rPr>
          <w:spacing w:val="-40"/>
        </w:rPr>
        <w:t> </w:t>
      </w:r>
      <w:r>
        <w:rPr>
          <w:spacing w:val="-40"/>
        </w:rPr>
      </w:r>
      <w:r>
        <w:rPr/>
        <w:t>整合产业链上中下游资源，进一步深化转变成云服务提供商。</w:t>
      </w:r>
    </w:p>
    <w:p>
      <w:pPr>
        <w:pStyle w:val="BodyText"/>
        <w:spacing w:line="300" w:lineRule="auto" w:before="65"/>
        <w:ind w:right="94" w:firstLine="420"/>
        <w:jc w:val="left"/>
      </w:pPr>
      <w:r>
        <w:rPr>
          <w:spacing w:val="-3"/>
        </w:rPr>
        <w:t>公司未来发展的战略主要围绕在线互联化、生态化和智能大数据运营这三个方向，智能融合云服务是公司</w:t>
      </w:r>
      <w:r>
        <w:rPr>
          <w:rFonts w:ascii="Times New Roman" w:hAnsi="Times New Roman" w:cs="Times New Roman" w:eastAsia="Times New Roman" w:hint="default"/>
          <w:spacing w:val="-3"/>
        </w:rPr>
        <w:t>“</w:t>
      </w:r>
      <w:r>
        <w:rPr>
          <w:spacing w:val="-3"/>
        </w:rPr>
        <w:t>数据云医生</w:t>
      </w:r>
      <w:r>
        <w:rPr>
          <w:rFonts w:ascii="Times New Roman" w:hAnsi="Times New Roman" w:cs="Times New Roman" w:eastAsia="Times New Roman" w:hint="default"/>
          <w:spacing w:val="-3"/>
        </w:rPr>
        <w:t>”</w:t>
      </w:r>
      <w:r>
        <w:rPr>
          <w:rFonts w:ascii="Times New Roman" w:hAnsi="Times New Roman" w:cs="Times New Roman" w:eastAsia="Times New Roman" w:hint="default"/>
          <w:w w:val="99"/>
        </w:rPr>
        <w:t> </w:t>
      </w:r>
      <w:r>
        <w:rPr/>
        <w:t>战略愿景的载体。</w:t>
      </w:r>
    </w:p>
    <w:p>
      <w:pPr>
        <w:pStyle w:val="BodyText"/>
        <w:spacing w:line="300" w:lineRule="auto" w:before="72"/>
        <w:ind w:right="94" w:firstLine="360"/>
        <w:jc w:val="left"/>
      </w:pPr>
      <w:r>
        <w:rPr>
          <w:spacing w:val="-2"/>
        </w:rPr>
        <w:t>（1）在线互联化：十三五规划纲要指出，要</w:t>
      </w:r>
      <w:r>
        <w:rPr>
          <w:rFonts w:ascii="Times New Roman" w:hAnsi="Times New Roman" w:cs="Times New Roman" w:eastAsia="Times New Roman" w:hint="default"/>
          <w:spacing w:val="-2"/>
        </w:rPr>
        <w:t>“</w:t>
      </w:r>
      <w:r>
        <w:rPr>
          <w:spacing w:val="-2"/>
        </w:rPr>
        <w:t>加快构建高速、移动、安全、现代的新一代信息基础设施，推进信息网络</w:t>
      </w:r>
      <w:r>
        <w:rPr/>
        <w:t> 技术广泛运用，形成万物互联、人机交互、天地一体的网络空间。</w:t>
      </w:r>
      <w:r>
        <w:rPr>
          <w:rFonts w:ascii="Times New Roman" w:hAnsi="Times New Roman" w:cs="Times New Roman" w:eastAsia="Times New Roman" w:hint="default"/>
        </w:rPr>
        <w:t>”</w:t>
      </w:r>
      <w:r>
        <w:rPr/>
        <w:t>要</w:t>
      </w:r>
      <w:r>
        <w:rPr>
          <w:rFonts w:ascii="Times New Roman" w:hAnsi="Times New Roman" w:cs="Times New Roman" w:eastAsia="Times New Roman" w:hint="default"/>
        </w:rPr>
        <w:t>“</w:t>
      </w:r>
      <w:r>
        <w:rPr/>
        <w:t>组织实施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重大工程，加快推进基于互联网 </w:t>
      </w:r>
      <w:r>
        <w:rPr>
          <w:spacing w:val="-1"/>
        </w:rPr>
        <w:t>的商业模式、服务模式、管理模式及供应链、物流链等各类创新，培育</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生态体系，形成网络化协同分工新格局。</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5"/>
        </w:rPr>
        <w:t> </w:t>
      </w:r>
      <w:r>
        <w:rPr>
          <w:spacing w:val="-2"/>
        </w:rPr>
        <w:t>在线互联是云服务的基本形态和要求，通过在线互联能够监测客户业务运行状态，与客户实时交互，切实保障客户业务系统</w:t>
      </w:r>
    </w:p>
    <w:p>
      <w:pPr>
        <w:spacing w:after="0" w:line="300" w:lineRule="auto"/>
        <w:jc w:val="left"/>
        <w:sectPr>
          <w:pgSz w:w="11910" w:h="16840"/>
          <w:pgMar w:header="566" w:footer="978" w:top="1360" w:bottom="1160" w:left="1020" w:right="940"/>
        </w:sectPr>
      </w:pPr>
    </w:p>
    <w:p>
      <w:pPr>
        <w:pStyle w:val="BodyText"/>
        <w:spacing w:line="309" w:lineRule="auto" w:before="81"/>
        <w:ind w:right="192"/>
        <w:jc w:val="both"/>
      </w:pPr>
      <w:r>
        <w:rPr>
          <w:spacing w:val="-1"/>
        </w:rPr>
        <w:t>安全可靠的运行。</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正在不断夯实</w:t>
      </w:r>
      <w:r>
        <w:rPr>
          <w:rFonts w:ascii="Times New Roman" w:hAnsi="Times New Roman" w:cs="Times New Roman" w:eastAsia="Times New Roman" w:hint="default"/>
          <w:spacing w:val="-1"/>
        </w:rPr>
        <w:t>“</w:t>
      </w:r>
      <w:r>
        <w:rPr>
          <w:spacing w:val="-1"/>
        </w:rPr>
        <w:t>IT服务化、服务IT化</w:t>
      </w:r>
      <w:r>
        <w:rPr>
          <w:rFonts w:ascii="Times New Roman" w:hAnsi="Times New Roman" w:cs="Times New Roman" w:eastAsia="Times New Roman" w:hint="default"/>
          <w:spacing w:val="-1"/>
        </w:rPr>
        <w:t>”</w:t>
      </w:r>
      <w:r>
        <w:rPr>
          <w:spacing w:val="-1"/>
        </w:rPr>
        <w:t>基础；使IT服务商和用户之间形成深层次、高融合的互动</w:t>
      </w:r>
      <w:r>
        <w:rPr>
          <w:spacing w:val="-79"/>
        </w:rPr>
        <w:t> </w:t>
      </w:r>
      <w:r>
        <w:rPr>
          <w:spacing w:val="-79"/>
        </w:rPr>
      </w:r>
      <w:r>
        <w:rPr>
          <w:spacing w:val="-2"/>
        </w:rPr>
        <w:t>关系，智能融合云服务就是要实现通过互联网技术手段，积极创新升级荣科IT服务模式，利用智能云平台实现与客户的在线</w:t>
      </w:r>
      <w:r>
        <w:rPr>
          <w:spacing w:val="-64"/>
        </w:rPr>
        <w:t> </w:t>
      </w:r>
      <w:r>
        <w:rPr>
          <w:spacing w:val="-64"/>
        </w:rPr>
      </w:r>
      <w:r>
        <w:rPr/>
        <w:t>互联式服务。</w:t>
      </w:r>
    </w:p>
    <w:p>
      <w:pPr>
        <w:pStyle w:val="BodyText"/>
        <w:spacing w:line="316" w:lineRule="auto" w:before="62"/>
        <w:ind w:right="94" w:firstLine="360"/>
        <w:jc w:val="left"/>
      </w:pPr>
      <w:r>
        <w:rPr/>
        <w:t>（2）生态化：互联网时代下IT服务将呈现网络化、个性化、智能化、生态化的趋势，IT服务转变为互联式的云服务、 定制化的个性服务、基于大数据的智能服务以及共生互生的生态格局。IT新技术的大量应用使客户需求也发生了巨大变化， </w:t>
      </w:r>
      <w:r>
        <w:rPr>
          <w:spacing w:val="-2"/>
        </w:rPr>
        <w:t>要求IT企业能够提供更全面的整体解决方案，因此通过在线互联与客户建立粘性后，智能融合云平台面对客户全面需求，将</w:t>
      </w:r>
      <w:r>
        <w:rPr>
          <w:spacing w:val="-64"/>
        </w:rPr>
        <w:t> </w:t>
      </w:r>
      <w:r>
        <w:rPr>
          <w:spacing w:val="-64"/>
        </w:rPr>
      </w:r>
      <w:r>
        <w:rPr>
          <w:spacing w:val="-2"/>
        </w:rPr>
        <w:t>整合垂直领域的服务商，为客户提供立体式服务，例如为医疗、教育、金融等行业客户提供管家式服务，这种管家式服务以</w:t>
      </w:r>
      <w:r>
        <w:rPr>
          <w:spacing w:val="-65"/>
        </w:rPr>
        <w:t> </w:t>
      </w:r>
      <w:r>
        <w:rPr>
          <w:spacing w:val="-65"/>
        </w:rPr>
      </w:r>
      <w:r>
        <w:rPr>
          <w:spacing w:val="-5"/>
        </w:rPr>
        <w:t>生态方式提供（共享备件、共享资源池等）。</w:t>
      </w:r>
    </w:p>
    <w:p>
      <w:pPr>
        <w:pStyle w:val="BodyText"/>
        <w:spacing w:line="312" w:lineRule="auto" w:before="59"/>
        <w:ind w:right="192" w:firstLine="360"/>
        <w:jc w:val="both"/>
      </w:pPr>
      <w:r>
        <w:rPr>
          <w:spacing w:val="-2"/>
        </w:rPr>
        <w:t>（3）智能大数据运营：十三五规划纲要指出，要</w:t>
      </w:r>
      <w:r>
        <w:rPr>
          <w:rFonts w:ascii="Times New Roman" w:hAnsi="Times New Roman" w:cs="Times New Roman" w:eastAsia="Times New Roman" w:hint="default"/>
          <w:spacing w:val="-2"/>
        </w:rPr>
        <w:t>“</w:t>
      </w:r>
      <w:r>
        <w:rPr>
          <w:spacing w:val="-2"/>
        </w:rPr>
        <w:t>把大数据作为基础性战略资源，全面实施促进大数据发展行动，加快</w:t>
      </w:r>
      <w:r>
        <w:rPr/>
        <w:t> 推动数据资源共享开放和开发应用，助力产业转型升级和社会治理创新。</w:t>
      </w:r>
      <w:r>
        <w:rPr>
          <w:rFonts w:ascii="Times New Roman" w:hAnsi="Times New Roman" w:cs="Times New Roman" w:eastAsia="Times New Roman" w:hint="default"/>
        </w:rPr>
        <w:t>”</w:t>
      </w:r>
      <w:r>
        <w:rPr/>
        <w:t>大数据是具有更强的决策力、洞察发现力和流程 </w:t>
      </w:r>
      <w:r>
        <w:rPr>
          <w:spacing w:val="-2"/>
        </w:rPr>
        <w:t>优化能力的海量、高增长率和多样化的信息资产，利用大数据实现企业增值的关键就是如何对数据进行加工与处理。荣科充</w:t>
      </w:r>
      <w:r>
        <w:rPr>
          <w:spacing w:val="-65"/>
        </w:rPr>
        <w:t> </w:t>
      </w:r>
      <w:r>
        <w:rPr>
          <w:spacing w:val="-65"/>
        </w:rPr>
      </w:r>
      <w:r>
        <w:rPr>
          <w:spacing w:val="-2"/>
        </w:rPr>
        <w:t>分利用企业在IT服务领域的技术优势，借助基于大数据架构的智维云平台，实现为客户的业务数据、基础结构数据及管理数</w:t>
      </w:r>
      <w:r>
        <w:rPr>
          <w:spacing w:val="-64"/>
        </w:rPr>
        <w:t> </w:t>
      </w:r>
      <w:r>
        <w:rPr>
          <w:spacing w:val="-64"/>
        </w:rPr>
      </w:r>
      <w:r>
        <w:rPr>
          <w:spacing w:val="-2"/>
        </w:rPr>
        <w:t>据等海量数据的提供采集、存储、清洗、分析发掘、可视化、安全与隐私保护等服务，帮助客户更容易判断出未来所要面临</w:t>
      </w:r>
      <w:r>
        <w:rPr>
          <w:spacing w:val="-66"/>
        </w:rPr>
        <w:t> </w:t>
      </w:r>
      <w:r>
        <w:rPr>
          <w:spacing w:val="-66"/>
        </w:rPr>
      </w:r>
      <w:r>
        <w:rPr/>
        <w:t>的变化趋势，用数据指引成长与发展，发掘更适应的方向与形态，降低经营风险，实现决策支持。</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公司报告期内未发生接待调研、沟通、采访等活动。</w:t>
      </w:r>
    </w:p>
    <w:p>
      <w:pPr>
        <w:spacing w:after="0" w:line="338" w:lineRule="auto"/>
        <w:jc w:val="left"/>
        <w:sectPr>
          <w:pgSz w:w="11910" w:h="16840"/>
          <w:pgMar w:header="566" w:footer="978" w:top="1360" w:bottom="1160" w:left="102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991" w:right="3711"/>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left="392" w:right="1994"/>
        <w:jc w:val="left"/>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92" w:right="1994"/>
        <w:jc w:val="left"/>
      </w:pPr>
      <w:r>
        <w:rPr/>
        <w:t>报告期内普通股利润分配政策，特别是现金分红政策的制定、执行或调整情况</w:t>
      </w:r>
    </w:p>
    <w:p>
      <w:pPr>
        <w:pStyle w:val="BodyText"/>
        <w:spacing w:line="340" w:lineRule="auto" w:before="117"/>
        <w:ind w:left="392" w:right="1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公司报告期利润分配预案及资本公积金转增股本预案与公司章程和分红管理办法等的相关规定一致</w:t>
      </w:r>
    </w:p>
    <w:p>
      <w:pPr>
        <w:pStyle w:val="BodyText"/>
        <w:spacing w:line="350" w:lineRule="auto" w:before="39"/>
        <w:ind w:left="392" w:right="3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tbl>
      <w:tblPr>
        <w:tblW w:w="0" w:type="auto"/>
        <w:jc w:val="left"/>
        <w:tblInd w:w="38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321,429,652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3,857,155.82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240,395,020.25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年度公司利润分配预案为：以截止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321,429,652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股派发现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，合计派发现金红利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元。该分配预案尚需提交</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w:t>
            </w:r>
          </w:p>
        </w:tc>
      </w:tr>
    </w:tbl>
    <w:p>
      <w:pPr>
        <w:pStyle w:val="BodyText"/>
        <w:spacing w:line="319" w:lineRule="auto" w:before="74"/>
        <w:ind w:left="392" w:right="104"/>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年度公司利润分配预案为：以截止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321,429,652</w:t>
      </w:r>
      <w:r>
        <w:rPr/>
        <w:t>股为基数，向全体股东每</w:t>
      </w:r>
      <w:r>
        <w:rPr>
          <w:rFonts w:ascii="Times New Roman" w:hAnsi="Times New Roman" w:cs="Times New Roman" w:eastAsia="Times New Roman" w:hint="default"/>
        </w:rPr>
        <w:t>10</w:t>
      </w:r>
      <w:r>
        <w:rPr/>
        <w:t>股派发现金红 利</w:t>
      </w:r>
      <w:r>
        <w:rPr>
          <w:rFonts w:ascii="Times New Roman" w:hAnsi="Times New Roman" w:cs="Times New Roman" w:eastAsia="Times New Roman" w:hint="default"/>
        </w:rPr>
        <w:t>0.12</w:t>
      </w:r>
      <w:r>
        <w:rPr/>
        <w:t>元（含税），合计派发现金红利</w:t>
      </w:r>
      <w:r>
        <w:rPr>
          <w:rFonts w:ascii="Times New Roman" w:hAnsi="Times New Roman" w:cs="Times New Roman" w:eastAsia="Times New Roman" w:hint="default"/>
        </w:rPr>
        <w:t>3,857,155.82</w:t>
      </w:r>
      <w:r>
        <w:rPr/>
        <w:t>元。该分配预案尚需提交</w:t>
      </w:r>
      <w:r>
        <w:rPr>
          <w:rFonts w:ascii="Times New Roman" w:hAnsi="Times New Roman" w:cs="Times New Roman" w:eastAsia="Times New Roman" w:hint="default"/>
        </w:rPr>
        <w:t>2017</w:t>
      </w:r>
      <w:r>
        <w:rPr/>
        <w:t>年度股东大会审议。</w:t>
      </w:r>
    </w:p>
    <w:p>
      <w:pPr>
        <w:pStyle w:val="BodyText"/>
        <w:spacing w:line="300" w:lineRule="auto" w:before="38"/>
        <w:ind w:left="392" w:right="10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年度公司利润分配方案为：以截止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321,429,652</w:t>
      </w:r>
      <w:r>
        <w:rPr/>
        <w:t>股为基数，向全体股东每</w:t>
      </w:r>
      <w:r>
        <w:rPr>
          <w:rFonts w:ascii="Times New Roman" w:hAnsi="Times New Roman" w:cs="Times New Roman" w:eastAsia="Times New Roman" w:hint="default"/>
        </w:rPr>
        <w:t>10</w:t>
      </w:r>
      <w:r>
        <w:rPr/>
        <w:t>股派发现金红 利</w:t>
      </w:r>
      <w:r>
        <w:rPr>
          <w:rFonts w:ascii="Times New Roman" w:hAnsi="Times New Roman" w:cs="Times New Roman" w:eastAsia="Times New Roman" w:hint="default"/>
        </w:rPr>
        <w:t>0.21</w:t>
      </w:r>
      <w:r>
        <w:rPr/>
        <w:t>元（含税），合计派发现金红利</w:t>
      </w:r>
      <w:r>
        <w:rPr>
          <w:rFonts w:ascii="Times New Roman" w:hAnsi="Times New Roman" w:cs="Times New Roman" w:eastAsia="Times New Roman" w:hint="default"/>
        </w:rPr>
        <w:t>6,750,022.69</w:t>
      </w:r>
      <w:r>
        <w:rPr/>
        <w:t>元。</w:t>
      </w:r>
    </w:p>
    <w:p>
      <w:pPr>
        <w:pStyle w:val="BodyText"/>
        <w:spacing w:line="300" w:lineRule="auto" w:before="53"/>
        <w:ind w:left="392" w:right="11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年半年度公司资本公积金转增股本方案为：以截止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日公司总股本</w:t>
      </w:r>
      <w:r>
        <w:rPr>
          <w:rFonts w:ascii="Times New Roman" w:hAnsi="Times New Roman" w:cs="Times New Roman" w:eastAsia="Times New Roman" w:hint="default"/>
          <w:spacing w:val="-2"/>
        </w:rPr>
        <w:t>160,714,826</w:t>
      </w:r>
      <w:r>
        <w:rPr>
          <w:spacing w:val="-2"/>
        </w:rPr>
        <w:t>股为基数，以资本公积金向</w:t>
      </w:r>
      <w:r>
        <w:rPr>
          <w:spacing w:val="-50"/>
        </w:rPr>
        <w:t> </w:t>
      </w:r>
      <w:r>
        <w:rPr>
          <w:spacing w:val="-50"/>
        </w:rPr>
      </w:r>
      <w:r>
        <w:rPr>
          <w:spacing w:val="-2"/>
        </w:rPr>
        <w:t>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w:t>
      </w:r>
      <w:r>
        <w:rPr>
          <w:rFonts w:ascii="Times New Roman" w:hAnsi="Times New Roman" w:cs="Times New Roman" w:eastAsia="Times New Roman" w:hint="default"/>
          <w:spacing w:val="-2"/>
        </w:rPr>
        <w:t>2015</w:t>
      </w:r>
      <w:r>
        <w:rPr>
          <w:spacing w:val="-2"/>
        </w:rPr>
        <w:t>年度公司利润分配方案为：以截止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321,429,652</w:t>
      </w:r>
      <w:r>
        <w:rPr>
          <w:spacing w:val="-2"/>
        </w:rPr>
        <w:t>股为基数，向全体</w:t>
      </w:r>
      <w:r>
        <w:rPr>
          <w:spacing w:val="-49"/>
        </w:rPr>
        <w:t> </w:t>
      </w:r>
      <w:r>
        <w:rPr>
          <w:spacing w:val="-49"/>
        </w:rPr>
      </w:r>
      <w:r>
        <w:rPr/>
        <w:t>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0.35</w:t>
      </w:r>
      <w:r>
        <w:rPr/>
        <w:t>元（含税），合计派发现金红利</w:t>
      </w:r>
      <w:r>
        <w:rPr>
          <w:rFonts w:ascii="Times New Roman" w:hAnsi="Times New Roman" w:cs="Times New Roman" w:eastAsia="Times New Roman" w:hint="default"/>
        </w:rPr>
        <w:t>11,250,037.82</w:t>
      </w:r>
      <w:r>
        <w:rPr/>
        <w:t>元。</w:t>
      </w:r>
    </w:p>
    <w:p>
      <w:pPr>
        <w:pStyle w:val="BodyText"/>
        <w:spacing w:line="240" w:lineRule="auto" w:before="51"/>
        <w:ind w:left="392" w:right="1994"/>
        <w:jc w:val="left"/>
      </w:pPr>
      <w:r>
        <w:rPr/>
        <w:t>公司近三年（包括本报告期）普通股现金分红情况表</w:t>
      </w:r>
    </w:p>
    <w:p>
      <w:pPr>
        <w:pStyle w:val="BodyText"/>
        <w:spacing w:line="240" w:lineRule="auto" w:before="117"/>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36"/>
        <w:gridCol w:w="1200"/>
        <w:gridCol w:w="2088"/>
        <w:gridCol w:w="2142"/>
        <w:gridCol w:w="1594"/>
        <w:gridCol w:w="1594"/>
      </w:tblGrid>
      <w:tr>
        <w:trPr>
          <w:trHeight w:val="1026" w:hRule="exact"/>
        </w:trPr>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 w:right="47"/>
              <w:jc w:val="center"/>
              <w:rPr>
                <w:rFonts w:ascii="宋体" w:hAnsi="宋体" w:cs="宋体" w:eastAsia="宋体" w:hint="default"/>
                <w:sz w:val="18"/>
                <w:szCs w:val="18"/>
              </w:rPr>
            </w:pPr>
            <w:r>
              <w:rPr>
                <w:rFonts w:ascii="宋体" w:hAnsi="宋体" w:cs="宋体" w:eastAsia="宋体" w:hint="default"/>
                <w:sz w:val="18"/>
                <w:szCs w:val="18"/>
              </w:rPr>
              <w:t>分红年度合并报表中归属 于上市公司普通股股东的 净利润</w:t>
            </w:r>
          </w:p>
        </w:tc>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占合并报表中归属于上市 公司普通股股东的净利润 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0" w:hRule="exact"/>
        </w:trPr>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2" w:right="0"/>
              <w:jc w:val="left"/>
              <w:rPr>
                <w:rFonts w:ascii="Times New Roman" w:hAnsi="Times New Roman" w:cs="Times New Roman" w:eastAsia="Times New Roman" w:hint="default"/>
                <w:sz w:val="18"/>
                <w:szCs w:val="18"/>
              </w:rPr>
            </w:pPr>
            <w:r>
              <w:rPr>
                <w:rFonts w:ascii="Times New Roman"/>
                <w:sz w:val="18"/>
              </w:rPr>
              <w:t>3,857,155.82</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1" w:right="0"/>
              <w:jc w:val="left"/>
              <w:rPr>
                <w:rFonts w:ascii="Times New Roman" w:hAnsi="Times New Roman" w:cs="Times New Roman" w:eastAsia="Times New Roman" w:hint="default"/>
                <w:sz w:val="18"/>
                <w:szCs w:val="18"/>
              </w:rPr>
            </w:pPr>
            <w:r>
              <w:rPr>
                <w:rFonts w:ascii="Times New Roman"/>
                <w:sz w:val="18"/>
              </w:rPr>
              <w:t>18,820,057.94</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740" w:right="1020"/>
        </w:sectPr>
      </w:pPr>
    </w:p>
    <w:p>
      <w:pPr>
        <w:spacing w:line="240" w:lineRule="auto" w:before="4"/>
        <w:rPr>
          <w:rFonts w:ascii="宋体" w:hAnsi="宋体" w:cs="宋体" w:eastAsia="宋体" w:hint="default"/>
          <w:sz w:val="5"/>
          <w:szCs w:val="5"/>
        </w:rPr>
      </w:pPr>
    </w:p>
    <w:tbl>
      <w:tblPr>
        <w:tblW w:w="0" w:type="auto"/>
        <w:jc w:val="left"/>
        <w:tblInd w:w="821" w:type="dxa"/>
        <w:tblLayout w:type="fixed"/>
        <w:tblCellMar>
          <w:top w:w="0" w:type="dxa"/>
          <w:left w:w="0" w:type="dxa"/>
          <w:bottom w:w="0" w:type="dxa"/>
          <w:right w:w="0" w:type="dxa"/>
        </w:tblCellMar>
        <w:tblLook w:val="01E0"/>
      </w:tblPr>
      <w:tblGrid>
        <w:gridCol w:w="1236"/>
        <w:gridCol w:w="1200"/>
        <w:gridCol w:w="2088"/>
        <w:gridCol w:w="2142"/>
        <w:gridCol w:w="1594"/>
        <w:gridCol w:w="1594"/>
      </w:tblGrid>
      <w:tr>
        <w:trPr>
          <w:trHeight w:val="402" w:hRule="exact"/>
        </w:trPr>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6,750,022.69</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32,397,475.63</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11,250,037.82</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50,635,453.88</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left="1112" w:right="67"/>
        <w:jc w:val="left"/>
      </w:pPr>
      <w:r>
        <w:rPr/>
        <w:t>公司报告期内盈利且母公司可供普通股股东分配利润为正但未提出普通股现金红利分配预案</w:t>
      </w:r>
    </w:p>
    <w:p>
      <w:pPr>
        <w:pStyle w:val="BodyText"/>
        <w:spacing w:line="240" w:lineRule="auto" w:before="117"/>
        <w:ind w:left="1112" w:right="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112" w:right="67"/>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left="1112" w:right="67"/>
        <w:jc w:val="left"/>
        <w:rPr>
          <w:b w:val="0"/>
          <w:bCs w:val="0"/>
        </w:rPr>
      </w:pP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1112" w:right="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344"/>
        <w:gridCol w:w="936"/>
        <w:gridCol w:w="876"/>
        <w:gridCol w:w="6336"/>
        <w:gridCol w:w="792"/>
        <w:gridCol w:w="816"/>
        <w:gridCol w:w="588"/>
      </w:tblGrid>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3" w:right="161"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6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0" w:right="120"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2" w:right="132"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8" w:right="108"/>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56"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45"/>
              <w:jc w:val="center"/>
              <w:rPr>
                <w:rFonts w:ascii="宋体" w:hAnsi="宋体" w:cs="宋体" w:eastAsia="宋体" w:hint="default"/>
                <w:sz w:val="18"/>
                <w:szCs w:val="18"/>
              </w:rPr>
            </w:pPr>
            <w:r>
              <w:rPr>
                <w:rFonts w:ascii="宋体" w:hAnsi="宋体" w:cs="宋体" w:eastAsia="宋体" w:hint="default"/>
                <w:sz w:val="18"/>
                <w:szCs w:val="18"/>
              </w:rPr>
              <w:t>收购报告书或</w:t>
            </w:r>
          </w:p>
        </w:tc>
        <w:tc>
          <w:tcPr>
            <w:tcW w:w="936" w:type="dxa"/>
            <w:vMerge w:val="restart"/>
            <w:tcBorders>
              <w:top w:val="single" w:sz="4" w:space="0" w:color="000000"/>
              <w:left w:val="single" w:sz="4" w:space="0" w:color="000000"/>
              <w:right w:val="single" w:sz="4" w:space="0" w:color="000000"/>
            </w:tcBorders>
          </w:tcPr>
          <w:p>
            <w:pPr/>
          </w:p>
        </w:tc>
        <w:tc>
          <w:tcPr>
            <w:tcW w:w="876" w:type="dxa"/>
            <w:vMerge w:val="restart"/>
            <w:tcBorders>
              <w:top w:val="single" w:sz="4" w:space="0" w:color="000000"/>
              <w:left w:val="single" w:sz="4" w:space="0" w:color="000000"/>
              <w:right w:val="single" w:sz="4" w:space="0" w:color="000000"/>
            </w:tcBorders>
          </w:tcPr>
          <w:p>
            <w:pPr/>
          </w:p>
        </w:tc>
        <w:tc>
          <w:tcPr>
            <w:tcW w:w="6336" w:type="dxa"/>
            <w:vMerge w:val="restart"/>
            <w:tcBorders>
              <w:top w:val="single" w:sz="4" w:space="0" w:color="000000"/>
              <w:left w:val="single" w:sz="4" w:space="0" w:color="000000"/>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r>
      <w:tr>
        <w:trPr>
          <w:trHeight w:val="31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45"/>
              <w:jc w:val="center"/>
              <w:rPr>
                <w:rFonts w:ascii="宋体" w:hAnsi="宋体" w:cs="宋体" w:eastAsia="宋体" w:hint="default"/>
                <w:sz w:val="18"/>
                <w:szCs w:val="18"/>
              </w:rPr>
            </w:pPr>
            <w:r>
              <w:rPr>
                <w:rFonts w:ascii="宋体" w:hAnsi="宋体" w:cs="宋体" w:eastAsia="宋体" w:hint="default"/>
                <w:sz w:val="18"/>
                <w:szCs w:val="18"/>
              </w:rPr>
              <w:t>权益变动报告</w:t>
            </w: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58"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45"/>
              <w:jc w:val="center"/>
              <w:rPr>
                <w:rFonts w:ascii="宋体" w:hAnsi="宋体" w:cs="宋体" w:eastAsia="宋体" w:hint="default"/>
                <w:sz w:val="18"/>
                <w:szCs w:val="18"/>
              </w:rPr>
            </w:pPr>
            <w:r>
              <w:rPr>
                <w:rFonts w:ascii="宋体" w:hAnsi="宋体" w:cs="宋体" w:eastAsia="宋体" w:hint="default"/>
                <w:sz w:val="18"/>
                <w:szCs w:val="18"/>
              </w:rPr>
              <w:t>书中所作承诺</w:t>
            </w:r>
          </w:p>
        </w:tc>
        <w:tc>
          <w:tcPr>
            <w:tcW w:w="936"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6336"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r>
      <w:tr>
        <w:trPr>
          <w:trHeight w:val="357"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6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付艳杰</w:t>
            </w:r>
            <w:r>
              <w:rPr>
                <w:rFonts w:ascii="宋体" w:hAnsi="宋体" w:cs="宋体" w:eastAsia="宋体" w:hint="default"/>
                <w:spacing w:val="-32"/>
                <w:sz w:val="18"/>
                <w:szCs w:val="18"/>
              </w:rPr>
              <w:t>、</w:t>
            </w:r>
            <w:r>
              <w:rPr>
                <w:rFonts w:ascii="宋体" w:hAnsi="宋体" w:cs="宋体" w:eastAsia="宋体" w:hint="default"/>
                <w:sz w:val="18"/>
                <w:szCs w:val="18"/>
              </w:rPr>
              <w:t>崔万涛出</w:t>
            </w:r>
            <w:r>
              <w:rPr>
                <w:rFonts w:ascii="宋体" w:hAnsi="宋体" w:cs="宋体" w:eastAsia="宋体" w:hint="default"/>
                <w:spacing w:val="-29"/>
                <w:sz w:val="18"/>
                <w:szCs w:val="18"/>
              </w:rPr>
              <w:t>具</w:t>
            </w:r>
            <w:r>
              <w:rPr>
                <w:rFonts w:ascii="宋体" w:hAnsi="宋体" w:cs="宋体" w:eastAsia="宋体" w:hint="default"/>
                <w:sz w:val="18"/>
                <w:szCs w:val="18"/>
              </w:rPr>
              <w:t>《关于本次重组实施期间股份减持意向的说明</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基于对公</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r>
      <w:tr>
        <w:trPr>
          <w:trHeight w:val="940"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崔万涛、 付艳杰</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司长期投资价值的认可及对本次重组的信心，付艳杰、崔万涛作为荣科科技的 控股股东、实际控制人，自本说明出具之日起至本次重组实施完毕期间，除拟 筹划向员工持股计划转让不超过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的股份以外，付艳杰、崔万涛不存在其它</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61"/>
              <w:jc w:val="both"/>
              <w:rPr>
                <w:rFonts w:ascii="宋体" w:hAnsi="宋体" w:cs="宋体" w:eastAsia="宋体" w:hint="default"/>
                <w:sz w:val="18"/>
                <w:szCs w:val="18"/>
              </w:rPr>
            </w:pPr>
            <w:r>
              <w:rPr>
                <w:rFonts w:ascii="宋体" w:hAnsi="宋体" w:cs="宋体" w:eastAsia="宋体" w:hint="default"/>
                <w:sz w:val="18"/>
                <w:szCs w:val="18"/>
              </w:rPr>
              <w:t>至并购 神州视 翰完成</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54"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6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股份减持意向和计划，不会以其它任何方式减持持有荣科科技的股票。</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6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乙方承诺，目标公司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年度经审计的净利润分别不</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2,327.17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3,070.00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4,056.39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万元，上述净利润以归属于母公</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司所有者的净利润扣除非经常性损益前后孰低为原则确定；业绩补偿</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）若</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经具有证券期货相关业务资格的会计师事务所对《股权转让框架协议》约定的</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业绩对赌期限的业绩进行审计，目标公司未达到前述乙方保证的三年税后净利</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4"/>
              <w:ind w:left="103" w:right="149"/>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张继武、 雷新刚、 赵达（上 海米健）</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21"/>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3" w:right="12"/>
              <w:jc w:val="left"/>
              <w:rPr>
                <w:rFonts w:ascii="宋体" w:hAnsi="宋体" w:cs="宋体" w:eastAsia="宋体" w:hint="default"/>
                <w:sz w:val="18"/>
                <w:szCs w:val="18"/>
              </w:rPr>
            </w:pPr>
            <w:r>
              <w:rPr>
                <w:rFonts w:ascii="宋体" w:hAnsi="宋体" w:cs="宋体" w:eastAsia="宋体" w:hint="default"/>
                <w:spacing w:val="-3"/>
                <w:sz w:val="18"/>
                <w:szCs w:val="18"/>
              </w:rPr>
              <w:t>润总额的情况，则乙方须以目标公司相关年度经审计的实际净利润总额为基础，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由乙方在相关年度审计报告出具之日起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天内按照以下公式以现金形式给予 </w:t>
            </w:r>
            <w:r>
              <w:rPr>
                <w:rFonts w:ascii="宋体" w:hAnsi="宋体" w:cs="宋体" w:eastAsia="宋体" w:hint="default"/>
                <w:spacing w:val="-3"/>
                <w:sz w:val="18"/>
                <w:szCs w:val="18"/>
              </w:rPr>
              <w:t>甲方及时、充分、有效地补偿。（</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）上述现金补偿的计算标准如下：补偿金额</w:t>
            </w:r>
          </w:p>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（截至期末累计承诺净利润总额－截至期末累计实际净利润总额）÷补偿期</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07"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限内各年的承诺净利润数总和×本次交易的对价；乙方盈利预测补偿的上限为</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其因本次交易所获得交易对价。乙方的三人均为补偿义务人，甲方有权向三人</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的任何一人要求其支付上述现金补偿金额，乙方中的三人也可以协商按各自的</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持股比例分担上述补偿金额。如果在业绩承诺期内，标的公司实现的净利润低</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6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于交易对方的业绩承诺，则各交易对方应向荣科科技进行补偿。</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r>
      <w:tr>
        <w:trPr>
          <w:trHeight w:val="2232"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张继武、 雷新刚、 赵达（上 海米健）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103" w:right="41"/>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5"/>
                <w:sz w:val="18"/>
                <w:szCs w:val="18"/>
              </w:rPr>
              <w:t>易、资金</w:t>
            </w:r>
            <w:r>
              <w:rPr>
                <w:rFonts w:ascii="宋体" w:hAnsi="宋体" w:cs="宋体" w:eastAsia="宋体" w:hint="default"/>
                <w:sz w:val="18"/>
                <w:szCs w:val="18"/>
              </w:rPr>
              <w:t> 占用方</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面</w:t>
            </w:r>
          </w:p>
        </w:tc>
        <w:tc>
          <w:tcPr>
            <w:tcW w:w="6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2"/>
              <w:jc w:val="both"/>
              <w:rPr>
                <w:rFonts w:ascii="宋体" w:hAnsi="宋体" w:cs="宋体" w:eastAsia="宋体" w:hint="default"/>
                <w:sz w:val="18"/>
                <w:szCs w:val="18"/>
              </w:rPr>
            </w:pPr>
            <w:r>
              <w:rPr>
                <w:rFonts w:ascii="宋体" w:hAnsi="宋体" w:cs="宋体" w:eastAsia="宋体" w:hint="default"/>
                <w:sz w:val="18"/>
                <w:szCs w:val="18"/>
              </w:rPr>
              <w:t>乙方承诺本次交易完成后，乙方、乙方亲属、乙方控制的其他关联方及目标公 司的核心技术人员不在中国境内和境外，单独或与他人，以任何形式（包括但 不限于投资、并购、联营、合资、合作、合伙、托管、承包或租赁经营、购买 股份或参股）直接或间接从事或参与或协助从事或参与任何与目标公司主营业 务构成或可能构成直接或间接竞争的业务或活动；乙方保证目标公司的核心技 </w:t>
            </w:r>
            <w:r>
              <w:rPr>
                <w:rFonts w:ascii="宋体" w:hAnsi="宋体" w:cs="宋体" w:eastAsia="宋体" w:hint="default"/>
                <w:spacing w:val="-8"/>
                <w:sz w:val="18"/>
                <w:szCs w:val="18"/>
              </w:rPr>
              <w:t>术或主要管理人员已经与目标公司签订《竞业禁止协议》及相应的《保密协议》，</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《股权转让框架协议》的签署及履行不会导致目标公司的核心技术及主要管理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永久</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正常 履行</w:t>
            </w:r>
          </w:p>
        </w:tc>
      </w:tr>
    </w:tbl>
    <w:p>
      <w:pPr>
        <w:spacing w:after="0" w:line="316" w:lineRule="auto"/>
        <w:jc w:val="left"/>
        <w:rPr>
          <w:rFonts w:ascii="宋体" w:hAnsi="宋体" w:cs="宋体" w:eastAsia="宋体" w:hint="default"/>
          <w:sz w:val="18"/>
          <w:szCs w:val="18"/>
        </w:rPr>
        <w:sectPr>
          <w:pgSz w:w="11910" w:h="16840"/>
          <w:pgMar w:header="566" w:footer="978" w:top="1360" w:bottom="1160" w:left="20" w:right="0"/>
        </w:sectPr>
      </w:pPr>
    </w:p>
    <w:tbl>
      <w:tblPr>
        <w:tblW w:w="0" w:type="auto"/>
        <w:jc w:val="left"/>
        <w:tblInd w:w="102" w:type="dxa"/>
        <w:tblLayout w:type="fixed"/>
        <w:tblCellMar>
          <w:top w:w="0" w:type="dxa"/>
          <w:left w:w="0" w:type="dxa"/>
          <w:bottom w:w="0" w:type="dxa"/>
          <w:right w:w="0" w:type="dxa"/>
        </w:tblCellMar>
        <w:tblLook w:val="01E0"/>
      </w:tblPr>
      <w:tblGrid>
        <w:gridCol w:w="1344"/>
        <w:gridCol w:w="936"/>
        <w:gridCol w:w="876"/>
        <w:gridCol w:w="6336"/>
        <w:gridCol w:w="792"/>
        <w:gridCol w:w="816"/>
        <w:gridCol w:w="588"/>
      </w:tblGrid>
      <w:tr>
        <w:trPr>
          <w:trHeight w:val="362" w:hRule="exact"/>
        </w:trPr>
        <w:tc>
          <w:tcPr>
            <w:tcW w:w="1344" w:type="dxa"/>
            <w:vMerge w:val="restart"/>
            <w:tcBorders>
              <w:top w:val="single" w:sz="4" w:space="0" w:color="000000"/>
              <w:left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6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人员离职。</w:t>
            </w:r>
          </w:p>
        </w:tc>
        <w:tc>
          <w:tcPr>
            <w:tcW w:w="792"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44" w:type="dxa"/>
            <w:vMerge/>
            <w:tcBorders>
              <w:left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6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、乙方承诺其提供给甲方的目标公司资料真实、准确、完整，不存在虚假陈述</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及遗漏，目标公司不存在未披露的负债和责任；</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、乙方保证未签署任何与《股</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权转让框架协议》的内容冲突的合同或协议，并不向任何第三方转让该协议项</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1565"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张继武、 雷新刚、 赵达（上 海米健）</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103" w:right="12"/>
              <w:jc w:val="both"/>
              <w:rPr>
                <w:rFonts w:ascii="宋体" w:hAnsi="宋体" w:cs="宋体" w:eastAsia="宋体" w:hint="default"/>
                <w:sz w:val="18"/>
                <w:szCs w:val="18"/>
              </w:rPr>
            </w:pPr>
            <w:r>
              <w:rPr>
                <w:rFonts w:ascii="宋体" w:hAnsi="宋体" w:cs="宋体" w:eastAsia="宋体" w:hint="default"/>
                <w:sz w:val="18"/>
                <w:szCs w:val="18"/>
              </w:rPr>
              <w:t>下的权利及义务。乙方保证其签署及履行该协议，未违反现行法律或其作为一 </w:t>
            </w:r>
            <w:r>
              <w:rPr>
                <w:rFonts w:ascii="宋体" w:hAnsi="宋体" w:cs="宋体" w:eastAsia="宋体" w:hint="default"/>
                <w:spacing w:val="-3"/>
                <w:sz w:val="18"/>
                <w:szCs w:val="18"/>
              </w:rPr>
              <w:t>方主体的已签署并生效的合同、协议或其他义务；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、乙方承诺目标公司目前开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展业务正在使用的全部商标、著作权、专利权、商业秘密、专有技术等知识产 权的权属清楚，资料完整，不存在任何争议与纠纷，未设定任何担保，不会导 </w:t>
            </w:r>
            <w:r>
              <w:rPr>
                <w:rFonts w:ascii="宋体" w:hAnsi="宋体" w:cs="宋体" w:eastAsia="宋体" w:hint="default"/>
                <w:spacing w:val="-6"/>
                <w:sz w:val="18"/>
                <w:szCs w:val="18"/>
              </w:rPr>
              <w:t>致本次交易完成后，甲方及目标公司在行使上述权利时受到任何限制或侵权；</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永久</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0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乙方保证目标公司在本次交易前合法经营，不存在潜在的重大违法、违规行为</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及应缴而未缴的各项费用及款项，不存在任何可能导致本次交易完成后目标公</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6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司遭受重大行政处罚及罚款的情况。</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6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公司承诺：参与公司本次非公开发行股票认购的认购对象中崔万涛、付艳杰、</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其他承 </w:t>
            </w:r>
            <w:r>
              <w:rPr>
                <w:rFonts w:ascii="宋体" w:hAnsi="宋体" w:cs="宋体" w:eastAsia="宋体" w:hint="default"/>
                <w:spacing w:val="-15"/>
                <w:sz w:val="18"/>
                <w:szCs w:val="18"/>
              </w:rPr>
              <w:t>诺（再融</w:t>
            </w:r>
            <w:r>
              <w:rPr>
                <w:rFonts w:ascii="宋体" w:hAnsi="宋体" w:cs="宋体" w:eastAsia="宋体" w:hint="default"/>
                <w:sz w:val="18"/>
                <w:szCs w:val="18"/>
              </w:rPr>
              <w:t> 资）</w:t>
            </w: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103" w:right="12"/>
              <w:jc w:val="left"/>
              <w:rPr>
                <w:rFonts w:ascii="宋体" w:hAnsi="宋体" w:cs="宋体" w:eastAsia="宋体" w:hint="default"/>
                <w:sz w:val="18"/>
                <w:szCs w:val="18"/>
              </w:rPr>
            </w:pPr>
            <w:r>
              <w:rPr>
                <w:rFonts w:ascii="宋体" w:hAnsi="宋体" w:cs="宋体" w:eastAsia="宋体" w:hint="default"/>
                <w:sz w:val="18"/>
                <w:szCs w:val="18"/>
              </w:rPr>
              <w:t>冯丽、杨兴礼、余力兴、尹春福为公司股东，公司根据公司利润分配计划向其 </w:t>
            </w:r>
            <w:r>
              <w:rPr>
                <w:rFonts w:ascii="宋体" w:hAnsi="宋体" w:cs="宋体" w:eastAsia="宋体" w:hint="default"/>
                <w:spacing w:val="-6"/>
                <w:sz w:val="18"/>
                <w:szCs w:val="18"/>
              </w:rPr>
              <w:t>提供分红；本次发行认购对象荣科科技第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期员工持股计划的对象为公司员工，</w:t>
            </w:r>
            <w:r>
              <w:rPr>
                <w:rFonts w:ascii="宋体" w:hAnsi="宋体" w:cs="宋体" w:eastAsia="宋体" w:hint="default"/>
                <w:spacing w:val="-88"/>
                <w:sz w:val="18"/>
                <w:szCs w:val="18"/>
              </w:rPr>
              <w:t> </w:t>
            </w:r>
            <w:r>
              <w:rPr>
                <w:rFonts w:ascii="宋体" w:hAnsi="宋体" w:cs="宋体" w:eastAsia="宋体" w:hint="default"/>
                <w:sz w:val="18"/>
                <w:szCs w:val="18"/>
              </w:rPr>
              <w:t>公司根据公司员工的不同岗位向其提供工资。除上述情况外，公司及关联方不 存在直接或间接向参与本次发行的认购对象提供财务资助或补偿的情况，也未</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56"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6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发生违反《证券发行与承销管理办法》第十六条等有关法规规定的情形。</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6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股份限制流通及自愿锁定承诺：本公司控股股东、实际控制人付艳杰、崔万涛</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承诺：自发行人股票上市之日起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个月内，不转让或者委托他人管理其持有</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付艳杰、 崔万涛</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3" w:right="221"/>
              <w:jc w:val="left"/>
              <w:rPr>
                <w:rFonts w:ascii="宋体" w:hAnsi="宋体" w:cs="宋体" w:eastAsia="宋体" w:hint="default"/>
                <w:sz w:val="18"/>
                <w:szCs w:val="18"/>
              </w:rPr>
            </w:pPr>
            <w:r>
              <w:rPr>
                <w:rFonts w:ascii="宋体" w:hAnsi="宋体" w:cs="宋体" w:eastAsia="宋体" w:hint="default"/>
                <w:sz w:val="18"/>
                <w:szCs w:val="18"/>
              </w:rPr>
              <w:t>股份限 售承诺</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（首发）</w:t>
            </w: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103" w:right="101"/>
              <w:jc w:val="both"/>
              <w:rPr>
                <w:rFonts w:ascii="宋体" w:hAnsi="宋体" w:cs="宋体" w:eastAsia="宋体" w:hint="default"/>
                <w:sz w:val="18"/>
                <w:szCs w:val="18"/>
              </w:rPr>
            </w:pPr>
            <w:r>
              <w:rPr>
                <w:rFonts w:ascii="宋体" w:hAnsi="宋体" w:cs="宋体" w:eastAsia="宋体" w:hint="default"/>
                <w:sz w:val="18"/>
                <w:szCs w:val="18"/>
              </w:rPr>
              <w:t>的本次公开发行股票前已发行的股份，也不由发行人回购该部分股份。除前述 锁定期外，在各自任职期内每年转让的股份不超过各自所持有公司股份总数的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；离职后半年内，不转让各自所持有的公司股份；在首次公开发行股票上 市之日起六个月内申报离职的，自申报离职之日起十八个月内不转让其直接持</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03" w:right="161"/>
              <w:jc w:val="left"/>
              <w:rPr>
                <w:rFonts w:ascii="宋体" w:hAnsi="宋体" w:cs="宋体" w:eastAsia="宋体" w:hint="default"/>
                <w:sz w:val="18"/>
                <w:szCs w:val="18"/>
              </w:rPr>
            </w:pPr>
            <w:r>
              <w:rPr>
                <w:rFonts w:ascii="宋体" w:hAnsi="宋体" w:cs="宋体" w:eastAsia="宋体" w:hint="default"/>
                <w:sz w:val="18"/>
                <w:szCs w:val="18"/>
              </w:rPr>
              <w:t>任职期 内</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31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有的本公司股份；在首次公开发行股票上市之日起第七个月至第十二个月之间</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269"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申报离职的，自申报离职之日起十二个月内不转让其直接持有的本公司股份。</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88" w:hRule="exact"/>
        </w:trPr>
        <w:tc>
          <w:tcPr>
            <w:tcW w:w="1344"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93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6336"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r>
      <w:tr>
        <w:trPr>
          <w:trHeight w:val="113" w:hRule="exact"/>
        </w:trPr>
        <w:tc>
          <w:tcPr>
            <w:tcW w:w="1344" w:type="dxa"/>
            <w:vMerge/>
            <w:tcBorders>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6336"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r>
      <w:tr>
        <w:trPr>
          <w:trHeight w:val="1225"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77"/>
              <w:ind w:left="103" w:right="149"/>
              <w:jc w:val="left"/>
              <w:rPr>
                <w:rFonts w:ascii="宋体" w:hAnsi="宋体" w:cs="宋体" w:eastAsia="宋体" w:hint="default"/>
                <w:sz w:val="18"/>
                <w:szCs w:val="18"/>
              </w:rPr>
            </w:pPr>
            <w:r>
              <w:rPr>
                <w:rFonts w:ascii="宋体" w:hAnsi="宋体" w:cs="宋体" w:eastAsia="宋体" w:hint="default"/>
                <w:sz w:val="18"/>
                <w:szCs w:val="18"/>
              </w:rPr>
              <w:t>或再融资时所 作承诺</w:t>
            </w:r>
          </w:p>
        </w:tc>
        <w:tc>
          <w:tcPr>
            <w:tcW w:w="9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付艳杰、 崔万涛</w:t>
            </w:r>
          </w:p>
        </w:tc>
        <w:tc>
          <w:tcPr>
            <w:tcW w:w="876"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股份限</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售承诺</w:t>
            </w:r>
          </w:p>
          <w:p>
            <w:pPr>
              <w:pStyle w:val="TableParagraph"/>
              <w:spacing w:line="316" w:lineRule="auto" w:before="76"/>
              <w:ind w:left="103" w:right="221"/>
              <w:jc w:val="left"/>
              <w:rPr>
                <w:rFonts w:ascii="宋体" w:hAnsi="宋体" w:cs="宋体" w:eastAsia="宋体" w:hint="default"/>
                <w:sz w:val="18"/>
                <w:szCs w:val="18"/>
              </w:rPr>
            </w:pPr>
            <w:r>
              <w:rPr>
                <w:rFonts w:ascii="宋体" w:hAnsi="宋体" w:cs="宋体" w:eastAsia="宋体" w:hint="default"/>
                <w:sz w:val="18"/>
                <w:szCs w:val="18"/>
              </w:rPr>
              <w:t>（再融 资）</w:t>
            </w:r>
          </w:p>
        </w:tc>
        <w:tc>
          <w:tcPr>
            <w:tcW w:w="6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00" w:lineRule="auto"/>
              <w:ind w:left="103" w:right="101"/>
              <w:jc w:val="left"/>
              <w:rPr>
                <w:rFonts w:ascii="宋体" w:hAnsi="宋体" w:cs="宋体" w:eastAsia="宋体" w:hint="default"/>
                <w:sz w:val="18"/>
                <w:szCs w:val="18"/>
              </w:rPr>
            </w:pPr>
            <w:r>
              <w:rPr>
                <w:rFonts w:ascii="宋体" w:hAnsi="宋体" w:cs="宋体" w:eastAsia="宋体" w:hint="default"/>
                <w:sz w:val="18"/>
                <w:szCs w:val="18"/>
              </w:rPr>
              <w:t>本次投资者认购的非公开发行股票自发行结束之日起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个月内不得转让，在此</w:t>
            </w:r>
            <w:r>
              <w:rPr>
                <w:rFonts w:ascii="宋体" w:hAnsi="宋体" w:cs="宋体" w:eastAsia="宋体" w:hint="default"/>
                <w:sz w:val="18"/>
                <w:szCs w:val="18"/>
              </w:rPr>
              <w:t> 之后按中国证券监督管理委员会及深圳证券交易所的有关规定执行。</w:t>
            </w: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1338"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101"/>
              <w:jc w:val="left"/>
              <w:rPr>
                <w:rFonts w:ascii="宋体" w:hAnsi="宋体" w:cs="宋体" w:eastAsia="宋体" w:hint="default"/>
                <w:sz w:val="18"/>
                <w:szCs w:val="18"/>
              </w:rPr>
            </w:pPr>
            <w:r>
              <w:rPr>
                <w:rFonts w:ascii="宋体" w:hAnsi="宋体" w:cs="宋体" w:eastAsia="宋体" w:hint="default"/>
                <w:sz w:val="18"/>
                <w:szCs w:val="18"/>
              </w:rPr>
              <w:t>付艳杰、 崔万涛</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其他承 </w:t>
            </w:r>
            <w:r>
              <w:rPr>
                <w:rFonts w:ascii="宋体" w:hAnsi="宋体" w:cs="宋体" w:eastAsia="宋体" w:hint="default"/>
                <w:spacing w:val="-15"/>
                <w:sz w:val="18"/>
                <w:szCs w:val="18"/>
              </w:rPr>
              <w:t>诺（再融</w:t>
            </w:r>
            <w:r>
              <w:rPr>
                <w:rFonts w:ascii="宋体" w:hAnsi="宋体" w:cs="宋体" w:eastAsia="宋体" w:hint="default"/>
                <w:sz w:val="18"/>
                <w:szCs w:val="18"/>
              </w:rPr>
              <w:t> 资）</w:t>
            </w:r>
          </w:p>
        </w:tc>
        <w:tc>
          <w:tcPr>
            <w:tcW w:w="6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1"/>
              <w:jc w:val="both"/>
              <w:rPr>
                <w:rFonts w:ascii="宋体" w:hAnsi="宋体" w:cs="宋体" w:eastAsia="宋体" w:hint="default"/>
                <w:sz w:val="18"/>
                <w:szCs w:val="18"/>
              </w:rPr>
            </w:pPr>
            <w:r>
              <w:rPr>
                <w:rFonts w:ascii="宋体" w:hAnsi="宋体" w:cs="宋体" w:eastAsia="宋体" w:hint="default"/>
                <w:sz w:val="18"/>
                <w:szCs w:val="18"/>
              </w:rPr>
              <w:t>公司控股股东、实际控制人（付艳杰、崔万涛）承诺：本人参与认购本次发行 </w:t>
            </w:r>
            <w:r>
              <w:rPr>
                <w:rFonts w:ascii="宋体" w:hAnsi="宋体" w:cs="宋体" w:eastAsia="宋体" w:hint="default"/>
                <w:spacing w:val="-6"/>
                <w:sz w:val="18"/>
                <w:szCs w:val="18"/>
              </w:rPr>
              <w:t>的资金均为本人合法所有（或其他来源）；本人及关联方不存在直接或间接向参</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与本次发行的认购对象提供财务资助或补偿的情况，也未发生违反《证券发行 与承销管理办法》第十六条等有关法规规定的情形。</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11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425"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关于同</w:t>
            </w:r>
          </w:p>
        </w:tc>
        <w:tc>
          <w:tcPr>
            <w:tcW w:w="6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一、关于同业竞争：为避免损害股份公司及其他股东利益，控股股东、实际控</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业竞争、</w:t>
            </w: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8"/>
                <w:szCs w:val="18"/>
              </w:rPr>
            </w:pPr>
            <w:r>
              <w:rPr>
                <w:rFonts w:ascii="宋体" w:hAnsi="宋体" w:cs="宋体" w:eastAsia="宋体" w:hint="default"/>
                <w:sz w:val="18"/>
                <w:szCs w:val="18"/>
              </w:rPr>
              <w:t>制人付艳杰女士、和崔万涛先生向本公司及全体股东出具了《避免同业竞争承</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付艳杰、 崔万涛</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103" w:right="101"/>
              <w:jc w:val="left"/>
              <w:rPr>
                <w:rFonts w:ascii="宋体" w:hAnsi="宋体" w:cs="宋体" w:eastAsia="宋体" w:hint="default"/>
                <w:sz w:val="18"/>
                <w:szCs w:val="18"/>
              </w:rPr>
            </w:pPr>
            <w:r>
              <w:rPr>
                <w:rFonts w:ascii="宋体" w:hAnsi="宋体" w:cs="宋体" w:eastAsia="宋体" w:hint="default"/>
                <w:sz w:val="18"/>
                <w:szCs w:val="18"/>
              </w:rPr>
              <w:t>关联交 </w:t>
            </w:r>
            <w:r>
              <w:rPr>
                <w:rFonts w:ascii="宋体" w:hAnsi="宋体" w:cs="宋体" w:eastAsia="宋体" w:hint="default"/>
                <w:spacing w:val="-15"/>
                <w:sz w:val="18"/>
                <w:szCs w:val="18"/>
              </w:rPr>
              <w:t>易、资金</w:t>
            </w:r>
            <w:r>
              <w:rPr>
                <w:rFonts w:ascii="宋体" w:hAnsi="宋体" w:cs="宋体" w:eastAsia="宋体" w:hint="default"/>
                <w:sz w:val="18"/>
                <w:szCs w:val="18"/>
              </w:rPr>
              <w:t> 占用方 面的承</w:t>
            </w: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103" w:right="0"/>
              <w:jc w:val="both"/>
              <w:rPr>
                <w:rFonts w:ascii="宋体" w:hAnsi="宋体" w:cs="宋体" w:eastAsia="宋体" w:hint="default"/>
                <w:sz w:val="18"/>
                <w:szCs w:val="18"/>
              </w:rPr>
            </w:pPr>
            <w:r>
              <w:rPr>
                <w:rFonts w:ascii="宋体" w:hAnsi="宋体" w:cs="宋体" w:eastAsia="宋体" w:hint="default"/>
                <w:sz w:val="18"/>
                <w:szCs w:val="18"/>
              </w:rPr>
              <w:t>诺函</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付艳杰女士承诺内容如下</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4"/>
                <w:sz w:val="18"/>
                <w:szCs w:val="18"/>
              </w:rPr>
              <w:t>、</w:t>
            </w:r>
            <w:r>
              <w:rPr>
                <w:rFonts w:ascii="宋体" w:hAnsi="宋体" w:cs="宋体" w:eastAsia="宋体" w:hint="default"/>
                <w:sz w:val="18"/>
                <w:szCs w:val="18"/>
              </w:rPr>
              <w:t>本人为荣科科技股份有限公</w:t>
            </w:r>
            <w:r>
              <w:rPr>
                <w:rFonts w:ascii="宋体" w:hAnsi="宋体" w:cs="宋体" w:eastAsia="宋体" w:hint="default"/>
                <w:spacing w:val="-22"/>
                <w:sz w:val="18"/>
                <w:szCs w:val="18"/>
              </w:rPr>
              <w:t>司</w:t>
            </w:r>
            <w:r>
              <w:rPr>
                <w:rFonts w:ascii="宋体" w:hAnsi="宋体" w:cs="宋体" w:eastAsia="宋体" w:hint="default"/>
                <w:sz w:val="18"/>
                <w:szCs w:val="18"/>
              </w:rPr>
              <w:t>（以下简</w:t>
            </w:r>
          </w:p>
          <w:p>
            <w:pPr>
              <w:pStyle w:val="TableParagraph"/>
              <w:spacing w:line="309" w:lineRule="auto" w:before="63"/>
              <w:ind w:left="103" w:right="101"/>
              <w:jc w:val="both"/>
              <w:rPr>
                <w:rFonts w:ascii="宋体" w:hAnsi="宋体" w:cs="宋体" w:eastAsia="宋体" w:hint="default"/>
                <w:sz w:val="18"/>
                <w:szCs w:val="18"/>
              </w:rPr>
            </w:pPr>
            <w:r>
              <w:rPr>
                <w:rFonts w:ascii="宋体" w:hAnsi="宋体" w:cs="宋体" w:eastAsia="宋体" w:hint="default"/>
                <w:spacing w:val="-6"/>
                <w:sz w:val="18"/>
                <w:szCs w:val="18"/>
              </w:rPr>
              <w:t>称“公司”）共同实际控制人之一，除公司外，本人没有其他控制的企业及参股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的企业。本人承诺本人</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包括其他关联企业，下同</w:t>
            </w:r>
            <w:r>
              <w:rPr>
                <w:rFonts w:ascii="Times New Roman" w:hAnsi="Times New Roman" w:cs="Times New Roman" w:eastAsia="Times New Roman" w:hint="default"/>
                <w:sz w:val="18"/>
                <w:szCs w:val="18"/>
              </w:rPr>
              <w:t>)</w:t>
            </w:r>
            <w:r>
              <w:rPr>
                <w:rFonts w:ascii="宋体" w:hAnsi="宋体" w:cs="宋体" w:eastAsia="宋体" w:hint="default"/>
                <w:sz w:val="18"/>
                <w:szCs w:val="18"/>
              </w:rPr>
              <w:t>目前未从事与公司主营业务 </w:t>
            </w:r>
            <w:r>
              <w:rPr>
                <w:rFonts w:ascii="宋体" w:hAnsi="宋体" w:cs="宋体" w:eastAsia="宋体" w:hint="default"/>
                <w:spacing w:val="-3"/>
                <w:sz w:val="18"/>
                <w:szCs w:val="18"/>
              </w:rPr>
              <w:t>相同或相似的业务，与公司不构成同业竞争。</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、在本人仍为公司共同实际控制</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永久</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1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人之一期间，本人承诺：</w:t>
            </w:r>
            <w:r>
              <w:rPr>
                <w:rFonts w:ascii="Times New Roman" w:hAnsi="Times New Roman" w:cs="Times New Roman" w:eastAsia="Times New Roman" w:hint="default"/>
                <w:spacing w:val="-3"/>
                <w:sz w:val="18"/>
                <w:szCs w:val="18"/>
              </w:rPr>
              <w:t>a)</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不以任何方式从事，包括与他人合作、直接或间接</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247"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6336"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从事与公司相同、相似或在任何方面构成竞争的业务；</w:t>
            </w:r>
            <w:r>
              <w:rPr>
                <w:rFonts w:ascii="Times New Roman" w:hAnsi="Times New Roman" w:cs="Times New Roman" w:eastAsia="Times New Roman" w:hint="default"/>
                <w:spacing w:val="-3"/>
                <w:sz w:val="18"/>
                <w:szCs w:val="18"/>
              </w:rPr>
              <w:t>b)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尽一切可能之努力使</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566" w:footer="978" w:top="1440" w:bottom="1160" w:left="20" w:right="0"/>
        </w:sectPr>
      </w:pPr>
    </w:p>
    <w:tbl>
      <w:tblPr>
        <w:tblW w:w="0" w:type="auto"/>
        <w:jc w:val="left"/>
        <w:tblInd w:w="102" w:type="dxa"/>
        <w:tblLayout w:type="fixed"/>
        <w:tblCellMar>
          <w:top w:w="0" w:type="dxa"/>
          <w:left w:w="0" w:type="dxa"/>
          <w:bottom w:w="0" w:type="dxa"/>
          <w:right w:w="0" w:type="dxa"/>
        </w:tblCellMar>
        <w:tblLook w:val="01E0"/>
      </w:tblPr>
      <w:tblGrid>
        <w:gridCol w:w="1344"/>
        <w:gridCol w:w="936"/>
        <w:gridCol w:w="876"/>
        <w:gridCol w:w="6336"/>
        <w:gridCol w:w="792"/>
        <w:gridCol w:w="816"/>
        <w:gridCol w:w="588"/>
      </w:tblGrid>
      <w:tr>
        <w:trPr>
          <w:trHeight w:val="322" w:hRule="exact"/>
        </w:trPr>
        <w:tc>
          <w:tcPr>
            <w:tcW w:w="1344" w:type="dxa"/>
            <w:vMerge w:val="restart"/>
            <w:tcBorders>
              <w:top w:val="single" w:sz="4" w:space="0" w:color="000000"/>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tcPr>
          <w:p>
            <w:pPr/>
          </w:p>
        </w:tc>
        <w:tc>
          <w:tcPr>
            <w:tcW w:w="876" w:type="dxa"/>
            <w:vMerge w:val="restart"/>
            <w:tcBorders>
              <w:top w:val="single" w:sz="4" w:space="0" w:color="000000"/>
              <w:left w:val="single" w:sz="4" w:space="0" w:color="000000"/>
              <w:right w:val="single" w:sz="4" w:space="0" w:color="000000"/>
            </w:tcBorders>
          </w:tcPr>
          <w:p>
            <w:pPr/>
          </w:p>
        </w:tc>
        <w:tc>
          <w:tcPr>
            <w:tcW w:w="6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本人其他关联企业不从事与公司相同、相似或在任何方面构成竞争的业务；</w:t>
            </w:r>
            <w:r>
              <w:rPr>
                <w:rFonts w:ascii="Times New Roman" w:hAnsi="Times New Roman" w:cs="Times New Roman" w:eastAsia="Times New Roman" w:hint="default"/>
                <w:sz w:val="18"/>
                <w:szCs w:val="18"/>
              </w:rPr>
              <w:t>c)</w:t>
            </w:r>
          </w:p>
        </w:tc>
        <w:tc>
          <w:tcPr>
            <w:tcW w:w="792"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r>
      <w:tr>
        <w:trPr>
          <w:trHeight w:val="308"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不投资控股于业务与公司相同、相似或在任何方面构成竞争的公司、企业或其</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16"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他机构、组织。</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、如因本人违反本承诺函而给公司造成损失的，本人同意对由</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此而给公司造成的损失予以赔偿</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崔万涛先生承诺内容如下</w:t>
            </w:r>
            <w:r>
              <w:rPr>
                <w:rFonts w:ascii="宋体" w:hAnsi="宋体" w:cs="宋体" w:eastAsia="宋体" w:hint="default"/>
                <w:spacing w:val="-12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9"/>
                <w:sz w:val="18"/>
                <w:szCs w:val="18"/>
              </w:rPr>
              <w:t>、</w:t>
            </w:r>
            <w:r>
              <w:rPr>
                <w:rFonts w:ascii="宋体" w:hAnsi="宋体" w:cs="宋体" w:eastAsia="宋体" w:hint="default"/>
                <w:sz w:val="18"/>
                <w:szCs w:val="18"/>
              </w:rPr>
              <w:t>本人为荣科</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08"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科技股份有限公</w:t>
            </w:r>
            <w:r>
              <w:rPr>
                <w:rFonts w:ascii="宋体" w:hAnsi="宋体" w:cs="宋体" w:eastAsia="宋体" w:hint="default"/>
                <w:spacing w:val="-20"/>
                <w:sz w:val="18"/>
                <w:szCs w:val="18"/>
              </w:rPr>
              <w:t>司</w:t>
            </w:r>
            <w:r>
              <w:rPr>
                <w:rFonts w:ascii="宋体" w:hAnsi="宋体" w:cs="宋体" w:eastAsia="宋体" w:hint="default"/>
                <w:sz w:val="18"/>
                <w:szCs w:val="18"/>
              </w:rPr>
              <w:t>（以下简</w:t>
            </w:r>
            <w:r>
              <w:rPr>
                <w:rFonts w:ascii="宋体" w:hAnsi="宋体" w:cs="宋体" w:eastAsia="宋体" w:hint="default"/>
                <w:spacing w:val="-17"/>
                <w:sz w:val="18"/>
                <w:szCs w:val="18"/>
              </w:rPr>
              <w:t>称</w:t>
            </w:r>
            <w:r>
              <w:rPr>
                <w:rFonts w:ascii="宋体" w:hAnsi="宋体" w:cs="宋体" w:eastAsia="宋体" w:hint="default"/>
                <w:sz w:val="18"/>
                <w:szCs w:val="18"/>
              </w:rPr>
              <w:t>“公司</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共同实际控制人之一</w:t>
            </w:r>
            <w:r>
              <w:rPr>
                <w:rFonts w:ascii="宋体" w:hAnsi="宋体" w:cs="宋体" w:eastAsia="宋体" w:hint="default"/>
                <w:spacing w:val="-20"/>
                <w:sz w:val="18"/>
                <w:szCs w:val="18"/>
              </w:rPr>
              <w:t>，</w:t>
            </w:r>
            <w:r>
              <w:rPr>
                <w:rFonts w:ascii="宋体" w:hAnsi="宋体" w:cs="宋体" w:eastAsia="宋体" w:hint="default"/>
                <w:sz w:val="18"/>
                <w:szCs w:val="18"/>
              </w:rPr>
              <w:t>除公司外</w:t>
            </w:r>
            <w:r>
              <w:rPr>
                <w:rFonts w:ascii="宋体" w:hAnsi="宋体" w:cs="宋体" w:eastAsia="宋体" w:hint="default"/>
                <w:spacing w:val="-17"/>
                <w:sz w:val="18"/>
                <w:szCs w:val="18"/>
              </w:rPr>
              <w:t>，</w:t>
            </w:r>
            <w:r>
              <w:rPr>
                <w:rFonts w:ascii="宋体" w:hAnsi="宋体" w:cs="宋体" w:eastAsia="宋体" w:hint="default"/>
                <w:sz w:val="18"/>
                <w:szCs w:val="18"/>
              </w:rPr>
              <w:t>本人</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没有其他控制的企业、参股的企业及关联企业。本人承诺本人目前未从事与公</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16"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司主营业务相同或相似的业务，与公司不构成同业竞争。</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、在本人仍为公司共</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同实际控制人之一期间，本人承诺：</w:t>
            </w:r>
            <w:r>
              <w:rPr>
                <w:rFonts w:ascii="Times New Roman" w:hAnsi="Times New Roman" w:cs="Times New Roman" w:eastAsia="Times New Roman" w:hint="default"/>
                <w:sz w:val="18"/>
                <w:szCs w:val="18"/>
              </w:rPr>
              <w:t>a)</w:t>
            </w:r>
            <w:r>
              <w:rPr>
                <w:rFonts w:ascii="宋体" w:hAnsi="宋体" w:cs="宋体" w:eastAsia="宋体" w:hint="default"/>
                <w:sz w:val="18"/>
                <w:szCs w:val="18"/>
              </w:rPr>
              <w:t>不以任何方式从事，包括与他人合作、</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直接或间接从事与公司相同、相似或在任何方面构成竞争的业务；</w:t>
            </w:r>
            <w:r>
              <w:rPr>
                <w:rFonts w:ascii="Times New Roman" w:hAnsi="Times New Roman" w:cs="Times New Roman" w:eastAsia="Times New Roman" w:hint="default"/>
                <w:sz w:val="18"/>
                <w:szCs w:val="18"/>
              </w:rPr>
              <w:t>b)</w:t>
            </w:r>
            <w:r>
              <w:rPr>
                <w:rFonts w:ascii="宋体" w:hAnsi="宋体" w:cs="宋体" w:eastAsia="宋体" w:hint="default"/>
                <w:sz w:val="18"/>
                <w:szCs w:val="18"/>
              </w:rPr>
              <w:t>不投资控</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08"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股于业务与公司相同、相似或在任何方面构成竞争的公司、企业或其他机构、</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16"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组织。</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、如因本人违反本承诺函而给公司造成损失的，本人同意对由此而给公</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08"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司造成的损失予以赔偿</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二</w:t>
            </w:r>
            <w:r>
              <w:rPr>
                <w:rFonts w:ascii="宋体" w:hAnsi="宋体" w:cs="宋体" w:eastAsia="宋体" w:hint="default"/>
                <w:spacing w:val="-32"/>
                <w:sz w:val="18"/>
                <w:szCs w:val="18"/>
              </w:rPr>
              <w:t>、</w:t>
            </w:r>
            <w:r>
              <w:rPr>
                <w:rFonts w:ascii="宋体" w:hAnsi="宋体" w:cs="宋体" w:eastAsia="宋体" w:hint="default"/>
                <w:sz w:val="18"/>
                <w:szCs w:val="18"/>
              </w:rPr>
              <w:t>关于资金占用</w:t>
            </w:r>
            <w:r>
              <w:rPr>
                <w:rFonts w:ascii="宋体" w:hAnsi="宋体" w:cs="宋体" w:eastAsia="宋体" w:hint="default"/>
                <w:spacing w:val="-29"/>
                <w:sz w:val="18"/>
                <w:szCs w:val="18"/>
              </w:rPr>
              <w:t>：</w:t>
            </w:r>
            <w:r>
              <w:rPr>
                <w:rFonts w:ascii="宋体" w:hAnsi="宋体" w:cs="宋体" w:eastAsia="宋体" w:hint="default"/>
                <w:sz w:val="18"/>
                <w:szCs w:val="18"/>
              </w:rPr>
              <w:t>本人承诺未来不以任何方式占用</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56"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6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荣科科技股份有限公司资金。</w:t>
            </w:r>
          </w:p>
        </w:tc>
        <w:tc>
          <w:tcPr>
            <w:tcW w:w="792"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r>
      <w:tr>
        <w:trPr>
          <w:trHeight w:val="362" w:hRule="exact"/>
        </w:trPr>
        <w:tc>
          <w:tcPr>
            <w:tcW w:w="1344" w:type="dxa"/>
            <w:vMerge/>
            <w:tcBorders>
              <w:left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6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公司控股股东付艳杰</w:t>
            </w:r>
            <w:r>
              <w:rPr>
                <w:rFonts w:ascii="宋体" w:hAnsi="宋体" w:cs="宋体" w:eastAsia="宋体" w:hint="default"/>
                <w:spacing w:val="-32"/>
                <w:sz w:val="18"/>
                <w:szCs w:val="18"/>
              </w:rPr>
              <w:t>、</w:t>
            </w:r>
            <w:r>
              <w:rPr>
                <w:rFonts w:ascii="宋体" w:hAnsi="宋体" w:cs="宋体" w:eastAsia="宋体" w:hint="default"/>
                <w:sz w:val="18"/>
                <w:szCs w:val="18"/>
              </w:rPr>
              <w:t>崔万涛于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日续</w:t>
            </w:r>
            <w:r>
              <w:rPr>
                <w:rFonts w:ascii="宋体" w:hAnsi="宋体" w:cs="宋体" w:eastAsia="宋体" w:hint="default"/>
                <w:spacing w:val="-29"/>
                <w:sz w:val="18"/>
                <w:szCs w:val="18"/>
              </w:rPr>
              <w:t>签</w:t>
            </w:r>
            <w:r>
              <w:rPr>
                <w:rFonts w:ascii="宋体" w:hAnsi="宋体" w:cs="宋体" w:eastAsia="宋体" w:hint="default"/>
                <w:sz w:val="18"/>
                <w:szCs w:val="18"/>
              </w:rPr>
              <w:t>《一致行动协议</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双方</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4"/>
                <w:sz w:val="18"/>
                <w:szCs w:val="18"/>
              </w:rPr>
              <w:t>就保持一致行动事宜达成如下条款：第一条 </w:t>
            </w:r>
            <w:r>
              <w:rPr>
                <w:rFonts w:ascii="宋体" w:hAnsi="宋体" w:cs="宋体" w:eastAsia="宋体" w:hint="default"/>
                <w:sz w:val="18"/>
                <w:szCs w:val="18"/>
              </w:rPr>
              <w:t>共同控制</w:t>
            </w:r>
            <w:r>
              <w:rPr>
                <w:rFonts w:ascii="宋体" w:hAnsi="宋体" w:cs="宋体" w:eastAsia="宋体" w:hint="default"/>
                <w:spacing w:val="11"/>
                <w:sz w:val="18"/>
                <w:szCs w:val="18"/>
              </w:rPr>
              <w:t> </w:t>
            </w:r>
            <w:r>
              <w:rPr>
                <w:rFonts w:ascii="宋体" w:hAnsi="宋体" w:cs="宋体" w:eastAsia="宋体" w:hint="default"/>
                <w:spacing w:val="-14"/>
                <w:sz w:val="18"/>
                <w:szCs w:val="18"/>
              </w:rPr>
              <w:t>双方曾于【</w:t>
            </w:r>
            <w:r>
              <w:rPr>
                <w:rFonts w:ascii="Times New Roman" w:hAnsi="Times New Roman" w:cs="Times New Roman" w:eastAsia="Times New Roman" w:hint="default"/>
                <w:spacing w:val="-14"/>
                <w:sz w:val="18"/>
                <w:szCs w:val="18"/>
              </w:rPr>
              <w:t>2010</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11</w:t>
            </w:r>
            <w:r>
              <w:rPr>
                <w:rFonts w:ascii="宋体" w:hAnsi="宋体" w:cs="宋体" w:eastAsia="宋体" w:hint="default"/>
                <w:spacing w:val="-14"/>
                <w:sz w:val="18"/>
                <w:szCs w:val="18"/>
              </w:rPr>
              <w:t>】</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】日签订了协议书，作为一致行动人共同控制股份公司。自股份公司设</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立以来，双方以股东或经营管理者身份对股份公司的经营管理共同决策，在股</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份公司的历次股东大会和董事会对议案表决时</w:t>
            </w:r>
            <w:r>
              <w:rPr>
                <w:rFonts w:ascii="宋体" w:hAnsi="宋体" w:cs="宋体" w:eastAsia="宋体" w:hint="default"/>
                <w:spacing w:val="-92"/>
                <w:sz w:val="18"/>
                <w:szCs w:val="18"/>
              </w:rPr>
              <w:t>，</w:t>
            </w:r>
            <w:r>
              <w:rPr>
                <w:rFonts w:ascii="宋体" w:hAnsi="宋体" w:cs="宋体" w:eastAsia="宋体" w:hint="default"/>
                <w:sz w:val="18"/>
                <w:szCs w:val="18"/>
              </w:rPr>
              <w:t>不存在表决结果不一致的情形。</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第二条 一致行动 针对股份公司日后运营决策事项，双方同意：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在不违背</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法律法规、公司章程，不损害公司、股东和债权人利益的情况下，凡涉及股份</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付艳杰、 崔万涛</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21"/>
              <w:jc w:val="both"/>
              <w:rPr>
                <w:rFonts w:ascii="宋体" w:hAnsi="宋体" w:cs="宋体" w:eastAsia="宋体" w:hint="default"/>
                <w:sz w:val="18"/>
                <w:szCs w:val="18"/>
              </w:rPr>
            </w:pPr>
            <w:r>
              <w:rPr>
                <w:rFonts w:ascii="宋体" w:hAnsi="宋体" w:cs="宋体" w:eastAsia="宋体" w:hint="default"/>
                <w:sz w:val="18"/>
                <w:szCs w:val="18"/>
              </w:rPr>
              <w:t>股东一 致行动 承诺</w:t>
            </w: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公司重大经营决策事项，双方须先行协商统一意见，再行在股份公司各级会议 上按协商结果发表意见；在其中一方作为决策事项的关联方时，双方均须回避 表决；</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双方共同提名公司董事、监事候选人、共同向股东大会提出提案； 在股东大会、董事会就审议事项表决时，双方应根据事先协商确定的一致意见</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1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对议案进行投票；</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双方共同委托股东大会计票人和监票人对双方的表决情</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况进行监督；如有不一致的情形，股东大会计票人和监票人有权要求双方再次</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就行使何种表决权进行协商。如果双方经再次协商，仍无法就行使何种表决权</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达成一致意见的，则双方同意共同对相关议案投弃权票。</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任何一方均不得</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与本协议签署方之外的第三方签订与本协议内容相同、近似的协议或合同。第</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三条 生效</w:t>
            </w:r>
            <w:r>
              <w:rPr>
                <w:rFonts w:ascii="宋体" w:hAnsi="宋体" w:cs="宋体" w:eastAsia="宋体" w:hint="default"/>
                <w:spacing w:val="-6"/>
                <w:sz w:val="18"/>
                <w:szCs w:val="18"/>
              </w:rPr>
              <w:t> </w:t>
            </w:r>
            <w:r>
              <w:rPr>
                <w:rFonts w:ascii="宋体" w:hAnsi="宋体" w:cs="宋体" w:eastAsia="宋体" w:hint="default"/>
                <w:sz w:val="18"/>
                <w:szCs w:val="18"/>
              </w:rPr>
              <w:t>本协议自双方签字之日起生效，有效期自【</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6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344" w:type="dxa"/>
            <w:vMerge/>
            <w:tcBorders>
              <w:left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6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本次投资者认购的非公开发行股票自发行结束之日起</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个月内不得转让</w:t>
            </w:r>
            <w:r>
              <w:rPr>
                <w:rFonts w:ascii="宋体" w:hAnsi="宋体" w:cs="宋体" w:eastAsia="宋体" w:hint="default"/>
                <w:spacing w:val="-89"/>
                <w:sz w:val="18"/>
                <w:szCs w:val="18"/>
              </w:rPr>
              <w:t>，</w:t>
            </w:r>
            <w:r>
              <w:rPr>
                <w:rFonts w:ascii="宋体" w:hAnsi="宋体" w:cs="宋体" w:eastAsia="宋体" w:hint="default"/>
                <w:sz w:val="18"/>
                <w:szCs w:val="18"/>
              </w:rPr>
              <w:t>在此</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r>
      <w:tr>
        <w:trPr>
          <w:trHeight w:val="1244"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103" w:right="101"/>
              <w:jc w:val="both"/>
              <w:rPr>
                <w:rFonts w:ascii="宋体" w:hAnsi="宋体" w:cs="宋体" w:eastAsia="宋体" w:hint="default"/>
                <w:sz w:val="18"/>
                <w:szCs w:val="18"/>
              </w:rPr>
            </w:pPr>
            <w:r>
              <w:rPr>
                <w:rFonts w:ascii="宋体" w:hAnsi="宋体" w:cs="宋体" w:eastAsia="宋体" w:hint="default"/>
                <w:sz w:val="18"/>
                <w:szCs w:val="18"/>
              </w:rPr>
              <w:t>荣科科技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 工持股计 划</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221"/>
              <w:jc w:val="left"/>
              <w:rPr>
                <w:rFonts w:ascii="宋体" w:hAnsi="宋体" w:cs="宋体" w:eastAsia="宋体" w:hint="default"/>
                <w:sz w:val="18"/>
                <w:szCs w:val="18"/>
              </w:rPr>
            </w:pPr>
            <w:r>
              <w:rPr>
                <w:rFonts w:ascii="宋体" w:hAnsi="宋体" w:cs="宋体" w:eastAsia="宋体" w:hint="default"/>
                <w:sz w:val="18"/>
                <w:szCs w:val="18"/>
              </w:rPr>
              <w:t>股份限 售承诺</w:t>
            </w:r>
          </w:p>
          <w:p>
            <w:pPr>
              <w:pStyle w:val="TableParagraph"/>
              <w:spacing w:line="316" w:lineRule="auto" w:before="19"/>
              <w:ind w:left="103" w:right="221"/>
              <w:jc w:val="left"/>
              <w:rPr>
                <w:rFonts w:ascii="宋体" w:hAnsi="宋体" w:cs="宋体" w:eastAsia="宋体" w:hint="default"/>
                <w:sz w:val="18"/>
                <w:szCs w:val="18"/>
              </w:rPr>
            </w:pPr>
            <w:r>
              <w:rPr>
                <w:rFonts w:ascii="宋体" w:hAnsi="宋体" w:cs="宋体" w:eastAsia="宋体" w:hint="default"/>
                <w:sz w:val="18"/>
                <w:szCs w:val="18"/>
              </w:rPr>
              <w:t>（再融 资）</w:t>
            </w: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103" w:right="101"/>
              <w:jc w:val="both"/>
              <w:rPr>
                <w:rFonts w:ascii="宋体" w:hAnsi="宋体" w:cs="宋体" w:eastAsia="宋体" w:hint="default"/>
                <w:sz w:val="18"/>
                <w:szCs w:val="18"/>
              </w:rPr>
            </w:pPr>
            <w:r>
              <w:rPr>
                <w:rFonts w:ascii="宋体" w:hAnsi="宋体" w:cs="宋体" w:eastAsia="宋体" w:hint="default"/>
                <w:sz w:val="18"/>
                <w:szCs w:val="18"/>
              </w:rPr>
              <w:t>之后按中国证券监督管理委员会及深圳证券交易所的有关规定执行。荣科科技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期员工持股计划拟参与对象承诺：本人自愿参加本次员工持股计划，不存 在摊派、强行分配等方式强制要求参加的情况；本人参与职工持股计划投入的 资金为本人自有资金，具体来源为工资收入及其他合法途径收入，未接受荣科</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56"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6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科技及其控股股东、实际控制人和其关联方的财务资助或补偿。</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1344" w:type="dxa"/>
            <w:vMerge/>
            <w:tcBorders>
              <w:left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6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本次投资者认购的非公开发行股票自发行结束之日起</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个月内不得转让</w:t>
            </w:r>
            <w:r>
              <w:rPr>
                <w:rFonts w:ascii="宋体" w:hAnsi="宋体" w:cs="宋体" w:eastAsia="宋体" w:hint="default"/>
                <w:spacing w:val="-89"/>
                <w:sz w:val="18"/>
                <w:szCs w:val="18"/>
              </w:rPr>
              <w:t>，</w:t>
            </w:r>
            <w:r>
              <w:rPr>
                <w:rFonts w:ascii="宋体" w:hAnsi="宋体" w:cs="宋体" w:eastAsia="宋体" w:hint="default"/>
                <w:sz w:val="18"/>
                <w:szCs w:val="18"/>
              </w:rPr>
              <w:t>在此</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r>
      <w:tr>
        <w:trPr>
          <w:trHeight w:val="1253"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103" w:right="101"/>
              <w:jc w:val="both"/>
              <w:rPr>
                <w:rFonts w:ascii="宋体" w:hAnsi="宋体" w:cs="宋体" w:eastAsia="宋体" w:hint="default"/>
                <w:sz w:val="18"/>
                <w:szCs w:val="18"/>
              </w:rPr>
            </w:pPr>
            <w:r>
              <w:rPr>
                <w:rFonts w:ascii="宋体" w:hAnsi="宋体" w:cs="宋体" w:eastAsia="宋体" w:hint="default"/>
                <w:sz w:val="18"/>
                <w:szCs w:val="18"/>
              </w:rPr>
              <w:t>财通基金 管理有限 公司</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股份限 售承诺</w:t>
            </w:r>
          </w:p>
          <w:p>
            <w:pPr>
              <w:pStyle w:val="TableParagraph"/>
              <w:spacing w:line="316" w:lineRule="auto" w:before="19"/>
              <w:ind w:left="103" w:right="221"/>
              <w:jc w:val="left"/>
              <w:rPr>
                <w:rFonts w:ascii="宋体" w:hAnsi="宋体" w:cs="宋体" w:eastAsia="宋体" w:hint="default"/>
                <w:sz w:val="18"/>
                <w:szCs w:val="18"/>
              </w:rPr>
            </w:pPr>
            <w:r>
              <w:rPr>
                <w:rFonts w:ascii="宋体" w:hAnsi="宋体" w:cs="宋体" w:eastAsia="宋体" w:hint="default"/>
                <w:sz w:val="18"/>
                <w:szCs w:val="18"/>
              </w:rPr>
              <w:t>（再融 资）</w:t>
            </w: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103" w:right="101"/>
              <w:jc w:val="both"/>
              <w:rPr>
                <w:rFonts w:ascii="宋体" w:hAnsi="宋体" w:cs="宋体" w:eastAsia="宋体" w:hint="default"/>
                <w:sz w:val="18"/>
                <w:szCs w:val="18"/>
              </w:rPr>
            </w:pPr>
            <w:r>
              <w:rPr>
                <w:rFonts w:ascii="宋体" w:hAnsi="宋体" w:cs="宋体" w:eastAsia="宋体" w:hint="default"/>
                <w:sz w:val="18"/>
                <w:szCs w:val="18"/>
              </w:rPr>
              <w:t>之后按中国证券监督管理委员会及深圳证券交易所的有关规定执行。财通基金 承诺：本公司作为资产管理计划的管理人，将通过一切合理且可行之手段确保 资产管理计划在本次发行获得证监会核准后，发行方案于证监会备案前依法设 立、办理产品备案并可以对外投资，用于认购本次非公开发行股票的资金募集</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15"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6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到位；本公司作为资产管理计划的管理人与荣科科技及其控股股东、实际控制</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566" w:footer="978" w:top="1440" w:bottom="1160" w:left="20" w:right="0"/>
        </w:sectPr>
      </w:pPr>
    </w:p>
    <w:tbl>
      <w:tblPr>
        <w:tblW w:w="0" w:type="auto"/>
        <w:jc w:val="left"/>
        <w:tblInd w:w="102" w:type="dxa"/>
        <w:tblLayout w:type="fixed"/>
        <w:tblCellMar>
          <w:top w:w="0" w:type="dxa"/>
          <w:left w:w="0" w:type="dxa"/>
          <w:bottom w:w="0" w:type="dxa"/>
          <w:right w:w="0" w:type="dxa"/>
        </w:tblCellMar>
        <w:tblLook w:val="01E0"/>
      </w:tblPr>
      <w:tblGrid>
        <w:gridCol w:w="1344"/>
        <w:gridCol w:w="936"/>
        <w:gridCol w:w="876"/>
        <w:gridCol w:w="6336"/>
        <w:gridCol w:w="792"/>
        <w:gridCol w:w="816"/>
        <w:gridCol w:w="588"/>
      </w:tblGrid>
      <w:tr>
        <w:trPr>
          <w:trHeight w:val="318" w:hRule="exact"/>
        </w:trPr>
        <w:tc>
          <w:tcPr>
            <w:tcW w:w="1344" w:type="dxa"/>
            <w:vMerge w:val="restart"/>
            <w:tcBorders>
              <w:top w:val="single" w:sz="4" w:space="0" w:color="000000"/>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tcPr>
          <w:p>
            <w:pPr/>
          </w:p>
        </w:tc>
        <w:tc>
          <w:tcPr>
            <w:tcW w:w="876" w:type="dxa"/>
            <w:vMerge w:val="restart"/>
            <w:tcBorders>
              <w:top w:val="single" w:sz="4" w:space="0" w:color="000000"/>
              <w:left w:val="single" w:sz="4" w:space="0" w:color="000000"/>
              <w:right w:val="single" w:sz="4" w:space="0" w:color="000000"/>
            </w:tcBorders>
          </w:tcPr>
          <w:p>
            <w:pPr/>
          </w:p>
        </w:tc>
        <w:tc>
          <w:tcPr>
            <w:tcW w:w="6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人和其关联方不存在关联关系；本公司认购本次发行的资金均来自于委托人认</w:t>
            </w:r>
          </w:p>
        </w:tc>
        <w:tc>
          <w:tcPr>
            <w:tcW w:w="792"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购资金管理计划份额的委托资金。委托人的上述资金均为委托人自有资金，不</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存在荣科科技、控股股东、实际控制人（崔万涛、付艳杰）及其关联方直接或</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间接提供财务资助或者补偿的情形；本公司本次参与认购本次发行的资产管理</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计划的各委托人之间不存在分级收益等结构化安排；本公司本次认购的荣科科</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16"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tcPr>
          <w:p>
            <w:pPr/>
          </w:p>
        </w:tc>
        <w:tc>
          <w:tcPr>
            <w:tcW w:w="876" w:type="dxa"/>
            <w:vMerge/>
            <w:tcBorders>
              <w:left w:val="single" w:sz="4" w:space="0" w:color="000000"/>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技股票自本次发行结束之日起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个月不得转让，在上述锁定期内，本公司不接</w:t>
            </w:r>
          </w:p>
        </w:tc>
        <w:tc>
          <w:tcPr>
            <w:tcW w:w="792"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r>
      <w:tr>
        <w:trPr>
          <w:trHeight w:val="352" w:hRule="exact"/>
        </w:trPr>
        <w:tc>
          <w:tcPr>
            <w:tcW w:w="134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6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受资产管理计划的委托人转让其持有的该资产管理计划份额的申请。</w:t>
            </w:r>
          </w:p>
        </w:tc>
        <w:tc>
          <w:tcPr>
            <w:tcW w:w="792"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r>
      <w:tr>
        <w:trPr>
          <w:trHeight w:val="362" w:hRule="exact"/>
        </w:trPr>
        <w:tc>
          <w:tcPr>
            <w:tcW w:w="1344" w:type="dxa"/>
            <w:vMerge/>
            <w:tcBorders>
              <w:left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6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本次投资者认购的非公开发行股票自发行结束之日起</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个月内不得转让</w:t>
            </w:r>
            <w:r>
              <w:rPr>
                <w:rFonts w:ascii="宋体" w:hAnsi="宋体" w:cs="宋体" w:eastAsia="宋体" w:hint="default"/>
                <w:spacing w:val="-89"/>
                <w:sz w:val="18"/>
                <w:szCs w:val="18"/>
              </w:rPr>
              <w:t>，</w:t>
            </w:r>
            <w:r>
              <w:rPr>
                <w:rFonts w:ascii="宋体" w:hAnsi="宋体" w:cs="宋体" w:eastAsia="宋体" w:hint="default"/>
                <w:sz w:val="18"/>
                <w:szCs w:val="18"/>
              </w:rPr>
              <w:t>在此</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之后按中国证券监督管理委员会及深圳证券交易所的有关规定执行。嘉慧投资</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承诺：荣科科技本次非公开发行股票获得中国证券监督管理委员会核准后，发</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行方案于中国证券监督管理委员会备案前，到位全部认购资金；本企业不存在</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接受荣科科技及其控股股东、实际控制人（崔万涛、付艳杰）和其关联方直接</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或间接的财务资助或者补偿的情形；本企业各合伙人之间不存在分级收益等结</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构化安排；本企业参与本次认购取得的荣科科技股份自本次认购结束之日起</w:t>
            </w:r>
            <w:r>
              <w:rPr>
                <w:rFonts w:ascii="宋体" w:hAnsi="宋体" w:cs="宋体" w:eastAsia="宋体" w:hint="default"/>
                <w:spacing w:val="-25"/>
                <w:sz w:val="18"/>
                <w:szCs w:val="18"/>
              </w:rPr>
              <w:t> </w:t>
            </w:r>
            <w:r>
              <w:rPr>
                <w:rFonts w:ascii="Times New Roman" w:hAnsi="Times New Roman" w:cs="Times New Roman" w:eastAsia="Times New Roman" w:hint="default"/>
                <w:spacing w:val="-1"/>
                <w:sz w:val="18"/>
                <w:szCs w:val="18"/>
              </w:rPr>
              <w:t>36</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101"/>
              <w:jc w:val="both"/>
              <w:rPr>
                <w:rFonts w:ascii="宋体" w:hAnsi="宋体" w:cs="宋体" w:eastAsia="宋体" w:hint="default"/>
                <w:sz w:val="18"/>
                <w:szCs w:val="18"/>
              </w:rPr>
            </w:pPr>
            <w:r>
              <w:rPr>
                <w:rFonts w:ascii="宋体" w:hAnsi="宋体" w:cs="宋体" w:eastAsia="宋体" w:hint="default"/>
                <w:sz w:val="18"/>
                <w:szCs w:val="18"/>
              </w:rPr>
              <w:t>浙江海宁 嘉慧投资 合伙企业</w:t>
            </w:r>
          </w:p>
          <w:p>
            <w:pPr>
              <w:pStyle w:val="TableParagraph"/>
              <w:spacing w:line="316" w:lineRule="auto" w:before="19"/>
              <w:ind w:left="103" w:right="10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3" w:right="221"/>
              <w:jc w:val="left"/>
              <w:rPr>
                <w:rFonts w:ascii="宋体" w:hAnsi="宋体" w:cs="宋体" w:eastAsia="宋体" w:hint="default"/>
                <w:sz w:val="18"/>
                <w:szCs w:val="18"/>
              </w:rPr>
            </w:pPr>
            <w:r>
              <w:rPr>
                <w:rFonts w:ascii="宋体" w:hAnsi="宋体" w:cs="宋体" w:eastAsia="宋体" w:hint="default"/>
                <w:sz w:val="18"/>
                <w:szCs w:val="18"/>
              </w:rPr>
              <w:t>股份限 售承诺</w:t>
            </w:r>
          </w:p>
          <w:p>
            <w:pPr>
              <w:pStyle w:val="TableParagraph"/>
              <w:spacing w:line="316" w:lineRule="auto" w:before="19"/>
              <w:ind w:left="103" w:right="221"/>
              <w:jc w:val="left"/>
              <w:rPr>
                <w:rFonts w:ascii="宋体" w:hAnsi="宋体" w:cs="宋体" w:eastAsia="宋体" w:hint="default"/>
                <w:sz w:val="18"/>
                <w:szCs w:val="18"/>
              </w:rPr>
            </w:pPr>
            <w:r>
              <w:rPr>
                <w:rFonts w:ascii="宋体" w:hAnsi="宋体" w:cs="宋体" w:eastAsia="宋体" w:hint="default"/>
                <w:sz w:val="18"/>
                <w:szCs w:val="18"/>
              </w:rPr>
              <w:t>（再融 资）</w:t>
            </w: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101"/>
              <w:jc w:val="both"/>
              <w:rPr>
                <w:rFonts w:ascii="宋体" w:hAnsi="宋体" w:cs="宋体" w:eastAsia="宋体" w:hint="default"/>
                <w:sz w:val="18"/>
                <w:szCs w:val="18"/>
              </w:rPr>
            </w:pPr>
            <w:r>
              <w:rPr>
                <w:rFonts w:ascii="宋体" w:hAnsi="宋体" w:cs="宋体" w:eastAsia="宋体" w:hint="default"/>
                <w:sz w:val="18"/>
                <w:szCs w:val="18"/>
              </w:rPr>
              <w:t>个月不转让，在上述锁定期内，本企业不得接受合伙人转让合伙份额或退出嘉 慧投资。西藏山南天时投资合伙企业合伙人陶小刚、陶灵萍承诺：本人持有山 南天时的合伙份额为本人真实持有，不存在为他人代持的情形；本人在山南天 时的投资资金全部来源于自有合法资金；本人不存在接受荣科科技及其控股股 东、实际控制人（崔万涛、付艳杰）和其关联方直接或间接的财务资助或者补</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偿的情形，与荣科科技不存在其他关联交易；荣科科技本次非公开发行股票获</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得中国证券监督管理委员会核准后，发行方案于中国证券监督管理委员会备案</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前，本人足额缴纳用于本次非公开发行股票的认购资金；本人与山南天时的其</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他合伙人之间不存在分级收益等结构化安排；嘉慧投资参与本次认购取得的荣</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科科技股份自本次发行结束之日起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个月不转让，在上述锁定期内，山南天时</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不以任何方式转让持有的嘉慧投资的合伙份额或退出合伙，同时本人不以任何</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6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方式转让持有的山南天时的合伙份额或退出合伙。</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344" w:type="dxa"/>
            <w:vMerge/>
            <w:tcBorders>
              <w:left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6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公司未来三</w:t>
            </w:r>
            <w:r>
              <w:rPr>
                <w:rFonts w:ascii="宋体" w:hAnsi="宋体" w:cs="宋体" w:eastAsia="宋体" w:hint="default"/>
                <w:spacing w:val="-20"/>
                <w:sz w:val="18"/>
                <w:szCs w:val="18"/>
              </w:rPr>
              <w:t>年</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20"/>
                <w:sz w:val="18"/>
                <w:szCs w:val="18"/>
              </w:rPr>
              <w:t>）</w:t>
            </w:r>
            <w:r>
              <w:rPr>
                <w:rFonts w:ascii="宋体" w:hAnsi="宋体" w:cs="宋体" w:eastAsia="宋体" w:hint="default"/>
                <w:sz w:val="18"/>
                <w:szCs w:val="18"/>
              </w:rPr>
              <w:t>的股东回报规划</w:t>
            </w:r>
            <w:r>
              <w:rPr>
                <w:rFonts w:ascii="宋体" w:hAnsi="宋体" w:cs="宋体" w:eastAsia="宋体" w:hint="default"/>
                <w:spacing w:val="1"/>
                <w:sz w:val="18"/>
                <w:szCs w:val="18"/>
              </w:rPr>
              <w:t> </w:t>
            </w:r>
            <w:r>
              <w:rPr>
                <w:rFonts w:ascii="宋体" w:hAnsi="宋体" w:cs="宋体" w:eastAsia="宋体" w:hint="default"/>
                <w:spacing w:val="-108"/>
                <w:sz w:val="18"/>
                <w:szCs w:val="18"/>
              </w:rPr>
              <w:t>：</w:t>
            </w:r>
            <w:r>
              <w:rPr>
                <w:rFonts w:ascii="宋体" w:hAnsi="宋体" w:cs="宋体" w:eastAsia="宋体" w:hint="default"/>
                <w:sz w:val="18"/>
                <w:szCs w:val="18"/>
              </w:rPr>
              <w:t>（一</w:t>
            </w:r>
            <w:r>
              <w:rPr>
                <w:rFonts w:ascii="宋体" w:hAnsi="宋体" w:cs="宋体" w:eastAsia="宋体" w:hint="default"/>
                <w:spacing w:val="-20"/>
                <w:sz w:val="18"/>
                <w:szCs w:val="18"/>
              </w:rPr>
              <w:t>）</w:t>
            </w:r>
            <w:r>
              <w:rPr>
                <w:rFonts w:ascii="宋体" w:hAnsi="宋体" w:cs="宋体" w:eastAsia="宋体" w:hint="default"/>
                <w:sz w:val="18"/>
                <w:szCs w:val="18"/>
              </w:rPr>
              <w:t>利润分配方式</w:t>
            </w:r>
            <w:r>
              <w:rPr>
                <w:rFonts w:ascii="宋体" w:hAnsi="宋体" w:cs="宋体" w:eastAsia="宋体" w:hint="default"/>
                <w:spacing w:val="-17"/>
                <w:sz w:val="18"/>
                <w:szCs w:val="18"/>
              </w:rPr>
              <w:t>：</w:t>
            </w:r>
            <w:r>
              <w:rPr>
                <w:rFonts w:ascii="宋体" w:hAnsi="宋体" w:cs="宋体" w:eastAsia="宋体" w:hint="default"/>
                <w:sz w:val="18"/>
                <w:szCs w:val="18"/>
              </w:rPr>
              <w:t>公</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司可采用现金、股票或者现金与股票相结合的方式进行利润分配。在有条件的</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情况下</w:t>
            </w:r>
            <w:r>
              <w:rPr>
                <w:rFonts w:ascii="宋体" w:hAnsi="宋体" w:cs="宋体" w:eastAsia="宋体" w:hint="default"/>
                <w:spacing w:val="-24"/>
                <w:sz w:val="18"/>
                <w:szCs w:val="18"/>
              </w:rPr>
              <w:t>，</w:t>
            </w:r>
            <w:r>
              <w:rPr>
                <w:rFonts w:ascii="宋体" w:hAnsi="宋体" w:cs="宋体" w:eastAsia="宋体" w:hint="default"/>
                <w:sz w:val="18"/>
                <w:szCs w:val="18"/>
              </w:rPr>
              <w:t>根据公司实际经营情况</w:t>
            </w:r>
            <w:r>
              <w:rPr>
                <w:rFonts w:ascii="宋体" w:hAnsi="宋体" w:cs="宋体" w:eastAsia="宋体" w:hint="default"/>
                <w:spacing w:val="-22"/>
                <w:sz w:val="18"/>
                <w:szCs w:val="18"/>
              </w:rPr>
              <w:t>，</w:t>
            </w:r>
            <w:r>
              <w:rPr>
                <w:rFonts w:ascii="宋体" w:hAnsi="宋体" w:cs="宋体" w:eastAsia="宋体" w:hint="default"/>
                <w:sz w:val="18"/>
                <w:szCs w:val="18"/>
              </w:rPr>
              <w:t>公司可以进行中期利润分配</w:t>
            </w:r>
            <w:r>
              <w:rPr>
                <w:rFonts w:ascii="宋体" w:hAnsi="宋体" w:cs="宋体" w:eastAsia="宋体" w:hint="default"/>
                <w:spacing w:val="-113"/>
                <w:sz w:val="18"/>
                <w:szCs w:val="18"/>
              </w:rPr>
              <w:t>。</w:t>
            </w:r>
            <w:r>
              <w:rPr>
                <w:rFonts w:ascii="宋体" w:hAnsi="宋体" w:cs="宋体" w:eastAsia="宋体" w:hint="default"/>
                <w:sz w:val="18"/>
                <w:szCs w:val="18"/>
              </w:rPr>
              <w:t>（二</w:t>
            </w:r>
            <w:r>
              <w:rPr>
                <w:rFonts w:ascii="宋体" w:hAnsi="宋体" w:cs="宋体" w:eastAsia="宋体" w:hint="default"/>
                <w:spacing w:val="-22"/>
                <w:sz w:val="18"/>
                <w:szCs w:val="18"/>
              </w:rPr>
              <w:t>）</w:t>
            </w:r>
            <w:r>
              <w:rPr>
                <w:rFonts w:ascii="宋体" w:hAnsi="宋体" w:cs="宋体" w:eastAsia="宋体" w:hint="default"/>
                <w:sz w:val="18"/>
                <w:szCs w:val="18"/>
              </w:rPr>
              <w:t>现金分红</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的具体条件和比例：除特殊情况外，公司在当年盈利且累计未分配利润为正的</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情况下，原则上每年进行一次现金分红，以现金方式分配的利润应不低于当年</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实现的可分配利润的 </w:t>
            </w:r>
            <w:r>
              <w:rPr>
                <w:rFonts w:ascii="Times New Roman" w:hAnsi="Times New Roman" w:cs="Times New Roman" w:eastAsia="Times New Roman" w:hint="default"/>
                <w:sz w:val="18"/>
                <w:szCs w:val="18"/>
              </w:rPr>
              <w:t>20%</w:t>
            </w:r>
            <w:r>
              <w:rPr>
                <w:rFonts w:ascii="宋体" w:hAnsi="宋体" w:cs="宋体" w:eastAsia="宋体" w:hint="default"/>
                <w:sz w:val="18"/>
                <w:szCs w:val="18"/>
              </w:rPr>
              <w:t>。特殊情况是指：</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、审计机构对公司该年度财务报</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告未出具标准无保留意见的审计报告；</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、公司未来十二个月内拟对外投资、</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1244"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316" w:lineRule="auto" w:before="141"/>
              <w:ind w:left="103" w:right="101"/>
              <w:jc w:val="left"/>
              <w:rPr>
                <w:rFonts w:ascii="宋体" w:hAnsi="宋体" w:cs="宋体" w:eastAsia="宋体" w:hint="default"/>
                <w:sz w:val="18"/>
                <w:szCs w:val="18"/>
              </w:rPr>
            </w:pPr>
            <w:r>
              <w:rPr>
                <w:rFonts w:ascii="宋体" w:hAnsi="宋体" w:cs="宋体" w:eastAsia="宋体" w:hint="default"/>
                <w:sz w:val="18"/>
                <w:szCs w:val="18"/>
              </w:rPr>
              <w:t>分红承 </w:t>
            </w:r>
            <w:r>
              <w:rPr>
                <w:rFonts w:ascii="宋体" w:hAnsi="宋体" w:cs="宋体" w:eastAsia="宋体" w:hint="default"/>
                <w:spacing w:val="-15"/>
                <w:sz w:val="18"/>
                <w:szCs w:val="18"/>
              </w:rPr>
              <w:t>诺（再融</w:t>
            </w:r>
            <w:r>
              <w:rPr>
                <w:rFonts w:ascii="宋体" w:hAnsi="宋体" w:cs="宋体" w:eastAsia="宋体" w:hint="default"/>
                <w:sz w:val="18"/>
                <w:szCs w:val="18"/>
              </w:rPr>
              <w:t> 资）</w:t>
            </w: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103" w:right="12"/>
              <w:jc w:val="left"/>
              <w:rPr>
                <w:rFonts w:ascii="宋体" w:hAnsi="宋体" w:cs="宋体" w:eastAsia="宋体" w:hint="default"/>
                <w:sz w:val="18"/>
                <w:szCs w:val="18"/>
              </w:rPr>
            </w:pPr>
            <w:r>
              <w:rPr>
                <w:rFonts w:ascii="宋体" w:hAnsi="宋体" w:cs="宋体" w:eastAsia="宋体" w:hint="default"/>
                <w:sz w:val="18"/>
                <w:szCs w:val="18"/>
              </w:rPr>
              <w:t>收购资产或者购买设备的累计支出达到或者超过公司最近一期经审计净资产的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、公司经营活动现金流量连续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年为负。</w:t>
            </w:r>
            <w:r>
              <w:rPr>
                <w:rFonts w:ascii="宋体" w:hAnsi="宋体" w:cs="宋体" w:eastAsia="宋体" w:hint="default"/>
                <w:spacing w:val="-57"/>
                <w:sz w:val="18"/>
                <w:szCs w:val="18"/>
              </w:rPr>
              <w:t> </w:t>
            </w:r>
            <w:r>
              <w:rPr>
                <w:rFonts w:ascii="宋体" w:hAnsi="宋体" w:cs="宋体" w:eastAsia="宋体" w:hint="default"/>
                <w:spacing w:val="-3"/>
                <w:sz w:val="18"/>
                <w:szCs w:val="18"/>
              </w:rPr>
              <w:t>（三）发放股票股利的条件：</w:t>
            </w:r>
            <w:r>
              <w:rPr>
                <w:rFonts w:ascii="宋体" w:hAnsi="宋体" w:cs="宋体" w:eastAsia="宋体" w:hint="default"/>
                <w:sz w:val="18"/>
                <w:szCs w:val="18"/>
              </w:rPr>
              <w:t> 公司在满足上述现金分红的条件和确保足额现金股利分配的前提下，可以根据 公司股本规模等实际情况，采用发放股票股利的方式进行利润分配。</w:t>
            </w:r>
            <w:r>
              <w:rPr>
                <w:rFonts w:ascii="宋体" w:hAnsi="宋体" w:cs="宋体" w:eastAsia="宋体" w:hint="default"/>
                <w:spacing w:val="-67"/>
                <w:sz w:val="18"/>
                <w:szCs w:val="18"/>
              </w:rPr>
              <w:t> </w:t>
            </w:r>
            <w:r>
              <w:rPr>
                <w:rFonts w:ascii="宋体" w:hAnsi="宋体" w:cs="宋体" w:eastAsia="宋体" w:hint="default"/>
                <w:spacing w:val="-6"/>
                <w:sz w:val="18"/>
                <w:szCs w:val="18"/>
              </w:rPr>
              <w:t>（四）公</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司董事会应当综合考虑所处行业特点、发展阶段、自身经营模式、盈利水平以</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及是否有重大资金支出安排等因素，区分下列情形，并按照公司章程规定的程</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序，提出差异化的现金分红政策：</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、公司发展阶段属成熟期且无重大资金支</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出安排的，进行利润分配时，现金分红在本次利润分配中所占比例最低应达到</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、公司发展阶段属成熟期且有重大资金支出安排的，进行利润分配时，</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3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现金分红在本次利润分配中所占比例最低应达到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、公司发展阶段属成</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6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长期且有重大资金支出安排的，进行利润分配时，现金分红在本次利润分配中</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566" w:footer="978" w:top="1440" w:bottom="1160" w:left="20" w:right="0"/>
        </w:sectPr>
      </w:pPr>
    </w:p>
    <w:p>
      <w:pPr>
        <w:spacing w:line="240" w:lineRule="auto" w:before="4"/>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344"/>
        <w:gridCol w:w="936"/>
        <w:gridCol w:w="876"/>
        <w:gridCol w:w="6336"/>
        <w:gridCol w:w="792"/>
        <w:gridCol w:w="816"/>
        <w:gridCol w:w="588"/>
      </w:tblGrid>
      <w:tr>
        <w:trPr>
          <w:trHeight w:val="67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63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2"/>
              <w:jc w:val="left"/>
              <w:rPr>
                <w:rFonts w:ascii="宋体" w:hAnsi="宋体" w:cs="宋体" w:eastAsia="宋体" w:hint="default"/>
                <w:sz w:val="18"/>
                <w:szCs w:val="18"/>
              </w:rPr>
            </w:pPr>
            <w:r>
              <w:rPr>
                <w:rFonts w:ascii="宋体" w:hAnsi="宋体" w:cs="宋体" w:eastAsia="宋体" w:hint="default"/>
                <w:sz w:val="18"/>
                <w:szCs w:val="18"/>
              </w:rPr>
              <w:t>所占比例最低应达到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公司发展阶段不易区分但有重大资金支出安排的，</w:t>
            </w:r>
            <w:r>
              <w:rPr>
                <w:rFonts w:ascii="宋体" w:hAnsi="宋体" w:cs="宋体" w:eastAsia="宋体" w:hint="default"/>
                <w:sz w:val="18"/>
                <w:szCs w:val="18"/>
              </w:rPr>
              <w:t> 可以按照前项规定处理。</w:t>
            </w:r>
          </w:p>
        </w:tc>
        <w:tc>
          <w:tcPr>
            <w:tcW w:w="792"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3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633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分红承 诺</w:t>
            </w:r>
          </w:p>
        </w:tc>
        <w:tc>
          <w:tcPr>
            <w:tcW w:w="6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3" w:right="101"/>
              <w:jc w:val="left"/>
              <w:rPr>
                <w:rFonts w:ascii="宋体" w:hAnsi="宋体" w:cs="宋体" w:eastAsia="宋体" w:hint="default"/>
                <w:sz w:val="18"/>
                <w:szCs w:val="18"/>
              </w:rPr>
            </w:pPr>
            <w:r>
              <w:rPr>
                <w:rFonts w:ascii="宋体" w:hAnsi="宋体" w:cs="宋体" w:eastAsia="宋体" w:hint="default"/>
                <w:spacing w:val="-3"/>
                <w:sz w:val="18"/>
                <w:szCs w:val="18"/>
              </w:rPr>
              <w:t>公司未来三年（</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年）的股东回报规划，具体内容同《公司未来三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年）的股东回报规划</w:t>
            </w:r>
            <w:r>
              <w:rPr>
                <w:rFonts w:ascii="宋体" w:hAnsi="宋体" w:cs="宋体" w:eastAsia="宋体" w:hint="default"/>
                <w:spacing w:val="-3"/>
                <w:sz w:val="18"/>
                <w:szCs w:val="18"/>
              </w:rPr>
              <w:t> </w:t>
            </w:r>
            <w:r>
              <w:rPr>
                <w:rFonts w:ascii="宋体" w:hAnsi="宋体" w:cs="宋体" w:eastAsia="宋体" w:hint="default"/>
                <w:spacing w:val="-46"/>
                <w:sz w:val="18"/>
                <w:szCs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3" w:right="149"/>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如承诺超期未 履行完毕的， 应当详细说明 未完成履行的 具体原因及下 一步的工作计 划</w:t>
            </w:r>
          </w:p>
        </w:tc>
        <w:tc>
          <w:tcPr>
            <w:tcW w:w="1034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4"/>
        <w:rPr>
          <w:rFonts w:ascii="宋体" w:hAnsi="宋体" w:cs="宋体" w:eastAsia="宋体" w:hint="default"/>
          <w:sz w:val="19"/>
          <w:szCs w:val="19"/>
        </w:rPr>
      </w:pPr>
    </w:p>
    <w:p>
      <w:pPr>
        <w:pStyle w:val="Heading3"/>
        <w:spacing w:line="259" w:lineRule="auto" w:before="34"/>
        <w:ind w:left="1112" w:right="67"/>
        <w:jc w:val="left"/>
        <w:rPr>
          <w:b w:val="0"/>
          <w:bCs w:val="0"/>
        </w:rPr>
      </w:pP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1112" w:right="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76"/>
        <w:gridCol w:w="876"/>
        <w:gridCol w:w="948"/>
        <w:gridCol w:w="1272"/>
        <w:gridCol w:w="1332"/>
        <w:gridCol w:w="1524"/>
        <w:gridCol w:w="912"/>
        <w:gridCol w:w="3012"/>
      </w:tblGrid>
      <w:tr>
        <w:trPr>
          <w:trHeight w:val="714"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3" w:right="42"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3" w:right="71"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9" w:right="107"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未达预测的原因</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90" w:hanging="92"/>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0"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360" w:hRule="exact"/>
        </w:trPr>
        <w:tc>
          <w:tcPr>
            <w:tcW w:w="117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c>
          <w:tcPr>
            <w:tcW w:w="1524" w:type="dxa"/>
            <w:tcBorders>
              <w:top w:val="single" w:sz="4" w:space="0" w:color="000000"/>
              <w:left w:val="single" w:sz="4" w:space="0" w:color="000000"/>
              <w:bottom w:val="nil" w:sz="6" w:space="0" w:color="auto"/>
              <w:right w:val="single" w:sz="4" w:space="0" w:color="000000"/>
            </w:tcBorders>
          </w:tcPr>
          <w:p>
            <w:pPr/>
          </w:p>
        </w:tc>
        <w:tc>
          <w:tcPr>
            <w:tcW w:w="912" w:type="dxa"/>
            <w:tcBorders>
              <w:top w:val="single" w:sz="4" w:space="0" w:color="000000"/>
              <w:left w:val="single" w:sz="4" w:space="0" w:color="000000"/>
              <w:bottom w:val="nil" w:sz="6" w:space="0" w:color="auto"/>
              <w:right w:val="single" w:sz="4" w:space="0" w:color="000000"/>
            </w:tcBorders>
          </w:tcPr>
          <w:p>
            <w:pPr/>
          </w:p>
        </w:tc>
        <w:tc>
          <w:tcPr>
            <w:tcW w:w="3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3">
              <w:r>
                <w:rPr>
                  <w:rFonts w:ascii="Times New Roman"/>
                  <w:sz w:val="18"/>
                </w:rPr>
                <w:t>http://www.cninfo.com.cn/cninfo-new/di</w:t>
              </w:r>
            </w:hyperlink>
          </w:p>
        </w:tc>
      </w:tr>
      <w:tr>
        <w:trPr>
          <w:trHeight w:val="629" w:hRule="exact"/>
        </w:trPr>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上海米健</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3,050.00</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2,824.45</w:t>
            </w:r>
          </w:p>
        </w:tc>
        <w:tc>
          <w:tcPr>
            <w:tcW w:w="152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12"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2" w:right="77"/>
              <w:jc w:val="left"/>
              <w:rPr>
                <w:rFonts w:ascii="Times New Roman" w:hAnsi="Times New Roman" w:cs="Times New Roman" w:eastAsia="Times New Roman" w:hint="default"/>
                <w:sz w:val="18"/>
                <w:szCs w:val="18"/>
              </w:rPr>
            </w:pPr>
            <w:r>
              <w:rPr>
                <w:rFonts w:ascii="Times New Roman"/>
                <w:sz w:val="18"/>
              </w:rPr>
              <w:t>sclosure/szse_gem/bulletin_detail/true/1 201636355?announceTime=2015-09-24</w:t>
            </w:r>
          </w:p>
        </w:tc>
      </w:tr>
      <w:tr>
        <w:trPr>
          <w:trHeight w:val="349" w:hRule="exact"/>
        </w:trPr>
        <w:tc>
          <w:tcPr>
            <w:tcW w:w="117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c>
          <w:tcPr>
            <w:tcW w:w="1524" w:type="dxa"/>
            <w:tcBorders>
              <w:top w:val="nil" w:sz="6" w:space="0" w:color="auto"/>
              <w:left w:val="single" w:sz="4" w:space="0" w:color="000000"/>
              <w:bottom w:val="single" w:sz="4" w:space="0" w:color="000000"/>
              <w:right w:val="single" w:sz="4" w:space="0" w:color="000000"/>
            </w:tcBorders>
          </w:tcPr>
          <w:p>
            <w:pPr/>
          </w:p>
        </w:tc>
        <w:tc>
          <w:tcPr>
            <w:tcW w:w="912" w:type="dxa"/>
            <w:tcBorders>
              <w:top w:val="nil" w:sz="6" w:space="0" w:color="auto"/>
              <w:left w:val="single" w:sz="4" w:space="0" w:color="000000"/>
              <w:bottom w:val="single" w:sz="4" w:space="0" w:color="000000"/>
              <w:right w:val="single" w:sz="4" w:space="0" w:color="000000"/>
            </w:tcBorders>
          </w:tcPr>
          <w:p>
            <w:pPr/>
          </w:p>
        </w:tc>
        <w:tc>
          <w:tcPr>
            <w:tcW w:w="3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%2019:30</w:t>
            </w:r>
          </w:p>
        </w:tc>
      </w:tr>
      <w:tr>
        <w:trPr>
          <w:trHeight w:val="361" w:hRule="exact"/>
        </w:trPr>
        <w:tc>
          <w:tcPr>
            <w:tcW w:w="117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c>
          <w:tcPr>
            <w:tcW w:w="1524" w:type="dxa"/>
            <w:tcBorders>
              <w:top w:val="single" w:sz="4" w:space="0" w:color="000000"/>
              <w:left w:val="single" w:sz="4" w:space="0" w:color="000000"/>
              <w:bottom w:val="nil" w:sz="6" w:space="0" w:color="auto"/>
              <w:right w:val="single" w:sz="4" w:space="0" w:color="000000"/>
            </w:tcBorders>
          </w:tcPr>
          <w:p>
            <w:pPr/>
          </w:p>
        </w:tc>
        <w:tc>
          <w:tcPr>
            <w:tcW w:w="912" w:type="dxa"/>
            <w:tcBorders>
              <w:top w:val="single" w:sz="4" w:space="0" w:color="000000"/>
              <w:left w:val="single" w:sz="4" w:space="0" w:color="000000"/>
              <w:bottom w:val="nil" w:sz="6" w:space="0" w:color="auto"/>
              <w:right w:val="single" w:sz="4" w:space="0" w:color="000000"/>
            </w:tcBorders>
          </w:tcPr>
          <w:p>
            <w:pPr/>
          </w:p>
        </w:tc>
        <w:tc>
          <w:tcPr>
            <w:tcW w:w="3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23">
              <w:r>
                <w:rPr>
                  <w:rFonts w:ascii="Times New Roman"/>
                  <w:sz w:val="18"/>
                </w:rPr>
                <w:t>http://www.cninfo.com.cn/cninfo-new/di</w:t>
              </w:r>
            </w:hyperlink>
          </w:p>
        </w:tc>
      </w:tr>
      <w:tr>
        <w:trPr>
          <w:trHeight w:val="629" w:hRule="exact"/>
        </w:trPr>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上海米健</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3,070.00</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2,819.54</w:t>
            </w:r>
          </w:p>
        </w:tc>
        <w:tc>
          <w:tcPr>
            <w:tcW w:w="152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12"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2" w:right="77"/>
              <w:jc w:val="left"/>
              <w:rPr>
                <w:rFonts w:ascii="Times New Roman" w:hAnsi="Times New Roman" w:cs="Times New Roman" w:eastAsia="Times New Roman" w:hint="default"/>
                <w:sz w:val="18"/>
                <w:szCs w:val="18"/>
              </w:rPr>
            </w:pPr>
            <w:r>
              <w:rPr>
                <w:rFonts w:ascii="Times New Roman"/>
                <w:sz w:val="18"/>
              </w:rPr>
              <w:t>sclosure/szse_gem/bulletin_detail/true/1 202866008?announceTime=2016-12-08</w:t>
            </w:r>
          </w:p>
        </w:tc>
      </w:tr>
      <w:tr>
        <w:trPr>
          <w:trHeight w:val="348" w:hRule="exact"/>
        </w:trPr>
        <w:tc>
          <w:tcPr>
            <w:tcW w:w="117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c>
          <w:tcPr>
            <w:tcW w:w="1524" w:type="dxa"/>
            <w:tcBorders>
              <w:top w:val="nil" w:sz="6" w:space="0" w:color="auto"/>
              <w:left w:val="single" w:sz="4" w:space="0" w:color="000000"/>
              <w:bottom w:val="single" w:sz="4" w:space="0" w:color="000000"/>
              <w:right w:val="single" w:sz="4" w:space="0" w:color="000000"/>
            </w:tcBorders>
          </w:tcPr>
          <w:p>
            <w:pPr/>
          </w:p>
        </w:tc>
        <w:tc>
          <w:tcPr>
            <w:tcW w:w="912" w:type="dxa"/>
            <w:tcBorders>
              <w:top w:val="nil" w:sz="6" w:space="0" w:color="auto"/>
              <w:left w:val="single" w:sz="4" w:space="0" w:color="000000"/>
              <w:bottom w:val="single" w:sz="4" w:space="0" w:color="000000"/>
              <w:right w:val="single" w:sz="4" w:space="0" w:color="000000"/>
            </w:tcBorders>
          </w:tcPr>
          <w:p>
            <w:pPr/>
          </w:p>
        </w:tc>
        <w:tc>
          <w:tcPr>
            <w:tcW w:w="3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19:26</w:t>
            </w:r>
          </w:p>
        </w:tc>
      </w:tr>
    </w:tbl>
    <w:p>
      <w:pPr>
        <w:pStyle w:val="BodyText"/>
        <w:spacing w:line="240" w:lineRule="auto" w:before="49"/>
        <w:ind w:left="1112" w:right="67"/>
        <w:jc w:val="left"/>
      </w:pPr>
      <w:r>
        <w:rPr/>
        <w:t>公司股东、交易对手方对公司或相关资产年度经营业绩作出的承诺情况</w:t>
      </w:r>
    </w:p>
    <w:p>
      <w:pPr>
        <w:pStyle w:val="BodyText"/>
        <w:spacing w:line="240" w:lineRule="auto" w:before="117"/>
        <w:ind w:left="1112" w:right="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left="1112" w:right="1129" w:firstLine="360"/>
        <w:jc w:val="both"/>
      </w:pP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3"/>
        </w:rPr>
        <w:t>月，公司收购上海米健</w:t>
      </w:r>
      <w:r>
        <w:rPr>
          <w:spacing w:val="-42"/>
        </w:rPr>
        <w:t> </w:t>
      </w:r>
      <w:r>
        <w:rPr>
          <w:rFonts w:ascii="Times New Roman" w:hAnsi="Times New Roman" w:cs="Times New Roman" w:eastAsia="Times New Roman" w:hint="default"/>
          <w:spacing w:val="-5"/>
        </w:rPr>
        <w:t>51%</w:t>
      </w:r>
      <w:r>
        <w:rPr>
          <w:spacing w:val="-5"/>
        </w:rPr>
        <w:t>股权，张继武、雷新刚、赵达承诺上海米健</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5"/>
        </w:rPr>
        <w:t>年、</w:t>
      </w:r>
      <w:r>
        <w:rPr>
          <w:rFonts w:ascii="Times New Roman" w:hAnsi="Times New Roman" w:cs="Times New Roman" w:eastAsia="Times New Roman" w:hint="default"/>
          <w:spacing w:val="-5"/>
        </w:rPr>
        <w:t>2016</w:t>
      </w:r>
      <w:r>
        <w:rPr>
          <w:rFonts w:ascii="Times New Roman" w:hAnsi="Times New Roman" w:cs="Times New Roman" w:eastAsia="Times New Roman" w:hint="default"/>
        </w:rPr>
        <w:t> </w:t>
      </w:r>
      <w:r>
        <w:rPr>
          <w:spacing w:val="-5"/>
        </w:rPr>
        <w:t>年、</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
        </w:rPr>
        <w:t> </w:t>
      </w:r>
      <w:r>
        <w:rPr>
          <w:spacing w:val="-5"/>
        </w:rPr>
        <w:t>年税后（扣</w:t>
      </w:r>
      <w:r>
        <w:rPr/>
        <w:t> 除非经营性损益后）的净利润不低于 </w:t>
      </w:r>
      <w:r>
        <w:rPr>
          <w:rFonts w:ascii="Times New Roman" w:hAnsi="Times New Roman" w:cs="Times New Roman" w:eastAsia="Times New Roman" w:hint="default"/>
        </w:rPr>
        <w:t>950 </w:t>
      </w:r>
      <w:r>
        <w:rPr>
          <w:spacing w:val="-3"/>
        </w:rPr>
        <w:t>万元、</w:t>
      </w:r>
      <w:r>
        <w:rPr>
          <w:rFonts w:ascii="Times New Roman" w:hAnsi="Times New Roman" w:cs="Times New Roman" w:eastAsia="Times New Roman" w:hint="default"/>
          <w:spacing w:val="-3"/>
        </w:rPr>
        <w:t>2,000 </w:t>
      </w:r>
      <w:r>
        <w:rPr>
          <w:spacing w:val="-3"/>
        </w:rPr>
        <w:t>万元、</w:t>
      </w:r>
      <w:r>
        <w:rPr>
          <w:rFonts w:ascii="Times New Roman" w:hAnsi="Times New Roman" w:cs="Times New Roman" w:eastAsia="Times New Roman" w:hint="default"/>
          <w:spacing w:val="-3"/>
        </w:rPr>
        <w:t>3,050 </w:t>
      </w:r>
      <w:r>
        <w:rPr>
          <w:spacing w:val="-5"/>
        </w:rPr>
        <w:t>万元；在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年末存在未达到前述保证的三年税后净利 润总额的情况，则须以上海米健相关年度经审计的实际净利润总额为基础，由承诺方在相关年度审计报告出具之日起</w:t>
      </w:r>
      <w:r>
        <w:rPr>
          <w:spacing w:val="-42"/>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天 内按照相关公式以现金形式给予本公司及时、充分、有效地补偿。</w:t>
      </w:r>
    </w:p>
    <w:p>
      <w:pPr>
        <w:pStyle w:val="BodyText"/>
        <w:spacing w:line="304" w:lineRule="auto" w:before="70"/>
        <w:ind w:left="1112" w:right="1126" w:firstLine="360"/>
        <w:jc w:val="both"/>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月，公司收购上海米健剩余</w:t>
      </w:r>
      <w:r>
        <w:rPr>
          <w:spacing w:val="-4"/>
        </w:rPr>
        <w:t> </w:t>
      </w:r>
      <w:r>
        <w:rPr>
          <w:rFonts w:ascii="Times New Roman" w:hAnsi="Times New Roman" w:cs="Times New Roman" w:eastAsia="Times New Roman" w:hint="default"/>
          <w:spacing w:val="-3"/>
        </w:rPr>
        <w:t>49%</w:t>
      </w:r>
      <w:r>
        <w:rPr>
          <w:spacing w:val="-3"/>
        </w:rPr>
        <w:t>股权，张继武、雷新刚、赵达承诺上海米健</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spacing w:val="-3"/>
        </w:rPr>
        <w:t>年度、</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
        </w:rPr>
        <w:t> </w:t>
      </w:r>
      <w:r>
        <w:rPr>
          <w:spacing w:val="-4"/>
        </w:rPr>
        <w:t>年度、</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t>年度经审计的净利润分别不低于</w:t>
      </w:r>
      <w:r>
        <w:rPr>
          <w:spacing w:val="-51"/>
        </w:rPr>
        <w:t> </w:t>
      </w:r>
      <w:r>
        <w:rPr>
          <w:rFonts w:ascii="Times New Roman" w:hAnsi="Times New Roman" w:cs="Times New Roman" w:eastAsia="Times New Roman" w:hint="default"/>
        </w:rPr>
        <w:t>2,327.17</w:t>
      </w:r>
      <w:r>
        <w:rPr>
          <w:rFonts w:ascii="Times New Roman" w:hAnsi="Times New Roman" w:cs="Times New Roman" w:eastAsia="Times New Roman" w:hint="default"/>
          <w:spacing w:val="-7"/>
        </w:rPr>
        <w:t> </w:t>
      </w:r>
      <w:r>
        <w:rPr>
          <w:spacing w:val="-5"/>
        </w:rPr>
        <w:t>万元、</w:t>
      </w:r>
      <w:r>
        <w:rPr>
          <w:rFonts w:ascii="Times New Roman" w:hAnsi="Times New Roman" w:cs="Times New Roman" w:eastAsia="Times New Roman" w:hint="default"/>
          <w:spacing w:val="-5"/>
        </w:rPr>
        <w:t>3,070.00</w:t>
      </w:r>
      <w:r>
        <w:rPr>
          <w:rFonts w:ascii="Times New Roman" w:hAnsi="Times New Roman" w:cs="Times New Roman" w:eastAsia="Times New Roman" w:hint="default"/>
          <w:spacing w:val="-6"/>
        </w:rPr>
        <w:t> </w:t>
      </w:r>
      <w:r>
        <w:rPr/>
        <w:t>万元和</w:t>
      </w:r>
      <w:r>
        <w:rPr>
          <w:spacing w:val="-14"/>
        </w:rPr>
        <w:t> </w:t>
      </w:r>
      <w:r>
        <w:rPr>
          <w:rFonts w:ascii="Times New Roman" w:hAnsi="Times New Roman" w:cs="Times New Roman" w:eastAsia="Times New Roman" w:hint="default"/>
        </w:rPr>
        <w:t>4,056.39</w:t>
      </w:r>
      <w:r>
        <w:rPr>
          <w:rFonts w:ascii="Times New Roman" w:hAnsi="Times New Roman" w:cs="Times New Roman" w:eastAsia="Times New Roman" w:hint="default"/>
          <w:spacing w:val="-7"/>
        </w:rPr>
        <w:t> </w:t>
      </w:r>
      <w:r>
        <w:rPr/>
        <w:t>万元，上述净利润以归属于母公司所有者的净利润 </w:t>
      </w:r>
      <w:r>
        <w:rPr>
          <w:spacing w:val="-2"/>
        </w:rPr>
        <w:t>扣除非经常性损益前后孰低为原则确定；上海米健未达到前述保证的三年税后净利润总额的情况，则须以上海米健相关年度</w:t>
      </w:r>
      <w:r>
        <w:rPr>
          <w:spacing w:val="-64"/>
        </w:rPr>
        <w:t> </w:t>
      </w:r>
      <w:r>
        <w:rPr>
          <w:spacing w:val="-64"/>
        </w:rPr>
      </w:r>
      <w:r>
        <w:rPr>
          <w:spacing w:val="-3"/>
        </w:rPr>
        <w:t>经审计的实际净利润总额为基础，由承诺方在相关年度审计报告出具之日起</w:t>
      </w:r>
      <w:r>
        <w:rPr/>
        <w:t> </w:t>
      </w: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t>天内按照相关公式以现金形式给予本公司及 时、充分、有效地补偿。</w:t>
      </w:r>
    </w:p>
    <w:p>
      <w:pPr>
        <w:spacing w:after="0" w:line="304" w:lineRule="auto"/>
        <w:jc w:val="both"/>
        <w:sectPr>
          <w:pgSz w:w="11910" w:h="16840"/>
          <w:pgMar w:header="566" w:footer="978" w:top="1360" w:bottom="1160" w:left="20" w:right="0"/>
        </w:sectPr>
      </w:pPr>
    </w:p>
    <w:p>
      <w:pPr>
        <w:spacing w:line="240" w:lineRule="auto" w:before="8"/>
        <w:rPr>
          <w:rFonts w:ascii="宋体" w:hAnsi="宋体" w:cs="宋体" w:eastAsia="宋体" w:hint="default"/>
          <w:sz w:val="23"/>
          <w:szCs w:val="23"/>
        </w:rPr>
      </w:pPr>
      <w:r>
        <w:rPr/>
        <w:pict>
          <v:group style="position:absolute;margin-left:56.34pt;margin-top:28.320024pt;width:482.65pt;height:40.2pt;mso-position-horizontal-relative:page;mso-position-vertical-relative:page;z-index:-821992"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Heading2"/>
        <w:spacing w:line="240" w:lineRule="auto" w:before="26"/>
        <w:ind w:right="94"/>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94"/>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6754"/>
        <w:jc w:val="left"/>
      </w:pPr>
      <w:r>
        <w:rPr>
          <w:rFonts w:ascii="Times New Roman" w:hAnsi="Times New Roman" w:cs="Times New Roman" w:eastAsia="Times New Roman" w:hint="default"/>
        </w:rPr>
        <w:t>1.  </w:t>
      </w:r>
      <w:r>
        <w:rPr/>
        <w:t>重要会计政策变更</w:t>
      </w:r>
    </w:p>
    <w:p>
      <w:pPr>
        <w:pStyle w:val="BodyText"/>
        <w:spacing w:line="240" w:lineRule="auto" w:before="103"/>
        <w:ind w:left="472" w:right="94"/>
        <w:jc w:val="lef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日财政部印发</w:t>
      </w:r>
      <w:r>
        <w:rPr>
          <w:spacing w:val="-87"/>
        </w:rPr>
        <w:t>了</w:t>
      </w:r>
      <w:r>
        <w:rPr>
          <w:spacing w:val="-3"/>
        </w:rPr>
        <w:t>《</w:t>
      </w:r>
      <w:r>
        <w:rPr/>
        <w:t>企业会计准则第</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持有待售的非流动资产</w:t>
      </w:r>
      <w:r>
        <w:rPr>
          <w:spacing w:val="-87"/>
        </w:rPr>
        <w:t>、</w:t>
      </w:r>
      <w:r>
        <w:rPr/>
        <w:t>处置组和终止经营</w:t>
      </w:r>
      <w:r>
        <w:rPr>
          <w:spacing w:val="-89"/>
        </w:rPr>
        <w:t>》，</w:t>
      </w:r>
      <w:r>
        <w:rPr/>
        <w:t>该准则自</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p>
    <w:p>
      <w:pPr>
        <w:pStyle w:val="BodyText"/>
        <w:spacing w:line="240" w:lineRule="auto" w:before="63"/>
        <w:ind w:right="94"/>
        <w:jc w:val="left"/>
      </w:pP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日起施行。对于该准则施行日存在的持有待售的非流动资产、处置组和终止经营，采用未来适用法处理。</w:t>
      </w:r>
    </w:p>
    <w:p>
      <w:pPr>
        <w:pStyle w:val="BodyText"/>
        <w:spacing w:line="240" w:lineRule="auto" w:before="101"/>
        <w:ind w:left="472" w:right="0"/>
        <w:jc w:val="left"/>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w:t>
      </w:r>
      <w:r>
        <w:rPr>
          <w:spacing w:val="-10"/>
        </w:rPr>
        <w:t>，</w:t>
      </w:r>
      <w:r>
        <w:rPr/>
        <w:t>财政部发布</w:t>
      </w:r>
      <w:r>
        <w:rPr>
          <w:spacing w:val="-10"/>
        </w:rPr>
        <w:t>了</w:t>
      </w:r>
      <w:r>
        <w:rPr/>
        <w:t>《企业会计准则第</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政府补助</w:t>
      </w:r>
      <w:r>
        <w:rPr>
          <w:spacing w:val="-99"/>
        </w:rPr>
        <w:t>》</w:t>
      </w:r>
      <w:r>
        <w:rPr/>
        <w:t>（修订</w:t>
      </w:r>
      <w:r>
        <w:rPr>
          <w:spacing w:val="-92"/>
        </w:rPr>
        <w:t>）</w:t>
      </w:r>
      <w:r>
        <w:rPr>
          <w:spacing w:val="-8"/>
        </w:rPr>
        <w:t>，</w:t>
      </w:r>
      <w:r>
        <w:rPr/>
        <w:t>该准则自</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日起施行。</w:t>
      </w:r>
    </w:p>
    <w:p>
      <w:pPr>
        <w:pStyle w:val="BodyText"/>
        <w:spacing w:line="300" w:lineRule="auto" w:before="63"/>
        <w:ind w:right="185"/>
        <w:jc w:val="left"/>
      </w:pPr>
      <w:r>
        <w:rPr/>
        <w:t>本公司对</w:t>
      </w:r>
      <w:r>
        <w:rPr>
          <w:spacing w:val="-44"/>
        </w:rPr>
        <w:t> </w:t>
      </w:r>
      <w:r>
        <w:rPr>
          <w:rFonts w:ascii="Times New Roman" w:hAnsi="Times New Roman" w:cs="Times New Roman" w:eastAsia="Times New Roman" w:hint="default"/>
        </w:rPr>
        <w:t>2017 </w:t>
      </w:r>
      <w:r>
        <w:rPr/>
        <w:t>年</w:t>
      </w:r>
      <w:r>
        <w:rPr>
          <w:spacing w:val="-44"/>
        </w:rPr>
        <w:t> </w:t>
      </w:r>
      <w:r>
        <w:rPr>
          <w:rFonts w:ascii="Times New Roman" w:hAnsi="Times New Roman" w:cs="Times New Roman" w:eastAsia="Times New Roman" w:hint="default"/>
        </w:rPr>
        <w:t>1 </w:t>
      </w:r>
      <w:r>
        <w:rPr/>
        <w:t>月</w:t>
      </w:r>
      <w:r>
        <w:rPr>
          <w:spacing w:val="-44"/>
        </w:rPr>
        <w:t> </w:t>
      </w:r>
      <w:r>
        <w:rPr>
          <w:rFonts w:ascii="Times New Roman" w:hAnsi="Times New Roman" w:cs="Times New Roman" w:eastAsia="Times New Roman" w:hint="default"/>
        </w:rPr>
        <w:t>1 </w:t>
      </w:r>
      <w:r>
        <w:rPr>
          <w:spacing w:val="-5"/>
        </w:rPr>
        <w:t>日存在的政府补助采用未来适用法处理，对</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1 </w:t>
      </w:r>
      <w:r>
        <w:rPr/>
        <w:t>月</w:t>
      </w:r>
      <w:r>
        <w:rPr>
          <w:spacing w:val="-44"/>
        </w:rPr>
        <w:t> </w:t>
      </w:r>
      <w:r>
        <w:rPr>
          <w:rFonts w:ascii="Times New Roman" w:hAnsi="Times New Roman" w:cs="Times New Roman" w:eastAsia="Times New Roman" w:hint="default"/>
        </w:rPr>
        <w:t>1 </w:t>
      </w:r>
      <w:r>
        <w:rPr/>
        <w:t>日至本准则施行日之间新增的政府补助根 据本准则进行调整。</w:t>
      </w:r>
    </w:p>
    <w:p>
      <w:pPr>
        <w:pStyle w:val="BodyText"/>
        <w:spacing w:line="300" w:lineRule="auto" w:before="72"/>
        <w:ind w:right="185" w:firstLine="360"/>
        <w:jc w:val="both"/>
      </w:pPr>
      <w:r>
        <w:rPr/>
        <w:t>财政部根据上述</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项会计准则的相关规定，对一般企业财务报表格式进行了修订，并于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日发布了《关 </w:t>
      </w:r>
      <w:r>
        <w:rPr>
          <w:spacing w:val="-6"/>
          <w:w w:val="99"/>
        </w:rPr>
        <w:t>于修订印发一般企业财务报表格式的通知》；资产负债表新增</w:t>
      </w:r>
      <w:r>
        <w:rPr>
          <w:rFonts w:ascii="Times New Roman" w:hAnsi="Times New Roman" w:cs="Times New Roman" w:eastAsia="Times New Roman" w:hint="default"/>
          <w:spacing w:val="-6"/>
          <w:w w:val="99"/>
        </w:rPr>
        <w:t>“</w:t>
      </w:r>
      <w:r>
        <w:rPr>
          <w:spacing w:val="-6"/>
          <w:w w:val="99"/>
        </w:rPr>
        <w:t>持有待售资产</w:t>
      </w:r>
      <w:r>
        <w:rPr>
          <w:rFonts w:ascii="Times New Roman" w:hAnsi="Times New Roman" w:cs="Times New Roman" w:eastAsia="Times New Roman" w:hint="default"/>
          <w:spacing w:val="-6"/>
          <w:w w:val="99"/>
        </w:rPr>
        <w:t>”</w:t>
      </w:r>
      <w:r>
        <w:rPr>
          <w:spacing w:val="-6"/>
          <w:w w:val="99"/>
        </w:rPr>
        <w:t>行项目、</w:t>
      </w:r>
      <w:r>
        <w:rPr>
          <w:rFonts w:ascii="Times New Roman" w:hAnsi="Times New Roman" w:cs="Times New Roman" w:eastAsia="Times New Roman" w:hint="default"/>
          <w:spacing w:val="-6"/>
          <w:w w:val="99"/>
        </w:rPr>
        <w:t>“</w:t>
      </w:r>
      <w:r>
        <w:rPr>
          <w:spacing w:val="-6"/>
          <w:w w:val="99"/>
        </w:rPr>
        <w:t>持有待售负债</w:t>
      </w:r>
      <w:r>
        <w:rPr>
          <w:rFonts w:ascii="Times New Roman" w:hAnsi="Times New Roman" w:cs="Times New Roman" w:eastAsia="Times New Roman" w:hint="default"/>
          <w:spacing w:val="-6"/>
          <w:w w:val="99"/>
        </w:rPr>
        <w:t>”</w:t>
      </w:r>
      <w:r>
        <w:rPr>
          <w:spacing w:val="-6"/>
          <w:w w:val="99"/>
        </w:rPr>
        <w:t>行项目，利润表新增</w:t>
      </w:r>
      <w:r>
        <w:rPr>
          <w:rFonts w:ascii="Times New Roman" w:hAnsi="Times New Roman" w:cs="Times New Roman" w:eastAsia="Times New Roman" w:hint="default"/>
          <w:spacing w:val="-6"/>
          <w:w w:val="99"/>
        </w:rPr>
        <w:t>“</w:t>
      </w:r>
      <w:r>
        <w:rPr>
          <w:spacing w:val="-6"/>
          <w:w w:val="99"/>
        </w:rPr>
        <w:t>资</w:t>
      </w:r>
      <w:r>
        <w:rPr>
          <w:spacing w:val="-41"/>
          <w:w w:val="99"/>
        </w:rPr>
        <w:t> </w:t>
      </w:r>
      <w:r>
        <w:rPr>
          <w:spacing w:val="-7"/>
          <w:w w:val="99"/>
        </w:rPr>
        <w:t>产处置收益</w:t>
      </w:r>
      <w:r>
        <w:rPr>
          <w:rFonts w:ascii="Times New Roman" w:hAnsi="Times New Roman" w:cs="Times New Roman" w:eastAsia="Times New Roman" w:hint="default"/>
          <w:spacing w:val="-7"/>
          <w:w w:val="99"/>
        </w:rPr>
        <w:t>”</w:t>
      </w:r>
      <w:r>
        <w:rPr>
          <w:spacing w:val="-7"/>
          <w:w w:val="99"/>
        </w:rPr>
        <w:t>行项目、</w:t>
      </w:r>
      <w:r>
        <w:rPr>
          <w:rFonts w:ascii="Times New Roman" w:hAnsi="Times New Roman" w:cs="Times New Roman" w:eastAsia="Times New Roman" w:hint="default"/>
          <w:spacing w:val="-7"/>
          <w:w w:val="99"/>
        </w:rPr>
        <w:t>“</w:t>
      </w:r>
      <w:r>
        <w:rPr>
          <w:spacing w:val="-7"/>
          <w:w w:val="99"/>
        </w:rPr>
        <w:t>其他收益</w:t>
      </w:r>
      <w:r>
        <w:rPr>
          <w:rFonts w:ascii="Times New Roman" w:hAnsi="Times New Roman" w:cs="Times New Roman" w:eastAsia="Times New Roman" w:hint="default"/>
          <w:spacing w:val="-7"/>
          <w:w w:val="99"/>
        </w:rPr>
        <w:t>”</w:t>
      </w:r>
      <w:r>
        <w:rPr>
          <w:spacing w:val="-7"/>
          <w:w w:val="99"/>
        </w:rPr>
        <w:t>行项目、净利润项新增（</w:t>
      </w:r>
      <w:r>
        <w:rPr>
          <w:rFonts w:ascii="Times New Roman" w:hAnsi="Times New Roman" w:cs="Times New Roman" w:eastAsia="Times New Roman" w:hint="default"/>
          <w:spacing w:val="-7"/>
          <w:w w:val="99"/>
        </w:rPr>
        <w:t>“</w:t>
      </w:r>
      <w:r>
        <w:rPr>
          <w:rFonts w:ascii="Times New Roman" w:hAnsi="Times New Roman" w:cs="Times New Roman" w:eastAsia="Times New Roman" w:hint="default"/>
          <w:spacing w:val="9"/>
          <w:w w:val="99"/>
        </w:rPr>
        <w:t> </w:t>
      </w:r>
      <w:r>
        <w:rPr>
          <w:spacing w:val="-14"/>
          <w:w w:val="99"/>
        </w:rPr>
        <w:t>一）持续经营净利润</w:t>
      </w:r>
      <w:r>
        <w:rPr>
          <w:rFonts w:ascii="Times New Roman" w:hAnsi="Times New Roman" w:cs="Times New Roman" w:eastAsia="Times New Roman" w:hint="default"/>
          <w:spacing w:val="-14"/>
          <w:w w:val="99"/>
        </w:rPr>
        <w:t>”</w:t>
      </w:r>
      <w:r>
        <w:rPr>
          <w:spacing w:val="-14"/>
          <w:w w:val="99"/>
        </w:rPr>
        <w:t>和（</w:t>
      </w:r>
      <w:r>
        <w:rPr>
          <w:rFonts w:ascii="Times New Roman" w:hAnsi="Times New Roman" w:cs="Times New Roman" w:eastAsia="Times New Roman" w:hint="default"/>
          <w:spacing w:val="-14"/>
          <w:w w:val="99"/>
        </w:rPr>
        <w:t>“</w:t>
      </w:r>
      <w:r>
        <w:rPr>
          <w:rFonts w:ascii="Times New Roman" w:hAnsi="Times New Roman" w:cs="Times New Roman" w:eastAsia="Times New Roman" w:hint="default"/>
          <w:spacing w:val="5"/>
          <w:w w:val="99"/>
        </w:rPr>
        <w:t> </w:t>
      </w:r>
      <w:r>
        <w:rPr>
          <w:w w:val="99"/>
        </w:rPr>
        <w:t>二）终止经营净利润</w:t>
      </w:r>
      <w:r>
        <w:rPr>
          <w:rFonts w:ascii="Times New Roman" w:hAnsi="Times New Roman" w:cs="Times New Roman" w:eastAsia="Times New Roman" w:hint="default"/>
          <w:w w:val="99"/>
        </w:rPr>
        <w:t>”</w:t>
      </w:r>
      <w:r>
        <w:rPr>
          <w:w w:val="99"/>
        </w:rPr>
        <w:t>行项目。</w:t>
      </w:r>
      <w:r>
        <w:rPr>
          <w:rFonts w:ascii="Times New Roman" w:hAnsi="Times New Roman" w:cs="Times New Roman" w:eastAsia="Times New Roman" w:hint="default"/>
          <w:w w:val="99"/>
        </w:rPr>
        <w:t>2018</w:t>
      </w:r>
      <w:r>
        <w:rPr>
          <w:rFonts w:ascii="Times New Roman" w:hAnsi="Times New Roman" w:cs="Times New Roman" w:eastAsia="Times New Roman" w:hint="default"/>
          <w:spacing w:val="1"/>
          <w:w w:val="99"/>
        </w:rPr>
        <w:t> </w:t>
      </w:r>
      <w:r>
        <w:rPr/>
        <w:t>年</w:t>
      </w:r>
      <w:r>
        <w:rPr>
          <w:spacing w:val="-87"/>
        </w:rPr>
        <w:t>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spacing w:val="-3"/>
        </w:rPr>
        <w:t>日，财政部发布了《关于一般企业财务报表格式有关问题的解读》，根据解读的相关规定：</w:t>
      </w:r>
    </w:p>
    <w:p>
      <w:pPr>
        <w:pStyle w:val="BodyText"/>
        <w:spacing w:line="300" w:lineRule="auto" w:before="53"/>
        <w:ind w:right="186" w:firstLine="360"/>
        <w:jc w:val="left"/>
      </w:pPr>
      <w:r>
        <w:rPr/>
        <w:t>对于利润表新增的</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行项目，本公司按照《企业会计准则第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财务报表列报》等的相关规定，对 可比期间的比较数据按照《通知》进行调整。</w:t>
      </w:r>
    </w:p>
    <w:p>
      <w:pPr>
        <w:pStyle w:val="BodyText"/>
        <w:spacing w:line="240" w:lineRule="auto" w:before="70"/>
        <w:ind w:left="472" w:right="94"/>
        <w:jc w:val="left"/>
      </w:pPr>
      <w:r>
        <w:rPr/>
        <w:t>对于利润表新增的</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行项目，本公司按照《企业会计准则第</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政府补助》的相关规定，对</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40" w:lineRule="auto" w:before="63"/>
        <w:ind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日存在的政府补助采用未来适用法处理，无需对可比期间的比较数据进行调整。</w:t>
      </w:r>
    </w:p>
    <w:p>
      <w:pPr>
        <w:pStyle w:val="BodyText"/>
        <w:spacing w:line="240" w:lineRule="auto" w:before="103"/>
        <w:ind w:left="472" w:right="94"/>
        <w:jc w:val="left"/>
      </w:pPr>
      <w:r>
        <w:rPr/>
        <w:t>由于</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项目的追溯调整，对</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年的报表项目影响如下：</w:t>
      </w:r>
    </w:p>
    <w:p>
      <w:pPr>
        <w:spacing w:line="240" w:lineRule="auto" w:before="1"/>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2926"/>
        <w:gridCol w:w="3037"/>
        <w:gridCol w:w="2684"/>
      </w:tblGrid>
      <w:tr>
        <w:trPr>
          <w:trHeight w:val="427" w:hRule="exact"/>
        </w:trPr>
        <w:tc>
          <w:tcPr>
            <w:tcW w:w="2926"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7"/>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037"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b/>
                <w:bCs/>
                <w:sz w:val="18"/>
                <w:szCs w:val="18"/>
              </w:rPr>
              <w:t>变更前</w:t>
            </w:r>
            <w:r>
              <w:rPr>
                <w:rFonts w:ascii="宋体" w:hAnsi="宋体" w:cs="宋体" w:eastAsia="宋体" w:hint="default"/>
                <w:sz w:val="18"/>
                <w:szCs w:val="18"/>
              </w:rPr>
            </w:r>
          </w:p>
        </w:tc>
        <w:tc>
          <w:tcPr>
            <w:tcW w:w="2684"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b/>
                <w:bCs/>
                <w:sz w:val="18"/>
                <w:szCs w:val="18"/>
              </w:rPr>
              <w:t>变更后</w:t>
            </w:r>
            <w:r>
              <w:rPr>
                <w:rFonts w:ascii="宋体" w:hAnsi="宋体" w:cs="宋体" w:eastAsia="宋体" w:hint="default"/>
                <w:sz w:val="18"/>
                <w:szCs w:val="18"/>
              </w:rPr>
            </w:r>
          </w:p>
        </w:tc>
      </w:tr>
      <w:tr>
        <w:trPr>
          <w:trHeight w:val="427" w:hRule="exact"/>
        </w:trPr>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3037"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129,474.26</w:t>
            </w:r>
          </w:p>
        </w:tc>
      </w:tr>
      <w:tr>
        <w:trPr>
          <w:trHeight w:val="427" w:hRule="exact"/>
        </w:trPr>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6,772,323.98</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6,641,604.11</w:t>
            </w:r>
          </w:p>
        </w:tc>
      </w:tr>
      <w:tr>
        <w:trPr>
          <w:trHeight w:val="427" w:hRule="exact"/>
        </w:trPr>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785,953.30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784,707.69</w:t>
            </w:r>
          </w:p>
        </w:tc>
      </w:tr>
    </w:tbl>
    <w:p>
      <w:pPr>
        <w:pStyle w:val="BodyText"/>
        <w:spacing w:line="340" w:lineRule="auto" w:before="50"/>
        <w:ind w:left="472" w:right="5494" w:hanging="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重要会计估计变更 本报告期内，公司未发生重要会计估计变更事项。</w:t>
      </w:r>
    </w:p>
    <w:p>
      <w:pPr>
        <w:spacing w:line="240" w:lineRule="auto" w:before="4"/>
        <w:rPr>
          <w:rFonts w:ascii="宋体" w:hAnsi="宋体" w:cs="宋体" w:eastAsia="宋体" w:hint="default"/>
          <w:sz w:val="19"/>
          <w:szCs w:val="19"/>
        </w:rPr>
      </w:pPr>
    </w:p>
    <w:p>
      <w:pPr>
        <w:pStyle w:val="Heading2"/>
        <w:spacing w:line="240" w:lineRule="auto"/>
        <w:ind w:right="94"/>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472" w:right="9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10"/>
        </w:rPr>
        <w:t> </w:t>
      </w:r>
      <w:r>
        <w:rPr/>
        <w:t>日，根据公司第二届董事会第二十四次会议审议通过的《关于注销控股子公司沈阳荣科全濠科技有</w:t>
      </w:r>
    </w:p>
    <w:p>
      <w:pPr>
        <w:spacing w:after="0" w:line="240" w:lineRule="auto"/>
        <w:jc w:val="left"/>
        <w:sectPr>
          <w:headerReference w:type="default" r:id="rId24"/>
          <w:footerReference w:type="default" r:id="rId25"/>
          <w:pgSz w:w="11910" w:h="16840"/>
          <w:pgMar w:header="868" w:footer="978" w:top="1060" w:bottom="1160" w:left="1020" w:right="940"/>
          <w:pgNumType w:start="40"/>
        </w:sectPr>
      </w:pPr>
    </w:p>
    <w:p>
      <w:pPr>
        <w:spacing w:line="240" w:lineRule="auto" w:before="12"/>
        <w:rPr>
          <w:rFonts w:ascii="宋体" w:hAnsi="宋体" w:cs="宋体" w:eastAsia="宋体" w:hint="default"/>
          <w:sz w:val="25"/>
          <w:szCs w:val="25"/>
        </w:rPr>
      </w:pPr>
      <w:r>
        <w:rPr/>
        <w:pict>
          <v:group style="position:absolute;margin-left:56.34pt;margin-top:28.320024pt;width:482.65pt;height:40.2pt;mso-position-horizontal-relative:page;mso-position-vertical-relative:page;z-index:1648"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BodyText"/>
        <w:spacing w:line="240" w:lineRule="auto" w:before="44"/>
        <w:ind w:right="0"/>
        <w:jc w:val="left"/>
      </w:pPr>
      <w:r>
        <w:rPr/>
        <w:t>限公司的议案</w:t>
      </w:r>
      <w:r>
        <w:rPr>
          <w:spacing w:val="-89"/>
        </w:rPr>
        <w:t>》</w:t>
      </w:r>
      <w:r>
        <w:rPr/>
        <w:t>，公司拟注销子公司沈阳荣科全濠科技有限公司。</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日，沈阳荣科全濠科技有限公司取得（沈</w:t>
      </w:r>
    </w:p>
    <w:p>
      <w:pPr>
        <w:pStyle w:val="BodyText"/>
        <w:spacing w:line="240" w:lineRule="auto" w:before="63"/>
        <w:ind w:right="0"/>
        <w:jc w:val="left"/>
      </w:pPr>
      <w:r>
        <w:rPr>
          <w:rFonts w:ascii="Times New Roman" w:hAnsi="Times New Roman" w:cs="Times New Roman" w:eastAsia="Times New Roman" w:hint="default"/>
        </w:rPr>
        <w:t>08</w:t>
      </w:r>
      <w:r>
        <w:rPr/>
        <w:t>）工商外资销准字【</w:t>
      </w:r>
      <w:r>
        <w:rPr>
          <w:rFonts w:ascii="Times New Roman" w:hAnsi="Times New Roman" w:cs="Times New Roman" w:eastAsia="Times New Roman" w:hint="default"/>
        </w:rPr>
        <w:t>2017</w:t>
      </w:r>
      <w:r>
        <w:rPr/>
        <w:t>】第</w:t>
      </w:r>
      <w:r>
        <w:rPr>
          <w:spacing w:val="-49"/>
        </w:rPr>
        <w:t> </w:t>
      </w:r>
      <w:r>
        <w:rPr>
          <w:rFonts w:ascii="Times New Roman" w:hAnsi="Times New Roman" w:cs="Times New Roman" w:eastAsia="Times New Roman" w:hint="default"/>
        </w:rPr>
        <w:t>2017022808</w:t>
      </w:r>
      <w:r>
        <w:rPr>
          <w:rFonts w:ascii="Times New Roman" w:hAnsi="Times New Roman" w:cs="Times New Roman" w:eastAsia="Times New Roman" w:hint="default"/>
          <w:spacing w:val="-4"/>
        </w:rPr>
        <w:t> </w:t>
      </w:r>
      <w:r>
        <w:rPr/>
        <w:t>号外商投资企业注销登记通知书。相关注销工作已经完成。</w:t>
      </w:r>
    </w:p>
    <w:p>
      <w:pPr>
        <w:pStyle w:val="BodyText"/>
        <w:spacing w:line="240" w:lineRule="auto" w:before="101"/>
        <w:ind w:left="472"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日，公司之子公司上海米健信息技术有限公司出资设立全资子公司上海米健健康科技有限公司。截至</w:t>
      </w:r>
    </w:p>
    <w:p>
      <w:pPr>
        <w:pStyle w:val="BodyText"/>
        <w:spacing w:line="300" w:lineRule="auto" w:before="63"/>
        <w:ind w:right="111"/>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日止，上海米健健康科技有限公司注册资本</w:t>
      </w:r>
      <w:r>
        <w:rPr>
          <w:spacing w:val="-49"/>
        </w:rPr>
        <w:t> </w:t>
      </w:r>
      <w:r>
        <w:rPr>
          <w:rFonts w:ascii="Times New Roman" w:hAnsi="Times New Roman" w:cs="Times New Roman" w:eastAsia="Times New Roman" w:hint="default"/>
        </w:rPr>
        <w:t>200</w:t>
      </w:r>
      <w:r>
        <w:rPr>
          <w:rFonts w:ascii="Times New Roman" w:hAnsi="Times New Roman" w:cs="Times New Roman" w:eastAsia="Times New Roman" w:hint="default"/>
          <w:spacing w:val="-5"/>
        </w:rPr>
        <w:t> </w:t>
      </w:r>
      <w:r>
        <w:rPr/>
        <w:t>万元，实收资本</w:t>
      </w:r>
      <w:r>
        <w:rPr>
          <w:spacing w:val="-49"/>
        </w:rPr>
        <w:t> </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t>元，公司将其纳入</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年度合并财务报 表。</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陆红、王逸飞、佟海光</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陆红连续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年，王逸飞连续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年，佟海光连续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是否改聘会计师事务所</w:t>
      </w:r>
    </w:p>
    <w:p>
      <w:pPr>
        <w:pStyle w:val="BodyText"/>
        <w:spacing w:line="340" w:lineRule="auto" w:before="115"/>
        <w:ind w:right="52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868" w:footer="978" w:top="1060" w:bottom="1160" w:left="1020" w:right="1020"/>
        </w:sectPr>
      </w:pPr>
    </w:p>
    <w:p>
      <w:pPr>
        <w:spacing w:line="240" w:lineRule="auto" w:before="8"/>
        <w:rPr>
          <w:rFonts w:ascii="宋体" w:hAnsi="宋体" w:cs="宋体" w:eastAsia="宋体" w:hint="default"/>
          <w:sz w:val="23"/>
          <w:szCs w:val="23"/>
        </w:rPr>
      </w:pPr>
      <w:r>
        <w:rPr/>
        <w:pict>
          <v:group style="position:absolute;margin-left:56.34pt;margin-top:28.320024pt;width:482.65pt;height:40.2pt;mso-position-horizontal-relative:page;mso-position-vertical-relative:page;z-index:1672"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Heading2"/>
        <w:spacing w:line="240" w:lineRule="auto" w:before="26"/>
        <w:ind w:right="0"/>
        <w:jc w:val="both"/>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472" w:right="94"/>
        <w:jc w:val="left"/>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29</w:t>
      </w:r>
      <w:r>
        <w:rPr>
          <w:spacing w:val="-4"/>
        </w:rPr>
        <w:t>日，公司召开第二届董事会第十三次会议，审议通过了《荣科科技股份有限公司第</w:t>
      </w:r>
      <w:r>
        <w:rPr>
          <w:rFonts w:ascii="Times New Roman" w:hAnsi="Times New Roman" w:cs="Times New Roman" w:eastAsia="Times New Roman" w:hint="default"/>
          <w:spacing w:val="-4"/>
        </w:rPr>
        <w:t>1</w:t>
      </w:r>
      <w:r>
        <w:rPr>
          <w:spacing w:val="-4"/>
        </w:rPr>
        <w:t>期员工持股计划（草案）</w:t>
      </w:r>
    </w:p>
    <w:p>
      <w:pPr>
        <w:pStyle w:val="BodyText"/>
        <w:spacing w:line="304" w:lineRule="auto" w:before="63"/>
        <w:ind w:right="191"/>
        <w:jc w:val="both"/>
      </w:pPr>
      <w:r>
        <w:rPr>
          <w:spacing w:val="-3"/>
        </w:rPr>
        <w:t>（认购非公开发行股票方式）》：本次员工持股计划每</w:t>
      </w:r>
      <w:r>
        <w:rPr>
          <w:rFonts w:ascii="Times New Roman" w:hAnsi="Times New Roman" w:cs="Times New Roman" w:eastAsia="Times New Roman" w:hint="default"/>
          <w:spacing w:val="-3"/>
        </w:rPr>
        <w:t>1</w:t>
      </w:r>
      <w:r>
        <w:rPr>
          <w:spacing w:val="-3"/>
        </w:rPr>
        <w:t>计划份额的认购价格为人民币</w:t>
      </w:r>
      <w:r>
        <w:rPr>
          <w:rFonts w:ascii="Times New Roman" w:hAnsi="Times New Roman" w:cs="Times New Roman" w:eastAsia="Times New Roman" w:hint="default"/>
          <w:spacing w:val="-3"/>
        </w:rPr>
        <w:t>1</w:t>
      </w:r>
      <w:r>
        <w:rPr>
          <w:spacing w:val="-3"/>
        </w:rPr>
        <w:t>元，设立时计划份额合计不超过</w:t>
      </w:r>
      <w:r>
        <w:rPr>
          <w:rFonts w:ascii="Times New Roman" w:hAnsi="Times New Roman" w:cs="Times New Roman" w:eastAsia="Times New Roman" w:hint="default"/>
          <w:spacing w:val="-3"/>
        </w:rPr>
        <w:t>6,000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1"/>
        </w:rPr>
        <w:t>万份，资金总额不超过</w:t>
      </w:r>
      <w:r>
        <w:rPr>
          <w:rFonts w:ascii="Times New Roman" w:hAnsi="Times New Roman" w:cs="Times New Roman" w:eastAsia="Times New Roman" w:hint="default"/>
          <w:spacing w:val="-1"/>
        </w:rPr>
        <w:t>6,000</w:t>
      </w:r>
      <w:r>
        <w:rPr>
          <w:spacing w:val="-1"/>
        </w:rPr>
        <w:t>万元，其中认购员工持股计划的公司董事、监事和高级管理人员不超过</w:t>
      </w:r>
      <w:r>
        <w:rPr>
          <w:rFonts w:ascii="Times New Roman" w:hAnsi="Times New Roman" w:cs="Times New Roman" w:eastAsia="Times New Roman" w:hint="default"/>
          <w:spacing w:val="-1"/>
        </w:rPr>
        <w:t>7</w:t>
      </w:r>
      <w:r>
        <w:rPr>
          <w:spacing w:val="-1"/>
        </w:rPr>
        <w:t>人。参加对象认购员工</w:t>
      </w:r>
      <w:r>
        <w:rPr>
          <w:spacing w:val="-75"/>
        </w:rPr>
        <w:t> </w:t>
      </w:r>
      <w:r>
        <w:rPr>
          <w:spacing w:val="-75"/>
        </w:rPr>
      </w:r>
      <w:r>
        <w:rPr>
          <w:spacing w:val="-2"/>
        </w:rPr>
        <w:t>持股计划份额的款项来源于参加对象的合法薪酬及其他合法方式筹集。员工持股计划的股票来源为认购本公司非公开发行的</w:t>
      </w:r>
      <w:r>
        <w:rPr>
          <w:spacing w:val="-64"/>
        </w:rPr>
        <w:t> </w:t>
      </w:r>
      <w:r>
        <w:rPr>
          <w:spacing w:val="-64"/>
        </w:rPr>
      </w:r>
      <w:r>
        <w:rPr>
          <w:spacing w:val="-2"/>
        </w:rPr>
        <w:t>股票。员工持股计划认购本公司非公开发行股票金额不超过</w:t>
      </w:r>
      <w:r>
        <w:rPr>
          <w:rFonts w:ascii="Times New Roman" w:hAnsi="Times New Roman" w:cs="Times New Roman" w:eastAsia="Times New Roman" w:hint="default"/>
          <w:spacing w:val="-2"/>
        </w:rPr>
        <w:t>6,000</w:t>
      </w:r>
      <w:r>
        <w:rPr>
          <w:spacing w:val="-2"/>
        </w:rPr>
        <w:t>万元，认购股份不超过</w:t>
      </w:r>
      <w:r>
        <w:rPr>
          <w:rFonts w:ascii="Times New Roman" w:hAnsi="Times New Roman" w:cs="Times New Roman" w:eastAsia="Times New Roman" w:hint="default"/>
          <w:spacing w:val="-2"/>
        </w:rPr>
        <w:t>378.0718</w:t>
      </w:r>
      <w:r>
        <w:rPr>
          <w:spacing w:val="-2"/>
        </w:rPr>
        <w:t>万股。本次员工持股计划的</w:t>
      </w:r>
      <w:r>
        <w:rPr>
          <w:spacing w:val="-57"/>
        </w:rPr>
        <w:t> </w:t>
      </w:r>
      <w:r>
        <w:rPr>
          <w:spacing w:val="-57"/>
        </w:rPr>
      </w:r>
      <w:r>
        <w:rPr>
          <w:spacing w:val="-2"/>
        </w:rPr>
        <w:t>存续期为</w:t>
      </w:r>
      <w:r>
        <w:rPr>
          <w:rFonts w:ascii="Times New Roman" w:hAnsi="Times New Roman" w:cs="Times New Roman" w:eastAsia="Times New Roman" w:hint="default"/>
          <w:spacing w:val="-2"/>
        </w:rPr>
        <w:t>48</w:t>
      </w:r>
      <w:r>
        <w:rPr>
          <w:spacing w:val="-2"/>
        </w:rPr>
        <w:t>个月，自公司公告本次非公开发行的股票登记至员工持股计划名下时起算。员工持股计划认购非公开发行股票的</w:t>
      </w:r>
      <w:r>
        <w:rPr>
          <w:spacing w:val="-63"/>
        </w:rPr>
        <w:t> </w:t>
      </w:r>
      <w:r>
        <w:rPr>
          <w:spacing w:val="-63"/>
        </w:rPr>
      </w:r>
      <w:r>
        <w:rPr/>
        <w:t>锁定期为</w:t>
      </w:r>
      <w:r>
        <w:rPr>
          <w:rFonts w:ascii="Times New Roman" w:hAnsi="Times New Roman" w:cs="Times New Roman" w:eastAsia="Times New Roman" w:hint="default"/>
        </w:rPr>
        <w:t>36</w:t>
      </w:r>
      <w:r>
        <w:rPr/>
        <w:t>个月，自公司公告本次非公开发行的股票登记至员工持股计划名下时起算。详见：</w:t>
      </w:r>
    </w:p>
    <w:p>
      <w:pPr>
        <w:pStyle w:val="BodyText"/>
        <w:spacing w:line="316" w:lineRule="auto" w:before="48"/>
        <w:ind w:left="472" w:right="94" w:hanging="360"/>
        <w:jc w:val="left"/>
      </w:pPr>
      <w:hyperlink r:id="rId26">
        <w:r>
          <w:rPr>
            <w:rFonts w:ascii="Times New Roman" w:hAnsi="Times New Roman" w:cs="Times New Roman" w:eastAsia="Times New Roman" w:hint="default"/>
            <w:spacing w:val="-1"/>
          </w:rPr>
          <w:t>http://www.cninfo.com.cn/cninfo-new/disclosure/szse_gem/bulletin_detail/true/1200274404?announceTime=2014-09-30</w:t>
        </w:r>
      </w:hyperlink>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2014</w:t>
      </w:r>
      <w:r>
        <w:rPr/>
        <w:t>年度第二次临时股东大会，审议通过了该项议案。</w:t>
      </w:r>
    </w:p>
    <w:p>
      <w:pPr>
        <w:pStyle w:val="BodyText"/>
        <w:spacing w:line="300" w:lineRule="auto"/>
        <w:ind w:right="20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日，公司收到中国证监会《关于核准荣科科技股份有限公司非公开发行股票的批复》（证监许可</w:t>
      </w:r>
      <w:r>
        <w:rPr>
          <w:rFonts w:ascii="Times New Roman" w:hAnsi="Times New Roman" w:cs="Times New Roman" w:eastAsia="Times New Roman" w:hint="default"/>
        </w:rPr>
        <w:t>[2015]996 </w:t>
      </w:r>
      <w:r>
        <w:rPr/>
        <w:t>号）核准了本次发行。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日，公司通过中国结算深圳分公司办理了股份登记事宜。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日，公司本次非公 开发行股票在深交所创业板上市。本次非公开发行股票上市情况详见：</w:t>
      </w:r>
    </w:p>
    <w:p>
      <w:pPr>
        <w:pStyle w:val="BodyText"/>
        <w:spacing w:line="240" w:lineRule="auto" w:before="71"/>
        <w:ind w:right="0"/>
        <w:jc w:val="both"/>
        <w:rPr>
          <w:rFonts w:ascii="Times New Roman" w:hAnsi="Times New Roman" w:cs="Times New Roman" w:eastAsia="Times New Roman" w:hint="default"/>
        </w:rPr>
      </w:pPr>
      <w:hyperlink r:id="rId27">
        <w:r>
          <w:rPr>
            <w:rFonts w:ascii="Times New Roman"/>
          </w:rPr>
          <w:t>http://www.cninfo.com.cn/cninfo-new/disclosure/szse_gem/bulletin_detail/true/1201237053?announceTime=2015-07-03</w:t>
        </w:r>
      </w:hyperlink>
    </w:p>
    <w:p>
      <w:pPr>
        <w:pStyle w:val="BodyText"/>
        <w:spacing w:line="240" w:lineRule="auto" w:before="65"/>
        <w:ind w:left="472" w:right="94"/>
        <w:jc w:val="left"/>
      </w:pPr>
      <w:r>
        <w:rPr/>
        <w:t>公司第</w:t>
      </w:r>
      <w:r>
        <w:rPr>
          <w:rFonts w:ascii="Times New Roman" w:hAnsi="Times New Roman" w:cs="Times New Roman" w:eastAsia="Times New Roman" w:hint="default"/>
        </w:rPr>
        <w:t>1</w:t>
      </w:r>
      <w:r>
        <w:rPr/>
        <w:t>期员工持股计划将于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日（如遇节假日顺延至下一个交易日）起解除限售。</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公司报告期未发生与日常经营相关的关联交易。</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公司报告期无其他重大关联交易。</w:t>
      </w:r>
    </w:p>
    <w:p>
      <w:pPr>
        <w:spacing w:after="0" w:line="338" w:lineRule="auto"/>
        <w:jc w:val="left"/>
        <w:sectPr>
          <w:pgSz w:w="11910" w:h="16840"/>
          <w:pgMar w:header="868" w:footer="978" w:top="1060" w:bottom="1160" w:left="1020" w:right="940"/>
        </w:sectPr>
      </w:pPr>
    </w:p>
    <w:p>
      <w:pPr>
        <w:spacing w:line="240" w:lineRule="auto" w:before="8"/>
        <w:rPr>
          <w:rFonts w:ascii="宋体" w:hAnsi="宋体" w:cs="宋体" w:eastAsia="宋体" w:hint="default"/>
          <w:sz w:val="23"/>
          <w:szCs w:val="23"/>
        </w:rPr>
      </w:pPr>
      <w:r>
        <w:rPr/>
        <w:pict>
          <v:group style="position:absolute;margin-left:56.34pt;margin-top:28.320024pt;width:482.65pt;height:40.2pt;mso-position-horizontal-relative:page;mso-position-vertical-relative:page;z-index:1696"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Heading2"/>
        <w:spacing w:line="240" w:lineRule="auto" w:before="26"/>
        <w:ind w:left="1052" w:right="6183"/>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052" w:right="618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052" w:right="618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1052" w:right="7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left="1052" w:right="618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052" w:right="7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left="1052" w:right="618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052" w:right="7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left="1052" w:right="618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52" w:right="6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052" w:right="618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552"/>
        <w:jc w:val="right"/>
      </w:pPr>
      <w:r>
        <w:rPr/>
        <w:t>单位：万元</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476"/>
        <w:gridCol w:w="1161"/>
        <w:gridCol w:w="399"/>
        <w:gridCol w:w="525"/>
        <w:gridCol w:w="543"/>
        <w:gridCol w:w="168"/>
        <w:gridCol w:w="206"/>
        <w:gridCol w:w="562"/>
        <w:gridCol w:w="576"/>
        <w:gridCol w:w="175"/>
        <w:gridCol w:w="785"/>
        <w:gridCol w:w="269"/>
        <w:gridCol w:w="571"/>
        <w:gridCol w:w="473"/>
        <w:gridCol w:w="739"/>
        <w:gridCol w:w="309"/>
        <w:gridCol w:w="351"/>
        <w:gridCol w:w="437"/>
        <w:gridCol w:w="391"/>
        <w:gridCol w:w="888"/>
      </w:tblGrid>
      <w:tr>
        <w:trPr>
          <w:trHeight w:val="402" w:hRule="exact"/>
        </w:trPr>
        <w:tc>
          <w:tcPr>
            <w:tcW w:w="11004" w:type="dxa"/>
            <w:gridSpan w:val="2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46"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4"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4" w:right="54"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1" w:right="30" w:hanging="272"/>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12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12" w:right="2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12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7" w:right="90" w:hanging="360"/>
              <w:jc w:val="left"/>
              <w:rPr>
                <w:rFonts w:ascii="宋体" w:hAnsi="宋体" w:cs="宋体" w:eastAsia="宋体" w:hint="default"/>
                <w:sz w:val="18"/>
                <w:szCs w:val="18"/>
              </w:rPr>
            </w:pPr>
            <w:r>
              <w:rPr>
                <w:rFonts w:ascii="宋体" w:hAnsi="宋体" w:cs="宋体" w:eastAsia="宋体" w:hint="default"/>
                <w:sz w:val="18"/>
                <w:szCs w:val="18"/>
              </w:rPr>
              <w:t>是否为关联方 担保</w:t>
            </w:r>
          </w:p>
        </w:tc>
      </w:tr>
      <w:tr>
        <w:trPr>
          <w:trHeight w:val="402" w:hRule="exact"/>
        </w:trPr>
        <w:tc>
          <w:tcPr>
            <w:tcW w:w="11004" w:type="dxa"/>
            <w:gridSpan w:val="2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6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48" w:right="95"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7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9" w:right="10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5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3" w:right="42" w:hanging="272"/>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3" w:right="5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6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9" w:right="4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 w:right="7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2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6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1" w:right="0"/>
              <w:jc w:val="left"/>
              <w:rPr>
                <w:rFonts w:ascii="Times New Roman" w:hAnsi="Times New Roman" w:cs="Times New Roman" w:eastAsia="Times New Roman" w:hint="default"/>
                <w:sz w:val="18"/>
                <w:szCs w:val="18"/>
              </w:rPr>
            </w:pPr>
            <w:r>
              <w:rPr>
                <w:rFonts w:ascii="Times New Roman"/>
                <w:sz w:val="18"/>
              </w:rPr>
              <w:t>720.00</w:t>
            </w:r>
          </w:p>
        </w:tc>
        <w:tc>
          <w:tcPr>
            <w:tcW w:w="1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3" w:right="0"/>
              <w:jc w:val="left"/>
              <w:rPr>
                <w:rFonts w:ascii="Times New Roman" w:hAnsi="Times New Roman" w:cs="Times New Roman" w:eastAsia="Times New Roman" w:hint="default"/>
                <w:sz w:val="18"/>
                <w:szCs w:val="18"/>
              </w:rPr>
            </w:pPr>
            <w:r>
              <w:rPr>
                <w:rFonts w:ascii="Times New Roman"/>
                <w:sz w:val="18"/>
              </w:rPr>
              <w:t>720.00</w:t>
            </w:r>
          </w:p>
        </w:tc>
        <w:tc>
          <w:tcPr>
            <w:tcW w:w="1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上海创业接力融资担保有限公司</w:t>
            </w:r>
          </w:p>
        </w:tc>
        <w:tc>
          <w:tcPr>
            <w:tcW w:w="16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1" w:right="0"/>
              <w:jc w:val="left"/>
              <w:rPr>
                <w:rFonts w:ascii="Times New Roman" w:hAnsi="Times New Roman" w:cs="Times New Roman" w:eastAsia="Times New Roman" w:hint="default"/>
                <w:sz w:val="18"/>
                <w:szCs w:val="18"/>
              </w:rPr>
            </w:pPr>
            <w:r>
              <w:rPr>
                <w:rFonts w:ascii="Times New Roman"/>
                <w:sz w:val="18"/>
              </w:rPr>
              <w:t>500.00</w:t>
            </w:r>
          </w:p>
        </w:tc>
        <w:tc>
          <w:tcPr>
            <w:tcW w:w="1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3" w:right="0"/>
              <w:jc w:val="left"/>
              <w:rPr>
                <w:rFonts w:ascii="Times New Roman" w:hAnsi="Times New Roman" w:cs="Times New Roman" w:eastAsia="Times New Roman" w:hint="default"/>
                <w:sz w:val="18"/>
                <w:szCs w:val="18"/>
              </w:rPr>
            </w:pPr>
            <w:r>
              <w:rPr>
                <w:rFonts w:ascii="Times New Roman"/>
                <w:sz w:val="18"/>
              </w:rPr>
              <w:t>500.00</w:t>
            </w:r>
          </w:p>
        </w:tc>
        <w:tc>
          <w:tcPr>
            <w:tcW w:w="1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5"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27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3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1,220.00</w:t>
            </w:r>
          </w:p>
        </w:tc>
        <w:tc>
          <w:tcPr>
            <w:tcW w:w="20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1,220.00</w:t>
            </w:r>
          </w:p>
        </w:tc>
      </w:tr>
      <w:tr>
        <w:trPr>
          <w:trHeight w:val="714" w:hRule="exact"/>
        </w:trPr>
        <w:tc>
          <w:tcPr>
            <w:tcW w:w="427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3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1,220.00</w:t>
            </w:r>
          </w:p>
        </w:tc>
        <w:tc>
          <w:tcPr>
            <w:tcW w:w="20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3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1,220.00</w:t>
            </w:r>
          </w:p>
        </w:tc>
      </w:tr>
      <w:tr>
        <w:trPr>
          <w:trHeight w:val="402" w:hRule="exact"/>
        </w:trPr>
        <w:tc>
          <w:tcPr>
            <w:tcW w:w="11004" w:type="dxa"/>
            <w:gridSpan w:val="2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712"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7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0" w:right="92"/>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2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5"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12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2" w:right="95" w:hanging="360"/>
              <w:jc w:val="left"/>
              <w:rPr>
                <w:rFonts w:ascii="宋体" w:hAnsi="宋体" w:cs="宋体" w:eastAsia="宋体" w:hint="default"/>
                <w:sz w:val="18"/>
                <w:szCs w:val="18"/>
              </w:rPr>
            </w:pPr>
            <w:r>
              <w:rPr>
                <w:rFonts w:ascii="宋体" w:hAnsi="宋体" w:cs="宋体" w:eastAsia="宋体" w:hint="default"/>
                <w:sz w:val="18"/>
                <w:szCs w:val="18"/>
              </w:rPr>
              <w:t>是否为关联方 担保</w:t>
            </w:r>
          </w:p>
        </w:tc>
      </w:tr>
    </w:tbl>
    <w:p>
      <w:pPr>
        <w:spacing w:after="0" w:line="316" w:lineRule="auto"/>
        <w:jc w:val="left"/>
        <w:rPr>
          <w:rFonts w:ascii="宋体" w:hAnsi="宋体" w:cs="宋体" w:eastAsia="宋体" w:hint="default"/>
          <w:sz w:val="18"/>
          <w:szCs w:val="18"/>
        </w:rPr>
        <w:sectPr>
          <w:pgSz w:w="11910" w:h="16840"/>
          <w:pgMar w:header="868" w:footer="978" w:top="1060" w:bottom="1160" w:left="80" w:right="580"/>
        </w:sectPr>
      </w:pPr>
    </w:p>
    <w:p>
      <w:pPr>
        <w:spacing w:line="240" w:lineRule="auto" w:before="5"/>
        <w:rPr>
          <w:rFonts w:ascii="宋体" w:hAnsi="宋体" w:cs="宋体" w:eastAsia="宋体" w:hint="default"/>
          <w:sz w:val="28"/>
          <w:szCs w:val="28"/>
        </w:rPr>
      </w:pPr>
      <w:r>
        <w:rPr/>
        <w:pict>
          <v:group style="position:absolute;margin-left:56.34pt;margin-top:28.320024pt;width:482.65pt;height:40.2pt;mso-position-horizontal-relative:page;mso-position-vertical-relative:page;z-index:1720"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tbl>
      <w:tblPr>
        <w:tblW w:w="0" w:type="auto"/>
        <w:jc w:val="left"/>
        <w:tblInd w:w="113" w:type="dxa"/>
        <w:tblLayout w:type="fixed"/>
        <w:tblCellMar>
          <w:top w:w="0" w:type="dxa"/>
          <w:left w:w="0" w:type="dxa"/>
          <w:bottom w:w="0" w:type="dxa"/>
          <w:right w:w="0" w:type="dxa"/>
        </w:tblCellMar>
        <w:tblLook w:val="01E0"/>
      </w:tblPr>
      <w:tblGrid>
        <w:gridCol w:w="2645"/>
        <w:gridCol w:w="919"/>
        <w:gridCol w:w="914"/>
        <w:gridCol w:w="1313"/>
        <w:gridCol w:w="1044"/>
        <w:gridCol w:w="1054"/>
        <w:gridCol w:w="1045"/>
        <w:gridCol w:w="786"/>
        <w:gridCol w:w="1284"/>
      </w:tblGrid>
      <w:tr>
        <w:trPr>
          <w:trHeight w:val="362"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100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35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31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1,220.00</w:t>
            </w:r>
          </w:p>
        </w:tc>
      </w:tr>
      <w:tr>
        <w:trPr>
          <w:trHeight w:val="714" w:hRule="exact"/>
        </w:trPr>
        <w:tc>
          <w:tcPr>
            <w:tcW w:w="35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31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1,220.00</w:t>
            </w:r>
          </w:p>
        </w:tc>
      </w:tr>
      <w:tr>
        <w:trPr>
          <w:trHeight w:val="402" w:hRule="exact"/>
        </w:trPr>
        <w:tc>
          <w:tcPr>
            <w:tcW w:w="57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52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1100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4" w:hRule="exact"/>
        </w:trPr>
        <w:tc>
          <w:tcPr>
            <w:tcW w:w="57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对未到期担保，报告期内已发生担保责任或可能承担连带清偿责任的情况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说明（如有）</w:t>
            </w:r>
          </w:p>
        </w:tc>
        <w:tc>
          <w:tcPr>
            <w:tcW w:w="52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7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52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052" w:right="0"/>
        <w:jc w:val="both"/>
      </w:pPr>
      <w:r>
        <w:rPr/>
        <w:t>采用复合方式担保的具体情况说明</w:t>
      </w:r>
    </w:p>
    <w:p>
      <w:pPr>
        <w:pStyle w:val="BodyText"/>
        <w:spacing w:line="307" w:lineRule="auto" w:before="115"/>
        <w:ind w:left="1052" w:right="550"/>
        <w:jc w:val="both"/>
      </w:pPr>
      <w:r>
        <w:rPr>
          <w:spacing w:val="-2"/>
        </w:rPr>
        <w:t>①为满足子公司经营发展的需要，公司为全资子公司上海米健信息技术有限公司向中国工商银行股份有限公司上海市杨浦支</w:t>
      </w:r>
      <w:r>
        <w:rPr>
          <w:spacing w:val="-64"/>
        </w:rPr>
        <w:t> </w:t>
      </w:r>
      <w:r>
        <w:rPr>
          <w:spacing w:val="-64"/>
        </w:rPr>
      </w:r>
      <w:r>
        <w:rPr/>
        <w:t>行在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29 </w:t>
      </w:r>
      <w:r>
        <w:rPr/>
        <w:t>日至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spacing w:val="-3"/>
        </w:rPr>
        <w:t>日期间所签订的本外币借款合同、外汇转贷款合同、银行承兑协议、信用证</w:t>
      </w:r>
      <w:r>
        <w:rPr/>
        <w:t> 开证协议</w:t>
      </w:r>
      <w:r>
        <w:rPr>
          <w:rFonts w:ascii="Times New Roman" w:hAnsi="Times New Roman" w:cs="Times New Roman" w:eastAsia="Times New Roman" w:hint="default"/>
        </w:rPr>
        <w:t>/</w:t>
      </w:r>
      <w:r>
        <w:rPr/>
        <w:t>合同、开立担保协议、国际国内贸易融资协议、远期结售汇协议等金融衍生类产品协议以及其他文件构成本合同</w:t>
      </w:r>
      <w:r>
        <w:rPr>
          <w:spacing w:val="-51"/>
        </w:rPr>
        <w:t> </w:t>
      </w:r>
      <w:r>
        <w:rPr>
          <w:spacing w:val="-51"/>
        </w:rPr>
      </w:r>
      <w:r>
        <w:rPr/>
        <w:t>的主合同，累计不超过 </w:t>
      </w:r>
      <w:r>
        <w:rPr>
          <w:rFonts w:ascii="Times New Roman" w:hAnsi="Times New Roman" w:cs="Times New Roman" w:eastAsia="Times New Roman" w:hint="default"/>
        </w:rPr>
        <w:t>600  </w:t>
      </w:r>
      <w:r>
        <w:rPr/>
        <w:t>万元的贷款提供最高额不超过 </w:t>
      </w:r>
      <w:r>
        <w:rPr>
          <w:rFonts w:ascii="Times New Roman" w:hAnsi="Times New Roman" w:cs="Times New Roman" w:eastAsia="Times New Roman" w:hint="default"/>
        </w:rPr>
        <w:t>720</w:t>
      </w:r>
      <w:r>
        <w:rPr>
          <w:rFonts w:ascii="Times New Roman" w:hAnsi="Times New Roman" w:cs="Times New Roman" w:eastAsia="Times New Roman" w:hint="default"/>
          <w:spacing w:val="42"/>
        </w:rPr>
        <w:t> </w:t>
      </w:r>
      <w:r>
        <w:rPr/>
        <w:t>万元的连带责任担保。</w:t>
      </w:r>
    </w:p>
    <w:p>
      <w:pPr>
        <w:pStyle w:val="BodyText"/>
        <w:spacing w:line="312" w:lineRule="auto" w:before="48"/>
        <w:ind w:left="1052" w:right="550"/>
        <w:jc w:val="both"/>
      </w:pPr>
      <w:r>
        <w:rPr/>
        <w:t>②为满足子公司经营发展的需要，上海米健向中国工商银行股份有限公司上海市杨浦支行申请贷款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万元，上海创业接 </w:t>
      </w:r>
      <w:r>
        <w:rPr>
          <w:spacing w:val="-2"/>
        </w:rPr>
        <w:t>力融资担保有限公司为上海米健就该笔贷款提供了担保。同时，公司需要为上海创业提供反担保。反担保合同的范围包含上</w:t>
      </w:r>
      <w:r>
        <w:rPr>
          <w:spacing w:val="-63"/>
        </w:rPr>
        <w:t> </w:t>
      </w:r>
      <w:r>
        <w:rPr>
          <w:spacing w:val="-63"/>
        </w:rPr>
      </w:r>
      <w:r>
        <w:rPr>
          <w:spacing w:val="-2"/>
        </w:rPr>
        <w:t>海创业依据反担保主合同代为清偿的相应债务本金、利息、复息、罚息、违约金和实现债权的费用等债务，债务人应付的代</w:t>
      </w:r>
      <w:r>
        <w:rPr>
          <w:spacing w:val="-63"/>
        </w:rPr>
        <w:t> </w:t>
      </w:r>
      <w:r>
        <w:rPr>
          <w:spacing w:val="-63"/>
        </w:rPr>
      </w:r>
      <w:r>
        <w:rPr>
          <w:spacing w:val="1"/>
        </w:rPr>
        <w:t>偿款项占用费（自甲方发生代偿之日起按代偿款项日</w:t>
      </w:r>
      <w:r>
        <w:rPr>
          <w:spacing w:val="17"/>
        </w:rPr>
        <w:t> </w:t>
      </w:r>
      <w:r>
        <w:rPr>
          <w:rFonts w:ascii="Times New Roman" w:hAnsi="Times New Roman" w:cs="Times New Roman" w:eastAsia="Times New Roman" w:hint="default"/>
          <w:spacing w:val="-2"/>
        </w:rPr>
        <w:t>0.1%</w:t>
      </w:r>
      <w:r>
        <w:rPr>
          <w:spacing w:val="-2"/>
        </w:rPr>
        <w:t>的标准计算直至代偿款项全额得到清偿之日止），和上海创业为</w:t>
      </w:r>
      <w:r>
        <w:rPr>
          <w:spacing w:val="-87"/>
        </w:rPr>
        <w:t> </w:t>
      </w:r>
      <w:r>
        <w:rPr>
          <w:spacing w:val="-87"/>
        </w:rPr>
      </w:r>
      <w:r>
        <w:rPr>
          <w:spacing w:val="-2"/>
        </w:rPr>
        <w:t>实现担保债权而支出的所有合理费用。反担保合同期间自合同生效之日起至上海创业依据反担保主合同承担代偿责任，向债</w:t>
      </w:r>
      <w:r>
        <w:rPr>
          <w:spacing w:val="-64"/>
        </w:rPr>
        <w:t> </w:t>
      </w:r>
      <w:r>
        <w:rPr>
          <w:spacing w:val="-64"/>
        </w:rPr>
      </w:r>
      <w:r>
        <w:rPr/>
        <w:t>权人支付最后一笔代偿款项之次日起两年。</w:t>
      </w:r>
    </w:p>
    <w:p>
      <w:pPr>
        <w:spacing w:line="240" w:lineRule="auto" w:before="12"/>
        <w:rPr>
          <w:rFonts w:ascii="宋体" w:hAnsi="宋体" w:cs="宋体" w:eastAsia="宋体" w:hint="default"/>
          <w:sz w:val="22"/>
          <w:szCs w:val="22"/>
        </w:rPr>
      </w:pPr>
    </w:p>
    <w:p>
      <w:pPr>
        <w:pStyle w:val="Heading3"/>
        <w:spacing w:line="240" w:lineRule="auto"/>
        <w:ind w:left="1052" w:right="0"/>
        <w:jc w:val="both"/>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052" w:right="6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left="1052" w:right="0"/>
        <w:jc w:val="both"/>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052" w:right="0"/>
        <w:jc w:val="both"/>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052" w:right="7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left="1052"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052" w:right="7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公司报告期不存在委托贷款。</w:t>
      </w:r>
    </w:p>
    <w:p>
      <w:pPr>
        <w:spacing w:after="0" w:line="338" w:lineRule="auto"/>
        <w:jc w:val="left"/>
        <w:sectPr>
          <w:pgSz w:w="11910" w:h="16840"/>
          <w:pgMar w:header="868" w:footer="978" w:top="1060" w:bottom="1160" w:left="80" w:right="580"/>
        </w:sectPr>
      </w:pPr>
    </w:p>
    <w:p>
      <w:pPr>
        <w:pStyle w:val="Heading3"/>
        <w:spacing w:line="240" w:lineRule="auto" w:before="55"/>
        <w:ind w:right="675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4"/>
        <w:rPr>
          <w:rFonts w:ascii="宋体" w:hAnsi="宋体" w:cs="宋体" w:eastAsia="宋体" w:hint="default"/>
          <w:sz w:val="19"/>
          <w:szCs w:val="19"/>
        </w:rPr>
      </w:pPr>
    </w:p>
    <w:p>
      <w:pPr>
        <w:spacing w:line="506" w:lineRule="auto" w:before="0"/>
        <w:ind w:left="112" w:right="7651" w:firstLine="0"/>
        <w:jc w:val="left"/>
        <w:rPr>
          <w:rFonts w:ascii="宋体" w:hAnsi="宋体" w:cs="宋体" w:eastAsia="宋体" w:hint="default"/>
          <w:sz w:val="18"/>
          <w:szCs w:val="18"/>
        </w:rPr>
      </w:pP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1"/>
        <w:ind w:right="675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675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4774"/>
        <w:jc w:val="left"/>
      </w:pPr>
      <w:r>
        <w:rPr/>
        <w:t>上市公司及其子公司是否属于环境保护部门公布的重点排污单位 不适用</w:t>
      </w:r>
    </w:p>
    <w:p>
      <w:pPr>
        <w:spacing w:line="240" w:lineRule="auto" w:before="7"/>
        <w:rPr>
          <w:rFonts w:ascii="宋体" w:hAnsi="宋体" w:cs="宋体" w:eastAsia="宋体" w:hint="default"/>
          <w:sz w:val="18"/>
          <w:szCs w:val="18"/>
        </w:rPr>
      </w:pPr>
    </w:p>
    <w:p>
      <w:pPr>
        <w:pStyle w:val="Heading2"/>
        <w:spacing w:line="240" w:lineRule="auto"/>
        <w:ind w:right="6754"/>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4"/>
        <w:jc w:val="left"/>
      </w:pPr>
      <w:r>
        <w:rPr/>
        <w:t>无</w:t>
      </w:r>
    </w:p>
    <w:p>
      <w:pPr>
        <w:spacing w:line="240" w:lineRule="auto" w:before="1"/>
        <w:rPr>
          <w:rFonts w:ascii="宋体" w:hAnsi="宋体" w:cs="宋体" w:eastAsia="宋体" w:hint="default"/>
          <w:sz w:val="25"/>
          <w:szCs w:val="25"/>
        </w:rPr>
      </w:pPr>
    </w:p>
    <w:p>
      <w:pPr>
        <w:pStyle w:val="Heading2"/>
        <w:spacing w:line="240" w:lineRule="auto"/>
        <w:ind w:right="6754"/>
        <w:jc w:val="left"/>
        <w:rPr>
          <w:b w:val="0"/>
          <w:bCs w:val="0"/>
        </w:rPr>
      </w:pP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9" w:lineRule="auto" w:before="101"/>
        <w:ind w:right="184"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日，公司第二届董事会第三十七次会议审议通过了《关于全资子公司上海米健信息技术有限公司增加注 </w:t>
      </w:r>
      <w:r>
        <w:rPr>
          <w:spacing w:val="-2"/>
        </w:rPr>
        <w:t>册资本的议案》、《关于全资子公司上海米健信息技术有限公司经营范围变更的议案》、《关于全资子公司上海米健信息技</w:t>
      </w:r>
      <w:r>
        <w:rPr>
          <w:spacing w:val="-64"/>
        </w:rPr>
        <w:t> </w:t>
      </w:r>
      <w:r>
        <w:rPr>
          <w:spacing w:val="-64"/>
        </w:rPr>
      </w:r>
      <w:r>
        <w:rPr/>
        <w:t>术有限公司修订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的议案》、《关于全资子公司上海米健信息技术有限公司办理工商登记变更的议案》、《关于 </w:t>
      </w:r>
      <w:r>
        <w:rPr>
          <w:spacing w:val="-2"/>
        </w:rPr>
        <w:t>向兴业银行股份有限公司沈阳分行申请并购贷款的议案》。为进一步增强上海米健的业务需要与资金实力，对上海米健的注</w:t>
      </w:r>
      <w:r>
        <w:rPr>
          <w:spacing w:val="-65"/>
        </w:rPr>
        <w:t> </w:t>
      </w:r>
      <w:r>
        <w:rPr>
          <w:spacing w:val="-65"/>
        </w:rPr>
      </w:r>
      <w:r>
        <w:rPr>
          <w:spacing w:val="-2"/>
        </w:rPr>
        <w:t>册资本、经营范围进行了变更，并授权相关工作人员办理了工商登记变更相关事宜；同时，公司拟向兴业银行股份有限公司</w:t>
      </w:r>
      <w:r>
        <w:rPr>
          <w:spacing w:val="-66"/>
        </w:rPr>
        <w:t> </w:t>
      </w:r>
      <w:r>
        <w:rPr>
          <w:spacing w:val="-66"/>
        </w:rPr>
      </w:r>
      <w:r>
        <w:rPr>
          <w:spacing w:val="-1"/>
        </w:rPr>
        <w:t>沈阳分行申请办理不超过</w:t>
      </w:r>
      <w:r>
        <w:rPr>
          <w:rFonts w:ascii="Times New Roman" w:hAnsi="Times New Roman" w:cs="Times New Roman" w:eastAsia="Times New Roman" w:hint="default"/>
          <w:spacing w:val="-1"/>
        </w:rPr>
        <w:t>20,188</w:t>
      </w:r>
      <w:r>
        <w:rPr>
          <w:spacing w:val="-1"/>
        </w:rPr>
        <w:t>万元的并购贷款，贷款期限不超过</w:t>
      </w:r>
      <w:r>
        <w:rPr>
          <w:rFonts w:ascii="Times New Roman" w:hAnsi="Times New Roman" w:cs="Times New Roman" w:eastAsia="Times New Roman" w:hint="default"/>
          <w:spacing w:val="-1"/>
        </w:rPr>
        <w:t>7</w:t>
      </w:r>
      <w:r>
        <w:rPr>
          <w:spacing w:val="-1"/>
        </w:rPr>
        <w:t>年，以被并购方上海米健信息技术有限公司</w:t>
      </w:r>
      <w:r>
        <w:rPr>
          <w:rFonts w:ascii="Times New Roman" w:hAnsi="Times New Roman" w:cs="Times New Roman" w:eastAsia="Times New Roman" w:hint="default"/>
          <w:spacing w:val="-1"/>
        </w:rPr>
        <w:t>100%</w:t>
      </w:r>
      <w:r>
        <w:rPr>
          <w:spacing w:val="-1"/>
        </w:rPr>
        <w:t>的股权</w:t>
      </w:r>
      <w:r>
        <w:rPr>
          <w:spacing w:val="-43"/>
        </w:rPr>
        <w:t> </w:t>
      </w:r>
      <w:r>
        <w:rPr/>
        <w:t>进行质押，并且，公司第一大股东通过无限连带责任担保进行增信。</w:t>
      </w:r>
    </w:p>
    <w:p>
      <w:pPr>
        <w:pStyle w:val="BodyText"/>
        <w:spacing w:line="309" w:lineRule="auto" w:before="24"/>
        <w:ind w:right="9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日，上海米健完成了工商变更登记以及修订后《公司章程》的备案，取得了上海市浦东新区市场监督管理 </w:t>
      </w:r>
      <w:r>
        <w:rPr>
          <w:spacing w:val="-4"/>
        </w:rPr>
        <w:t>局换发的《营业执照》。此次变更后，上海米健注册资本为人民币</w:t>
      </w:r>
      <w:r>
        <w:rPr>
          <w:rFonts w:ascii="Times New Roman" w:hAnsi="Times New Roman" w:cs="Times New Roman" w:eastAsia="Times New Roman" w:hint="default"/>
          <w:spacing w:val="-4"/>
        </w:rPr>
        <w:t>2000</w:t>
      </w:r>
      <w:r>
        <w:rPr>
          <w:spacing w:val="-4"/>
        </w:rPr>
        <w:t>万元整，经营范围为：信息科技、计算机软硬件科技、</w:t>
      </w:r>
      <w:r>
        <w:rPr>
          <w:spacing w:val="-36"/>
        </w:rPr>
        <w:t> </w:t>
      </w:r>
      <w:r>
        <w:rPr>
          <w:spacing w:val="-36"/>
        </w:rPr>
      </w:r>
      <w:r>
        <w:rPr>
          <w:spacing w:val="-2"/>
        </w:rPr>
        <w:t>网络科技技术领域内的技术开发、技术咨询、技术转让、技术服务，软件开发，计算机软硬件（除计算机信息系统安全专用</w:t>
      </w:r>
      <w:r>
        <w:rPr>
          <w:spacing w:val="-66"/>
        </w:rPr>
        <w:t> </w:t>
      </w:r>
      <w:r>
        <w:rPr>
          <w:spacing w:val="-66"/>
        </w:rPr>
      </w:r>
      <w:r>
        <w:rPr>
          <w:spacing w:val="-2"/>
        </w:rPr>
        <w:t>产品）的销售，医疗器械经营，医疗器械生产。【依法须经批准的项目，经相关部门批准后方可开展经营活动】同时，取得</w:t>
      </w:r>
      <w:r>
        <w:rPr>
          <w:spacing w:val="-66"/>
        </w:rPr>
        <w:t> </w:t>
      </w:r>
      <w:r>
        <w:rPr>
          <w:spacing w:val="-66"/>
        </w:rPr>
      </w:r>
      <w:r>
        <w:rPr/>
        <w:t>了上海市浦东新区市场监督管理局出具的《股权出质设立登记通知书》（股质登记设字</w:t>
      </w:r>
      <w:r>
        <w:rPr>
          <w:rFonts w:ascii="Times New Roman" w:hAnsi="Times New Roman" w:cs="Times New Roman" w:eastAsia="Times New Roman" w:hint="default"/>
        </w:rPr>
        <w:t>[152017]</w:t>
      </w:r>
      <w:r>
        <w:rPr/>
        <w:t>第</w:t>
      </w:r>
      <w:r>
        <w:rPr>
          <w:rFonts w:ascii="Times New Roman" w:hAnsi="Times New Roman" w:cs="Times New Roman" w:eastAsia="Times New Roman" w:hint="default"/>
        </w:rPr>
        <w:t>0101</w:t>
      </w:r>
      <w:r>
        <w:rPr/>
        <w:t>号）。</w:t>
      </w:r>
    </w:p>
    <w:p>
      <w:pPr>
        <w:pStyle w:val="BodyText"/>
        <w:spacing w:line="300" w:lineRule="auto" w:before="5"/>
        <w:ind w:right="192"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日，根据公司第二届董事会第二十四次会议审议通过的《关于注销控股子公司沈阳荣科全濠科技有限 公司的议案》，公司拟注销子公司沈阳荣科全濠科技有限公司。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日，沈阳荣科全濠科技有限公司取得（沈</w:t>
      </w:r>
      <w:r>
        <w:rPr>
          <w:rFonts w:ascii="Times New Roman" w:hAnsi="Times New Roman" w:cs="Times New Roman" w:eastAsia="Times New Roman" w:hint="default"/>
        </w:rPr>
        <w:t>08</w:t>
      </w:r>
      <w:r>
        <w:rPr/>
        <w:t>）</w:t>
      </w:r>
      <w:r>
        <w:rPr>
          <w:spacing w:val="-87"/>
        </w:rPr>
        <w:t> </w:t>
      </w:r>
      <w:r>
        <w:rPr/>
        <w:t>工商外资销准字【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2017022808</w:t>
      </w:r>
      <w:r>
        <w:rPr/>
        <w:t>号外商投资企业注销登记通知书，相关注销工作已经完成。</w:t>
      </w:r>
    </w:p>
    <w:p>
      <w:pPr>
        <w:spacing w:after="0" w:line="300" w:lineRule="auto"/>
        <w:jc w:val="both"/>
        <w:sectPr>
          <w:headerReference w:type="default" r:id="rId28"/>
          <w:pgSz w:w="11910" w:h="16840"/>
          <w:pgMar w:header="566" w:footer="978" w:top="1360" w:bottom="1160" w:left="102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08" w:right="584"/>
        <w:jc w:val="left"/>
        <w:rPr>
          <w:b w:val="0"/>
          <w:bCs w:val="0"/>
        </w:rPr>
      </w:pPr>
      <w:bookmarkStart w:name="_bookmark5" w:id="6"/>
      <w:bookmarkEnd w:id="6"/>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1092" w:right="7234"/>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092" w:right="723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592"/>
        <w:jc w:val="right"/>
      </w:pPr>
      <w:r>
        <w:rPr/>
        <w:t>单位：股</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860"/>
        <w:gridCol w:w="1272"/>
        <w:gridCol w:w="1020"/>
        <w:gridCol w:w="852"/>
        <w:gridCol w:w="792"/>
        <w:gridCol w:w="1044"/>
        <w:gridCol w:w="1140"/>
        <w:gridCol w:w="1104"/>
        <w:gridCol w:w="1188"/>
        <w:gridCol w:w="816"/>
      </w:tblGrid>
      <w:tr>
        <w:trPr>
          <w:trHeight w:val="402" w:hRule="exact"/>
        </w:trPr>
        <w:tc>
          <w:tcPr>
            <w:tcW w:w="1860" w:type="dxa"/>
            <w:vMerge w:val="restart"/>
            <w:tcBorders>
              <w:top w:val="single" w:sz="4" w:space="0" w:color="000000"/>
              <w:left w:val="single" w:sz="4" w:space="0" w:color="000000"/>
              <w:right w:val="single" w:sz="4" w:space="0" w:color="000000"/>
            </w:tcBorders>
            <w:shd w:val="clear" w:color="auto" w:fill="D2D2D2"/>
          </w:tcPr>
          <w:p>
            <w:pP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3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1860" w:type="dxa"/>
            <w:vMerge/>
            <w:tcBorders>
              <w:left w:val="single" w:sz="4" w:space="0" w:color="000000"/>
              <w:bottom w:val="single" w:sz="4" w:space="0" w:color="000000"/>
              <w:right w:val="single" w:sz="4" w:space="0" w:color="000000"/>
            </w:tcBorders>
            <w:shd w:val="clear" w:color="auto" w:fill="D2D2D2"/>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161,805,452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50.34%</w:t>
            </w:r>
          </w:p>
        </w:tc>
        <w:tc>
          <w:tcPr>
            <w:tcW w:w="85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-111,683,454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-111,683,454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50,121,998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15.59%</w:t>
            </w:r>
          </w:p>
        </w:tc>
      </w:tr>
      <w:tr>
        <w:trPr>
          <w:trHeight w:val="402"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161,805,452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50.34%</w:t>
            </w:r>
          </w:p>
        </w:tc>
        <w:tc>
          <w:tcPr>
            <w:tcW w:w="85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-111,683,454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-111,683,454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50,121,998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w:t>
            </w:r>
          </w:p>
        </w:tc>
      </w:tr>
      <w:tr>
        <w:trPr>
          <w:trHeight w:val="402"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24,081,112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7.49%</w:t>
            </w:r>
          </w:p>
        </w:tc>
        <w:tc>
          <w:tcPr>
            <w:tcW w:w="85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24,081,112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7.49%</w:t>
            </w:r>
          </w:p>
        </w:tc>
      </w:tr>
      <w:tr>
        <w:trPr>
          <w:trHeight w:val="402"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137,724,340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42.85%</w:t>
            </w:r>
          </w:p>
        </w:tc>
        <w:tc>
          <w:tcPr>
            <w:tcW w:w="85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-111,683,454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-111,683,454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26,040,886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8.10%</w:t>
            </w:r>
          </w:p>
        </w:tc>
      </w:tr>
      <w:tr>
        <w:trPr>
          <w:trHeight w:val="402"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159,624,200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49.66%</w:t>
            </w:r>
          </w:p>
        </w:tc>
        <w:tc>
          <w:tcPr>
            <w:tcW w:w="85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111,683,454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111,683,454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271,307,654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84.41%</w:t>
            </w:r>
          </w:p>
        </w:tc>
      </w:tr>
      <w:tr>
        <w:trPr>
          <w:trHeight w:val="402"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159,624,200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49.66%</w:t>
            </w:r>
          </w:p>
        </w:tc>
        <w:tc>
          <w:tcPr>
            <w:tcW w:w="85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111,683,454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111,683,454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271,307,654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84.41%</w:t>
            </w:r>
          </w:p>
        </w:tc>
      </w:tr>
      <w:tr>
        <w:trPr>
          <w:trHeight w:val="402"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321,429,652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321,429,652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left="1092" w:right="7234"/>
        <w:jc w:val="left"/>
      </w:pPr>
      <w:r>
        <w:rPr/>
        <w:t>股份变动的原因</w:t>
      </w:r>
    </w:p>
    <w:p>
      <w:pPr>
        <w:pStyle w:val="BodyText"/>
        <w:spacing w:line="319" w:lineRule="auto" w:before="117"/>
        <w:ind w:left="1092" w:right="5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日，公司召开第二届董事会第三十七次会议，审议通过了新一届董事会成员的提名；</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日公司召开</w:t>
      </w:r>
      <w:r>
        <w:rPr>
          <w:rFonts w:ascii="Times New Roman" w:hAnsi="Times New Roman" w:cs="Times New Roman" w:eastAsia="Times New Roman" w:hint="default"/>
        </w:rPr>
        <w:t>2017</w:t>
      </w:r>
      <w:r>
        <w:rPr/>
        <w:t>年度 </w:t>
      </w:r>
      <w:r>
        <w:rPr>
          <w:spacing w:val="-2"/>
        </w:rPr>
        <w:t>第一次临时股东大会，审议通过了上述事项。同日，公司召开第三届董事会第一次会议，审议通过了公司第三届董事会董事</w:t>
      </w:r>
      <w:r>
        <w:rPr>
          <w:spacing w:val="-64"/>
        </w:rPr>
        <w:t> </w:t>
      </w:r>
      <w:r>
        <w:rPr>
          <w:spacing w:val="-64"/>
        </w:rPr>
      </w:r>
      <w:r>
        <w:rPr/>
        <w:t>长、副董事长的选举及对公司高级管理人员的聘任。通过此次选举，原公司董事付艳杰、崔万涛自</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日起，不再担任公</w:t>
      </w:r>
    </w:p>
    <w:p>
      <w:pPr>
        <w:pStyle w:val="BodyText"/>
        <w:spacing w:line="300" w:lineRule="auto"/>
        <w:ind w:left="1092" w:right="584"/>
        <w:jc w:val="left"/>
      </w:pPr>
      <w:r>
        <w:rPr/>
        <w:t>司董事；原公司高管杨兴礼自</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日起，不再担任公司高管。上述人员所持公司股份自离任起全部转变为高管锁定股，锁</w:t>
      </w:r>
      <w:r>
        <w:rPr>
          <w:spacing w:val="-85"/>
        </w:rPr>
        <w:t> </w:t>
      </w:r>
      <w:r>
        <w:rPr>
          <w:spacing w:val="-85"/>
        </w:rPr>
      </w:r>
      <w:r>
        <w:rPr/>
        <w:t>定期至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w:t>
      </w:r>
    </w:p>
    <w:p>
      <w:pPr>
        <w:pStyle w:val="BodyText"/>
        <w:spacing w:line="240" w:lineRule="auto" w:before="54"/>
        <w:ind w:left="1092" w:right="7234"/>
        <w:jc w:val="left"/>
      </w:pPr>
      <w:r>
        <w:rPr/>
        <w:t>股份变动的批准情况</w:t>
      </w:r>
    </w:p>
    <w:p>
      <w:pPr>
        <w:pStyle w:val="BodyText"/>
        <w:spacing w:line="338" w:lineRule="auto" w:before="117"/>
        <w:ind w:left="1092" w:right="18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日，公司召开</w:t>
      </w:r>
      <w:r>
        <w:rPr>
          <w:rFonts w:ascii="Times New Roman" w:hAnsi="Times New Roman" w:cs="Times New Roman" w:eastAsia="Times New Roman" w:hint="default"/>
        </w:rPr>
        <w:t>2017</w:t>
      </w:r>
      <w:r>
        <w:rPr/>
        <w:t>年度第一次临时股东大会，审议通过了第三届董事会董事提名等相关事宜。 股份变动的过户情况</w:t>
      </w:r>
    </w:p>
    <w:p>
      <w:pPr>
        <w:pStyle w:val="BodyText"/>
        <w:spacing w:line="338" w:lineRule="auto" w:before="43"/>
        <w:ind w:left="1092" w:right="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股份变动对最近一年和最近一期基本每股收益和稀释每股收益、归属于公司普通股股东的每股净资产等财务指标的影响</w:t>
      </w:r>
    </w:p>
    <w:p>
      <w:pPr>
        <w:pStyle w:val="BodyText"/>
        <w:spacing w:line="340" w:lineRule="auto" w:before="43"/>
        <w:ind w:left="1092"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公司认为必要或证券监管机构要求披露的其他内容</w:t>
      </w:r>
    </w:p>
    <w:p>
      <w:pPr>
        <w:pStyle w:val="BodyText"/>
        <w:spacing w:line="240" w:lineRule="auto" w:before="39"/>
        <w:ind w:left="1092" w:right="7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092" w:right="723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092" w:right="7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592"/>
        <w:jc w:val="right"/>
      </w:pPr>
      <w:r>
        <w:rPr/>
        <w:t>单位：股</w:t>
      </w:r>
    </w:p>
    <w:p>
      <w:pPr>
        <w:spacing w:after="0" w:line="240" w:lineRule="auto"/>
        <w:jc w:val="right"/>
        <w:sectPr>
          <w:pgSz w:w="11910" w:h="16840"/>
          <w:pgMar w:header="566" w:footer="978" w:top="1360" w:bottom="1160" w:left="40" w:right="540"/>
        </w:sectPr>
      </w:pP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636"/>
        <w:gridCol w:w="1128"/>
        <w:gridCol w:w="1080"/>
        <w:gridCol w:w="1032"/>
        <w:gridCol w:w="984"/>
        <w:gridCol w:w="1680"/>
        <w:gridCol w:w="1572"/>
      </w:tblGrid>
      <w:tr>
        <w:trPr>
          <w:trHeight w:val="714" w:hRule="exact"/>
        </w:trPr>
        <w:tc>
          <w:tcPr>
            <w:tcW w:w="3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69" w:right="107"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5" w:right="83"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1" w:right="59"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97" w:right="35"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55,731,503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70,533,428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14,801,925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高管离任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55,731,503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70,533,428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14,801,925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高管离任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265,048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265,048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235,598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235,598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191,700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191,700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杨兴礼</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220,448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293,932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73,484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高管离任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12,674,270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12,674,270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12,674,270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12,674,270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本翼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10,139,416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10,139,416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期员工持股计划</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7,604,562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7,604,562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浙江海宁嘉慧投资合伙企业（有限合伙）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6,337,134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6,337,134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161,805,452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141,360,788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29,677,334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50,121,998</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8"/>
          <w:szCs w:val="18"/>
        </w:rPr>
      </w:pPr>
    </w:p>
    <w:p>
      <w:pPr>
        <w:pStyle w:val="Heading2"/>
        <w:spacing w:line="240" w:lineRule="auto" w:before="26"/>
        <w:ind w:left="1132" w:right="6854"/>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2"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2"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132"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2"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2" w:right="685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2"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32" w:right="6854"/>
        <w:jc w:val="left"/>
        <w:rPr>
          <w:b w:val="0"/>
          <w:bCs w:val="0"/>
        </w:rPr>
      </w:pPr>
      <w:r>
        <w:rPr/>
        <w:t>三、股东和实际控制人情况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32" w:right="685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652"/>
        <w:jc w:val="right"/>
      </w:pPr>
      <w:r>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48"/>
        <w:gridCol w:w="341"/>
        <w:gridCol w:w="751"/>
        <w:gridCol w:w="348"/>
        <w:gridCol w:w="780"/>
        <w:gridCol w:w="432"/>
        <w:gridCol w:w="732"/>
        <w:gridCol w:w="275"/>
        <w:gridCol w:w="829"/>
        <w:gridCol w:w="1152"/>
        <w:gridCol w:w="192"/>
        <w:gridCol w:w="588"/>
        <w:gridCol w:w="528"/>
        <w:gridCol w:w="948"/>
        <w:gridCol w:w="588"/>
        <w:gridCol w:w="564"/>
      </w:tblGrid>
      <w:tr>
        <w:trPr>
          <w:trHeight w:val="1026" w:hRule="exact"/>
        </w:trPr>
        <w:tc>
          <w:tcPr>
            <w:tcW w:w="2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22,066</w:t>
            </w:r>
          </w:p>
        </w:tc>
        <w:tc>
          <w:tcPr>
            <w:tcW w:w="15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5"/>
              <w:jc w:val="both"/>
              <w:rPr>
                <w:rFonts w:ascii="宋体" w:hAnsi="宋体" w:cs="宋体" w:eastAsia="宋体" w:hint="default"/>
                <w:sz w:val="18"/>
                <w:szCs w:val="18"/>
              </w:rPr>
            </w:pPr>
            <w:r>
              <w:rPr>
                <w:rFonts w:ascii="宋体" w:hAnsi="宋体" w:cs="宋体" w:eastAsia="宋体" w:hint="default"/>
                <w:sz w:val="18"/>
                <w:szCs w:val="18"/>
              </w:rPr>
              <w:t>年度报告披露日前 上一月末普通股股 东总数</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20,691</w:t>
            </w:r>
          </w:p>
        </w:tc>
        <w:tc>
          <w:tcPr>
            <w:tcW w:w="21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57"/>
              <w:jc w:val="left"/>
              <w:rPr>
                <w:rFonts w:ascii="宋体" w:hAnsi="宋体" w:cs="宋体" w:eastAsia="宋体" w:hint="default"/>
                <w:sz w:val="18"/>
                <w:szCs w:val="18"/>
              </w:rPr>
            </w:pPr>
            <w:r>
              <w:rPr>
                <w:rFonts w:ascii="宋体" w:hAnsi="宋体" w:cs="宋体" w:eastAsia="宋体" w:hint="default"/>
                <w:sz w:val="18"/>
                <w:szCs w:val="18"/>
              </w:rPr>
              <w:t>报告期末表决权恢复的优 先股股东总数</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20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9"/>
              <w:jc w:val="both"/>
              <w:rPr>
                <w:rFonts w:ascii="宋体" w:hAnsi="宋体" w:cs="宋体" w:eastAsia="宋体" w:hint="default"/>
                <w:sz w:val="18"/>
                <w:szCs w:val="18"/>
              </w:rPr>
            </w:pPr>
            <w:r>
              <w:rPr>
                <w:rFonts w:ascii="宋体" w:hAnsi="宋体" w:cs="宋体" w:eastAsia="宋体" w:hint="default"/>
                <w:sz w:val="18"/>
                <w:szCs w:val="18"/>
              </w:rPr>
              <w:t>年度报告披露日前上一月 末表决权恢复的优先股股 东总数</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196"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名股东持股情况</w:t>
            </w:r>
          </w:p>
        </w:tc>
      </w:tr>
      <w:tr>
        <w:trPr>
          <w:trHeight w:val="402" w:hRule="exact"/>
        </w:trPr>
        <w:tc>
          <w:tcPr>
            <w:tcW w:w="24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97" w:right="35"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1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7" w:right="95"/>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 w:right="30"/>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30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9" w:right="107"/>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21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0" w:hRule="exact"/>
        </w:trPr>
        <w:tc>
          <w:tcPr>
            <w:tcW w:w="2489" w:type="dxa"/>
            <w:gridSpan w:val="2"/>
            <w:vMerge/>
            <w:tcBorders>
              <w:left w:val="single" w:sz="4" w:space="0" w:color="000000"/>
              <w:bottom w:val="single" w:sz="4" w:space="0" w:color="000000"/>
              <w:right w:val="single" w:sz="4" w:space="0" w:color="000000"/>
            </w:tcBorders>
            <w:shd w:val="clear" w:color="auto" w:fill="D2D2D2"/>
          </w:tcPr>
          <w:p>
            <w:pPr/>
          </w:p>
        </w:tc>
        <w:tc>
          <w:tcPr>
            <w:tcW w:w="1099" w:type="dxa"/>
            <w:gridSpan w:val="2"/>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1164" w:type="dxa"/>
            <w:gridSpan w:val="2"/>
            <w:vMerge/>
            <w:tcBorders>
              <w:left w:val="single" w:sz="4" w:space="0" w:color="000000"/>
              <w:bottom w:val="single" w:sz="4" w:space="0" w:color="000000"/>
              <w:right w:val="single" w:sz="4" w:space="0" w:color="000000"/>
            </w:tcBorders>
            <w:shd w:val="clear" w:color="auto" w:fill="D2D2D2"/>
          </w:tcPr>
          <w:p>
            <w:pPr/>
          </w:p>
        </w:tc>
        <w:tc>
          <w:tcPr>
            <w:tcW w:w="1104" w:type="dxa"/>
            <w:gridSpan w:val="2"/>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308" w:type="dxa"/>
            <w:gridSpan w:val="3"/>
            <w:vMerge/>
            <w:tcBorders>
              <w:left w:val="single" w:sz="4" w:space="0" w:color="000000"/>
              <w:bottom w:val="single" w:sz="4" w:space="0" w:color="000000"/>
              <w:right w:val="single" w:sz="4" w:space="0" w:color="000000"/>
            </w:tcBorders>
            <w:shd w:val="clear" w:color="auto" w:fill="D2D2D2"/>
          </w:tcPr>
          <w:p>
            <w:pP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center"/>
        <w:rPr>
          <w:rFonts w:ascii="宋体" w:hAnsi="宋体" w:cs="宋体" w:eastAsia="宋体" w:hint="default"/>
          <w:sz w:val="18"/>
          <w:szCs w:val="18"/>
        </w:rPr>
        <w:sectPr>
          <w:pgSz w:w="11910" w:h="16840"/>
          <w:pgMar w:header="566" w:footer="978" w:top="1360" w:bottom="1160" w:left="0" w:right="480"/>
        </w:sectPr>
      </w:pPr>
    </w:p>
    <w:tbl>
      <w:tblPr>
        <w:tblW w:w="0" w:type="auto"/>
        <w:jc w:val="left"/>
        <w:tblInd w:w="109" w:type="dxa"/>
        <w:tblLayout w:type="fixed"/>
        <w:tblCellMar>
          <w:top w:w="0" w:type="dxa"/>
          <w:left w:w="0" w:type="dxa"/>
          <w:bottom w:w="0" w:type="dxa"/>
          <w:right w:w="0" w:type="dxa"/>
        </w:tblCellMar>
        <w:tblLook w:val="01E0"/>
      </w:tblPr>
      <w:tblGrid>
        <w:gridCol w:w="2489"/>
        <w:gridCol w:w="1099"/>
        <w:gridCol w:w="780"/>
        <w:gridCol w:w="456"/>
        <w:gridCol w:w="708"/>
        <w:gridCol w:w="1104"/>
        <w:gridCol w:w="1152"/>
        <w:gridCol w:w="101"/>
        <w:gridCol w:w="1207"/>
        <w:gridCol w:w="672"/>
        <w:gridCol w:w="276"/>
        <w:gridCol w:w="1152"/>
      </w:tblGrid>
      <w:tr>
        <w:trPr>
          <w:trHeight w:val="40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25.89%</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0" w:right="0"/>
              <w:jc w:val="left"/>
              <w:rPr>
                <w:rFonts w:ascii="Times New Roman" w:hAnsi="Times New Roman" w:cs="Times New Roman" w:eastAsia="Times New Roman" w:hint="default"/>
                <w:sz w:val="18"/>
                <w:szCs w:val="18"/>
              </w:rPr>
            </w:pPr>
            <w:r>
              <w:rPr>
                <w:rFonts w:ascii="Times New Roman"/>
                <w:sz w:val="18"/>
              </w:rPr>
              <w:t>83,207,698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12,674,270</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4" w:right="0"/>
              <w:jc w:val="left"/>
              <w:rPr>
                <w:rFonts w:ascii="Times New Roman" w:hAnsi="Times New Roman" w:cs="Times New Roman" w:eastAsia="Times New Roman" w:hint="default"/>
                <w:sz w:val="18"/>
                <w:szCs w:val="18"/>
              </w:rPr>
            </w:pPr>
            <w:r>
              <w:rPr>
                <w:rFonts w:ascii="Times New Roman"/>
                <w:sz w:val="18"/>
              </w:rPr>
              <w:t>70,533,428</w:t>
            </w: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75,292,956</w:t>
            </w: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25.89%</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0" w:right="0"/>
              <w:jc w:val="left"/>
              <w:rPr>
                <w:rFonts w:ascii="Times New Roman" w:hAnsi="Times New Roman" w:cs="Times New Roman" w:eastAsia="Times New Roman" w:hint="default"/>
                <w:sz w:val="18"/>
                <w:szCs w:val="18"/>
              </w:rPr>
            </w:pPr>
            <w:r>
              <w:rPr>
                <w:rFonts w:ascii="Times New Roman"/>
                <w:sz w:val="18"/>
              </w:rPr>
              <w:t>83,207,698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12,674,270</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4" w:right="0"/>
              <w:jc w:val="left"/>
              <w:rPr>
                <w:rFonts w:ascii="Times New Roman" w:hAnsi="Times New Roman" w:cs="Times New Roman" w:eastAsia="Times New Roman" w:hint="default"/>
                <w:sz w:val="18"/>
                <w:szCs w:val="18"/>
              </w:rPr>
            </w:pPr>
            <w:r>
              <w:rPr>
                <w:rFonts w:ascii="Times New Roman"/>
                <w:sz w:val="18"/>
              </w:rPr>
              <w:t>70,533,428</w:t>
            </w: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71,484,170</w:t>
            </w:r>
          </w:p>
        </w:tc>
      </w:tr>
      <w:tr>
        <w:trPr>
          <w:trHeight w:val="71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财通基金－招商银行－本翼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64"/>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10,139,416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10,139,416</w:t>
            </w:r>
          </w:p>
        </w:tc>
        <w:tc>
          <w:tcPr>
            <w:tcW w:w="1308" w:type="dxa"/>
            <w:gridSpan w:val="2"/>
            <w:tcBorders>
              <w:top w:val="single" w:sz="4" w:space="0" w:color="000000"/>
              <w:left w:val="single" w:sz="4" w:space="0" w:color="000000"/>
              <w:bottom w:val="single" w:sz="4" w:space="0" w:color="000000"/>
              <w:right w:val="single" w:sz="4" w:space="0" w:color="000000"/>
            </w:tcBorders>
          </w:tcPr>
          <w:p>
            <w:pPr/>
          </w:p>
        </w:tc>
        <w:tc>
          <w:tcPr>
            <w:tcW w:w="948" w:type="dxa"/>
            <w:gridSpan w:val="2"/>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荣科科技股份有限公司－第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期员工持股计划</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1" w:right="0"/>
              <w:jc w:val="left"/>
              <w:rPr>
                <w:rFonts w:ascii="Times New Roman" w:hAnsi="Times New Roman" w:cs="Times New Roman" w:eastAsia="Times New Roman" w:hint="default"/>
                <w:sz w:val="18"/>
                <w:szCs w:val="18"/>
              </w:rPr>
            </w:pPr>
            <w:r>
              <w:rPr>
                <w:rFonts w:ascii="Times New Roman"/>
                <w:sz w:val="18"/>
              </w:rPr>
              <w:t>7,604,562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7,604,562</w:t>
            </w:r>
          </w:p>
        </w:tc>
        <w:tc>
          <w:tcPr>
            <w:tcW w:w="1308" w:type="dxa"/>
            <w:gridSpan w:val="2"/>
            <w:tcBorders>
              <w:top w:val="single" w:sz="4" w:space="0" w:color="000000"/>
              <w:left w:val="single" w:sz="4" w:space="0" w:color="000000"/>
              <w:bottom w:val="single" w:sz="4" w:space="0" w:color="000000"/>
              <w:right w:val="single" w:sz="4" w:space="0" w:color="000000"/>
            </w:tcBorders>
          </w:tcPr>
          <w:p>
            <w:pPr/>
          </w:p>
        </w:tc>
        <w:tc>
          <w:tcPr>
            <w:tcW w:w="948" w:type="dxa"/>
            <w:gridSpan w:val="2"/>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浙江海宁嘉慧投资合伙企业（有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限合伙）</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64"/>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1" w:right="0"/>
              <w:jc w:val="left"/>
              <w:rPr>
                <w:rFonts w:ascii="Times New Roman" w:hAnsi="Times New Roman" w:cs="Times New Roman" w:eastAsia="Times New Roman" w:hint="default"/>
                <w:sz w:val="18"/>
                <w:szCs w:val="18"/>
              </w:rPr>
            </w:pPr>
            <w:r>
              <w:rPr>
                <w:rFonts w:ascii="Times New Roman"/>
                <w:sz w:val="18"/>
              </w:rPr>
              <w:t>6,337,134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6,337,134</w:t>
            </w:r>
          </w:p>
        </w:tc>
        <w:tc>
          <w:tcPr>
            <w:tcW w:w="1308" w:type="dxa"/>
            <w:gridSpan w:val="2"/>
            <w:tcBorders>
              <w:top w:val="single" w:sz="4" w:space="0" w:color="000000"/>
              <w:left w:val="single" w:sz="4" w:space="0" w:color="000000"/>
              <w:bottom w:val="single" w:sz="4" w:space="0" w:color="000000"/>
              <w:right w:val="single" w:sz="4" w:space="0" w:color="000000"/>
            </w:tcBorders>
          </w:tcPr>
          <w:p>
            <w:pPr/>
          </w:p>
        </w:tc>
        <w:tc>
          <w:tcPr>
            <w:tcW w:w="948" w:type="dxa"/>
            <w:gridSpan w:val="2"/>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张继武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1.73%</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1" w:right="0"/>
              <w:jc w:val="left"/>
              <w:rPr>
                <w:rFonts w:ascii="Times New Roman" w:hAnsi="Times New Roman" w:cs="Times New Roman" w:eastAsia="Times New Roman" w:hint="default"/>
                <w:sz w:val="18"/>
                <w:szCs w:val="18"/>
              </w:rPr>
            </w:pPr>
            <w:r>
              <w:rPr>
                <w:rFonts w:ascii="Times New Roman"/>
                <w:sz w:val="18"/>
              </w:rPr>
              <w:t>5,551,895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5" w:right="0"/>
              <w:jc w:val="left"/>
              <w:rPr>
                <w:rFonts w:ascii="Times New Roman" w:hAnsi="Times New Roman" w:cs="Times New Roman" w:eastAsia="Times New Roman" w:hint="default"/>
                <w:sz w:val="18"/>
                <w:szCs w:val="18"/>
              </w:rPr>
            </w:pPr>
            <w:r>
              <w:rPr>
                <w:rFonts w:ascii="Times New Roman"/>
                <w:sz w:val="18"/>
              </w:rPr>
              <w:t>5,551,895</w:t>
            </w: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2,840,000</w:t>
            </w:r>
          </w:p>
        </w:tc>
      </w:tr>
      <w:tr>
        <w:trPr>
          <w:trHeight w:val="71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4"/>
              <w:jc w:val="left"/>
              <w:rPr>
                <w:rFonts w:ascii="宋体" w:hAnsi="宋体" w:cs="宋体" w:eastAsia="宋体" w:hint="default"/>
                <w:sz w:val="18"/>
                <w:szCs w:val="18"/>
              </w:rPr>
            </w:pPr>
            <w:r>
              <w:rPr>
                <w:rFonts w:ascii="宋体" w:hAnsi="宋体" w:cs="宋体" w:eastAsia="宋体" w:hint="default"/>
                <w:sz w:val="18"/>
                <w:szCs w:val="18"/>
              </w:rPr>
              <w:t>兴业银行股份有限公司－兴全 趋势投资混合型证券投资基金</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64"/>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1" w:right="0"/>
              <w:jc w:val="left"/>
              <w:rPr>
                <w:rFonts w:ascii="Times New Roman" w:hAnsi="Times New Roman" w:cs="Times New Roman" w:eastAsia="Times New Roman" w:hint="default"/>
                <w:sz w:val="18"/>
                <w:szCs w:val="18"/>
              </w:rPr>
            </w:pPr>
            <w:r>
              <w:rPr>
                <w:rFonts w:ascii="Times New Roman"/>
                <w:sz w:val="18"/>
              </w:rPr>
              <w:t>4,999,969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4,999,969</w:t>
            </w:r>
          </w:p>
        </w:tc>
        <w:tc>
          <w:tcPr>
            <w:tcW w:w="948" w:type="dxa"/>
            <w:gridSpan w:val="2"/>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沈亚芬</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0.35%</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1" w:right="0"/>
              <w:jc w:val="left"/>
              <w:rPr>
                <w:rFonts w:ascii="Times New Roman" w:hAnsi="Times New Roman" w:cs="Times New Roman" w:eastAsia="Times New Roman" w:hint="default"/>
                <w:sz w:val="18"/>
                <w:szCs w:val="18"/>
              </w:rPr>
            </w:pPr>
            <w:r>
              <w:rPr>
                <w:rFonts w:ascii="Times New Roman"/>
                <w:sz w:val="18"/>
              </w:rPr>
              <w:t>1,120,000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5" w:right="0"/>
              <w:jc w:val="left"/>
              <w:rPr>
                <w:rFonts w:ascii="Times New Roman" w:hAnsi="Times New Roman" w:cs="Times New Roman" w:eastAsia="Times New Roman" w:hint="default"/>
                <w:sz w:val="18"/>
                <w:szCs w:val="18"/>
              </w:rPr>
            </w:pPr>
            <w:r>
              <w:rPr>
                <w:rFonts w:ascii="Times New Roman"/>
                <w:sz w:val="18"/>
              </w:rPr>
              <w:t>1,120,000</w:t>
            </w:r>
          </w:p>
        </w:tc>
        <w:tc>
          <w:tcPr>
            <w:tcW w:w="948" w:type="dxa"/>
            <w:gridSpan w:val="2"/>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缪正芳</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0.28%</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5" w:right="0"/>
              <w:jc w:val="left"/>
              <w:rPr>
                <w:rFonts w:ascii="Times New Roman" w:hAnsi="Times New Roman" w:cs="Times New Roman" w:eastAsia="Times New Roman" w:hint="default"/>
                <w:sz w:val="18"/>
                <w:szCs w:val="18"/>
              </w:rPr>
            </w:pPr>
            <w:r>
              <w:rPr>
                <w:rFonts w:ascii="Times New Roman"/>
                <w:sz w:val="18"/>
              </w:rPr>
              <w:t>910,000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9" w:right="0"/>
              <w:jc w:val="left"/>
              <w:rPr>
                <w:rFonts w:ascii="Times New Roman" w:hAnsi="Times New Roman" w:cs="Times New Roman" w:eastAsia="Times New Roman" w:hint="default"/>
                <w:sz w:val="18"/>
                <w:szCs w:val="18"/>
              </w:rPr>
            </w:pPr>
            <w:r>
              <w:rPr>
                <w:rFonts w:ascii="Times New Roman"/>
                <w:sz w:val="18"/>
              </w:rPr>
              <w:t>910,000</w:t>
            </w:r>
          </w:p>
        </w:tc>
        <w:tc>
          <w:tcPr>
            <w:tcW w:w="948" w:type="dxa"/>
            <w:gridSpan w:val="2"/>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计红姣</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0.24%</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5" w:right="0"/>
              <w:jc w:val="left"/>
              <w:rPr>
                <w:rFonts w:ascii="Times New Roman" w:hAnsi="Times New Roman" w:cs="Times New Roman" w:eastAsia="Times New Roman" w:hint="default"/>
                <w:sz w:val="18"/>
                <w:szCs w:val="18"/>
              </w:rPr>
            </w:pPr>
            <w:r>
              <w:rPr>
                <w:rFonts w:ascii="Times New Roman"/>
                <w:sz w:val="18"/>
              </w:rPr>
              <w:t>770,007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9" w:right="0"/>
              <w:jc w:val="left"/>
              <w:rPr>
                <w:rFonts w:ascii="Times New Roman" w:hAnsi="Times New Roman" w:cs="Times New Roman" w:eastAsia="Times New Roman" w:hint="default"/>
                <w:sz w:val="18"/>
                <w:szCs w:val="18"/>
              </w:rPr>
            </w:pPr>
            <w:r>
              <w:rPr>
                <w:rFonts w:ascii="Times New Roman"/>
                <w:sz w:val="18"/>
              </w:rPr>
              <w:t>770,007</w:t>
            </w:r>
          </w:p>
        </w:tc>
        <w:tc>
          <w:tcPr>
            <w:tcW w:w="948" w:type="dxa"/>
            <w:gridSpan w:val="2"/>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名股东的情况</w:t>
            </w:r>
          </w:p>
        </w:tc>
        <w:tc>
          <w:tcPr>
            <w:tcW w:w="76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月，公司非公开发行股份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24,714,826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股，发行对象认购股份情况详见公司于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日披露的《非公开发行股票上市公告书》</w:t>
            </w:r>
          </w:p>
          <w:p>
            <w:pPr>
              <w:pStyle w:val="TableParagraph"/>
              <w:spacing w:line="300" w:lineRule="auto" w:before="63"/>
              <w:ind w:left="22" w:right="52"/>
              <w:jc w:val="left"/>
              <w:rPr>
                <w:rFonts w:ascii="宋体" w:hAnsi="宋体" w:cs="宋体" w:eastAsia="宋体" w:hint="default"/>
                <w:sz w:val="18"/>
                <w:szCs w:val="18"/>
              </w:rPr>
            </w:pPr>
            <w:r>
              <w:rPr>
                <w:rFonts w:ascii="宋体" w:hAnsi="宋体" w:cs="宋体" w:eastAsia="宋体" w:hint="default"/>
                <w:spacing w:val="-1"/>
                <w:sz w:val="18"/>
                <w:szCs w:val="18"/>
              </w:rPr>
              <w:t>（</w:t>
            </w:r>
            <w:hyperlink r:id="rId29">
              <w:r>
                <w:rPr>
                  <w:rFonts w:ascii="Times New Roman" w:hAnsi="Times New Roman" w:cs="Times New Roman" w:eastAsia="Times New Roman" w:hint="default"/>
                  <w:spacing w:val="-1"/>
                  <w:sz w:val="18"/>
                  <w:szCs w:val="18"/>
                </w:rPr>
                <w:t>http://www.cninfo.com.cn/cninfo-new/disclosure/szse_gem/bulletin_detail/true/1201237053?announc</w:t>
              </w:r>
            </w:hyperlink>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Times New Roman" w:hAnsi="Times New Roman" w:cs="Times New Roman" w:eastAsia="Times New Roman" w:hint="default"/>
                <w:sz w:val="18"/>
                <w:szCs w:val="18"/>
              </w:rPr>
              <w:t>eTime=2015-07-03%2018:41</w:t>
            </w:r>
            <w:r>
              <w:rPr>
                <w:rFonts w:ascii="宋体" w:hAnsi="宋体" w:cs="宋体" w:eastAsia="宋体" w:hint="default"/>
                <w:sz w:val="18"/>
                <w:szCs w:val="18"/>
              </w:rPr>
              <w:t>）</w:t>
            </w:r>
          </w:p>
        </w:tc>
      </w:tr>
      <w:tr>
        <w:trPr>
          <w:trHeight w:val="402" w:hRule="exact"/>
        </w:trPr>
        <w:tc>
          <w:tcPr>
            <w:tcW w:w="3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6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上述股东中，付艳杰与崔万涛为一致行动人。</w:t>
            </w:r>
          </w:p>
        </w:tc>
      </w:tr>
      <w:tr>
        <w:trPr>
          <w:trHeight w:val="402" w:hRule="exact"/>
        </w:trPr>
        <w:tc>
          <w:tcPr>
            <w:tcW w:w="1119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482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6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3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4824" w:type="dxa"/>
            <w:gridSpan w:val="4"/>
            <w:vMerge/>
            <w:tcBorders>
              <w:left w:val="single" w:sz="4" w:space="0" w:color="000000"/>
              <w:bottom w:val="single" w:sz="4" w:space="0" w:color="000000"/>
              <w:right w:val="single" w:sz="4" w:space="0" w:color="000000"/>
            </w:tcBorders>
            <w:shd w:val="clear" w:color="auto" w:fill="D2D2D2"/>
          </w:tcPr>
          <w:p>
            <w:pPr/>
          </w:p>
        </w:tc>
        <w:tc>
          <w:tcPr>
            <w:tcW w:w="3065" w:type="dxa"/>
            <w:gridSpan w:val="4"/>
            <w:vMerge/>
            <w:tcBorders>
              <w:left w:val="single" w:sz="4" w:space="0" w:color="000000"/>
              <w:bottom w:val="single" w:sz="4" w:space="0" w:color="000000"/>
              <w:right w:val="single" w:sz="4" w:space="0" w:color="000000"/>
            </w:tcBorders>
            <w:shd w:val="clear" w:color="auto" w:fill="D2D2D2"/>
          </w:tcPr>
          <w:p>
            <w:pPr/>
          </w:p>
        </w:tc>
        <w:tc>
          <w:tcPr>
            <w:tcW w:w="18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4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70,533,428</w:t>
            </w:r>
          </w:p>
        </w:tc>
        <w:tc>
          <w:tcPr>
            <w:tcW w:w="1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4" w:right="0"/>
              <w:jc w:val="left"/>
              <w:rPr>
                <w:rFonts w:ascii="Times New Roman" w:hAnsi="Times New Roman" w:cs="Times New Roman" w:eastAsia="Times New Roman" w:hint="default"/>
                <w:sz w:val="18"/>
                <w:szCs w:val="18"/>
              </w:rPr>
            </w:pPr>
            <w:r>
              <w:rPr>
                <w:rFonts w:ascii="Times New Roman"/>
                <w:sz w:val="18"/>
              </w:rPr>
              <w:t>70,533,428</w:t>
            </w:r>
          </w:p>
        </w:tc>
      </w:tr>
      <w:tr>
        <w:trPr>
          <w:trHeight w:val="402" w:hRule="exact"/>
        </w:trPr>
        <w:tc>
          <w:tcPr>
            <w:tcW w:w="4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70,533,428</w:t>
            </w:r>
          </w:p>
        </w:tc>
        <w:tc>
          <w:tcPr>
            <w:tcW w:w="1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4" w:right="0"/>
              <w:jc w:val="left"/>
              <w:rPr>
                <w:rFonts w:ascii="Times New Roman" w:hAnsi="Times New Roman" w:cs="Times New Roman" w:eastAsia="Times New Roman" w:hint="default"/>
                <w:sz w:val="18"/>
                <w:szCs w:val="18"/>
              </w:rPr>
            </w:pPr>
            <w:r>
              <w:rPr>
                <w:rFonts w:ascii="Times New Roman"/>
                <w:sz w:val="18"/>
              </w:rPr>
              <w:t>70,533,428</w:t>
            </w:r>
          </w:p>
        </w:tc>
      </w:tr>
      <w:tr>
        <w:trPr>
          <w:trHeight w:val="402" w:hRule="exact"/>
        </w:trPr>
        <w:tc>
          <w:tcPr>
            <w:tcW w:w="4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张继武</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5,551,895</w:t>
            </w:r>
          </w:p>
        </w:tc>
        <w:tc>
          <w:tcPr>
            <w:tcW w:w="1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5" w:right="0"/>
              <w:jc w:val="left"/>
              <w:rPr>
                <w:rFonts w:ascii="Times New Roman" w:hAnsi="Times New Roman" w:cs="Times New Roman" w:eastAsia="Times New Roman" w:hint="default"/>
                <w:sz w:val="18"/>
                <w:szCs w:val="18"/>
              </w:rPr>
            </w:pPr>
            <w:r>
              <w:rPr>
                <w:rFonts w:ascii="Times New Roman"/>
                <w:sz w:val="18"/>
              </w:rPr>
              <w:t>5,551,895</w:t>
            </w:r>
          </w:p>
        </w:tc>
      </w:tr>
      <w:tr>
        <w:trPr>
          <w:trHeight w:val="402" w:hRule="exact"/>
        </w:trPr>
        <w:tc>
          <w:tcPr>
            <w:tcW w:w="4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兴业银行股份有限公司－兴全趋势投资混合型证券投资基金</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4,999,969</w:t>
            </w:r>
          </w:p>
        </w:tc>
        <w:tc>
          <w:tcPr>
            <w:tcW w:w="1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5" w:right="0"/>
              <w:jc w:val="left"/>
              <w:rPr>
                <w:rFonts w:ascii="Times New Roman" w:hAnsi="Times New Roman" w:cs="Times New Roman" w:eastAsia="Times New Roman" w:hint="default"/>
                <w:sz w:val="18"/>
                <w:szCs w:val="18"/>
              </w:rPr>
            </w:pPr>
            <w:r>
              <w:rPr>
                <w:rFonts w:ascii="Times New Roman"/>
                <w:sz w:val="18"/>
              </w:rPr>
              <w:t>4,999,969</w:t>
            </w:r>
          </w:p>
        </w:tc>
      </w:tr>
      <w:tr>
        <w:trPr>
          <w:trHeight w:val="402" w:hRule="exact"/>
        </w:trPr>
        <w:tc>
          <w:tcPr>
            <w:tcW w:w="4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沈亚芬</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1,120,000</w:t>
            </w:r>
          </w:p>
        </w:tc>
        <w:tc>
          <w:tcPr>
            <w:tcW w:w="1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5" w:right="0"/>
              <w:jc w:val="left"/>
              <w:rPr>
                <w:rFonts w:ascii="Times New Roman" w:hAnsi="Times New Roman" w:cs="Times New Roman" w:eastAsia="Times New Roman" w:hint="default"/>
                <w:sz w:val="18"/>
                <w:szCs w:val="18"/>
              </w:rPr>
            </w:pPr>
            <w:r>
              <w:rPr>
                <w:rFonts w:ascii="Times New Roman"/>
                <w:sz w:val="18"/>
              </w:rPr>
              <w:t>1,120,000</w:t>
            </w:r>
          </w:p>
        </w:tc>
      </w:tr>
      <w:tr>
        <w:trPr>
          <w:trHeight w:val="402" w:hRule="exact"/>
        </w:trPr>
        <w:tc>
          <w:tcPr>
            <w:tcW w:w="4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缪正芳</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910,000</w:t>
            </w:r>
          </w:p>
        </w:tc>
        <w:tc>
          <w:tcPr>
            <w:tcW w:w="1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0" w:right="0"/>
              <w:jc w:val="left"/>
              <w:rPr>
                <w:rFonts w:ascii="Times New Roman" w:hAnsi="Times New Roman" w:cs="Times New Roman" w:eastAsia="Times New Roman" w:hint="default"/>
                <w:sz w:val="18"/>
                <w:szCs w:val="18"/>
              </w:rPr>
            </w:pPr>
            <w:r>
              <w:rPr>
                <w:rFonts w:ascii="Times New Roman"/>
                <w:sz w:val="18"/>
              </w:rPr>
              <w:t>910,000</w:t>
            </w:r>
          </w:p>
        </w:tc>
      </w:tr>
      <w:tr>
        <w:trPr>
          <w:trHeight w:val="402" w:hRule="exact"/>
        </w:trPr>
        <w:tc>
          <w:tcPr>
            <w:tcW w:w="4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计红姣</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770,007</w:t>
            </w:r>
          </w:p>
        </w:tc>
        <w:tc>
          <w:tcPr>
            <w:tcW w:w="1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0" w:right="0"/>
              <w:jc w:val="left"/>
              <w:rPr>
                <w:rFonts w:ascii="Times New Roman" w:hAnsi="Times New Roman" w:cs="Times New Roman" w:eastAsia="Times New Roman" w:hint="default"/>
                <w:sz w:val="18"/>
                <w:szCs w:val="18"/>
              </w:rPr>
            </w:pPr>
            <w:r>
              <w:rPr>
                <w:rFonts w:ascii="Times New Roman"/>
                <w:sz w:val="18"/>
              </w:rPr>
              <w:t>770,007</w:t>
            </w:r>
          </w:p>
        </w:tc>
      </w:tr>
      <w:tr>
        <w:trPr>
          <w:trHeight w:val="402" w:hRule="exact"/>
        </w:trPr>
        <w:tc>
          <w:tcPr>
            <w:tcW w:w="4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620,200</w:t>
            </w:r>
          </w:p>
        </w:tc>
        <w:tc>
          <w:tcPr>
            <w:tcW w:w="1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0" w:right="0"/>
              <w:jc w:val="left"/>
              <w:rPr>
                <w:rFonts w:ascii="Times New Roman" w:hAnsi="Times New Roman" w:cs="Times New Roman" w:eastAsia="Times New Roman" w:hint="default"/>
                <w:sz w:val="18"/>
                <w:szCs w:val="18"/>
              </w:rPr>
            </w:pPr>
            <w:r>
              <w:rPr>
                <w:rFonts w:ascii="Times New Roman"/>
                <w:sz w:val="18"/>
              </w:rPr>
              <w:t>620,200</w:t>
            </w:r>
          </w:p>
        </w:tc>
      </w:tr>
      <w:tr>
        <w:trPr>
          <w:trHeight w:val="402" w:hRule="exact"/>
        </w:trPr>
        <w:tc>
          <w:tcPr>
            <w:tcW w:w="4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夏若兰</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570,000</w:t>
            </w:r>
          </w:p>
        </w:tc>
        <w:tc>
          <w:tcPr>
            <w:tcW w:w="1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0" w:right="0"/>
              <w:jc w:val="left"/>
              <w:rPr>
                <w:rFonts w:ascii="Times New Roman" w:hAnsi="Times New Roman" w:cs="Times New Roman" w:eastAsia="Times New Roman" w:hint="default"/>
                <w:sz w:val="18"/>
                <w:szCs w:val="18"/>
              </w:rPr>
            </w:pPr>
            <w:r>
              <w:rPr>
                <w:rFonts w:ascii="Times New Roman"/>
                <w:sz w:val="18"/>
              </w:rPr>
              <w:t>570,000</w:t>
            </w:r>
          </w:p>
        </w:tc>
      </w:tr>
      <w:tr>
        <w:trPr>
          <w:trHeight w:val="402" w:hRule="exact"/>
        </w:trPr>
        <w:tc>
          <w:tcPr>
            <w:tcW w:w="4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徐建平</w:t>
            </w:r>
          </w:p>
        </w:tc>
        <w:tc>
          <w:tcPr>
            <w:tcW w:w="30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478,000</w:t>
            </w:r>
          </w:p>
        </w:tc>
        <w:tc>
          <w:tcPr>
            <w:tcW w:w="1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0" w:right="0"/>
              <w:jc w:val="left"/>
              <w:rPr>
                <w:rFonts w:ascii="Times New Roman" w:hAnsi="Times New Roman" w:cs="Times New Roman" w:eastAsia="Times New Roman" w:hint="default"/>
                <w:sz w:val="18"/>
                <w:szCs w:val="18"/>
              </w:rPr>
            </w:pPr>
            <w:r>
              <w:rPr>
                <w:rFonts w:ascii="Times New Roman"/>
                <w:sz w:val="18"/>
              </w:rPr>
              <w:t>478,000</w:t>
            </w:r>
          </w:p>
        </w:tc>
      </w:tr>
      <w:tr>
        <w:trPr>
          <w:trHeight w:val="714" w:hRule="exact"/>
        </w:trPr>
        <w:tc>
          <w:tcPr>
            <w:tcW w:w="482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63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上述股东中，付艳杰与崔万涛为一致行动人。</w:t>
            </w:r>
          </w:p>
        </w:tc>
      </w:tr>
      <w:tr>
        <w:trPr>
          <w:trHeight w:val="402" w:hRule="exact"/>
        </w:trPr>
        <w:tc>
          <w:tcPr>
            <w:tcW w:w="482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63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2"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spacing w:after="0" w:line="240" w:lineRule="auto"/>
        <w:jc w:val="left"/>
        <w:sectPr>
          <w:pgSz w:w="11910" w:h="16840"/>
          <w:pgMar w:header="566" w:footer="978" w:top="1440" w:bottom="1160" w:left="0" w:right="480"/>
        </w:sectPr>
      </w:pPr>
    </w:p>
    <w:p>
      <w:pPr>
        <w:pStyle w:val="BodyText"/>
        <w:spacing w:line="240" w:lineRule="auto" w:before="8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1"/>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574"/>
        <w:jc w:val="left"/>
      </w:pP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44"/>
        <w:ind w:left="0" w:right="139"/>
        <w:jc w:val="right"/>
      </w:pPr>
      <w:r>
        <w:rPr/>
        <w:pict>
          <v:shape style="position:absolute;margin-left:56.459999pt;margin-top:-76.688271pt;width:479.1pt;height:179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3183"/>
                    <w:gridCol w:w="2967"/>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left"/>
                          <w:rPr>
                            <w:rFonts w:ascii="宋体" w:hAnsi="宋体" w:cs="宋体" w:eastAsia="宋体" w:hint="default"/>
                            <w:sz w:val="18"/>
                            <w:szCs w:val="18"/>
                          </w:rPr>
                        </w:pPr>
                        <w:r>
                          <w:rPr>
                            <w:rFonts w:ascii="宋体" w:hAnsi="宋体" w:cs="宋体" w:eastAsia="宋体" w:hint="default"/>
                            <w:sz w:val="18"/>
                            <w:szCs w:val="18"/>
                          </w:rPr>
                          <w:t>付艳杰女士，</w:t>
                        </w:r>
                        <w:r>
                          <w:rPr>
                            <w:rFonts w:ascii="Times New Roman" w:hAnsi="Times New Roman" w:cs="Times New Roman" w:eastAsia="Times New Roman" w:hint="default"/>
                            <w:sz w:val="18"/>
                            <w:szCs w:val="18"/>
                          </w:rPr>
                          <w:t>1972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年出生，高中学历，中国国籍，无永久境外居留权。曾任荣</w:t>
                        </w:r>
                        <w:r>
                          <w:rPr>
                            <w:rFonts w:ascii="宋体" w:hAnsi="宋体" w:cs="宋体" w:eastAsia="宋体" w:hint="default"/>
                            <w:sz w:val="18"/>
                            <w:szCs w:val="18"/>
                          </w:rPr>
                          <w:t> 科有限监事、执行董事职务、本公司董事等职务。崔万涛先生，</w:t>
                        </w:r>
                        <w:r>
                          <w:rPr>
                            <w:rFonts w:ascii="Times New Roman" w:hAnsi="Times New Roman" w:cs="Times New Roman" w:eastAsia="Times New Roman" w:hint="default"/>
                            <w:sz w:val="18"/>
                            <w:szCs w:val="18"/>
                          </w:rPr>
                          <w:t>1967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 </w:t>
                        </w:r>
                        <w:r>
                          <w:rPr>
                            <w:rFonts w:ascii="宋体" w:hAnsi="宋体" w:cs="宋体" w:eastAsia="宋体" w:hint="default"/>
                            <w:spacing w:val="-1"/>
                            <w:sz w:val="18"/>
                            <w:szCs w:val="18"/>
                          </w:rPr>
                          <w:t>高中学历，中国国籍，无永久境外居留权。曾任荣科有限执行董事、监事、本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公司董事等职务。现任辽宁荣科金融服务有限公司监事、辽宁恒际建筑集团公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司高级项目经理等职务。</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right="0"/>
        <w:jc w:val="left"/>
      </w:pPr>
      <w:r>
        <w:rPr/>
        <w:t>控股股东报告期内变更</w:t>
      </w:r>
    </w:p>
    <w:p>
      <w:pPr>
        <w:pStyle w:val="BodyText"/>
        <w:spacing w:line="340" w:lineRule="auto" w:before="117"/>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394"/>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3335" w:type="dxa"/>
            <w:tcBorders>
              <w:top w:val="single" w:sz="4" w:space="0" w:color="000000"/>
              <w:left w:val="single" w:sz="4" w:space="0" w:color="000000"/>
              <w:bottom w:val="nil" w:sz="6" w:space="0" w:color="auto"/>
              <w:right w:val="single" w:sz="4" w:space="0" w:color="000000"/>
            </w:tcBorders>
            <w:shd w:val="clear" w:color="auto" w:fill="D2D2D2"/>
          </w:tcPr>
          <w:p>
            <w:pPr/>
          </w:p>
        </w:tc>
        <w:tc>
          <w:tcPr>
            <w:tcW w:w="6233"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付艳杰女士，</w:t>
            </w:r>
            <w:r>
              <w:rPr>
                <w:rFonts w:ascii="Times New Roman" w:hAnsi="Times New Roman" w:cs="Times New Roman" w:eastAsia="Times New Roman" w:hint="default"/>
                <w:sz w:val="18"/>
                <w:szCs w:val="18"/>
              </w:rPr>
              <w:t>1972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年出生，高中学历，中国国籍，无永久境外居留权。曾任荣</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2D2D2"/>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科有限监事、执行董事职务、本公司董事等职务。崔万涛先生，</w:t>
            </w:r>
            <w:r>
              <w:rPr>
                <w:rFonts w:ascii="Times New Roman" w:hAnsi="Times New Roman" w:cs="Times New Roman" w:eastAsia="Times New Roman" w:hint="default"/>
                <w:sz w:val="18"/>
                <w:szCs w:val="18"/>
              </w:rPr>
              <w:t>1967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年出生，</w:t>
            </w:r>
          </w:p>
        </w:tc>
      </w:tr>
      <w:tr>
        <w:trPr>
          <w:trHeight w:val="308" w:hRule="exact"/>
        </w:trPr>
        <w:tc>
          <w:tcPr>
            <w:tcW w:w="3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高中学历，中国国籍，无永久境外居留权。曾任荣科有限执行董事、监事、本</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2D2D2"/>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公司董事等职务。现任辽宁荣科金融服务有限公司监事、辽宁恒际建筑集团公</w:t>
            </w:r>
          </w:p>
        </w:tc>
      </w:tr>
      <w:tr>
        <w:trPr>
          <w:trHeight w:val="357" w:hRule="exact"/>
        </w:trPr>
        <w:tc>
          <w:tcPr>
            <w:tcW w:w="3335" w:type="dxa"/>
            <w:tcBorders>
              <w:top w:val="nil" w:sz="6" w:space="0" w:color="auto"/>
              <w:left w:val="single" w:sz="4" w:space="0" w:color="000000"/>
              <w:bottom w:val="single" w:sz="4" w:space="0" w:color="000000"/>
              <w:right w:val="single" w:sz="4" w:space="0" w:color="000000"/>
            </w:tcBorders>
            <w:shd w:val="clear" w:color="auto" w:fill="D2D2D2"/>
          </w:tcPr>
          <w:p>
            <w:pPr/>
          </w:p>
        </w:tc>
        <w:tc>
          <w:tcPr>
            <w:tcW w:w="6233"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司高级项目经理等职务。</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0"/>
        <w:jc w:val="left"/>
      </w:pPr>
      <w:r>
        <w:rPr/>
        <w:t>实际控制人报告期内变更</w:t>
      </w:r>
    </w:p>
    <w:p>
      <w:pPr>
        <w:pStyle w:val="BodyText"/>
        <w:spacing w:line="350" w:lineRule="auto" w:before="115"/>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公司报告期实际控制人未发生变更。 公司与实际控制人之间的产权及控制关系的方框图</w:t>
      </w:r>
    </w:p>
    <w:p>
      <w:pPr>
        <w:spacing w:after="0" w:line="350" w:lineRule="auto"/>
        <w:jc w:val="left"/>
        <w:sectPr>
          <w:pgSz w:w="11910" w:h="16840"/>
          <w:pgMar w:header="566" w:footer="978" w:top="1360" w:bottom="1160" w:left="1020" w:right="1020"/>
        </w:sectPr>
      </w:pPr>
    </w:p>
    <w:p>
      <w:pPr>
        <w:spacing w:line="240" w:lineRule="auto" w:before="4"/>
        <w:rPr>
          <w:rFonts w:ascii="宋体" w:hAnsi="宋体" w:cs="宋体" w:eastAsia="宋体" w:hint="default"/>
          <w:sz w:val="10"/>
          <w:szCs w:val="10"/>
        </w:rPr>
      </w:pPr>
    </w:p>
    <w:p>
      <w:pPr>
        <w:spacing w:line="3318" w:lineRule="exact"/>
        <w:ind w:left="2234"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3442913" cy="2107406"/>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31" cstate="print"/>
                    <a:stretch>
                      <a:fillRect/>
                    </a:stretch>
                  </pic:blipFill>
                  <pic:spPr>
                    <a:xfrm>
                      <a:off x="0" y="0"/>
                      <a:ext cx="3442913" cy="2107406"/>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44"/>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7" w:lineRule="auto" w:before="101"/>
        <w:ind w:right="112" w:firstLine="360"/>
        <w:jc w:val="both"/>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spacing w:val="-3"/>
          <w:w w:val="99"/>
        </w:rPr>
        <w:t>日，公司控股股东、实际控制人出具了《关于本次重组实施期间股份减持意向的说明》：</w:t>
      </w:r>
      <w:r>
        <w:rPr>
          <w:rFonts w:ascii="Times New Roman" w:hAnsi="Times New Roman" w:cs="Times New Roman" w:eastAsia="Times New Roman" w:hint="default"/>
          <w:spacing w:val="-3"/>
          <w:w w:val="99"/>
        </w:rPr>
        <w:t>“</w:t>
      </w:r>
      <w:r>
        <w:rPr>
          <w:spacing w:val="-3"/>
          <w:w w:val="99"/>
        </w:rPr>
        <w:t>基于对公司长</w:t>
      </w:r>
      <w:r>
        <w:rPr/>
        <w:t> </w:t>
      </w:r>
      <w:r>
        <w:rPr>
          <w:spacing w:val="-2"/>
        </w:rPr>
        <w:t>期投资价值的认可及对本次重组的信心，付艳杰、崔万涛作为荣科科技的控股股东、实际控制人，自本说明出具之日起至本</w:t>
      </w:r>
      <w:r>
        <w:rPr>
          <w:spacing w:val="-66"/>
        </w:rPr>
        <w:t> </w:t>
      </w:r>
      <w:r>
        <w:rPr>
          <w:spacing w:val="-66"/>
        </w:rPr>
      </w:r>
      <w:r>
        <w:rPr/>
        <w:t>次重组实施完毕期间，除拟筹划向员工持股计划转让不超过</w:t>
      </w:r>
      <w:r>
        <w:rPr>
          <w:spacing w:val="-53"/>
        </w:rPr>
        <w:t> </w:t>
      </w:r>
      <w:r>
        <w:rPr>
          <w:rFonts w:ascii="Times New Roman" w:hAnsi="Times New Roman" w:cs="Times New Roman" w:eastAsia="Times New Roman" w:hint="default"/>
        </w:rPr>
        <w:t>2%</w:t>
      </w:r>
      <w:r>
        <w:rPr/>
        <w:t>的股份以外，付艳杰、崔万涛不存在其它股份减持意向和计 划，不会以其它任何方式减持持有荣科科技的股票。</w:t>
      </w:r>
      <w:r>
        <w:rPr>
          <w:rFonts w:ascii="Times New Roman" w:hAnsi="Times New Roman" w:cs="Times New Roman" w:eastAsia="Times New Roman" w:hint="default"/>
        </w:rPr>
        <w:t>”</w:t>
      </w:r>
      <w:r>
        <w:rPr/>
        <w:t>公司董事尹春福、冯丽，监事余力兴出具了《关于本次重组实施期间 </w:t>
      </w:r>
      <w:r>
        <w:rPr>
          <w:spacing w:val="-4"/>
          <w:w w:val="99"/>
        </w:rPr>
        <w:t>股份减持意向的说明》：“基于对公司长期投资价值的认可及对本次重组的信心，本人作为荣科科技的股东及董事</w:t>
      </w:r>
      <w:r>
        <w:rPr>
          <w:rFonts w:ascii="Times New Roman" w:hAnsi="Times New Roman" w:cs="Times New Roman" w:eastAsia="Times New Roman" w:hint="default"/>
          <w:spacing w:val="-4"/>
          <w:w w:val="99"/>
        </w:rPr>
        <w:t>/</w:t>
      </w:r>
      <w:r>
        <w:rPr>
          <w:spacing w:val="-4"/>
          <w:w w:val="99"/>
        </w:rPr>
        <w:t>监事</w:t>
      </w:r>
      <w:r>
        <w:rPr>
          <w:rFonts w:ascii="Times New Roman" w:hAnsi="Times New Roman" w:cs="Times New Roman" w:eastAsia="Times New Roman" w:hint="default"/>
          <w:spacing w:val="-4"/>
          <w:w w:val="99"/>
        </w:rPr>
        <w:t>/</w:t>
      </w:r>
      <w:r>
        <w:rPr>
          <w:spacing w:val="-4"/>
          <w:w w:val="99"/>
        </w:rPr>
        <w:t>高级</w:t>
      </w:r>
      <w:r>
        <w:rPr>
          <w:spacing w:val="-50"/>
          <w:w w:val="99"/>
        </w:rPr>
        <w:t> </w:t>
      </w:r>
      <w:r>
        <w:rPr>
          <w:spacing w:val="-2"/>
        </w:rPr>
        <w:t>管理人员，自本说明出具之日起至本次重组实施完毕期间，不存在股份减持意向和计划，本人持有荣科科技的股票不会以任</w:t>
      </w:r>
      <w:r>
        <w:rPr>
          <w:spacing w:val="-65"/>
        </w:rPr>
        <w:t> </w:t>
      </w:r>
      <w:r>
        <w:rPr>
          <w:spacing w:val="-65"/>
        </w:rPr>
      </w:r>
      <w:r>
        <w:rPr/>
        <w:t>何方式减持。</w:t>
      </w:r>
      <w:r>
        <w:rPr>
          <w:rFonts w:ascii="Times New Roman" w:hAnsi="Times New Roman" w:cs="Times New Roman" w:eastAsia="Times New Roman" w:hint="default"/>
        </w:rPr>
        <w:t>”</w:t>
      </w:r>
    </w:p>
    <w:p>
      <w:pPr>
        <w:spacing w:after="0" w:line="307" w:lineRule="auto"/>
        <w:jc w:val="both"/>
        <w:rPr>
          <w:rFonts w:ascii="Times New Roman" w:hAnsi="Times New Roman" w:cs="Times New Roman" w:eastAsia="Times New Roman" w:hint="default"/>
        </w:rPr>
        <w:sectPr>
          <w:footerReference w:type="default" r:id="rId30"/>
          <w:pgSz w:w="11910" w:h="16840"/>
          <w:pgMar w:footer="978" w:header="566" w:top="1360" w:bottom="1160" w:left="1020" w:right="102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1"/>
        <w:spacing w:line="240" w:lineRule="auto"/>
        <w:ind w:left="3247" w:right="0"/>
        <w:jc w:val="left"/>
        <w:rPr>
          <w:b w:val="0"/>
          <w:bCs w:val="0"/>
        </w:rPr>
      </w:pPr>
      <w:bookmarkStart w:name="_bookmark6" w:id="7"/>
      <w:bookmarkEnd w:id="7"/>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38" w:lineRule="auto" w:before="44"/>
        <w:ind w:right="7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报告期公司不存在优先股。</w:t>
      </w:r>
    </w:p>
    <w:p>
      <w:pPr>
        <w:spacing w:after="0" w:line="338" w:lineRule="auto"/>
        <w:jc w:val="left"/>
        <w:sectPr>
          <w:pgSz w:w="11910" w:h="16840"/>
          <w:pgMar w:header="566" w:footer="978" w:top="1360" w:bottom="1160" w:left="1020" w:right="10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2604" w:right="584"/>
        <w:jc w:val="left"/>
        <w:rPr>
          <w:b w:val="0"/>
          <w:bCs w:val="0"/>
        </w:rPr>
      </w:pPr>
      <w:bookmarkStart w:name="_bookmark7" w:id="8"/>
      <w:bookmarkEnd w:id="8"/>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left="1072" w:right="584"/>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32"/>
        <w:gridCol w:w="1152"/>
        <w:gridCol w:w="540"/>
        <w:gridCol w:w="444"/>
        <w:gridCol w:w="492"/>
        <w:gridCol w:w="1524"/>
        <w:gridCol w:w="1658"/>
        <w:gridCol w:w="1078"/>
        <w:gridCol w:w="816"/>
        <w:gridCol w:w="852"/>
        <w:gridCol w:w="756"/>
        <w:gridCol w:w="1056"/>
      </w:tblGrid>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8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2" w:right="4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3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0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董事长、高管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50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52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83,207,698</w:t>
            </w: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83,207,698</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51</w:t>
            </w:r>
          </w:p>
        </w:tc>
        <w:tc>
          <w:tcPr>
            <w:tcW w:w="152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83,207,698</w:t>
            </w: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83,207,698</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董事、高管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45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353,400</w:t>
            </w: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353,400</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37"/>
              <w:jc w:val="both"/>
              <w:rPr>
                <w:rFonts w:ascii="宋体" w:hAnsi="宋体" w:cs="宋体" w:eastAsia="宋体" w:hint="default"/>
                <w:sz w:val="18"/>
                <w:szCs w:val="18"/>
              </w:rPr>
            </w:pPr>
            <w:r>
              <w:rPr>
                <w:rFonts w:ascii="宋体" w:hAnsi="宋体" w:cs="宋体" w:eastAsia="宋体" w:hint="default"/>
                <w:sz w:val="18"/>
                <w:szCs w:val="18"/>
              </w:rPr>
              <w:t>董事、财务总 监、董事会秘 书（离任）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314,132</w:t>
            </w: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314,132</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left"/>
              <w:rPr>
                <w:rFonts w:ascii="宋体" w:hAnsi="宋体" w:cs="宋体" w:eastAsia="宋体" w:hint="default"/>
                <w:sz w:val="18"/>
                <w:szCs w:val="18"/>
              </w:rPr>
            </w:pPr>
            <w:r>
              <w:rPr>
                <w:rFonts w:ascii="宋体" w:hAnsi="宋体" w:cs="宋体" w:eastAsia="宋体" w:hint="default"/>
                <w:sz w:val="18"/>
                <w:szCs w:val="18"/>
              </w:rPr>
              <w:t>董事（离任独 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52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69</w:t>
            </w:r>
          </w:p>
        </w:tc>
        <w:tc>
          <w:tcPr>
            <w:tcW w:w="152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255,600</w:t>
            </w: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255,600</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34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郭薇</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w:t>
            </w:r>
          </w:p>
        </w:tc>
        <w:tc>
          <w:tcPr>
            <w:tcW w:w="152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杨兴礼</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39</w:t>
            </w:r>
          </w:p>
        </w:tc>
        <w:tc>
          <w:tcPr>
            <w:tcW w:w="152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293,932</w:t>
            </w: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293,932</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46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45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李华才</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38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王齐</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张羽</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40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赵金清</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167,632,460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167,632,460</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60" w:right="520"/>
        </w:sectPr>
      </w:pPr>
    </w:p>
    <w:p>
      <w:pPr>
        <w:spacing w:line="240" w:lineRule="auto" w:before="8"/>
        <w:rPr>
          <w:rFonts w:ascii="宋体" w:hAnsi="宋体" w:cs="宋体" w:eastAsia="宋体" w:hint="default"/>
          <w:b/>
          <w:bCs/>
          <w:sz w:val="23"/>
          <w:szCs w:val="23"/>
        </w:rPr>
      </w:pPr>
      <w:r>
        <w:rPr/>
        <w:pict>
          <v:group style="position:absolute;margin-left:56.34pt;margin-top:28.320024pt;width:482.65pt;height:40.2pt;mso-position-horizontal-relative:page;mso-position-vertical-relative:page;z-index:-821848"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Heading2"/>
        <w:spacing w:line="240" w:lineRule="auto" w:before="26"/>
        <w:ind w:right="94"/>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29"/>
        <w:gridCol w:w="1330"/>
        <w:gridCol w:w="1330"/>
        <w:gridCol w:w="4027"/>
        <w:gridCol w:w="1551"/>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4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杨兴礼</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bl>
    <w:p>
      <w:pPr>
        <w:spacing w:line="240" w:lineRule="auto" w:before="3"/>
        <w:rPr>
          <w:rFonts w:ascii="宋体" w:hAnsi="宋体" w:cs="宋体" w:eastAsia="宋体" w:hint="default"/>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472" w:right="184" w:hanging="360"/>
        <w:jc w:val="left"/>
      </w:pPr>
      <w:r>
        <w:rPr/>
        <w:t>公司现任董事、监事、高级管理人员专业背景、主要工作经历以及目前在公司的主要职责 1、付永全先生：1968年出生，毕业于辽宁大学计算机应用技术专业，硕士学历，中国国籍，具有美国永久居留权。曾</w:t>
      </w:r>
    </w:p>
    <w:p>
      <w:pPr>
        <w:pStyle w:val="BodyText"/>
        <w:spacing w:line="224" w:lineRule="exact"/>
        <w:ind w:right="0"/>
        <w:jc w:val="both"/>
      </w:pPr>
      <w:r>
        <w:rPr/>
        <w:t>任沈阳荣科全濠科技有限公司董事长，现任本公司董事长、总裁、辽宁荣科金融服务有限公司执行董事兼总经理、北京荣科</w:t>
      </w:r>
    </w:p>
    <w:p>
      <w:pPr>
        <w:pStyle w:val="BodyText"/>
        <w:spacing w:line="316" w:lineRule="auto" w:before="76"/>
        <w:ind w:right="192"/>
        <w:jc w:val="both"/>
      </w:pPr>
      <w:r>
        <w:rPr>
          <w:spacing w:val="-2"/>
        </w:rPr>
        <w:t>爱信科技有限公司执行董事兼总经理、辽宁华康医疗科技有限公司董事长；民盟第十一届中央委员、政协辽宁省第十届委员</w:t>
      </w:r>
      <w:r>
        <w:rPr>
          <w:spacing w:val="-65"/>
        </w:rPr>
        <w:t> </w:t>
      </w:r>
      <w:r>
        <w:rPr>
          <w:spacing w:val="-65"/>
        </w:rPr>
      </w:r>
      <w:r>
        <w:rPr>
          <w:spacing w:val="-2"/>
        </w:rPr>
        <w:t>会常委、辽宁省政协教科卫体委员会副主任、辽宁省中小企业联合会副会长、沈阳航空航天大学名誉教授、沈阳市摄影家协</w:t>
      </w:r>
      <w:r>
        <w:rPr>
          <w:spacing w:val="-66"/>
        </w:rPr>
        <w:t> </w:t>
      </w:r>
      <w:r>
        <w:rPr>
          <w:spacing w:val="-66"/>
        </w:rPr>
      </w:r>
      <w:r>
        <w:rPr/>
        <w:t>会副会长等职务。</w:t>
      </w:r>
    </w:p>
    <w:p>
      <w:pPr>
        <w:pStyle w:val="BodyText"/>
        <w:spacing w:line="316" w:lineRule="auto" w:before="59"/>
        <w:ind w:right="94" w:firstLine="360"/>
        <w:jc w:val="left"/>
      </w:pPr>
      <w:r>
        <w:rPr>
          <w:spacing w:val="-2"/>
        </w:rPr>
        <w:t>2、崔万田先生：1973年出生，毕业于辽宁大学世界经济专业，博士研究生学历，教授，中国国籍，无永久境外居留权。</w:t>
      </w:r>
      <w:r>
        <w:rPr/>
        <w:t> </w:t>
      </w:r>
      <w:r>
        <w:rPr>
          <w:spacing w:val="-2"/>
        </w:rPr>
        <w:t>曾任盛京银行股份有限公司独立董事、营口沿海银行股份有限公司独立董事，现任本公司董事、上海米健信息技术有限公司</w:t>
      </w:r>
      <w:r>
        <w:rPr>
          <w:spacing w:val="-65"/>
        </w:rPr>
        <w:t> </w:t>
      </w:r>
      <w:r>
        <w:rPr>
          <w:spacing w:val="-65"/>
        </w:rPr>
      </w:r>
      <w:r>
        <w:rPr/>
        <w:t>董事、辽宁华康医疗科技有限公司董事、辽宁红阳能源投资股份有限公司独立董事、辽宁华孚环境工程股份有限公司董事、 </w:t>
      </w:r>
      <w:r>
        <w:rPr>
          <w:spacing w:val="-2"/>
        </w:rPr>
        <w:t>辽宁希望教育投资有限公司监事、北京时代圣商文化发展有限公司监事、铁岭新星村镇银行股份有限公司监事等职务，全国</w:t>
      </w:r>
      <w:r>
        <w:rPr>
          <w:spacing w:val="-65"/>
        </w:rPr>
        <w:t> </w:t>
      </w:r>
      <w:r>
        <w:rPr>
          <w:spacing w:val="-65"/>
        </w:rPr>
      </w:r>
      <w:r>
        <w:rPr>
          <w:spacing w:val="-2"/>
        </w:rPr>
        <w:t>青年联合会委员、辽宁省青年联合会委员、辽宁大学区域经济研究中心主任、中国人民大学企业研究中心主任、中国软件行</w:t>
      </w:r>
      <w:r>
        <w:rPr>
          <w:spacing w:val="-66"/>
        </w:rPr>
        <w:t> </w:t>
      </w:r>
      <w:r>
        <w:rPr>
          <w:spacing w:val="-66"/>
        </w:rPr>
      </w:r>
      <w:r>
        <w:rPr/>
        <w:t>业协会副理事长、辽宁省软件行业协会理事长。</w:t>
      </w:r>
    </w:p>
    <w:p>
      <w:pPr>
        <w:pStyle w:val="BodyText"/>
        <w:spacing w:line="316" w:lineRule="auto" w:before="59"/>
        <w:ind w:right="192" w:firstLine="360"/>
        <w:jc w:val="both"/>
      </w:pPr>
      <w:r>
        <w:rPr/>
        <w:t>3、冯丽女士：1966年出生，研究生学历，中国国籍，无永久境外居留权。历任沈阳未来置业房产开发有限公司财务经 </w:t>
      </w:r>
      <w:r>
        <w:rPr>
          <w:spacing w:val="-2"/>
        </w:rPr>
        <w:t>理，尼沃实业有限公司财务总监、SR房产开发（沈阳）有限公司财务总监、沈阳荣科全濠科技有限公司董事等职务。现任公</w:t>
      </w:r>
      <w:r>
        <w:rPr>
          <w:spacing w:val="-65"/>
        </w:rPr>
        <w:t> </w:t>
      </w:r>
      <w:r>
        <w:rPr>
          <w:spacing w:val="-65"/>
        </w:rPr>
      </w:r>
      <w:r>
        <w:rPr/>
        <w:t>司董事、副总裁、财务总监、上海米健信息技术有限公司董事等职务。</w:t>
      </w:r>
    </w:p>
    <w:p>
      <w:pPr>
        <w:pStyle w:val="BodyText"/>
        <w:spacing w:line="240" w:lineRule="auto" w:before="57"/>
        <w:ind w:left="472" w:right="0"/>
        <w:jc w:val="left"/>
      </w:pPr>
      <w:r>
        <w:rPr/>
        <w:t>4、尹春福先生：1973年出生，研究生学历，中国国籍，无永久境外居留权。2006年5月至今担任本公司销售总监职务，</w:t>
      </w:r>
    </w:p>
    <w:p>
      <w:pPr>
        <w:pStyle w:val="BodyText"/>
        <w:spacing w:line="240" w:lineRule="auto" w:before="76"/>
        <w:ind w:right="0"/>
        <w:jc w:val="both"/>
      </w:pPr>
      <w:r>
        <w:rPr/>
        <w:t>2010年8月至今担任本公司董事、副总裁兼智能云服务事业部总经理。</w:t>
      </w:r>
    </w:p>
    <w:p>
      <w:pPr>
        <w:pStyle w:val="BodyText"/>
        <w:spacing w:line="316" w:lineRule="auto" w:before="117"/>
        <w:ind w:right="192" w:firstLine="360"/>
        <w:jc w:val="both"/>
      </w:pPr>
      <w:r>
        <w:rPr>
          <w:spacing w:val="-2"/>
        </w:rPr>
        <w:t>5、齐政先生：</w:t>
      </w:r>
      <w:r>
        <w:rPr>
          <w:spacing w:val="18"/>
        </w:rPr>
        <w:t> </w:t>
      </w:r>
      <w:r>
        <w:rPr>
          <w:spacing w:val="-2"/>
        </w:rPr>
        <w:t>1972年出生，毕业于中国人民大学经济学专业，硕士研究生学历，中国国籍，无境外永久居留权。历任</w:t>
      </w:r>
      <w:r>
        <w:rPr/>
        <w:t> </w:t>
      </w:r>
      <w:r>
        <w:rPr>
          <w:spacing w:val="-2"/>
        </w:rPr>
        <w:t>中央纪委监察部机关主任科员、西南证券投资银行部高级经理、世纪证券北京投资银行部总经理、平安证券投资银行事业部</w:t>
      </w:r>
      <w:r>
        <w:rPr>
          <w:spacing w:val="-65"/>
        </w:rPr>
        <w:t> </w:t>
      </w:r>
      <w:r>
        <w:rPr>
          <w:spacing w:val="-65"/>
        </w:rPr>
      </w:r>
      <w:r>
        <w:rPr>
          <w:spacing w:val="-2"/>
        </w:rPr>
        <w:t>董事总经理。现任本公司副董事长、北京融拓创新投资管理有限公司执行董事兼经理、沈阳融拓创新股权投资基金管理有限</w:t>
      </w:r>
      <w:r>
        <w:rPr>
          <w:spacing w:val="-65"/>
        </w:rPr>
        <w:t> </w:t>
      </w:r>
      <w:r>
        <w:rPr>
          <w:spacing w:val="-65"/>
        </w:rPr>
      </w:r>
      <w:r>
        <w:rPr>
          <w:spacing w:val="-2"/>
        </w:rPr>
        <w:t>公司执行董事兼经理、陕西嘉禾生物科技股份有限公司董事、重庆日泉农牧有限公司董事、山东荣昌育种股份有限公司董事</w:t>
      </w:r>
      <w:r>
        <w:rPr>
          <w:spacing w:val="-65"/>
        </w:rPr>
        <w:t> </w:t>
      </w:r>
      <w:r>
        <w:rPr>
          <w:spacing w:val="-65"/>
        </w:rPr>
      </w:r>
      <w:r>
        <w:rPr/>
        <w:t>等职务。</w:t>
      </w:r>
    </w:p>
    <w:p>
      <w:pPr>
        <w:pStyle w:val="BodyText"/>
        <w:spacing w:line="316" w:lineRule="auto" w:before="59"/>
        <w:ind w:right="192" w:firstLine="360"/>
        <w:jc w:val="both"/>
      </w:pPr>
      <w:r>
        <w:rPr/>
        <w:t>6、林木西先生：1954年出生，毕业于辽宁大学西方经济学专业，研究生学历，经济学博士，中国国籍，无永久境外居 </w:t>
      </w:r>
      <w:r>
        <w:rPr>
          <w:spacing w:val="-2"/>
        </w:rPr>
        <w:t>留权。曾任辽宁大学经济（管理）学院党总支书记、院长、党委书记等职务，现任辽宁大学经济学院教授、博士生导师，本</w:t>
      </w:r>
      <w:r>
        <w:rPr>
          <w:spacing w:val="-66"/>
        </w:rPr>
        <w:t> </w:t>
      </w:r>
      <w:r>
        <w:rPr>
          <w:spacing w:val="-66"/>
        </w:rPr>
      </w:r>
      <w:r>
        <w:rPr>
          <w:spacing w:val="-2"/>
        </w:rPr>
        <w:t>公司董事、辽宁奥克化学股份有限公司独立董事、朝阳银行股份有限公司独立董事等职务。国务院学位委员会学科评议组成</w:t>
      </w:r>
      <w:r>
        <w:rPr>
          <w:spacing w:val="-65"/>
        </w:rPr>
        <w:t> </w:t>
      </w:r>
      <w:r>
        <w:rPr>
          <w:spacing w:val="-65"/>
        </w:rPr>
      </w:r>
      <w:r>
        <w:rPr/>
        <w:t>员、中组部“万人计划”第一批教学名师、教育部“长江学者奖励计划”特聘教授。</w:t>
      </w:r>
    </w:p>
    <w:p>
      <w:pPr>
        <w:spacing w:after="0" w:line="316" w:lineRule="auto"/>
        <w:jc w:val="both"/>
        <w:sectPr>
          <w:headerReference w:type="default" r:id="rId32"/>
          <w:pgSz w:w="11910" w:h="16840"/>
          <w:pgMar w:header="868" w:footer="978" w:top="1060" w:bottom="1160" w:left="1020" w:right="940"/>
        </w:sectPr>
      </w:pPr>
    </w:p>
    <w:p>
      <w:pPr>
        <w:spacing w:line="240" w:lineRule="auto" w:before="12"/>
        <w:rPr>
          <w:rFonts w:ascii="宋体" w:hAnsi="宋体" w:cs="宋体" w:eastAsia="宋体" w:hint="default"/>
          <w:sz w:val="25"/>
          <w:szCs w:val="25"/>
        </w:rPr>
      </w:pPr>
      <w:r>
        <w:rPr/>
        <w:pict>
          <v:group style="position:absolute;margin-left:56.34pt;margin-top:28.320024pt;width:482.65pt;height:40.2pt;mso-position-horizontal-relative:page;mso-position-vertical-relative:page;z-index:1792"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BodyText"/>
        <w:spacing w:line="316" w:lineRule="auto" w:before="44"/>
        <w:ind w:right="192" w:firstLine="360"/>
        <w:jc w:val="both"/>
      </w:pPr>
      <w:r>
        <w:rPr/>
        <w:t>7、王莉女士：1965年出生，毕业于东北大学工业会计专业，研究生学历，中国国籍，无永久境外居留权。曾任东软集 团股份有限公司董事、高级副总裁兼首席财务官、沈阳机床（集团）有限责任公司高级副总裁兼CFO、首席投资官，北京中 </w:t>
      </w:r>
      <w:r>
        <w:rPr>
          <w:spacing w:val="-2"/>
        </w:rPr>
        <w:t>融鼎新投资管理有限公司总裁等职务，现任公司独立董事、创慧投资管理有限公司董事兼总经理、云科智能伺服控制技术有</w:t>
      </w:r>
      <w:r>
        <w:rPr>
          <w:spacing w:val="-65"/>
        </w:rPr>
        <w:t> </w:t>
      </w:r>
      <w:r>
        <w:rPr>
          <w:spacing w:val="-65"/>
        </w:rPr>
      </w:r>
      <w:r>
        <w:rPr>
          <w:spacing w:val="-2"/>
        </w:rPr>
        <w:t>限公司董事长、云科智能制造（沈阳）有限公司董事长、广东智能云制造有限公司董事长、云科聚匠教育科技有限公司董事</w:t>
      </w:r>
      <w:r>
        <w:rPr>
          <w:spacing w:val="-65"/>
        </w:rPr>
        <w:t> </w:t>
      </w:r>
      <w:r>
        <w:rPr>
          <w:spacing w:val="-65"/>
        </w:rPr>
      </w:r>
      <w:r>
        <w:rPr>
          <w:spacing w:val="-2"/>
        </w:rPr>
        <w:t>长、江门云科智能装备有限公司董事长、东方珠宝互联网科技有限公司董事长、智能云科信息科技有限公司董事、北京众成</w:t>
      </w:r>
      <w:r>
        <w:rPr>
          <w:spacing w:val="-66"/>
        </w:rPr>
        <w:t> </w:t>
      </w:r>
      <w:r>
        <w:rPr>
          <w:spacing w:val="-66"/>
        </w:rPr>
      </w:r>
      <w:r>
        <w:rPr/>
        <w:t>就数字传媒有限公司独立董事等职务。</w:t>
      </w:r>
    </w:p>
    <w:p>
      <w:pPr>
        <w:pStyle w:val="BodyText"/>
        <w:spacing w:line="316" w:lineRule="auto" w:before="57"/>
        <w:ind w:right="192" w:firstLine="360"/>
        <w:jc w:val="both"/>
      </w:pPr>
      <w:r>
        <w:rPr/>
        <w:t>8、吴凤君先生：1973年出生，法学博士，中国国籍，无永久境外居留权。本公司独立董事、东北制药集团股份有限公 </w:t>
      </w:r>
      <w:r>
        <w:rPr>
          <w:spacing w:val="-2"/>
        </w:rPr>
        <w:t>司独立董事、北京华创方舟科技股份有限公司董事、沈阳美德因妇儿医院股份有限公司董事、沈阳爱睿真企业管理咨询有限</w:t>
      </w:r>
      <w:r>
        <w:rPr>
          <w:spacing w:val="-65"/>
        </w:rPr>
        <w:t> </w:t>
      </w:r>
      <w:r>
        <w:rPr>
          <w:spacing w:val="-65"/>
        </w:rPr>
      </w:r>
      <w:r>
        <w:rPr>
          <w:spacing w:val="-2"/>
        </w:rPr>
        <w:t>公司执行董事等职务。辽宁大学法学院副教授，硕士研究生导师，北京盈科（沈阳）律师事务所律师，中国商法学研究会理</w:t>
      </w:r>
      <w:r>
        <w:rPr>
          <w:spacing w:val="-66"/>
        </w:rPr>
        <w:t> </w:t>
      </w:r>
      <w:r>
        <w:rPr>
          <w:spacing w:val="-66"/>
        </w:rPr>
      </w:r>
      <w:r>
        <w:rPr/>
        <w:t>事，辽宁省经济法学研究会常务理事。</w:t>
      </w:r>
    </w:p>
    <w:p>
      <w:pPr>
        <w:pStyle w:val="BodyText"/>
        <w:spacing w:line="316" w:lineRule="auto" w:before="59"/>
        <w:ind w:right="192" w:firstLine="360"/>
        <w:jc w:val="both"/>
      </w:pPr>
      <w:r>
        <w:rPr/>
        <w:t>9、李华才先生：1952年出生，毕业于解放军信息工程大学计算机科学与技术专业，本科学历，中国国籍，无永久境外 居留权。曾任解放军第251医院信息科主任，现任本公司独立董事、国家卫生计生委医院管理研究所《中国数字医学》杂志 </w:t>
      </w:r>
      <w:r>
        <w:rPr>
          <w:spacing w:val="-2"/>
        </w:rPr>
        <w:t>社主编，中华医学会数字医学分会常务委员、副秘书长，中国卫生信息学会信息标准化委员会常务委员，中国医院协会信息</w:t>
      </w:r>
      <w:r>
        <w:rPr>
          <w:spacing w:val="-66"/>
        </w:rPr>
        <w:t> </w:t>
      </w:r>
      <w:r>
        <w:rPr>
          <w:spacing w:val="-66"/>
        </w:rPr>
      </w:r>
      <w:r>
        <w:rPr>
          <w:spacing w:val="-2"/>
        </w:rPr>
        <w:t>管理专业委员会常务委员，中国医疗装备协会信息技术分会常务委员，中国电子技术标准协会数字医疗装备与系统工委会委</w:t>
      </w:r>
      <w:r>
        <w:rPr>
          <w:spacing w:val="-64"/>
        </w:rPr>
        <w:t> </w:t>
      </w:r>
      <w:r>
        <w:rPr>
          <w:spacing w:val="-64"/>
        </w:rPr>
      </w:r>
      <w:r>
        <w:rPr/>
        <w:t>员。</w:t>
      </w:r>
    </w:p>
    <w:p>
      <w:pPr>
        <w:pStyle w:val="BodyText"/>
        <w:spacing w:line="316" w:lineRule="auto" w:before="59"/>
        <w:ind w:right="94" w:firstLine="360"/>
        <w:jc w:val="left"/>
      </w:pPr>
      <w:r>
        <w:rPr>
          <w:spacing w:val="-2"/>
        </w:rPr>
        <w:t>10、余力兴先生：1975年出生，研究生学历，中国国籍，无永久境外居留权。最近五年一直在本公司担任销售经理，现</w:t>
      </w:r>
      <w:r>
        <w:rPr/>
        <w:t> </w:t>
      </w:r>
      <w:r>
        <w:rPr>
          <w:spacing w:val="-2"/>
        </w:rPr>
        <w:t>任本公司监事会主席及金融行业高级销售总监。余力兴先生持有公司股票255,600股，与持有公司百分之五以上股份的股东、</w:t>
      </w:r>
      <w:r>
        <w:rPr>
          <w:spacing w:val="-58"/>
        </w:rPr>
        <w:t> </w:t>
      </w:r>
      <w:r>
        <w:rPr>
          <w:spacing w:val="-58"/>
        </w:rPr>
      </w:r>
      <w:r>
        <w:rPr>
          <w:spacing w:val="-2"/>
        </w:rPr>
        <w:t>实际控制人没有关联关系，最近五年未在其他机构担任董事、监事、高级管理人员，没有受过中国证监会及其他有关部门的</w:t>
      </w:r>
      <w:r>
        <w:rPr>
          <w:spacing w:val="-66"/>
        </w:rPr>
        <w:t> </w:t>
      </w:r>
      <w:r>
        <w:rPr>
          <w:spacing w:val="-66"/>
        </w:rPr>
      </w:r>
      <w:r>
        <w:rPr/>
        <w:t>处罚和证券交易所惩戒。</w:t>
      </w:r>
    </w:p>
    <w:p>
      <w:pPr>
        <w:pStyle w:val="BodyText"/>
        <w:spacing w:line="316" w:lineRule="auto" w:before="57"/>
        <w:ind w:right="94" w:firstLine="360"/>
        <w:jc w:val="left"/>
      </w:pPr>
      <w:r>
        <w:rPr>
          <w:spacing w:val="-2"/>
        </w:rPr>
        <w:t>11、李小龙先生：1980年出生，研究生学历，中国国籍，无永久境外居留权。曾担任沈阳世创自来水工程集团水源建设</w:t>
      </w:r>
      <w:r>
        <w:rPr/>
        <w:t> 有限公司办公室主任，最近五年一直在本公司担任销售经理，现任本公司社保高级销售总监。李小龙先生未持有公司股票， 与持有公司百分之五以上股份的股东、实际控制人没有关联关系，最近五年未在其他机构担任董事、监事、高级管理人员， 没有受过中国证监会及其他有关部门的处罚和证券交易所惩戒。</w:t>
      </w:r>
    </w:p>
    <w:p>
      <w:pPr>
        <w:pStyle w:val="BodyText"/>
        <w:spacing w:line="316" w:lineRule="auto" w:before="59"/>
        <w:ind w:right="101" w:firstLine="360"/>
        <w:jc w:val="both"/>
      </w:pPr>
      <w:r>
        <w:rPr>
          <w:spacing w:val="-4"/>
        </w:rPr>
        <w:t>12、艾川先生，本公司监事，1984年出生，专科学历，中国国籍，无永久境外居留权。曾担任公司IT融合事业部工程师，</w:t>
      </w:r>
      <w:r>
        <w:rPr/>
        <w:t> 现任公司IT融合事业部下属部门经理。</w:t>
      </w:r>
    </w:p>
    <w:p>
      <w:pPr>
        <w:pStyle w:val="BodyText"/>
        <w:spacing w:line="316" w:lineRule="auto" w:before="59"/>
        <w:ind w:right="192" w:firstLine="360"/>
        <w:jc w:val="both"/>
      </w:pPr>
      <w:r>
        <w:rPr>
          <w:spacing w:val="-2"/>
        </w:rPr>
        <w:t>13、王齐先生：1965年出生，研究生学历，中国国籍，无境外永久居留权。曾任东软集团股份有限公司副总裁、东北区</w:t>
      </w:r>
      <w:r>
        <w:rPr/>
        <w:t> </w:t>
      </w:r>
      <w:r>
        <w:rPr>
          <w:spacing w:val="-2"/>
        </w:rPr>
        <w:t>总经理，2016年10月起，任职于本公司，现任公司副总裁、健康数据事业部总经理。王齐先生未持有公司股票，与持有公司</w:t>
      </w:r>
      <w:r>
        <w:rPr>
          <w:spacing w:val="-63"/>
        </w:rPr>
        <w:t> </w:t>
      </w:r>
      <w:r>
        <w:rPr>
          <w:spacing w:val="-63"/>
        </w:rPr>
      </w:r>
      <w:r>
        <w:rPr/>
        <w:t>百分之五以上股份的股东、实际控制人没有关联关系，没有受过中国证监会及其他有关部门的处罚和证券交易所惩戒。</w:t>
      </w:r>
    </w:p>
    <w:p>
      <w:pPr>
        <w:pStyle w:val="BodyText"/>
        <w:spacing w:line="316" w:lineRule="auto" w:before="57"/>
        <w:ind w:right="192" w:firstLine="360"/>
        <w:jc w:val="both"/>
      </w:pPr>
      <w:r>
        <w:rPr>
          <w:spacing w:val="-2"/>
        </w:rPr>
        <w:t>14、刘斌先生：1979年出生，研究生学历，国家二级培训师，中国国籍，无永久境外居留权。历任富士康企业集团（深</w:t>
      </w:r>
      <w:r>
        <w:rPr/>
        <w:t> </w:t>
      </w:r>
      <w:r>
        <w:rPr>
          <w:spacing w:val="-2"/>
        </w:rPr>
        <w:t>圳）人力资源高级主管，深圳康普信息科技有限公司总经理助理及人力资源经理，深圳益华时代管理咨询公司高级咨询师及</w:t>
      </w:r>
      <w:r>
        <w:rPr>
          <w:spacing w:val="-65"/>
        </w:rPr>
        <w:t> </w:t>
      </w:r>
      <w:r>
        <w:rPr>
          <w:spacing w:val="-65"/>
        </w:rPr>
      </w:r>
      <w:r>
        <w:rPr>
          <w:spacing w:val="-2"/>
        </w:rPr>
        <w:t>项目经理，本公司人力资源总监等职务，现任公司运营总经理。刘斌先生未持有公司股票，与持有公司百分之五以上股份的</w:t>
      </w:r>
      <w:r>
        <w:rPr>
          <w:spacing w:val="-66"/>
        </w:rPr>
        <w:t> </w:t>
      </w:r>
      <w:r>
        <w:rPr>
          <w:spacing w:val="-66"/>
        </w:rPr>
      </w:r>
      <w:r>
        <w:rPr/>
        <w:t>股东、实际控制人没有关联关系，没有受过中国证监会及其他有关部门的处罚和证券交易所惩戒。</w:t>
      </w:r>
    </w:p>
    <w:p>
      <w:pPr>
        <w:pStyle w:val="BodyText"/>
        <w:spacing w:line="316" w:lineRule="auto" w:before="59"/>
        <w:ind w:right="192" w:firstLine="360"/>
        <w:jc w:val="both"/>
      </w:pPr>
      <w:r>
        <w:rPr>
          <w:spacing w:val="-2"/>
        </w:rPr>
        <w:t>15、赵金清先生：1978年出生，研究生学历，中国国籍，无境外永久居留权。曾任神州数码系统集成服务有限公司外包</w:t>
      </w:r>
      <w:r>
        <w:rPr/>
        <w:t> 交付中心总经理，2015年4月起，任职于本公司，现任公司智能云服务部副总经理。赵金清先生未持有公司股票，与持有公 司百分之五以上股份的股东、实际控制人没有关联关系，没有受过中国证监会及其他有关部门的处罚和证券交易所惩戒。</w:t>
      </w:r>
    </w:p>
    <w:p>
      <w:pPr>
        <w:pStyle w:val="BodyText"/>
        <w:spacing w:line="316" w:lineRule="auto" w:before="59"/>
        <w:ind w:right="94" w:firstLine="360"/>
        <w:jc w:val="left"/>
      </w:pPr>
      <w:r>
        <w:rPr>
          <w:spacing w:val="-4"/>
        </w:rPr>
        <w:t>16、张羽先生：1978年出生，本科学历，中国国籍，无境外永久居留权。曾任职于广东发展银行沈阳中华路支行营业部、</w:t>
      </w:r>
      <w:r>
        <w:rPr/>
        <w:t> 辽宁兴隆百货集团上市小组、辽宁信德集团投融资中心，2009年5月起，历任本公司证券事务代表、投资总监，现任本公司 董事会秘书。</w:t>
      </w:r>
    </w:p>
    <w:p>
      <w:pPr>
        <w:pStyle w:val="BodyText"/>
        <w:spacing w:line="240" w:lineRule="auto" w:before="57"/>
        <w:ind w:right="6754"/>
        <w:jc w:val="left"/>
      </w:pPr>
      <w:r>
        <w:rPr/>
        <w:t>在股东单位任职情况</w:t>
      </w:r>
    </w:p>
    <w:p>
      <w:pPr>
        <w:pStyle w:val="BodyText"/>
        <w:spacing w:line="340" w:lineRule="auto" w:before="117"/>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在其他单位任职情况</w:t>
      </w:r>
    </w:p>
    <w:p>
      <w:pPr>
        <w:pStyle w:val="BodyText"/>
        <w:spacing w:line="240" w:lineRule="auto" w:before="39"/>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868" w:footer="978" w:top="1060" w:bottom="1160" w:left="1020" w:right="940"/>
        </w:sectPr>
      </w:pPr>
    </w:p>
    <w:tbl>
      <w:tblPr>
        <w:tblW w:w="0" w:type="auto"/>
        <w:jc w:val="left"/>
        <w:tblInd w:w="115" w:type="dxa"/>
        <w:tblLayout w:type="fixed"/>
        <w:tblCellMar>
          <w:top w:w="0" w:type="dxa"/>
          <w:left w:w="0" w:type="dxa"/>
          <w:bottom w:w="0" w:type="dxa"/>
          <w:right w:w="0" w:type="dxa"/>
        </w:tblCellMar>
        <w:tblLook w:val="01E0"/>
      </w:tblPr>
      <w:tblGrid>
        <w:gridCol w:w="912"/>
        <w:gridCol w:w="3876"/>
        <w:gridCol w:w="1836"/>
        <w:gridCol w:w="1800"/>
        <w:gridCol w:w="1728"/>
        <w:gridCol w:w="1524"/>
      </w:tblGrid>
      <w:tr>
        <w:trPr>
          <w:trHeight w:val="71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181" w:right="178"/>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822" w:right="102"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217" w:right="12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辽宁华康医疗科技有限公司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辽宁恒际建筑集团公司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高级项目经理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辽宁大学经济学院</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辽宁华康医疗科技有限公司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辽宁红阳能源投资股份有限公司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辽宁华孚环境工程股份有限公司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辽宁希望教育投资有限公司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北京时代圣商文化发展有限公司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铁岭新星村镇银行股份有限公司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辽宁大学经济学院</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辽宁奥克化学股份有限公司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朝阳银行股份有限公司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赫基国际集团</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沈阳新松机器人自动化股份有限公司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副会长兼秘书长</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上海计算机软件技术开发中心</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华东理工大学</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上海软件园管理办公室</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上海市计算机软件评测重点实验室学术委员会</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上海泛微网络科技股份有限公司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北京融拓创新投资管理有限公司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沈阳融拓创新股权投资基金管理有限公司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上海拓通投资管理有限公司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厦门融创互联投资管理有限公司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陕西嘉禾生物科技股份有限公司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33"/>
          <w:pgSz w:w="11910" w:h="16840"/>
          <w:pgMar w:header="566" w:footer="978" w:top="1440" w:bottom="1160" w:left="20" w:right="0"/>
        </w:sectPr>
      </w:pPr>
    </w:p>
    <w:tbl>
      <w:tblPr>
        <w:tblW w:w="0" w:type="auto"/>
        <w:jc w:val="left"/>
        <w:tblInd w:w="115" w:type="dxa"/>
        <w:tblLayout w:type="fixed"/>
        <w:tblCellMar>
          <w:top w:w="0" w:type="dxa"/>
          <w:left w:w="0" w:type="dxa"/>
          <w:bottom w:w="0" w:type="dxa"/>
          <w:right w:w="0" w:type="dxa"/>
        </w:tblCellMar>
        <w:tblLook w:val="01E0"/>
      </w:tblPr>
      <w:tblGrid>
        <w:gridCol w:w="912"/>
        <w:gridCol w:w="3876"/>
        <w:gridCol w:w="1836"/>
        <w:gridCol w:w="1800"/>
        <w:gridCol w:w="1728"/>
        <w:gridCol w:w="1524"/>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重庆日泉农牧有限公司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山东荣昌育种股份有限公司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创慧投资管理有限公司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智能云科信息科技有限公司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云科智能伺服控制技术有限公司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云科智能制造（沈阳）有限公司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广东智能云制造有限公司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云科聚匠教育科技有限公司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江门云科智能装备有限公司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东方珠宝互联网科技有限公司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北京众成就数字传媒有限公司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辽宁大学法学院</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副教授、硕士生导师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东北制药集团股份有限公司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沈阳美德因妇儿医院股份有限公司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北京华创方舟科技股份有限公司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沈阳爱睿真企业管理咨询有限公司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北京盈科（沈阳）律师事务所</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李华才</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《中国数字医学》杂志社</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执行主编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258"/>
              <w:jc w:val="both"/>
              <w:rPr>
                <w:rFonts w:ascii="宋体" w:hAnsi="宋体" w:cs="宋体" w:eastAsia="宋体" w:hint="default"/>
                <w:sz w:val="18"/>
                <w:szCs w:val="18"/>
              </w:rPr>
            </w:pPr>
            <w:r>
              <w:rPr>
                <w:rFonts w:ascii="宋体" w:hAnsi="宋体" w:cs="宋体" w:eastAsia="宋体" w:hint="default"/>
                <w:sz w:val="18"/>
                <w:szCs w:val="18"/>
              </w:rPr>
              <w:t>在其他 单位任 职情况 的说明</w:t>
            </w:r>
          </w:p>
        </w:tc>
        <w:tc>
          <w:tcPr>
            <w:tcW w:w="107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12" w:right="67"/>
        <w:jc w:val="left"/>
      </w:pPr>
      <w:r>
        <w:rPr/>
        <w:t>公司现任及报告期内离任董事、监事和高级管理人员近三年证券监管机构处罚的情况</w:t>
      </w:r>
    </w:p>
    <w:p>
      <w:pPr>
        <w:pStyle w:val="BodyText"/>
        <w:spacing w:line="240" w:lineRule="auto" w:before="117"/>
        <w:ind w:left="1112" w:right="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112" w:right="67"/>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67"/>
        <w:jc w:val="left"/>
      </w:pPr>
      <w:r>
        <w:rPr/>
        <w:t>董事、监事、高级管理人员报酬的决策程序、确定依据、实际支付情况</w:t>
      </w:r>
    </w:p>
    <w:p>
      <w:pPr>
        <w:pStyle w:val="BodyText"/>
        <w:spacing w:line="300" w:lineRule="auto" w:before="117"/>
        <w:ind w:left="1112" w:right="67" w:firstLine="360"/>
        <w:jc w:val="left"/>
      </w:pPr>
      <w:r>
        <w:rPr>
          <w:rFonts w:ascii="Times New Roman" w:hAnsi="Times New Roman" w:cs="Times New Roman" w:eastAsia="Times New Roman" w:hint="default"/>
          <w:spacing w:val="-7"/>
          <w:w w:val="99"/>
        </w:rPr>
        <w:t>2017</w:t>
      </w:r>
      <w:r>
        <w:rPr>
          <w:spacing w:val="-7"/>
          <w:w w:val="99"/>
        </w:rPr>
        <w:t>年</w:t>
      </w:r>
      <w:r>
        <w:rPr>
          <w:rFonts w:ascii="Times New Roman" w:hAnsi="Times New Roman" w:cs="Times New Roman" w:eastAsia="Times New Roman" w:hint="default"/>
          <w:spacing w:val="-7"/>
          <w:w w:val="99"/>
        </w:rPr>
        <w:t>3</w:t>
      </w:r>
      <w:r>
        <w:rPr>
          <w:spacing w:val="-7"/>
          <w:w w:val="99"/>
        </w:rPr>
        <w:t>月</w:t>
      </w:r>
      <w:r>
        <w:rPr>
          <w:rFonts w:ascii="Times New Roman" w:hAnsi="Times New Roman" w:cs="Times New Roman" w:eastAsia="Times New Roman" w:hint="default"/>
          <w:spacing w:val="-7"/>
          <w:w w:val="99"/>
        </w:rPr>
        <w:t>29</w:t>
      </w:r>
      <w:r>
        <w:rPr>
          <w:spacing w:val="-7"/>
          <w:w w:val="99"/>
        </w:rPr>
        <w:t>日，公司召开第三届董事会第二次会议，审议通过了《关于制定</w:t>
      </w:r>
      <w:r>
        <w:rPr>
          <w:rFonts w:ascii="Times New Roman" w:hAnsi="Times New Roman" w:cs="Times New Roman" w:eastAsia="Times New Roman" w:hint="default"/>
          <w:spacing w:val="-7"/>
          <w:w w:val="99"/>
        </w:rPr>
        <w:t>&lt;</w:t>
      </w:r>
      <w:r>
        <w:rPr>
          <w:spacing w:val="-7"/>
          <w:w w:val="99"/>
        </w:rPr>
        <w:t>董事、监事薪酬管理制度</w:t>
      </w:r>
      <w:r>
        <w:rPr>
          <w:rFonts w:ascii="Times New Roman" w:hAnsi="Times New Roman" w:cs="Times New Roman" w:eastAsia="Times New Roman" w:hint="default"/>
          <w:spacing w:val="-7"/>
          <w:w w:val="99"/>
        </w:rPr>
        <w:t>&gt;</w:t>
      </w:r>
      <w:r>
        <w:rPr>
          <w:spacing w:val="-7"/>
          <w:w w:val="99"/>
        </w:rPr>
        <w:t>的议案》、《</w:t>
      </w:r>
      <w:r>
        <w:rPr>
          <w:rFonts w:ascii="Times New Roman" w:hAnsi="Times New Roman" w:cs="Times New Roman" w:eastAsia="Times New Roman" w:hint="default"/>
          <w:spacing w:val="-7"/>
          <w:w w:val="99"/>
        </w:rPr>
        <w:t>2017</w:t>
      </w:r>
      <w:r>
        <w:rPr>
          <w:rFonts w:ascii="Times New Roman" w:hAnsi="Times New Roman" w:cs="Times New Roman" w:eastAsia="Times New Roman" w:hint="default"/>
        </w:rPr>
        <w:t> </w:t>
      </w:r>
      <w:r>
        <w:rPr/>
        <w:t>年高级管理人员薪酬考核方案》；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日，公司召开</w:t>
      </w:r>
      <w:r>
        <w:rPr>
          <w:rFonts w:ascii="Times New Roman" w:hAnsi="Times New Roman" w:cs="Times New Roman" w:eastAsia="Times New Roman" w:hint="default"/>
        </w:rPr>
        <w:t>2016</w:t>
      </w:r>
      <w:r>
        <w:rPr/>
        <w:t>年度股东大会，审议通过了《关于制定</w:t>
      </w:r>
      <w:r>
        <w:rPr>
          <w:rFonts w:ascii="Times New Roman" w:hAnsi="Times New Roman" w:cs="Times New Roman" w:eastAsia="Times New Roman" w:hint="default"/>
        </w:rPr>
        <w:t>&lt;</w:t>
      </w:r>
      <w:r>
        <w:rPr/>
        <w:t>董事、监事薪酬 管理制度</w:t>
      </w:r>
      <w:r>
        <w:rPr>
          <w:rFonts w:ascii="Times New Roman" w:hAnsi="Times New Roman" w:cs="Times New Roman" w:eastAsia="Times New Roman" w:hint="default"/>
        </w:rPr>
        <w:t>&gt;</w:t>
      </w:r>
      <w:r>
        <w:rPr/>
        <w:t>的议案》。公司《董事、监事薪酬管理制度》请详见</w:t>
      </w:r>
    </w:p>
    <w:p>
      <w:pPr>
        <w:pStyle w:val="BodyText"/>
        <w:spacing w:line="240" w:lineRule="auto" w:before="52"/>
        <w:ind w:left="1112" w:right="67"/>
        <w:jc w:val="left"/>
        <w:rPr>
          <w:rFonts w:ascii="Times New Roman" w:hAnsi="Times New Roman" w:cs="Times New Roman" w:eastAsia="Times New Roman" w:hint="default"/>
        </w:rPr>
      </w:pPr>
      <w:hyperlink r:id="rId34">
        <w:r>
          <w:rPr>
            <w:rFonts w:ascii="Times New Roman"/>
          </w:rPr>
          <w:t>http://www.cninfo.com.cn/cninfo-new/disclosure/szse_gem/bulletin_detail/true/1203226400?announceTime=2017-03-30</w:t>
        </w:r>
      </w:hyperlink>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pStyle w:val="BodyText"/>
        <w:spacing w:line="240" w:lineRule="auto" w:before="44"/>
        <w:ind w:left="1112" w:right="67"/>
        <w:jc w:val="left"/>
      </w:pPr>
      <w:r>
        <w:rPr/>
        <w:t>公司报告期内董事、监事和高级管理人员报酬情况</w:t>
      </w:r>
    </w:p>
    <w:p>
      <w:pPr>
        <w:pStyle w:val="BodyText"/>
        <w:spacing w:line="240" w:lineRule="auto" w:before="117"/>
        <w:ind w:left="0" w:right="1132"/>
        <w:jc w:val="right"/>
      </w:pPr>
      <w:r>
        <w:rPr/>
        <w:t>单位：万元</w:t>
      </w:r>
    </w:p>
    <w:p>
      <w:pPr>
        <w:spacing w:line="240" w:lineRule="auto" w:before="0"/>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1369"/>
        <w:gridCol w:w="2939"/>
        <w:gridCol w:w="588"/>
        <w:gridCol w:w="574"/>
        <w:gridCol w:w="1367"/>
        <w:gridCol w:w="1367"/>
        <w:gridCol w:w="1367"/>
      </w:tblGrid>
      <w:tr>
        <w:trPr>
          <w:trHeight w:val="71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6" w:lineRule="auto"/>
        <w:jc w:val="left"/>
        <w:rPr>
          <w:rFonts w:ascii="宋体" w:hAnsi="宋体" w:cs="宋体" w:eastAsia="宋体" w:hint="default"/>
          <w:sz w:val="18"/>
          <w:szCs w:val="18"/>
        </w:rPr>
        <w:sectPr>
          <w:pgSz w:w="11910" w:h="16840"/>
          <w:pgMar w:header="566" w:footer="978" w:top="1440" w:bottom="1160" w:left="20" w:right="0"/>
        </w:sectPr>
      </w:pPr>
    </w:p>
    <w:tbl>
      <w:tblPr>
        <w:tblW w:w="0" w:type="auto"/>
        <w:jc w:val="left"/>
        <w:tblInd w:w="109" w:type="dxa"/>
        <w:tblLayout w:type="fixed"/>
        <w:tblCellMar>
          <w:top w:w="0" w:type="dxa"/>
          <w:left w:w="0" w:type="dxa"/>
          <w:bottom w:w="0" w:type="dxa"/>
          <w:right w:w="0" w:type="dxa"/>
        </w:tblCellMar>
        <w:tblLook w:val="01E0"/>
      </w:tblPr>
      <w:tblGrid>
        <w:gridCol w:w="1369"/>
        <w:gridCol w:w="2939"/>
        <w:gridCol w:w="588"/>
        <w:gridCol w:w="574"/>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董事长、高管</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董事、高管</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6"/>
                <w:sz w:val="18"/>
                <w:szCs w:val="18"/>
              </w:rPr>
              <w:t>董事、财务总监、董事会秘书（离任</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董事（离任独立董事）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郭薇</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杨兴礼</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李华才</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王齐</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张羽</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赵金清</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602.82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pict>
          <v:shape style="position:absolute;margin-left:266.158997pt;margin-top:172.900024pt;width:35.25pt;height:19.7pt;mso-position-horizontal-relative:page;mso-position-vertical-relative:page;z-index:-821800"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272.25pt;margin-top:172.900024pt;width:29.15pt;height:19.850pt;mso-position-horizontal-relative:page;mso-position-vertical-relative:page;z-index:-821776" coordorigin="5445,3458" coordsize="583,397">
            <v:shape style="position:absolute;left:5445;top:3458;width:583;height:397" coordorigin="5445,3458" coordsize="583,397" path="m5445,3458l6028,3458,6028,3855,5445,3855,5445,3458xe" filled="true" fillcolor="#ffffff" stroked="false">
              <v:path arrowok="t"/>
              <v:fill type="solid"/>
            </v:shape>
            <w10:wrap type="none"/>
          </v:group>
        </w:pict>
      </w: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w:t>
            </w:r>
          </w:p>
        </w:tc>
      </w:tr>
      <w:tr>
        <w:trPr>
          <w:trHeight w:val="400"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pgSz w:w="11910" w:h="16840"/>
          <w:pgMar w:header="566" w:footer="978" w:top="1440" w:bottom="1160" w:left="1020" w:right="1020"/>
        </w:sectPr>
      </w:pPr>
    </w:p>
    <w:p>
      <w:pPr>
        <w:spacing w:line="240" w:lineRule="auto" w:before="4"/>
        <w:rPr>
          <w:rFonts w:ascii="宋体" w:hAnsi="宋体" w:cs="宋体" w:eastAsia="宋体" w:hint="default"/>
          <w:b/>
          <w:bCs/>
          <w:sz w:val="5"/>
          <w:szCs w:val="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w:t>
            </w:r>
          </w:p>
        </w:tc>
      </w:tr>
    </w:tbl>
    <w:p>
      <w:pPr>
        <w:spacing w:line="240" w:lineRule="auto" w:before="4"/>
        <w:rPr>
          <w:rFonts w:ascii="宋体" w:hAnsi="宋体" w:cs="宋体" w:eastAsia="宋体" w:hint="default"/>
          <w:b/>
          <w:bCs/>
          <w:sz w:val="19"/>
          <w:szCs w:val="19"/>
        </w:rPr>
      </w:pPr>
    </w:p>
    <w:p>
      <w:pPr>
        <w:pStyle w:val="Heading3"/>
        <w:spacing w:line="240" w:lineRule="auto" w:before="34"/>
        <w:ind w:right="675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90" w:firstLine="360"/>
        <w:jc w:val="both"/>
      </w:pPr>
      <w:r>
        <w:rPr>
          <w:spacing w:val="-2"/>
        </w:rPr>
        <w:t>公司实行员工的薪资收入与岗位责任、工作绩效密切结合的薪酬政策，并通过绩效考核体系，使薪酬管理与分配的制度</w:t>
      </w:r>
      <w:r>
        <w:rPr/>
        <w:t> </w:t>
      </w:r>
      <w:r>
        <w:rPr>
          <w:spacing w:val="-2"/>
        </w:rPr>
        <w:t>化，规范化。报告期内，公司继续对所有岗位进行分类，针对员工不同的专业方向分别进行岗位定级，每个级别对应相应的</w:t>
      </w:r>
      <w:r>
        <w:rPr>
          <w:spacing w:val="-63"/>
        </w:rPr>
        <w:t> </w:t>
      </w:r>
      <w:r>
        <w:rPr>
          <w:spacing w:val="-63"/>
        </w:rPr>
      </w:r>
      <w:r>
        <w:rPr>
          <w:spacing w:val="-2"/>
        </w:rPr>
        <w:t>薪级。同时，人才发展部通过各种途径进行薪酬调查，以保证工资水平对外具有竞争力。另一方面，为确保公司高管岗位对</w:t>
      </w:r>
      <w:r>
        <w:rPr>
          <w:spacing w:val="-63"/>
        </w:rPr>
        <w:t> </w:t>
      </w:r>
      <w:r>
        <w:rPr>
          <w:spacing w:val="-63"/>
        </w:rPr>
      </w:r>
      <w:r>
        <w:rPr>
          <w:spacing w:val="-2"/>
        </w:rPr>
        <w:t>人才的吸引力与凝聚力，按照风险、责任与利益相协调的原则，参考不同地域和行业的薪酬水平，结合公司生产经营的实际</w:t>
      </w:r>
      <w:r>
        <w:rPr>
          <w:spacing w:val="-64"/>
        </w:rPr>
        <w:t> </w:t>
      </w:r>
      <w:r>
        <w:rPr>
          <w:spacing w:val="-64"/>
        </w:rPr>
      </w:r>
      <w:r>
        <w:rPr>
          <w:spacing w:val="-1"/>
        </w:rPr>
        <w:t>情况，公司第三届董事会第二次会议审议通过了《</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16"/>
        </w:rPr>
        <w:t> </w:t>
      </w:r>
      <w:r>
        <w:rPr>
          <w:spacing w:val="-4"/>
        </w:rPr>
        <w:t>年度高级管理人员薪酬考核方案》，充分调动了公司高级管理人员的</w:t>
      </w:r>
      <w:r>
        <w:rPr>
          <w:spacing w:val="-87"/>
        </w:rPr>
        <w:t> </w:t>
      </w:r>
      <w:r>
        <w:rPr>
          <w:spacing w:val="-87"/>
        </w:rPr>
      </w:r>
      <w:r>
        <w:rPr/>
        <w:t>积极性，激发了高管人员的创造性与活力。</w:t>
      </w:r>
    </w:p>
    <w:p>
      <w:pPr>
        <w:spacing w:line="240" w:lineRule="auto" w:before="7"/>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94" w:firstLine="360"/>
        <w:jc w:val="left"/>
      </w:pPr>
      <w:r>
        <w:rPr>
          <w:spacing w:val="-2"/>
        </w:rPr>
        <w:t>报告期内，根据员工的培训需求，公司每个月安排不同的培训课程及参训群体。同时，为方便员工多渠道、随时随地学</w:t>
      </w:r>
      <w:r>
        <w:rPr/>
        <w:t> 习的需求，公司将培训由课堂面授延伸至在线学习及微课堂学习，将</w:t>
      </w:r>
      <w:r>
        <w:rPr>
          <w:rFonts w:ascii="Times New Roman" w:hAnsi="Times New Roman" w:cs="Times New Roman" w:eastAsia="Times New Roman" w:hint="default"/>
        </w:rPr>
        <w:t>“</w:t>
      </w:r>
      <w:r>
        <w:rPr/>
        <w:t>荣科云学院</w:t>
      </w:r>
      <w:r>
        <w:rPr>
          <w:rFonts w:ascii="Times New Roman" w:hAnsi="Times New Roman" w:cs="Times New Roman" w:eastAsia="Times New Roman" w:hint="default"/>
        </w:rPr>
        <w:t>”</w:t>
      </w:r>
      <w:r>
        <w:rPr/>
        <w:t>升级，使其在课程管理方面更有力地支持 </w:t>
      </w:r>
      <w:r>
        <w:rPr>
          <w:spacing w:val="-2"/>
        </w:rPr>
        <w:t>培训工作。此外，公司加强销售人员对产品知识的培训，并通过微信微课堂等多种培训模式，真正实现了</w:t>
      </w:r>
      <w:r>
        <w:rPr>
          <w:rFonts w:ascii="Times New Roman" w:hAnsi="Times New Roman" w:cs="Times New Roman" w:eastAsia="Times New Roman" w:hint="default"/>
          <w:spacing w:val="-2"/>
        </w:rPr>
        <w:t>“</w:t>
      </w:r>
      <w:r>
        <w:rPr>
          <w:spacing w:val="-2"/>
        </w:rPr>
        <w:t>按参训人员类别、</w:t>
      </w:r>
      <w:r>
        <w:rPr>
          <w:spacing w:val="-54"/>
        </w:rPr>
        <w:t> </w:t>
      </w:r>
      <w:r>
        <w:rPr/>
        <w:t>等级有针对性实施</w:t>
      </w:r>
      <w:r>
        <w:rPr>
          <w:rFonts w:ascii="Times New Roman" w:hAnsi="Times New Roman" w:cs="Times New Roman" w:eastAsia="Times New Roman" w:hint="default"/>
        </w:rPr>
        <w:t>”</w:t>
      </w:r>
      <w:r>
        <w:rPr/>
        <w:t>的培训目标。报告期内，公司培训计划实际完成率达</w:t>
      </w:r>
      <w:r>
        <w:rPr>
          <w:spacing w:val="-50"/>
        </w:rPr>
        <w:t> </w:t>
      </w:r>
      <w:r>
        <w:rPr>
          <w:rFonts w:ascii="Times New Roman" w:hAnsi="Times New Roman" w:cs="Times New Roman" w:eastAsia="Times New Roman" w:hint="default"/>
        </w:rPr>
        <w:t>97.5%</w:t>
      </w:r>
      <w:r>
        <w:rPr/>
        <w:t>，课程满意度达</w:t>
      </w:r>
      <w:r>
        <w:rPr>
          <w:spacing w:val="-50"/>
        </w:rPr>
        <w:t> </w:t>
      </w:r>
      <w:r>
        <w:rPr>
          <w:rFonts w:ascii="Times New Roman" w:hAnsi="Times New Roman" w:cs="Times New Roman" w:eastAsia="Times New Roman" w:hint="default"/>
        </w:rPr>
        <w:t>98.4%</w:t>
      </w:r>
      <w:r>
        <w:rPr/>
        <w:t>。</w:t>
      </w:r>
    </w:p>
    <w:p>
      <w:pPr>
        <w:spacing w:line="240" w:lineRule="auto" w:before="9"/>
        <w:rPr>
          <w:rFonts w:ascii="宋体" w:hAnsi="宋体" w:cs="宋体" w:eastAsia="宋体" w:hint="default"/>
          <w:sz w:val="21"/>
          <w:szCs w:val="21"/>
        </w:rPr>
      </w:pPr>
    </w:p>
    <w:p>
      <w:pPr>
        <w:pStyle w:val="Heading3"/>
        <w:spacing w:line="240" w:lineRule="auto"/>
        <w:ind w:right="675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566" w:footer="978" w:top="1360" w:bottom="1160" w:left="102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4691" w:right="4191"/>
        <w:jc w:val="center"/>
        <w:rPr>
          <w:b w:val="0"/>
          <w:bCs w:val="0"/>
        </w:rPr>
      </w:pPr>
      <w:bookmarkStart w:name="_bookmark8" w:id="9"/>
      <w:bookmarkEnd w:id="9"/>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1092" w:right="7234"/>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092" w:right="494" w:firstLine="360"/>
        <w:jc w:val="left"/>
      </w:pPr>
      <w:r>
        <w:rPr>
          <w:spacing w:val="-2"/>
        </w:rPr>
        <w:t>报告期内，公司严格按照《公司法》、《证券法》、《深圳证券交易所创业板股票上市规则》、《深圳证券交易所创业</w:t>
      </w:r>
      <w:r>
        <w:rPr/>
        <w:t> 板上市公司规范运作指引》等相关法律、法规、规范性文件的要求，努力完善公司治理结构，建立健全公司内部控制制度； </w:t>
      </w:r>
      <w:r>
        <w:rPr>
          <w:spacing w:val="-2"/>
        </w:rPr>
        <w:t>在日常经营管理中，认真执行《公司章程》、《股东大会议事规则》、《董事会议事规则》、《监事会议事规则》等各项规</w:t>
      </w:r>
      <w:r>
        <w:rPr>
          <w:spacing w:val="-69"/>
        </w:rPr>
        <w:t> </w:t>
      </w:r>
      <w:r>
        <w:rPr>
          <w:spacing w:val="-69"/>
        </w:rPr>
      </w:r>
      <w:r>
        <w:rPr/>
        <w:t>章制度，促进公司规范运作，不断提高公司治理水平。</w:t>
      </w:r>
    </w:p>
    <w:p>
      <w:pPr>
        <w:pStyle w:val="BodyText"/>
        <w:spacing w:line="316" w:lineRule="auto" w:before="19"/>
        <w:ind w:left="1092" w:right="854" w:firstLine="360"/>
        <w:jc w:val="left"/>
      </w:pPr>
      <w:r>
        <w:rPr/>
        <w:t>报告期内，公司治理的实际状况符合国家相关法律、法规和监管部门的规范性文件要求，符合公司实际经营情况。 公司治理的实际状况与中国证监会发布的有关上市公司治理的规范性文件是否存在重大差异</w:t>
      </w:r>
    </w:p>
    <w:p>
      <w:pPr>
        <w:pStyle w:val="BodyText"/>
        <w:spacing w:line="340" w:lineRule="auto" w:before="59"/>
        <w:ind w:left="1092" w:right="30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left="1092" w:right="584"/>
        <w:jc w:val="left"/>
        <w:rPr>
          <w:b w:val="0"/>
          <w:bCs w:val="0"/>
        </w:rPr>
      </w:pP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92" w:right="584"/>
        <w:jc w:val="left"/>
      </w:pPr>
      <w:r>
        <w:rPr/>
        <w:t>公司在业务、人员、资产、机构、财务等方面独立于控股股东。</w:t>
      </w:r>
    </w:p>
    <w:p>
      <w:pPr>
        <w:spacing w:line="240" w:lineRule="auto" w:before="1"/>
        <w:rPr>
          <w:rFonts w:ascii="宋体" w:hAnsi="宋体" w:cs="宋体" w:eastAsia="宋体" w:hint="default"/>
          <w:sz w:val="25"/>
          <w:szCs w:val="25"/>
        </w:rPr>
      </w:pPr>
    </w:p>
    <w:p>
      <w:pPr>
        <w:pStyle w:val="Heading2"/>
        <w:spacing w:line="240" w:lineRule="auto"/>
        <w:ind w:left="1092" w:right="7234"/>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092" w:right="7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092" w:right="584"/>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092" w:right="7234"/>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7" w:type="dxa"/>
        <w:tblLayout w:type="fixed"/>
        <w:tblCellMar>
          <w:top w:w="0" w:type="dxa"/>
          <w:left w:w="0" w:type="dxa"/>
          <w:bottom w:w="0" w:type="dxa"/>
          <w:right w:w="0" w:type="dxa"/>
        </w:tblCellMar>
        <w:tblLook w:val="01E0"/>
      </w:tblPr>
      <w:tblGrid>
        <w:gridCol w:w="1716"/>
        <w:gridCol w:w="1200"/>
        <w:gridCol w:w="1044"/>
        <w:gridCol w:w="1044"/>
        <w:gridCol w:w="1140"/>
        <w:gridCol w:w="4932"/>
      </w:tblGrid>
      <w:tr>
        <w:trPr>
          <w:trHeight w:val="714" w:hRule="exact"/>
        </w:trPr>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7" w:right="66" w:hanging="272"/>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年度第一次临时 股东大会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5"/>
              <w:jc w:val="left"/>
              <w:rPr>
                <w:rFonts w:ascii="Times New Roman" w:hAnsi="Times New Roman" w:cs="Times New Roman" w:eastAsia="Times New Roman" w:hint="default"/>
                <w:sz w:val="18"/>
                <w:szCs w:val="18"/>
              </w:rPr>
            </w:pPr>
            <w:hyperlink r:id="rId35">
              <w:r>
                <w:rPr>
                  <w:rFonts w:ascii="Times New Roman"/>
                  <w:spacing w:val="-1"/>
                  <w:sz w:val="18"/>
                </w:rPr>
                <w:t>http://www.cninfo.com.cn/cninfo-new/disclosure/szse_gem/bulleti</w:t>
              </w:r>
            </w:hyperlink>
            <w:r>
              <w:rPr>
                <w:rFonts w:ascii="Times New Roman"/>
                <w:spacing w:val="-21"/>
                <w:sz w:val="18"/>
              </w:rPr>
              <w:t> </w:t>
            </w:r>
            <w:r>
              <w:rPr>
                <w:rFonts w:ascii="Times New Roman"/>
                <w:spacing w:val="-21"/>
                <w:sz w:val="18"/>
              </w:rPr>
            </w:r>
            <w:r>
              <w:rPr>
                <w:rFonts w:ascii="Times New Roman"/>
                <w:spacing w:val="-1"/>
                <w:sz w:val="18"/>
              </w:rPr>
              <w:t>n_detail/true/1203113600?announceTime=2017-02-27</w:t>
            </w:r>
            <w:r>
              <w:rPr>
                <w:rFonts w:ascii="Times New Roman"/>
                <w:spacing w:val="13"/>
                <w:sz w:val="18"/>
              </w:rPr>
              <w:t> </w:t>
            </w:r>
            <w:r>
              <w:rPr>
                <w:rFonts w:ascii="Times New Roman"/>
                <w:sz w:val="18"/>
              </w:rPr>
              <w:t>20:13</w:t>
            </w:r>
          </w:p>
        </w:tc>
      </w:tr>
      <w:tr>
        <w:trPr>
          <w:trHeight w:val="71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51.96%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22" w:right="105"/>
              <w:jc w:val="left"/>
              <w:rPr>
                <w:rFonts w:ascii="Times New Roman" w:hAnsi="Times New Roman" w:cs="Times New Roman" w:eastAsia="Times New Roman" w:hint="default"/>
                <w:sz w:val="18"/>
                <w:szCs w:val="18"/>
              </w:rPr>
            </w:pPr>
            <w:hyperlink r:id="rId35">
              <w:r>
                <w:rPr>
                  <w:rFonts w:ascii="Times New Roman"/>
                  <w:spacing w:val="-1"/>
                  <w:sz w:val="18"/>
                </w:rPr>
                <w:t>http://www.cninfo.com.cn/cninfo-new/disclosure/szse_gem/bulleti</w:t>
              </w:r>
            </w:hyperlink>
            <w:r>
              <w:rPr>
                <w:rFonts w:ascii="Times New Roman"/>
                <w:spacing w:val="-21"/>
                <w:sz w:val="18"/>
              </w:rPr>
              <w:t> </w:t>
            </w:r>
            <w:r>
              <w:rPr>
                <w:rFonts w:ascii="Times New Roman"/>
                <w:spacing w:val="-21"/>
                <w:sz w:val="18"/>
              </w:rPr>
            </w:r>
            <w:r>
              <w:rPr>
                <w:rFonts w:ascii="Times New Roman"/>
                <w:sz w:val="18"/>
              </w:rPr>
              <w:t>n_detail/true/1203343523?announceTime=2017-04-20</w:t>
            </w:r>
            <w:r>
              <w:rPr>
                <w:rFonts w:ascii="Times New Roman"/>
                <w:spacing w:val="-30"/>
                <w:sz w:val="18"/>
              </w:rPr>
              <w:t> </w:t>
            </w:r>
            <w:r>
              <w:rPr>
                <w:rFonts w:ascii="Times New Roman"/>
                <w:sz w:val="18"/>
              </w:rPr>
              <w:t>17:44</w:t>
            </w:r>
          </w:p>
        </w:tc>
      </w:tr>
      <w:tr>
        <w:trPr>
          <w:trHeight w:val="71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年度第二次临时 股东大会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51.85%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5"/>
              <w:jc w:val="left"/>
              <w:rPr>
                <w:rFonts w:ascii="Times New Roman" w:hAnsi="Times New Roman" w:cs="Times New Roman" w:eastAsia="Times New Roman" w:hint="default"/>
                <w:sz w:val="18"/>
                <w:szCs w:val="18"/>
              </w:rPr>
            </w:pPr>
            <w:hyperlink r:id="rId35">
              <w:r>
                <w:rPr>
                  <w:rFonts w:ascii="Times New Roman"/>
                  <w:spacing w:val="-1"/>
                  <w:sz w:val="18"/>
                </w:rPr>
                <w:t>http://www.cninfo.com.cn/cninfo-new/disclosure/szse_gem/bulleti</w:t>
              </w:r>
            </w:hyperlink>
            <w:r>
              <w:rPr>
                <w:rFonts w:ascii="Times New Roman"/>
                <w:spacing w:val="-21"/>
                <w:sz w:val="18"/>
              </w:rPr>
              <w:t> </w:t>
            </w:r>
            <w:r>
              <w:rPr>
                <w:rFonts w:ascii="Times New Roman"/>
                <w:spacing w:val="-21"/>
                <w:sz w:val="18"/>
              </w:rPr>
            </w:r>
            <w:r>
              <w:rPr>
                <w:rFonts w:ascii="Times New Roman"/>
                <w:sz w:val="18"/>
              </w:rPr>
              <w:t>n_detail/true/1203571666?announceTime=2017-05-26</w:t>
            </w:r>
            <w:r>
              <w:rPr>
                <w:rFonts w:ascii="Times New Roman"/>
                <w:spacing w:val="-30"/>
                <w:sz w:val="18"/>
              </w:rPr>
              <w:t> </w:t>
            </w:r>
            <w:r>
              <w:rPr>
                <w:rFonts w:ascii="Times New Roman"/>
                <w:sz w:val="18"/>
              </w:rPr>
              <w:t>16:54</w:t>
            </w:r>
          </w:p>
        </w:tc>
      </w:tr>
      <w:tr>
        <w:trPr>
          <w:trHeight w:val="71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年度第三次临时 股东大会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52.09%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22" w:right="105"/>
              <w:jc w:val="left"/>
              <w:rPr>
                <w:rFonts w:ascii="Times New Roman" w:hAnsi="Times New Roman" w:cs="Times New Roman" w:eastAsia="Times New Roman" w:hint="default"/>
                <w:sz w:val="18"/>
                <w:szCs w:val="18"/>
              </w:rPr>
            </w:pPr>
            <w:hyperlink r:id="rId35">
              <w:r>
                <w:rPr>
                  <w:rFonts w:ascii="Times New Roman"/>
                  <w:spacing w:val="-1"/>
                  <w:sz w:val="18"/>
                </w:rPr>
                <w:t>http://www.cninfo.com.cn/cninfo-new/disclosure/szse_gem/bulleti</w:t>
              </w:r>
            </w:hyperlink>
            <w:r>
              <w:rPr>
                <w:rFonts w:ascii="Times New Roman"/>
                <w:spacing w:val="-21"/>
                <w:sz w:val="18"/>
              </w:rPr>
              <w:t> </w:t>
            </w:r>
            <w:r>
              <w:rPr>
                <w:rFonts w:ascii="Times New Roman"/>
                <w:spacing w:val="-21"/>
                <w:sz w:val="18"/>
              </w:rPr>
            </w:r>
            <w:r>
              <w:rPr>
                <w:rFonts w:ascii="Times New Roman"/>
                <w:sz w:val="18"/>
              </w:rPr>
              <w:t>n_detail/true/1204040249?announceTime=2017-10-13</w:t>
            </w:r>
            <w:r>
              <w:rPr>
                <w:rFonts w:ascii="Times New Roman"/>
                <w:spacing w:val="-30"/>
                <w:sz w:val="18"/>
              </w:rPr>
              <w:t> </w:t>
            </w:r>
            <w:r>
              <w:rPr>
                <w:rFonts w:ascii="Times New Roman"/>
                <w:sz w:val="18"/>
              </w:rPr>
              <w:t>19:28</w:t>
            </w:r>
          </w:p>
        </w:tc>
      </w:tr>
      <w:tr>
        <w:trPr>
          <w:trHeight w:val="71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年度第四次临时 股东大会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52.06%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5"/>
              <w:jc w:val="left"/>
              <w:rPr>
                <w:rFonts w:ascii="Times New Roman" w:hAnsi="Times New Roman" w:cs="Times New Roman" w:eastAsia="Times New Roman" w:hint="default"/>
                <w:sz w:val="18"/>
                <w:szCs w:val="18"/>
              </w:rPr>
            </w:pPr>
            <w:hyperlink r:id="rId35">
              <w:r>
                <w:rPr>
                  <w:rFonts w:ascii="Times New Roman"/>
                  <w:spacing w:val="-1"/>
                  <w:sz w:val="18"/>
                </w:rPr>
                <w:t>http://www.cninfo.com.cn/cninfo-new/disclosure/szse_gem/bulleti</w:t>
              </w:r>
            </w:hyperlink>
            <w:r>
              <w:rPr>
                <w:rFonts w:ascii="Times New Roman"/>
                <w:spacing w:val="-21"/>
                <w:sz w:val="18"/>
              </w:rPr>
              <w:t> </w:t>
            </w:r>
            <w:r>
              <w:rPr>
                <w:rFonts w:ascii="Times New Roman"/>
                <w:spacing w:val="-21"/>
                <w:sz w:val="18"/>
              </w:rPr>
            </w:r>
            <w:r>
              <w:rPr>
                <w:rFonts w:ascii="Times New Roman"/>
                <w:spacing w:val="-1"/>
                <w:sz w:val="18"/>
              </w:rPr>
              <w:t>n_detail/true/1204131984?announceTime=2017-11-10</w:t>
            </w:r>
            <w:r>
              <w:rPr>
                <w:rFonts w:ascii="Times New Roman"/>
                <w:spacing w:val="11"/>
                <w:sz w:val="18"/>
              </w:rPr>
              <w:t> </w:t>
            </w:r>
            <w:r>
              <w:rPr>
                <w:rFonts w:ascii="Times New Roman"/>
                <w:sz w:val="18"/>
              </w:rPr>
              <w:t>17:20</w:t>
            </w:r>
          </w:p>
        </w:tc>
      </w:tr>
    </w:tbl>
    <w:p>
      <w:pPr>
        <w:spacing w:after="0" w:line="362" w:lineRule="auto"/>
        <w:jc w:val="left"/>
        <w:rPr>
          <w:rFonts w:ascii="Times New Roman" w:hAnsi="Times New Roman" w:cs="Times New Roman" w:eastAsia="Times New Roman" w:hint="default"/>
          <w:sz w:val="18"/>
          <w:szCs w:val="18"/>
        </w:rPr>
        <w:sectPr>
          <w:pgSz w:w="11910" w:h="16840"/>
          <w:pgMar w:header="566" w:footer="978" w:top="1360" w:bottom="1160" w:left="40" w:right="540"/>
        </w:sectPr>
      </w:pPr>
    </w:p>
    <w:p>
      <w:pPr>
        <w:pStyle w:val="Heading3"/>
        <w:spacing w:line="240" w:lineRule="auto" w:before="5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6" w:right="34"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5" w:right="34"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6" w:right="36"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宋廷峰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李华才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50"/>
        <w:ind w:right="7034"/>
        <w:jc w:val="left"/>
      </w:pPr>
      <w:r>
        <w:rPr/>
        <w:t>连续两次未亲自出席董事会的说明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7"/>
        <w:ind w:right="59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57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独立董事对公司有关建议被采纳或未被采纳的说明</w:t>
      </w:r>
    </w:p>
    <w:p>
      <w:pPr>
        <w:pStyle w:val="BodyText"/>
        <w:spacing w:line="316" w:lineRule="auto" w:before="43"/>
        <w:ind w:right="112" w:firstLine="360"/>
        <w:jc w:val="both"/>
      </w:pPr>
      <w:r>
        <w:rPr>
          <w:spacing w:val="-2"/>
        </w:rPr>
        <w:t>报告期内，公司独立董事勤勉尽责，与管理层保持了良好的沟通。独立董事在认真审阅董事会各项议案的基础上，对有</w:t>
      </w:r>
      <w:r>
        <w:rPr/>
        <w:t> </w:t>
      </w:r>
      <w:r>
        <w:rPr>
          <w:spacing w:val="-2"/>
        </w:rPr>
        <w:t>关事项进行仔细询问，提出意见和建议。对公司内部控制、财务及重大经营管理活动进行了有效的监督，维护了广大投资者</w:t>
      </w:r>
      <w:r>
        <w:rPr>
          <w:spacing w:val="-66"/>
        </w:rPr>
        <w:t> </w:t>
      </w:r>
      <w:r>
        <w:rPr>
          <w:spacing w:val="-66"/>
        </w:rPr>
      </w:r>
      <w:r>
        <w:rPr/>
        <w:t>特别是中小投资者的合法权益。</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72" w:right="0"/>
        <w:jc w:val="left"/>
      </w:pPr>
      <w:r>
        <w:rPr>
          <w:rFonts w:ascii="Times New Roman" w:hAnsi="Times New Roman" w:cs="Times New Roman" w:eastAsia="Times New Roman" w:hint="default"/>
        </w:rPr>
        <w:t>1</w:t>
      </w:r>
      <w:r>
        <w:rPr/>
        <w:t>、审计委员会 </w:t>
      </w:r>
      <w:r>
        <w:rPr>
          <w:spacing w:val="-2"/>
        </w:rPr>
        <w:t>报告期内，公司审计委员会按照《审计委员会议事规则》的相关规定，重点对公司定期报告、募集资金使用情况及公司</w:t>
      </w:r>
    </w:p>
    <w:p>
      <w:pPr>
        <w:pStyle w:val="BodyText"/>
        <w:spacing w:line="240" w:lineRule="auto" w:before="31"/>
        <w:ind w:right="0"/>
        <w:jc w:val="left"/>
      </w:pPr>
      <w:r>
        <w:rPr/>
        <w:t>内部控制的制度建设及实施情况进行了监督和审核。</w:t>
      </w:r>
    </w:p>
    <w:p>
      <w:pPr>
        <w:spacing w:after="0" w:line="240" w:lineRule="auto"/>
        <w:jc w:val="left"/>
        <w:sectPr>
          <w:footerReference w:type="default" r:id="rId36"/>
          <w:pgSz w:w="11910" w:h="16840"/>
          <w:pgMar w:footer="978" w:header="566" w:top="1360" w:bottom="1160" w:left="1020" w:right="1020"/>
          <w:pgNumType w:start="60"/>
        </w:sectPr>
      </w:pPr>
    </w:p>
    <w:p>
      <w:pPr>
        <w:pStyle w:val="BodyText"/>
        <w:spacing w:line="300" w:lineRule="auto" w:before="81"/>
        <w:ind w:left="1452" w:right="461"/>
        <w:jc w:val="left"/>
      </w:pPr>
      <w:r>
        <w:rPr>
          <w:rFonts w:ascii="Times New Roman" w:hAnsi="Times New Roman" w:cs="Times New Roman" w:eastAsia="Times New Roman" w:hint="default"/>
        </w:rPr>
        <w:t>2</w:t>
      </w:r>
      <w:r>
        <w:rPr/>
        <w:t>、战略委员会 </w:t>
      </w:r>
      <w:r>
        <w:rPr>
          <w:spacing w:val="-2"/>
        </w:rPr>
        <w:t>报告期内，公司战略委员会按照《战略委员会议事规则》的相关规定，积极研究公司长期发展战略规划，对公司收购神</w:t>
      </w:r>
    </w:p>
    <w:p>
      <w:pPr>
        <w:pStyle w:val="BodyText"/>
        <w:spacing w:line="240" w:lineRule="auto" w:before="31"/>
        <w:ind w:left="1092" w:right="461"/>
        <w:jc w:val="left"/>
      </w:pPr>
      <w:r>
        <w:rPr/>
        <w:t>州视翰事宜进行了充分的探讨和商榷，确定了公司未来发展战略及</w:t>
      </w:r>
      <w:r>
        <w:rPr>
          <w:rFonts w:ascii="Times New Roman" w:hAnsi="Times New Roman" w:cs="Times New Roman" w:eastAsia="Times New Roman" w:hint="default"/>
        </w:rPr>
        <w:t>2017</w:t>
      </w:r>
      <w:r>
        <w:rPr/>
        <w:t>年经营计划。</w:t>
      </w:r>
    </w:p>
    <w:p>
      <w:pPr>
        <w:pStyle w:val="BodyText"/>
        <w:spacing w:line="300" w:lineRule="auto" w:before="63"/>
        <w:ind w:left="1452" w:right="461"/>
        <w:jc w:val="left"/>
      </w:pPr>
      <w:r>
        <w:rPr>
          <w:rFonts w:ascii="Times New Roman" w:hAnsi="Times New Roman" w:cs="Times New Roman" w:eastAsia="Times New Roman" w:hint="default"/>
        </w:rPr>
        <w:t>3</w:t>
      </w:r>
      <w:r>
        <w:rPr/>
        <w:t>、薪酬与考核委员会 </w:t>
      </w:r>
      <w:r>
        <w:rPr>
          <w:spacing w:val="-7"/>
        </w:rPr>
        <w:t>报告期内，公司薪酬与考核委员会按照《薪酬与考核委员会议事规则》的相关规定，审议了《董事、监事薪酬管理制度》、</w:t>
      </w:r>
    </w:p>
    <w:p>
      <w:pPr>
        <w:pStyle w:val="BodyText"/>
        <w:spacing w:line="240" w:lineRule="auto" w:before="31"/>
        <w:ind w:left="1092" w:right="461"/>
        <w:jc w:val="left"/>
      </w:pPr>
      <w:r>
        <w:rPr/>
        <w:t>《2017年高级管理人员薪酬考核方案》，听取了高级管理人员的年度工作汇报。</w:t>
      </w:r>
    </w:p>
    <w:p>
      <w:pPr>
        <w:pStyle w:val="BodyText"/>
        <w:spacing w:line="300" w:lineRule="auto" w:before="76"/>
        <w:ind w:left="1452" w:right="461"/>
        <w:jc w:val="left"/>
      </w:pPr>
      <w:r>
        <w:rPr>
          <w:rFonts w:ascii="Times New Roman" w:hAnsi="Times New Roman" w:cs="Times New Roman" w:eastAsia="Times New Roman" w:hint="default"/>
        </w:rPr>
        <w:t>4</w:t>
      </w:r>
      <w:r>
        <w:rPr/>
        <w:t>、提名委员会 </w:t>
      </w:r>
      <w:r>
        <w:rPr>
          <w:spacing w:val="-4"/>
        </w:rPr>
        <w:t>报告期内，公司提名委员会按照《提名委员会议事规则》的相关规定，在公司董事会换届选举期间，认真履行相关职责，</w:t>
      </w:r>
    </w:p>
    <w:p>
      <w:pPr>
        <w:pStyle w:val="BodyText"/>
        <w:spacing w:line="300" w:lineRule="auto" w:before="31"/>
        <w:ind w:left="1092" w:right="461"/>
        <w:jc w:val="left"/>
      </w:pPr>
      <w:r>
        <w:rPr>
          <w:spacing w:val="-2"/>
        </w:rPr>
        <w:t>为公司第三届董事会的成立做出了应有贡献。报告期内，提名委员会积极关注各位董事的履职情况，审议了《</w:t>
      </w:r>
      <w:r>
        <w:rPr>
          <w:rFonts w:ascii="Times New Roman" w:hAnsi="Times New Roman" w:cs="Times New Roman" w:eastAsia="Times New Roman" w:hint="default"/>
          <w:spacing w:val="-2"/>
        </w:rPr>
        <w:t>2017</w:t>
      </w:r>
      <w:r>
        <w:rPr>
          <w:spacing w:val="-2"/>
        </w:rPr>
        <w:t>年度董事</w:t>
      </w:r>
      <w:r>
        <w:rPr>
          <w:spacing w:val="-64"/>
        </w:rPr>
        <w:t> </w:t>
      </w:r>
      <w:r>
        <w:rPr/>
        <w:t>会工作报告》。</w:t>
      </w:r>
    </w:p>
    <w:p>
      <w:pPr>
        <w:spacing w:line="240" w:lineRule="auto" w:before="8"/>
        <w:rPr>
          <w:rFonts w:ascii="宋体" w:hAnsi="宋体" w:cs="宋体" w:eastAsia="宋体" w:hint="default"/>
          <w:sz w:val="21"/>
          <w:szCs w:val="21"/>
        </w:rPr>
      </w:pPr>
    </w:p>
    <w:p>
      <w:pPr>
        <w:pStyle w:val="Heading2"/>
        <w:spacing w:line="240" w:lineRule="auto"/>
        <w:ind w:left="1092" w:right="461"/>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092" w:right="461"/>
        <w:jc w:val="left"/>
      </w:pPr>
      <w:r>
        <w:rPr/>
        <w:t>监事会在报告期内的监督活动中发现公司是否存在风险</w:t>
      </w:r>
    </w:p>
    <w:p>
      <w:pPr>
        <w:pStyle w:val="BodyText"/>
        <w:spacing w:line="338" w:lineRule="auto" w:before="117"/>
        <w:ind w:left="1092"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left="1092" w:right="461"/>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24" w:lineRule="auto"/>
        <w:ind w:left="1092" w:right="461" w:firstLine="360"/>
        <w:jc w:val="left"/>
        <w:rPr>
          <w:rFonts w:ascii="Times New Roman" w:hAnsi="Times New Roman" w:cs="Times New Roman" w:eastAsia="Times New Roman" w:hint="default"/>
        </w:rPr>
      </w:pPr>
      <w:r>
        <w:rPr>
          <w:spacing w:val="-2"/>
        </w:rPr>
        <w:t>为充分调动公司高级管理人员的积极性，激发高管人员的创造性与活力，提高经营管理水平，确保公司高管岗位对人才</w:t>
      </w:r>
      <w:r>
        <w:rPr/>
        <w:t> </w:t>
      </w:r>
      <w:r>
        <w:rPr>
          <w:spacing w:val="-4"/>
        </w:rPr>
        <w:t>的吸引力与凝聚力，按照风险、责任与利益相协调的原则，参考不同地域和行业的薪酬水平，结合公司生产经营的实际情况，</w:t>
      </w:r>
      <w:r>
        <w:rPr>
          <w:spacing w:val="-43"/>
        </w:rPr>
        <w:t> </w:t>
      </w:r>
      <w:r>
        <w:rPr>
          <w:spacing w:val="-43"/>
        </w:rPr>
      </w:r>
      <w:r>
        <w:rPr/>
        <w:t>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年第三届董事会第二次会议审议通过了《</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5"/>
        </w:rPr>
        <w:t>年高级管理人员薪酬考核方案》，具体情况详见：</w:t>
      </w:r>
      <w:r>
        <w:rPr>
          <w:spacing w:val="-74"/>
        </w:rPr>
        <w:t> </w:t>
      </w:r>
      <w:r>
        <w:rPr>
          <w:spacing w:val="-74"/>
        </w:rPr>
      </w:r>
      <w:hyperlink r:id="rId37">
        <w:r>
          <w:rPr>
            <w:rFonts w:ascii="Times New Roman" w:hAnsi="Times New Roman" w:cs="Times New Roman" w:eastAsia="Times New Roman" w:hint="default"/>
          </w:rPr>
          <w:t>http://www.cninfo.com.cn/cninfo-new/disclosure/szse_gem/bulletin_detail/true/1203226413?announceTime=2017-03-30</w:t>
        </w:r>
      </w:hyperlink>
    </w:p>
    <w:p>
      <w:pPr>
        <w:spacing w:line="240" w:lineRule="auto" w:before="6"/>
        <w:rPr>
          <w:rFonts w:ascii="Times New Roman" w:hAnsi="Times New Roman" w:cs="Times New Roman" w:eastAsia="Times New Roman" w:hint="default"/>
          <w:sz w:val="21"/>
          <w:szCs w:val="21"/>
        </w:rPr>
      </w:pPr>
    </w:p>
    <w:p>
      <w:pPr>
        <w:pStyle w:val="Heading2"/>
        <w:spacing w:line="240" w:lineRule="auto"/>
        <w:ind w:left="1092" w:right="461"/>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092" w:right="461"/>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92" w:right="4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left="1092" w:right="461"/>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8"/>
        <w:rPr>
          <w:rFonts w:ascii="宋体" w:hAnsi="宋体" w:cs="宋体" w:eastAsia="宋体" w:hint="default"/>
          <w:b/>
          <w:bCs/>
          <w:sz w:val="25"/>
          <w:szCs w:val="25"/>
        </w:rPr>
      </w:pPr>
    </w:p>
    <w:tbl>
      <w:tblPr>
        <w:tblW w:w="0" w:type="auto"/>
        <w:jc w:val="left"/>
        <w:tblInd w:w="117" w:type="dxa"/>
        <w:tblLayout w:type="fixed"/>
        <w:tblCellMar>
          <w:top w:w="0" w:type="dxa"/>
          <w:left w:w="0" w:type="dxa"/>
          <w:bottom w:w="0" w:type="dxa"/>
          <w:right w:w="0" w:type="dxa"/>
        </w:tblCellMar>
        <w:tblLook w:val="01E0"/>
      </w:tblPr>
      <w:tblGrid>
        <w:gridCol w:w="2928"/>
        <w:gridCol w:w="4164"/>
        <w:gridCol w:w="3960"/>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8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8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详见公司于巨潮资讯网披露的《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714"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8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98.84%</w:t>
            </w:r>
          </w:p>
        </w:tc>
      </w:tr>
      <w:tr>
        <w:trPr>
          <w:trHeight w:val="714"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8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97.73%</w:t>
            </w:r>
          </w:p>
        </w:tc>
      </w:tr>
      <w:tr>
        <w:trPr>
          <w:trHeight w:val="402" w:hRule="exact"/>
        </w:trPr>
        <w:tc>
          <w:tcPr>
            <w:tcW w:w="110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7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、董事、监事和高级管理人员存在舞弊 </w:t>
            </w:r>
            <w:r>
              <w:rPr>
                <w:rFonts w:ascii="宋体" w:hAnsi="宋体" w:cs="宋体" w:eastAsia="宋体" w:hint="default"/>
                <w:spacing w:val="-2"/>
                <w:sz w:val="18"/>
                <w:szCs w:val="18"/>
              </w:rPr>
              <w:t>行为；</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、公司更正已公布的财务报告；</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、外部审计</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重大缺陷：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、重大决策程序缺失；</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、违反国家法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律、法规或规范性文件；</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、重要管理方面缺乏制</w:t>
            </w:r>
          </w:p>
        </w:tc>
      </w:tr>
    </w:tbl>
    <w:p>
      <w:pPr>
        <w:spacing w:after="0" w:line="300" w:lineRule="auto"/>
        <w:jc w:val="left"/>
        <w:rPr>
          <w:rFonts w:ascii="宋体" w:hAnsi="宋体" w:cs="宋体" w:eastAsia="宋体" w:hint="default"/>
          <w:sz w:val="18"/>
          <w:szCs w:val="18"/>
        </w:rPr>
        <w:sectPr>
          <w:pgSz w:w="11910" w:h="16840"/>
          <w:pgMar w:header="566" w:footer="978" w:top="1360" w:bottom="1160" w:left="40" w:right="580"/>
        </w:sectPr>
      </w:pPr>
    </w:p>
    <w:tbl>
      <w:tblPr>
        <w:tblW w:w="0" w:type="auto"/>
        <w:jc w:val="left"/>
        <w:tblInd w:w="117" w:type="dxa"/>
        <w:tblLayout w:type="fixed"/>
        <w:tblCellMar>
          <w:top w:w="0" w:type="dxa"/>
          <w:left w:w="0" w:type="dxa"/>
          <w:bottom w:w="0" w:type="dxa"/>
          <w:right w:w="0" w:type="dxa"/>
        </w:tblCellMar>
        <w:tblLook w:val="01E0"/>
      </w:tblPr>
      <w:tblGrid>
        <w:gridCol w:w="2928"/>
        <w:gridCol w:w="4164"/>
        <w:gridCol w:w="3960"/>
      </w:tblGrid>
      <w:tr>
        <w:trPr>
          <w:trHeight w:val="322" w:hRule="exact"/>
        </w:trPr>
        <w:tc>
          <w:tcPr>
            <w:tcW w:w="2928" w:type="dxa"/>
            <w:vMerge w:val="restart"/>
            <w:tcBorders>
              <w:top w:val="single" w:sz="4" w:space="0" w:color="000000"/>
              <w:left w:val="single" w:sz="4" w:space="0" w:color="000000"/>
              <w:right w:val="single" w:sz="4" w:space="0" w:color="000000"/>
            </w:tcBorders>
            <w:shd w:val="clear" w:color="auto" w:fill="D2D2D2"/>
          </w:tcPr>
          <w:p>
            <w:pPr/>
          </w:p>
        </w:tc>
        <w:tc>
          <w:tcPr>
            <w:tcW w:w="41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2"/>
                <w:sz w:val="18"/>
                <w:szCs w:val="18"/>
              </w:rPr>
              <w:t>发现当期财务报告存在重大错报，公司内部控制在运</w:t>
            </w:r>
          </w:p>
        </w:tc>
        <w:tc>
          <w:tcPr>
            <w:tcW w:w="3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度控制或系统性失效；</w:t>
            </w:r>
            <w:r>
              <w:rPr>
                <w:rFonts w:ascii="Times New Roman" w:hAnsi="Times New Roman" w:cs="Times New Roman" w:eastAsia="Times New Roman" w:hint="default"/>
                <w:sz w:val="18"/>
                <w:szCs w:val="18"/>
              </w:rPr>
              <w:t>4</w:t>
            </w:r>
            <w:r>
              <w:rPr>
                <w:rFonts w:ascii="宋体" w:hAnsi="宋体" w:cs="宋体" w:eastAsia="宋体" w:hint="default"/>
                <w:sz w:val="18"/>
                <w:szCs w:val="18"/>
              </w:rPr>
              <w:t>、中高层管理人员或核心</w:t>
            </w:r>
          </w:p>
        </w:tc>
      </w:tr>
      <w:tr>
        <w:trPr>
          <w:trHeight w:val="312" w:hRule="exact"/>
        </w:trPr>
        <w:tc>
          <w:tcPr>
            <w:tcW w:w="2928" w:type="dxa"/>
            <w:vMerge/>
            <w:tcBorders>
              <w:left w:val="single" w:sz="4" w:space="0" w:color="000000"/>
              <w:right w:val="single" w:sz="4" w:space="0" w:color="000000"/>
            </w:tcBorders>
            <w:shd w:val="clear" w:color="auto" w:fill="D2D2D2"/>
          </w:tcPr>
          <w:p>
            <w:pPr/>
          </w:p>
        </w:tc>
        <w:tc>
          <w:tcPr>
            <w:tcW w:w="41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行过程中未能发现该错报；</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、其他可能对公司内控</w:t>
            </w: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岗位人员流失严重；</w:t>
            </w:r>
            <w:r>
              <w:rPr>
                <w:rFonts w:ascii="Times New Roman" w:hAnsi="Times New Roman" w:cs="Times New Roman" w:eastAsia="Times New Roman" w:hint="default"/>
                <w:sz w:val="18"/>
                <w:szCs w:val="18"/>
              </w:rPr>
              <w:t>5</w:t>
            </w:r>
            <w:r>
              <w:rPr>
                <w:rFonts w:ascii="宋体" w:hAnsi="宋体" w:cs="宋体" w:eastAsia="宋体" w:hint="default"/>
                <w:sz w:val="18"/>
                <w:szCs w:val="18"/>
              </w:rPr>
              <w:t>、重大或重要缺陷未得到整</w:t>
            </w:r>
          </w:p>
        </w:tc>
      </w:tr>
      <w:tr>
        <w:trPr>
          <w:trHeight w:val="312" w:hRule="exact"/>
        </w:trPr>
        <w:tc>
          <w:tcPr>
            <w:tcW w:w="2928" w:type="dxa"/>
            <w:vMerge/>
            <w:tcBorders>
              <w:left w:val="single" w:sz="4" w:space="0" w:color="000000"/>
              <w:right w:val="single" w:sz="4" w:space="0" w:color="000000"/>
            </w:tcBorders>
            <w:shd w:val="clear" w:color="auto" w:fill="D2D2D2"/>
          </w:tcPr>
          <w:p>
            <w:pPr/>
          </w:p>
        </w:tc>
        <w:tc>
          <w:tcPr>
            <w:tcW w:w="41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2"/>
                <w:sz w:val="18"/>
                <w:szCs w:val="18"/>
              </w:rPr>
              <w:t>目标产生重大影响的情形。重要缺陷：各种可能对公</w:t>
            </w: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改；</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、媒体出现负面信息、产生重大影响；</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、其</w:t>
            </w:r>
          </w:p>
        </w:tc>
      </w:tr>
      <w:tr>
        <w:trPr>
          <w:trHeight w:val="308" w:hRule="exact"/>
        </w:trPr>
        <w:tc>
          <w:tcPr>
            <w:tcW w:w="2928" w:type="dxa"/>
            <w:vMerge/>
            <w:tcBorders>
              <w:left w:val="single" w:sz="4" w:space="0" w:color="000000"/>
              <w:right w:val="single" w:sz="4" w:space="0" w:color="000000"/>
            </w:tcBorders>
            <w:shd w:val="clear" w:color="auto" w:fill="D2D2D2"/>
          </w:tcPr>
          <w:p>
            <w:pPr/>
          </w:p>
        </w:tc>
        <w:tc>
          <w:tcPr>
            <w:tcW w:w="41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2"/>
                <w:sz w:val="18"/>
                <w:szCs w:val="18"/>
              </w:rPr>
              <w:t>司内控目标产生严重影响的情形。一般缺陷：重大缺</w:t>
            </w: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他可能对公司内控目标产生重大影响的情形。重要</w:t>
            </w:r>
          </w:p>
        </w:tc>
      </w:tr>
      <w:tr>
        <w:trPr>
          <w:trHeight w:val="316" w:hRule="exact"/>
        </w:trPr>
        <w:tc>
          <w:tcPr>
            <w:tcW w:w="2928" w:type="dxa"/>
            <w:vMerge/>
            <w:tcBorders>
              <w:left w:val="single" w:sz="4" w:space="0" w:color="000000"/>
              <w:right w:val="single" w:sz="4" w:space="0" w:color="000000"/>
            </w:tcBorders>
            <w:shd w:val="clear" w:color="auto" w:fill="D2D2D2"/>
          </w:tcPr>
          <w:p>
            <w:pPr/>
          </w:p>
        </w:tc>
        <w:tc>
          <w:tcPr>
            <w:tcW w:w="4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陷与重要缺陷包括情形以外的、各种可能对公司内控</w:t>
            </w: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、重大决策程序不完善；</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、违反公司管理</w:t>
            </w:r>
          </w:p>
        </w:tc>
      </w:tr>
      <w:tr>
        <w:trPr>
          <w:trHeight w:val="312" w:hRule="exact"/>
        </w:trPr>
        <w:tc>
          <w:tcPr>
            <w:tcW w:w="2928" w:type="dxa"/>
            <w:vMerge/>
            <w:tcBorders>
              <w:left w:val="single" w:sz="4" w:space="0" w:color="000000"/>
              <w:right w:val="single" w:sz="4" w:space="0" w:color="000000"/>
            </w:tcBorders>
            <w:shd w:val="clear" w:color="auto" w:fill="D2D2D2"/>
          </w:tcPr>
          <w:p>
            <w:pPr/>
          </w:p>
        </w:tc>
        <w:tc>
          <w:tcPr>
            <w:tcW w:w="41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目标产生影响的情形。</w:t>
            </w: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制度且造成严重损失；</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、重要管理方面的制度不</w:t>
            </w:r>
          </w:p>
        </w:tc>
      </w:tr>
      <w:tr>
        <w:trPr>
          <w:trHeight w:val="312" w:hRule="exact"/>
        </w:trPr>
        <w:tc>
          <w:tcPr>
            <w:tcW w:w="2928" w:type="dxa"/>
            <w:vMerge/>
            <w:tcBorders>
              <w:left w:val="single" w:sz="4" w:space="0" w:color="000000"/>
              <w:right w:val="single" w:sz="4" w:space="0" w:color="000000"/>
            </w:tcBorders>
            <w:shd w:val="clear" w:color="auto" w:fill="D2D2D2"/>
          </w:tcPr>
          <w:p>
            <w:pPr/>
          </w:p>
        </w:tc>
        <w:tc>
          <w:tcPr>
            <w:tcW w:w="4164"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33"/>
              <w:jc w:val="left"/>
              <w:rPr>
                <w:rFonts w:ascii="宋体" w:hAnsi="宋体" w:cs="宋体" w:eastAsia="宋体" w:hint="default"/>
                <w:sz w:val="18"/>
                <w:szCs w:val="18"/>
              </w:rPr>
            </w:pPr>
            <w:r>
              <w:rPr>
                <w:rFonts w:ascii="宋体" w:hAnsi="宋体" w:cs="宋体" w:eastAsia="宋体" w:hint="default"/>
                <w:sz w:val="18"/>
                <w:szCs w:val="18"/>
              </w:rPr>
              <w:t>完善或存在缺陷；</w:t>
            </w:r>
            <w:r>
              <w:rPr>
                <w:rFonts w:ascii="Times New Roman" w:hAnsi="Times New Roman" w:cs="Times New Roman" w:eastAsia="Times New Roman" w:hint="default"/>
                <w:sz w:val="18"/>
                <w:szCs w:val="18"/>
              </w:rPr>
              <w:t>4</w:t>
            </w:r>
            <w:r>
              <w:rPr>
                <w:rFonts w:ascii="宋体" w:hAnsi="宋体" w:cs="宋体" w:eastAsia="宋体" w:hint="default"/>
                <w:sz w:val="18"/>
                <w:szCs w:val="18"/>
              </w:rPr>
              <w:t>、关键岗位人员流失严重；</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312" w:hRule="exact"/>
        </w:trPr>
        <w:tc>
          <w:tcPr>
            <w:tcW w:w="2928" w:type="dxa"/>
            <w:vMerge/>
            <w:tcBorders>
              <w:left w:val="single" w:sz="4" w:space="0" w:color="000000"/>
              <w:right w:val="single" w:sz="4" w:space="0" w:color="000000"/>
            </w:tcBorders>
            <w:shd w:val="clear" w:color="auto" w:fill="D2D2D2"/>
          </w:tcPr>
          <w:p>
            <w:pPr/>
          </w:p>
        </w:tc>
        <w:tc>
          <w:tcPr>
            <w:tcW w:w="4164"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重要或一般缺陷未得到整改；</w:t>
            </w:r>
            <w:r>
              <w:rPr>
                <w:rFonts w:ascii="Times New Roman" w:hAnsi="Times New Roman" w:cs="Times New Roman" w:eastAsia="Times New Roman" w:hint="default"/>
                <w:sz w:val="18"/>
                <w:szCs w:val="18"/>
              </w:rPr>
              <w:t>6</w:t>
            </w:r>
            <w:r>
              <w:rPr>
                <w:rFonts w:ascii="宋体" w:hAnsi="宋体" w:cs="宋体" w:eastAsia="宋体" w:hint="default"/>
                <w:sz w:val="18"/>
                <w:szCs w:val="18"/>
              </w:rPr>
              <w:t>、媒体出现负面信</w:t>
            </w:r>
          </w:p>
        </w:tc>
      </w:tr>
      <w:tr>
        <w:trPr>
          <w:trHeight w:val="312" w:hRule="exact"/>
        </w:trPr>
        <w:tc>
          <w:tcPr>
            <w:tcW w:w="2928" w:type="dxa"/>
            <w:vMerge/>
            <w:tcBorders>
              <w:left w:val="single" w:sz="4" w:space="0" w:color="000000"/>
              <w:right w:val="single" w:sz="4" w:space="0" w:color="000000"/>
            </w:tcBorders>
            <w:shd w:val="clear" w:color="auto" w:fill="D2D2D2"/>
          </w:tcPr>
          <w:p>
            <w:pPr/>
          </w:p>
        </w:tc>
        <w:tc>
          <w:tcPr>
            <w:tcW w:w="4164"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息，产生重要影响；</w:t>
            </w:r>
            <w:r>
              <w:rPr>
                <w:rFonts w:ascii="Times New Roman" w:hAnsi="Times New Roman" w:cs="Times New Roman" w:eastAsia="Times New Roman" w:hint="default"/>
                <w:sz w:val="18"/>
                <w:szCs w:val="18"/>
              </w:rPr>
              <w:t>7</w:t>
            </w:r>
            <w:r>
              <w:rPr>
                <w:rFonts w:ascii="宋体" w:hAnsi="宋体" w:cs="宋体" w:eastAsia="宋体" w:hint="default"/>
                <w:sz w:val="18"/>
                <w:szCs w:val="18"/>
              </w:rPr>
              <w:t>、其他可能对公司内控目标</w:t>
            </w:r>
          </w:p>
        </w:tc>
      </w:tr>
      <w:tr>
        <w:trPr>
          <w:trHeight w:val="308" w:hRule="exact"/>
        </w:trPr>
        <w:tc>
          <w:tcPr>
            <w:tcW w:w="2928" w:type="dxa"/>
            <w:vMerge/>
            <w:tcBorders>
              <w:left w:val="single" w:sz="4" w:space="0" w:color="000000"/>
              <w:right w:val="single" w:sz="4" w:space="0" w:color="000000"/>
            </w:tcBorders>
            <w:shd w:val="clear" w:color="auto" w:fill="D2D2D2"/>
          </w:tcPr>
          <w:p>
            <w:pPr/>
          </w:p>
        </w:tc>
        <w:tc>
          <w:tcPr>
            <w:tcW w:w="4164"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产生严重影响的情形。一般缺陷：重大缺陷与重要</w:t>
            </w:r>
          </w:p>
        </w:tc>
      </w:tr>
      <w:tr>
        <w:trPr>
          <w:trHeight w:val="312" w:hRule="exact"/>
        </w:trPr>
        <w:tc>
          <w:tcPr>
            <w:tcW w:w="2928" w:type="dxa"/>
            <w:vMerge/>
            <w:tcBorders>
              <w:left w:val="single" w:sz="4" w:space="0" w:color="000000"/>
              <w:right w:val="single" w:sz="4" w:space="0" w:color="000000"/>
            </w:tcBorders>
            <w:shd w:val="clear" w:color="auto" w:fill="D2D2D2"/>
          </w:tcPr>
          <w:p>
            <w:pPr/>
          </w:p>
        </w:tc>
        <w:tc>
          <w:tcPr>
            <w:tcW w:w="4164"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缺陷包括情形以外的、各种可能对公司内控目标产</w:t>
            </w:r>
          </w:p>
        </w:tc>
      </w:tr>
      <w:tr>
        <w:trPr>
          <w:trHeight w:val="356" w:hRule="exact"/>
        </w:trPr>
        <w:tc>
          <w:tcPr>
            <w:tcW w:w="2928" w:type="dxa"/>
            <w:vMerge/>
            <w:tcBorders>
              <w:left w:val="single" w:sz="4" w:space="0" w:color="000000"/>
              <w:bottom w:val="single" w:sz="4" w:space="0" w:color="000000"/>
              <w:right w:val="single" w:sz="4" w:space="0" w:color="000000"/>
            </w:tcBorders>
            <w:shd w:val="clear" w:color="auto" w:fill="D2D2D2"/>
          </w:tcPr>
          <w:p>
            <w:pPr/>
          </w:p>
        </w:tc>
        <w:tc>
          <w:tcPr>
            <w:tcW w:w="4164" w:type="dxa"/>
            <w:tcBorders>
              <w:top w:val="nil" w:sz="6" w:space="0" w:color="auto"/>
              <w:left w:val="single" w:sz="4" w:space="0" w:color="000000"/>
              <w:bottom w:val="single" w:sz="4" w:space="0" w:color="000000"/>
              <w:right w:val="single" w:sz="4" w:space="0" w:color="000000"/>
            </w:tcBorders>
          </w:tcPr>
          <w:p>
            <w:pPr/>
          </w:p>
        </w:tc>
        <w:tc>
          <w:tcPr>
            <w:tcW w:w="3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生影响的情形。</w:t>
            </w:r>
          </w:p>
        </w:tc>
      </w:tr>
      <w:tr>
        <w:trPr>
          <w:trHeight w:val="352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2" w:right="20"/>
              <w:jc w:val="both"/>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、缺陷影响＞当年合并财务报表利润总 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缺陷影响＞当年合并财务报表总资产</w:t>
            </w:r>
            <w:r>
              <w:rPr>
                <w:rFonts w:ascii="宋体" w:hAnsi="宋体" w:cs="宋体" w:eastAsia="宋体" w:hint="default"/>
                <w:sz w:val="18"/>
                <w:szCs w:val="18"/>
              </w:rPr>
              <w:t> 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；以上述两者孰低确定重要性水平。重要缺陷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、当年合并财务报表利润总额的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＜缺陷影响</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当年合并财务报表利润总额的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、当年合并财 务报表总资产的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当年合并财务报表 总资产的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；以上述两者孰低确定重要性水平。一 </w:t>
            </w:r>
            <w:r>
              <w:rPr>
                <w:rFonts w:ascii="宋体" w:hAnsi="宋体" w:cs="宋体" w:eastAsia="宋体" w:hint="default"/>
                <w:spacing w:val="-2"/>
                <w:sz w:val="18"/>
                <w:szCs w:val="18"/>
              </w:rPr>
              <w:t>般缺陷：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、缺陷影响</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当年合并财务报表利润总额的</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当年合并财务报表总资产的</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；以上述两者孰低确定重要性水平。</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1"/>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、缺陷影响＞当年合并财务报表利润 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缺陷影响＞当年合并财务报表总</w:t>
            </w:r>
            <w:r>
              <w:rPr>
                <w:rFonts w:ascii="宋体" w:hAnsi="宋体" w:cs="宋体" w:eastAsia="宋体" w:hint="default"/>
                <w:sz w:val="18"/>
                <w:szCs w:val="18"/>
              </w:rPr>
              <w:t> 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；以上述两者孰低确定重要性水平。重 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、当年合并财务报表利润总额的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 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当年合并财务报表利润总额的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当年合并财务报表总资产的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当 年合并财务报表总资产的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；以上述两者孰低确 </w:t>
            </w:r>
            <w:r>
              <w:rPr>
                <w:rFonts w:ascii="宋体" w:hAnsi="宋体" w:cs="宋体" w:eastAsia="宋体" w:hint="default"/>
                <w:spacing w:val="-3"/>
                <w:sz w:val="18"/>
                <w:szCs w:val="18"/>
              </w:rPr>
              <w:t>定重要性水平。一般缺陷：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、缺陷影响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当年合并</w:t>
            </w:r>
            <w:r>
              <w:rPr>
                <w:rFonts w:ascii="宋体" w:hAnsi="宋体" w:cs="宋体" w:eastAsia="宋体" w:hint="default"/>
                <w:sz w:val="18"/>
                <w:szCs w:val="18"/>
              </w:rPr>
              <w:t> 财务报表利润总额的 </w:t>
            </w:r>
            <w:r>
              <w:rPr>
                <w:rFonts w:ascii="Times New Roman" w:hAnsi="Times New Roman" w:cs="Times New Roman" w:eastAsia="Times New Roman" w:hint="default"/>
                <w:sz w:val="18"/>
                <w:szCs w:val="18"/>
              </w:rPr>
              <w:t>1% </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、缺陷影响</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当年合并</w:t>
            </w:r>
          </w:p>
          <w:p>
            <w:pPr>
              <w:pStyle w:val="TableParagraph"/>
              <w:spacing w:line="300" w:lineRule="auto" w:before="13"/>
              <w:ind w:left="22" w:right="20"/>
              <w:jc w:val="left"/>
              <w:rPr>
                <w:rFonts w:ascii="宋体" w:hAnsi="宋体" w:cs="宋体" w:eastAsia="宋体" w:hint="default"/>
                <w:sz w:val="18"/>
                <w:szCs w:val="18"/>
              </w:rPr>
            </w:pPr>
            <w:r>
              <w:rPr>
                <w:rFonts w:ascii="宋体" w:hAnsi="宋体" w:cs="宋体" w:eastAsia="宋体" w:hint="default"/>
                <w:sz w:val="18"/>
                <w:szCs w:val="18"/>
              </w:rPr>
              <w:t>财务报表总资产的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；以上述两者孰低确定重</w:t>
            </w:r>
            <w:r>
              <w:rPr>
                <w:rFonts w:ascii="宋体" w:hAnsi="宋体" w:cs="宋体" w:eastAsia="宋体" w:hint="default"/>
                <w:sz w:val="18"/>
                <w:szCs w:val="18"/>
              </w:rPr>
              <w:t> 要性水平。</w:t>
            </w:r>
          </w:p>
        </w:tc>
      </w:tr>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8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8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8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8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left="1092" w:right="461"/>
        <w:jc w:val="left"/>
        <w:rPr>
          <w:b w:val="0"/>
          <w:bCs w:val="0"/>
        </w:rPr>
      </w:pPr>
      <w:r>
        <w:rPr/>
        <w:pict>
          <v:shape style="position:absolute;margin-left:356.759003pt;margin-top:-268.393372pt;width:203.85pt;height:175.7pt;mso-position-horizontal-relative:page;mso-position-vertical-relative:paragraph;z-index:-8217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w:t>
                  </w:r>
                </w:p>
              </w:txbxContent>
            </v:textbox>
            <w10:wrap type="none"/>
          </v:shape>
        </w:pict>
      </w:r>
      <w:r>
        <w:rPr/>
        <w:pict>
          <v:group style="position:absolute;margin-left:362.850006pt;margin-top:-268.393372pt;width:197.75pt;height:175.85pt;mso-position-horizontal-relative:page;mso-position-vertical-relative:paragraph;z-index:-821728" coordorigin="7257,-5368" coordsize="3955,3517">
            <v:shape style="position:absolute;left:7257;top:-5368;width:3955;height:3517" coordorigin="7257,-5368" coordsize="3955,3517" path="m7257,-5368l11212,-5368,11212,-1851,7257,-1851,7257,-5368xe" filled="true" fillcolor="#ffffff" stroked="false">
              <v:path arrowok="t"/>
              <v:fill type="solid"/>
            </v:shape>
            <w10:wrap type="none"/>
          </v:group>
        </w:pict>
      </w: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92" w:right="461"/>
        <w:jc w:val="left"/>
      </w:pPr>
      <w:r>
        <w:rPr/>
        <w:t>不适用</w:t>
      </w:r>
    </w:p>
    <w:p>
      <w:pPr>
        <w:spacing w:after="0" w:line="240" w:lineRule="auto"/>
        <w:jc w:val="left"/>
        <w:sectPr>
          <w:pgSz w:w="11910" w:h="16840"/>
          <w:pgMar w:header="566" w:footer="978" w:top="1440" w:bottom="1160" w:left="40" w:right="5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086" w:right="0"/>
        <w:jc w:val="left"/>
        <w:rPr>
          <w:b w:val="0"/>
          <w:bCs w:val="0"/>
        </w:rPr>
      </w:pPr>
      <w:bookmarkStart w:name="_bookmark9" w:id="10"/>
      <w:bookmarkEnd w:id="10"/>
      <w:r>
        <w:rPr>
          <w:b w:val="0"/>
          <w:bCs w:val="0"/>
        </w:rPr>
      </w:r>
      <w:r>
        <w:rPr/>
        <w:t>第十节</w:t>
      </w:r>
      <w:r>
        <w:rPr>
          <w:spacing w:val="-10"/>
        </w:rPr>
        <w:t> </w:t>
      </w:r>
      <w:r>
        <w:rPr/>
        <w:t>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109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566" w:footer="978" w:top="1360" w:bottom="1160" w:left="1020" w:right="10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77"/>
        <w:jc w:val="center"/>
        <w:rPr>
          <w:b w:val="0"/>
          <w:bCs w:val="0"/>
        </w:rPr>
      </w:pPr>
      <w:r>
        <w:rPr/>
        <w:t>第</w:t>
      </w:r>
      <w:bookmarkStart w:name="_bookmark10" w:id="11"/>
      <w:bookmarkEnd w:id="11"/>
      <w:r>
        <w:rPr/>
        <w:t>十</w:t>
      </w:r>
      <w:r>
        <w:rPr/>
        <w:t>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6754"/>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[2018]2043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陆红、王逸飞、佟海光</w:t>
            </w:r>
          </w:p>
        </w:tc>
      </w:tr>
    </w:tbl>
    <w:p>
      <w:pPr>
        <w:pStyle w:val="BodyText"/>
        <w:spacing w:line="240" w:lineRule="auto" w:before="50"/>
        <w:ind w:left="0" w:right="81"/>
        <w:jc w:val="center"/>
      </w:pPr>
      <w:r>
        <w:rPr/>
        <w:t>审计报告正文</w:t>
      </w:r>
    </w:p>
    <w:p>
      <w:pPr>
        <w:spacing w:line="240" w:lineRule="auto" w:before="3"/>
        <w:rPr>
          <w:rFonts w:ascii="宋体" w:hAnsi="宋体" w:cs="宋体" w:eastAsia="宋体" w:hint="default"/>
          <w:sz w:val="29"/>
          <w:szCs w:val="29"/>
        </w:rPr>
      </w:pPr>
    </w:p>
    <w:p>
      <w:pPr>
        <w:pStyle w:val="BodyText"/>
        <w:spacing w:line="240" w:lineRule="auto" w:before="44"/>
        <w:ind w:left="0" w:right="190"/>
        <w:jc w:val="right"/>
      </w:pPr>
      <w:r>
        <w:rPr>
          <w:spacing w:val="-1"/>
        </w:rPr>
        <w:t>会审字</w:t>
      </w:r>
      <w:r>
        <w:rPr>
          <w:rFonts w:ascii="Times New Roman" w:hAnsi="Times New Roman" w:cs="Times New Roman" w:eastAsia="Times New Roman" w:hint="default"/>
          <w:spacing w:val="-1"/>
        </w:rPr>
        <w:t>[2018]2043</w:t>
      </w:r>
      <w:r>
        <w:rPr>
          <w:spacing w:val="-1"/>
        </w:rPr>
        <w:t>号</w:t>
      </w:r>
    </w:p>
    <w:p>
      <w:pPr>
        <w:spacing w:line="240" w:lineRule="auto" w:before="2"/>
        <w:rPr>
          <w:rFonts w:ascii="宋体" w:hAnsi="宋体" w:cs="宋体" w:eastAsia="宋体" w:hint="default"/>
          <w:sz w:val="23"/>
          <w:szCs w:val="23"/>
        </w:rPr>
      </w:pPr>
    </w:p>
    <w:p>
      <w:pPr>
        <w:pStyle w:val="Heading2"/>
        <w:spacing w:line="240" w:lineRule="auto" w:before="26"/>
        <w:ind w:left="0" w:right="77"/>
        <w:jc w:val="center"/>
        <w:rPr>
          <w:b w:val="0"/>
          <w:bCs w:val="0"/>
        </w:rPr>
      </w:pPr>
      <w:r>
        <w:rPr/>
        <w:t>审 计 报</w:t>
      </w:r>
      <w:r>
        <w:rPr>
          <w:spacing w:val="-5"/>
        </w:rPr>
        <w:t> </w:t>
      </w:r>
      <w:r>
        <w:rPr/>
        <w:t>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line="360" w:lineRule="auto" w:before="0"/>
        <w:ind w:left="472" w:right="7114" w:hanging="360"/>
        <w:jc w:val="left"/>
        <w:rPr>
          <w:rFonts w:ascii="宋体" w:hAnsi="宋体" w:cs="宋体" w:eastAsia="宋体" w:hint="default"/>
          <w:sz w:val="18"/>
          <w:szCs w:val="18"/>
        </w:rPr>
      </w:pPr>
      <w:r>
        <w:rPr>
          <w:rFonts w:ascii="宋体" w:hAnsi="宋体" w:cs="宋体" w:eastAsia="宋体" w:hint="default"/>
          <w:sz w:val="18"/>
          <w:szCs w:val="18"/>
        </w:rPr>
        <w:t>荣科科技股份有限公司全体股东：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316" w:lineRule="auto" w:before="106"/>
        <w:ind w:right="94" w:firstLine="360"/>
        <w:jc w:val="left"/>
      </w:pPr>
      <w:r>
        <w:rPr/>
        <w:t>我们审计了荣科科技股份有限公司（以下简称荣科科技）财务报表，包括2017年12月31日的合并及母公司资产负债表， 2017年度的合并及母公司利润表、合并及母公司现金流量表、合并及母公司所有者权益变动表以及相关财务报表附注。</w:t>
      </w:r>
    </w:p>
    <w:p>
      <w:pPr>
        <w:pStyle w:val="BodyText"/>
        <w:spacing w:line="316" w:lineRule="auto" w:before="139"/>
        <w:ind w:right="94" w:firstLine="360"/>
        <w:jc w:val="left"/>
      </w:pPr>
      <w:r>
        <w:rPr>
          <w:spacing w:val="-2"/>
        </w:rPr>
        <w:t>我们认为，后附的财务报表在所有重大方面按照企业会计准则的规定编制，公允反映了荣科科技2017年12月31日的合并</w:t>
      </w:r>
      <w:r>
        <w:rPr/>
        <w:t> 及母公司财务状况以及2017年度的合并及母公司经营成果和现金流量。</w:t>
      </w:r>
    </w:p>
    <w:p>
      <w:pPr>
        <w:pStyle w:val="BodyText"/>
        <w:spacing w:line="432" w:lineRule="exact" w:before="3"/>
        <w:ind w:left="472" w:right="94"/>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before="15"/>
        <w:ind w:right="94"/>
        <w:jc w:val="left"/>
      </w:pPr>
      <w:r>
        <w:rPr>
          <w:spacing w:val="-2"/>
        </w:rPr>
        <w:t>阐述了我们在这些准则下的责任。按照中国注册会计师职业道德守则，我们独立于荣科科技，并履行了职业道德方面的其他</w:t>
      </w:r>
      <w:r>
        <w:rPr>
          <w:spacing w:val="-63"/>
        </w:rPr>
        <w:t> </w:t>
      </w:r>
      <w:r>
        <w:rPr>
          <w:spacing w:val="-63"/>
        </w:rPr>
      </w:r>
      <w:r>
        <w:rPr/>
        <w:t>责任。我们相信，我们获取的审计证据是充分、适当的，为发表审计意见提供了基础。</w:t>
      </w:r>
    </w:p>
    <w:p>
      <w:pPr>
        <w:pStyle w:val="BodyText"/>
        <w:spacing w:line="432" w:lineRule="exact" w:before="3"/>
        <w:ind w:left="472" w:right="94"/>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5"/>
        <w:ind w:right="94"/>
        <w:jc w:val="left"/>
      </w:pPr>
      <w:r>
        <w:rPr/>
        <w:t>审计并形成审计意见为背景，我们不对这些事项单独发表意见。</w:t>
      </w:r>
    </w:p>
    <w:p>
      <w:pPr>
        <w:pStyle w:val="BodyText"/>
        <w:spacing w:line="240" w:lineRule="auto" w:before="76"/>
        <w:ind w:left="472" w:right="6754"/>
        <w:jc w:val="left"/>
      </w:pPr>
      <w:r>
        <w:rPr/>
        <w:t>（一）应收账款坏账准备</w:t>
      </w:r>
    </w:p>
    <w:p>
      <w:pPr>
        <w:pStyle w:val="BodyText"/>
        <w:spacing w:line="300" w:lineRule="auto" w:before="76"/>
        <w:ind w:left="472" w:right="94" w:firstLine="45"/>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事项描述 </w:t>
      </w:r>
      <w:r>
        <w:rPr>
          <w:spacing w:val="-2"/>
        </w:rPr>
        <w:t>参见财务报表附注三、（十一）及财务报表附注五、（三），截至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日止，荣科科技应收账款余额</w:t>
      </w:r>
      <w:r>
        <w:rPr>
          <w:rFonts w:ascii="Times New Roman" w:hAnsi="Times New Roman" w:cs="Times New Roman" w:eastAsia="Times New Roman" w:hint="default"/>
          <w:spacing w:val="-2"/>
        </w:rPr>
        <w:t>50,764.15</w:t>
      </w:r>
    </w:p>
    <w:p>
      <w:pPr>
        <w:pStyle w:val="BodyText"/>
        <w:spacing w:line="300" w:lineRule="auto" w:before="13"/>
        <w:ind w:right="184"/>
        <w:jc w:val="left"/>
      </w:pPr>
      <w:r>
        <w:rPr/>
        <w:t>万元，坏账准备余额</w:t>
      </w:r>
      <w:r>
        <w:rPr>
          <w:rFonts w:ascii="Times New Roman" w:hAnsi="Times New Roman" w:cs="Times New Roman" w:eastAsia="Times New Roman" w:hint="default"/>
        </w:rPr>
        <w:t>5,595.81</w:t>
      </w:r>
      <w:r>
        <w:rPr/>
        <w:t>万元。由于应收账款的账面余额较高，对财务报表影响较为重大，坏账准备的计提涉及管理层 的专业判断，因此我们将应收账款坏账准备确定为关键审计事项。</w:t>
      </w:r>
    </w:p>
    <w:p>
      <w:pPr>
        <w:pStyle w:val="BodyText"/>
        <w:spacing w:line="300" w:lineRule="auto" w:before="31"/>
        <w:ind w:left="472" w:right="5674" w:firstLine="45"/>
        <w:jc w:val="left"/>
      </w:pPr>
      <w:r>
        <w:rPr>
          <w:rFonts w:ascii="Times New Roman" w:hAnsi="Times New Roman" w:cs="Times New Roman" w:eastAsia="Times New Roman" w:hint="default"/>
        </w:rPr>
        <w:t>2.</w:t>
      </w:r>
      <w:r>
        <w:rPr/>
        <w:t>审计应对 我们对应收账款坏账准备实施的相关程序包括：</w:t>
      </w:r>
    </w:p>
    <w:p>
      <w:pPr>
        <w:pStyle w:val="BodyText"/>
        <w:spacing w:line="240" w:lineRule="auto" w:before="31"/>
        <w:ind w:left="472" w:right="94"/>
        <w:jc w:val="left"/>
      </w:pPr>
      <w:r>
        <w:rPr/>
        <w:t>（</w:t>
      </w:r>
      <w:r>
        <w:rPr>
          <w:rFonts w:ascii="Times New Roman" w:hAnsi="Times New Roman" w:cs="Times New Roman" w:eastAsia="Times New Roman" w:hint="default"/>
        </w:rPr>
        <w:t>1</w:t>
      </w:r>
      <w:r>
        <w:rPr/>
        <w:t>）评价并测试管理层复核、评估和确定应收款项减值的内部控制。</w:t>
      </w:r>
    </w:p>
    <w:p>
      <w:pPr>
        <w:pStyle w:val="BodyText"/>
        <w:spacing w:line="240" w:lineRule="auto" w:before="63"/>
        <w:ind w:left="472" w:right="94"/>
        <w:jc w:val="left"/>
      </w:pPr>
      <w:r>
        <w:rPr/>
        <w:t>（</w:t>
      </w:r>
      <w:r>
        <w:rPr>
          <w:rFonts w:ascii="Times New Roman" w:hAnsi="Times New Roman" w:cs="Times New Roman" w:eastAsia="Times New Roman" w:hint="default"/>
        </w:rPr>
        <w:t>2</w:t>
      </w:r>
      <w:r>
        <w:rPr/>
        <w:t>）复核应收账款坏账准备计提会计政策及会计估计的合理性。</w:t>
      </w:r>
    </w:p>
    <w:p>
      <w:pPr>
        <w:spacing w:after="0" w:line="240" w:lineRule="auto"/>
        <w:jc w:val="left"/>
        <w:sectPr>
          <w:pgSz w:w="11910" w:h="16840"/>
          <w:pgMar w:header="566" w:footer="978" w:top="1360" w:bottom="1160" w:left="1020" w:right="940"/>
        </w:sectPr>
      </w:pPr>
    </w:p>
    <w:p>
      <w:pPr>
        <w:pStyle w:val="BodyText"/>
        <w:spacing w:line="240" w:lineRule="auto" w:before="81"/>
        <w:ind w:left="472" w:right="94"/>
        <w:jc w:val="left"/>
      </w:pPr>
      <w:r>
        <w:rPr/>
        <w:t>（</w:t>
      </w:r>
      <w:r>
        <w:rPr>
          <w:rFonts w:ascii="Times New Roman" w:hAnsi="Times New Roman" w:cs="Times New Roman" w:eastAsia="Times New Roman" w:hint="default"/>
        </w:rPr>
        <w:t>3</w:t>
      </w:r>
      <w:r>
        <w:rPr/>
        <w:t>）对于单项金额重大的应收账款，复核管理层对于预计未来可收回现金流量进行评估判断的依据。</w:t>
      </w:r>
    </w:p>
    <w:p>
      <w:pPr>
        <w:pStyle w:val="BodyText"/>
        <w:spacing w:line="300" w:lineRule="auto" w:before="63"/>
        <w:ind w:right="184" w:firstLine="360"/>
        <w:jc w:val="left"/>
      </w:pPr>
      <w:r>
        <w:rPr/>
        <w:t>（</w:t>
      </w:r>
      <w:r>
        <w:rPr>
          <w:rFonts w:ascii="Times New Roman" w:hAnsi="Times New Roman" w:cs="Times New Roman" w:eastAsia="Times New Roman" w:hint="default"/>
        </w:rPr>
        <w:t>4</w:t>
      </w:r>
      <w:r>
        <w:rPr/>
        <w:t>）对于按照信用风险特征组合计提坏账准备的应收账款，结合信用风险特征及账龄分析，评价坏账准备计提的合理 性。</w:t>
      </w:r>
    </w:p>
    <w:p>
      <w:pPr>
        <w:pStyle w:val="BodyText"/>
        <w:spacing w:line="240" w:lineRule="auto" w:before="31"/>
        <w:ind w:left="472" w:right="94"/>
        <w:jc w:val="left"/>
      </w:pPr>
      <w:r>
        <w:rPr/>
        <w:t>（</w:t>
      </w:r>
      <w:r>
        <w:rPr>
          <w:rFonts w:ascii="Times New Roman" w:hAnsi="Times New Roman" w:cs="Times New Roman" w:eastAsia="Times New Roman" w:hint="default"/>
        </w:rPr>
        <w:t>5</w:t>
      </w:r>
      <w:r>
        <w:rPr/>
        <w:t>）选取样本对金额重大的应收账款余额实施了函证程序，并将函证结果与公司账面记录的金额进行核对。</w:t>
      </w:r>
    </w:p>
    <w:p>
      <w:pPr>
        <w:pStyle w:val="BodyText"/>
        <w:spacing w:line="240" w:lineRule="auto" w:before="63"/>
        <w:ind w:left="472" w:right="94"/>
        <w:jc w:val="left"/>
      </w:pPr>
      <w:r>
        <w:rPr/>
        <w:t>（</w:t>
      </w:r>
      <w:r>
        <w:rPr>
          <w:rFonts w:ascii="Times New Roman" w:hAnsi="Times New Roman" w:cs="Times New Roman" w:eastAsia="Times New Roman" w:hint="default"/>
        </w:rPr>
        <w:t>6</w:t>
      </w:r>
      <w:r>
        <w:rPr/>
        <w:t>）执行函证程序及期后回款情况检查，评价管理层对坏账准备计提的合理性。</w:t>
      </w:r>
    </w:p>
    <w:p>
      <w:pPr>
        <w:pStyle w:val="BodyText"/>
        <w:spacing w:line="300" w:lineRule="auto" w:before="63"/>
        <w:ind w:right="184" w:firstLine="360"/>
        <w:jc w:val="left"/>
      </w:pPr>
      <w:r>
        <w:rPr/>
        <w:t>（</w:t>
      </w:r>
      <w:r>
        <w:rPr>
          <w:rFonts w:ascii="Times New Roman" w:hAnsi="Times New Roman" w:cs="Times New Roman" w:eastAsia="Times New Roman" w:hint="default"/>
        </w:rPr>
        <w:t>7</w:t>
      </w:r>
      <w:r>
        <w:rPr/>
        <w:t>）通过公开渠道查询与债务人或其行业发展状况有关的信息，以识别是否存在影响应收账款坏账准备评估结果的情 形。</w:t>
      </w:r>
    </w:p>
    <w:p>
      <w:pPr>
        <w:pStyle w:val="BodyText"/>
        <w:spacing w:line="240" w:lineRule="auto" w:before="31"/>
        <w:ind w:left="472" w:right="94"/>
        <w:jc w:val="left"/>
      </w:pPr>
      <w:r>
        <w:rPr/>
        <w:t>通过实施以上程序，我们认为荣科科技管理层在评估应收账款坏账准备方面所做的判断是恰当的。</w:t>
      </w:r>
    </w:p>
    <w:p>
      <w:pPr>
        <w:pStyle w:val="BodyText"/>
        <w:spacing w:line="240" w:lineRule="auto" w:before="76"/>
        <w:ind w:left="472" w:right="6754"/>
        <w:jc w:val="left"/>
      </w:pPr>
      <w:r>
        <w:rPr/>
        <w:t>（二）商誉的减值</w:t>
      </w:r>
    </w:p>
    <w:p>
      <w:pPr>
        <w:pStyle w:val="BodyText"/>
        <w:spacing w:line="300" w:lineRule="auto" w:before="76"/>
        <w:ind w:left="472" w:right="94"/>
        <w:jc w:val="left"/>
      </w:pPr>
      <w:r>
        <w:rPr>
          <w:rFonts w:ascii="Times New Roman" w:hAnsi="Times New Roman" w:cs="Times New Roman" w:eastAsia="Times New Roman" w:hint="default"/>
        </w:rPr>
        <w:t>1.</w:t>
      </w:r>
      <w:r>
        <w:rPr/>
        <w:t>事项描述 </w:t>
      </w:r>
      <w:r>
        <w:rPr>
          <w:spacing w:val="-2"/>
        </w:rPr>
        <w:t>参见财务报表附注五、（十五），截至2017年12月31日止，荣科科技合并财务报表中的商誉账面余额为13,474.14万元，</w:t>
      </w:r>
    </w:p>
    <w:p>
      <w:pPr>
        <w:pStyle w:val="BodyText"/>
        <w:spacing w:line="316" w:lineRule="auto" w:before="31"/>
        <w:ind w:right="190"/>
        <w:jc w:val="both"/>
      </w:pPr>
      <w:r>
        <w:rPr>
          <w:spacing w:val="-2"/>
        </w:rPr>
        <w:t>已经计提的商誉减值准备为130.98万元。管理层在每年年度终了对商誉进行减值测试，并依据减值测试的结果调整商誉的账</w:t>
      </w:r>
      <w:r>
        <w:rPr>
          <w:spacing w:val="-61"/>
        </w:rPr>
        <w:t> </w:t>
      </w:r>
      <w:r>
        <w:rPr>
          <w:spacing w:val="-61"/>
        </w:rPr>
      </w:r>
      <w:r>
        <w:rPr>
          <w:spacing w:val="-2"/>
        </w:rPr>
        <w:t>面价值。由于商誉减值测试的结果很大程度上依赖于管理层所做的估计和采用的假设，管理层需要作出重大判断，因此我们</w:t>
      </w:r>
      <w:r>
        <w:rPr>
          <w:spacing w:val="-63"/>
        </w:rPr>
        <w:t> </w:t>
      </w:r>
      <w:r>
        <w:rPr>
          <w:spacing w:val="-63"/>
        </w:rPr>
      </w:r>
      <w:r>
        <w:rPr/>
        <w:t>将商誉的减值确定为关键审计事项。</w:t>
      </w:r>
    </w:p>
    <w:p>
      <w:pPr>
        <w:pStyle w:val="BodyText"/>
        <w:spacing w:line="300" w:lineRule="auto" w:before="19"/>
        <w:ind w:left="472" w:right="6214"/>
        <w:jc w:val="left"/>
      </w:pPr>
      <w:r>
        <w:rPr>
          <w:rFonts w:ascii="Times New Roman" w:hAnsi="Times New Roman" w:cs="Times New Roman" w:eastAsia="Times New Roman" w:hint="default"/>
        </w:rPr>
        <w:t>2.</w:t>
      </w:r>
      <w:r>
        <w:rPr/>
        <w:t>审计应对 我们对商誉的减值实施的相关程序包括：</w:t>
      </w:r>
    </w:p>
    <w:p>
      <w:pPr>
        <w:pStyle w:val="BodyText"/>
        <w:spacing w:line="240" w:lineRule="auto" w:before="31"/>
        <w:ind w:left="472" w:right="94"/>
        <w:jc w:val="left"/>
      </w:pPr>
      <w:r>
        <w:rPr/>
        <w:t>（</w:t>
      </w:r>
      <w:r>
        <w:rPr>
          <w:rFonts w:ascii="Times New Roman" w:hAnsi="Times New Roman" w:cs="Times New Roman" w:eastAsia="Times New Roman" w:hint="default"/>
        </w:rPr>
        <w:t>1</w:t>
      </w:r>
      <w:r>
        <w:rPr/>
        <w:t>）了解资产组的历史业绩情况及发展规划，以及行业的发展趋势。</w:t>
      </w:r>
    </w:p>
    <w:p>
      <w:pPr>
        <w:pStyle w:val="BodyText"/>
        <w:spacing w:line="300" w:lineRule="auto" w:before="63"/>
        <w:ind w:right="94" w:firstLine="360"/>
        <w:jc w:val="left"/>
      </w:pPr>
      <w:r>
        <w:rPr>
          <w:spacing w:val="-2"/>
        </w:rPr>
        <w:t>（</w:t>
      </w:r>
      <w:r>
        <w:rPr>
          <w:rFonts w:ascii="Times New Roman" w:hAnsi="Times New Roman" w:cs="Times New Roman" w:eastAsia="Times New Roman" w:hint="default"/>
          <w:spacing w:val="-2"/>
        </w:rPr>
        <w:t>2</w:t>
      </w:r>
      <w:r>
        <w:rPr>
          <w:spacing w:val="-2"/>
        </w:rPr>
        <w:t>）获取荣科科技商誉减值测试资料，与管理层讨论商誉减值测试的方法，分析和检查每个组成部分的预测未来收入、</w:t>
      </w:r>
      <w:r>
        <w:rPr/>
        <w:t> 现金流量、折现率等假设和方式的合理性。</w:t>
      </w:r>
    </w:p>
    <w:p>
      <w:pPr>
        <w:pStyle w:val="BodyText"/>
        <w:spacing w:line="240" w:lineRule="auto" w:before="31"/>
        <w:ind w:left="472" w:right="94"/>
        <w:jc w:val="left"/>
      </w:pPr>
      <w:r>
        <w:rPr/>
        <w:t>（</w:t>
      </w:r>
      <w:r>
        <w:rPr>
          <w:rFonts w:ascii="Times New Roman" w:hAnsi="Times New Roman" w:cs="Times New Roman" w:eastAsia="Times New Roman" w:hint="default"/>
        </w:rPr>
        <w:t>3</w:t>
      </w:r>
      <w:r>
        <w:rPr/>
        <w:t>）复核商誉减值测试的过程准确性。</w:t>
      </w:r>
    </w:p>
    <w:p>
      <w:pPr>
        <w:pStyle w:val="BodyText"/>
        <w:spacing w:line="309" w:lineRule="auto" w:before="63"/>
        <w:ind w:left="472" w:right="2794"/>
        <w:jc w:val="left"/>
        <w:rPr>
          <w:rFonts w:ascii="宋体" w:hAnsi="宋体" w:cs="宋体" w:eastAsia="宋体" w:hint="default"/>
        </w:rPr>
      </w:pPr>
      <w:r>
        <w:rPr/>
        <w:t>（</w:t>
      </w:r>
      <w:r>
        <w:rPr>
          <w:rFonts w:ascii="Times New Roman" w:hAnsi="Times New Roman" w:cs="Times New Roman" w:eastAsia="Times New Roman" w:hint="default"/>
        </w:rPr>
        <w:t>4</w:t>
      </w:r>
      <w:r>
        <w:rPr/>
        <w:t>）评估管理层对商誉及其减值估计结果、财务报表的披露是否恰当。 通过实施以上程序，我们认为荣科科技管理层评估的商誉减值测试的结果是合理的。 </w:t>
      </w:r>
      <w:r>
        <w:rPr>
          <w:rFonts w:ascii="宋体" w:hAnsi="宋体" w:cs="宋体" w:eastAsia="宋体" w:hint="default"/>
          <w:b/>
          <w:bCs/>
        </w:rPr>
        <w:t>四、其他信息</w:t>
      </w:r>
      <w:r>
        <w:rPr>
          <w:rFonts w:ascii="宋体" w:hAnsi="宋体" w:cs="宋体" w:eastAsia="宋体" w:hint="default"/>
        </w:rPr>
      </w:r>
    </w:p>
    <w:p>
      <w:pPr>
        <w:pStyle w:val="BodyText"/>
        <w:spacing w:line="316" w:lineRule="auto" w:before="24"/>
        <w:ind w:right="94" w:firstLine="360"/>
        <w:jc w:val="left"/>
      </w:pPr>
      <w:r>
        <w:rPr>
          <w:spacing w:val="-2"/>
        </w:rPr>
        <w:t>荣科科技管理层（以下简称管理层）对其他信息负责。其他信息包括荣科科技2017年度报告中涵盖的信息，但不包括财</w:t>
      </w:r>
      <w:r>
        <w:rPr/>
        <w:t> 务报表和我们的审计报告。</w:t>
      </w:r>
    </w:p>
    <w:p>
      <w:pPr>
        <w:pStyle w:val="BodyText"/>
        <w:spacing w:line="432" w:lineRule="exact" w:before="3"/>
        <w:ind w:left="472" w:right="94"/>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40" w:lineRule="auto" w:before="15"/>
        <w:ind w:right="0"/>
        <w:jc w:val="both"/>
      </w:pPr>
      <w:r>
        <w:rPr/>
        <w:t>程中了解到的情况存在重大不一致或者似乎存在重大错报。</w:t>
      </w:r>
    </w:p>
    <w:p>
      <w:pPr>
        <w:spacing w:line="240" w:lineRule="auto" w:before="0"/>
        <w:rPr>
          <w:rFonts w:ascii="宋体" w:hAnsi="宋体" w:cs="宋体" w:eastAsia="宋体" w:hint="default"/>
          <w:sz w:val="15"/>
          <w:szCs w:val="15"/>
        </w:rPr>
      </w:pPr>
    </w:p>
    <w:p>
      <w:pPr>
        <w:pStyle w:val="BodyText"/>
        <w:spacing w:line="316" w:lineRule="auto"/>
        <w:ind w:right="94" w:firstLine="360"/>
        <w:jc w:val="left"/>
      </w:pPr>
      <w:r>
        <w:rPr>
          <w:spacing w:val="-2"/>
        </w:rPr>
        <w:t>基于我们已执行的工作，如果我们确定其他信息存在重大错报，我们应当报告该事实。在这方面，我们无任何事项需要</w:t>
      </w:r>
      <w:r>
        <w:rPr/>
        <w:t> 报告。</w:t>
      </w:r>
    </w:p>
    <w:p>
      <w:pPr>
        <w:spacing w:line="432" w:lineRule="exact" w:before="3"/>
        <w:ind w:left="472" w:right="94"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16" w:lineRule="auto" w:before="15"/>
        <w:ind w:left="472" w:right="94" w:hanging="360"/>
        <w:jc w:val="left"/>
      </w:pPr>
      <w:r>
        <w:rPr/>
        <w:t>务报表不存在由于舞弊或错误导致的重大错报。 </w:t>
      </w:r>
      <w:r>
        <w:rPr>
          <w:spacing w:val="-2"/>
        </w:rPr>
        <w:t>在编制财务报表时，管理层负责评估荣科科技的持续经营能力，披露与持续经营相关的事项，并运用持续经营假设，除</w:t>
      </w:r>
    </w:p>
    <w:p>
      <w:pPr>
        <w:pStyle w:val="BodyText"/>
        <w:spacing w:line="316" w:lineRule="auto" w:before="19"/>
        <w:ind w:left="472" w:right="3694" w:hanging="360"/>
        <w:jc w:val="left"/>
      </w:pPr>
      <w:r>
        <w:rPr/>
        <w:t>非管理层计划清算荣科科技、终止运营或别无其他现实的选择。 荣科科技治理层（以下简称治理层）负责监督荣科科技的财务报告过程。</w:t>
      </w:r>
    </w:p>
    <w:p>
      <w:pPr>
        <w:spacing w:line="432" w:lineRule="exact" w:before="3"/>
        <w:ind w:left="472" w:right="94" w:firstLine="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6" w:lineRule="auto" w:before="15"/>
        <w:ind w:right="192"/>
        <w:jc w:val="both"/>
      </w:pPr>
      <w:r>
        <w:rPr>
          <w:spacing w:val="-2"/>
        </w:rPr>
        <w:t>告。合理保证是高水平的保证，但并不能保证按照审计准则执行的审计在某一重大错报存在时总能发现。错报可能由于舞弊</w:t>
      </w:r>
      <w:r>
        <w:rPr>
          <w:spacing w:val="-65"/>
        </w:rPr>
        <w:t> </w:t>
      </w:r>
      <w:r>
        <w:rPr>
          <w:spacing w:val="-65"/>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472" w:right="94"/>
        <w:jc w:val="left"/>
      </w:pPr>
      <w:r>
        <w:rPr/>
        <w:t>在按照审计准则执行审计工作的过程中，我们运用职业判断，并保持职业怀疑。同时，我们也执行以下工作：</w:t>
      </w:r>
    </w:p>
    <w:p>
      <w:pPr>
        <w:spacing w:after="0" w:line="240" w:lineRule="auto"/>
        <w:jc w:val="left"/>
        <w:sectPr>
          <w:footerReference w:type="default" r:id="rId38"/>
          <w:pgSz w:w="11910" w:h="16840"/>
          <w:pgMar w:footer="978" w:header="566" w:top="1360" w:bottom="1160" w:left="1020" w:right="940"/>
          <w:pgNumType w:start="65"/>
        </w:sectPr>
      </w:pPr>
    </w:p>
    <w:p>
      <w:pPr>
        <w:pStyle w:val="BodyText"/>
        <w:spacing w:line="309" w:lineRule="auto" w:before="81"/>
        <w:ind w:right="9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472" w:right="94"/>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472" w:right="94"/>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92"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）对管理层使用持续经营假设的恰当性得出结论。同时，根据获取的审计证据，就可能导致对荣科科技持续经营能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5"/>
        </w:rPr>
        <w:t> </w:t>
      </w:r>
      <w:r>
        <w:rPr>
          <w:spacing w:val="-65"/>
        </w:rPr>
      </w:r>
      <w:r>
        <w:rPr/>
        <w:t>于截至审计报告日可获得的信息。然而，未来的事项或情况可能导致荣科科技不能持续经营。</w:t>
      </w:r>
    </w:p>
    <w:p>
      <w:pPr>
        <w:pStyle w:val="BodyText"/>
        <w:spacing w:line="240" w:lineRule="auto" w:before="22"/>
        <w:ind w:left="472" w:right="94"/>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201" w:firstLine="360"/>
        <w:jc w:val="both"/>
      </w:pPr>
      <w:r>
        <w:rPr/>
        <w:t>（</w:t>
      </w:r>
      <w:r>
        <w:rPr>
          <w:rFonts w:ascii="Times New Roman" w:hAnsi="Times New Roman" w:cs="Times New Roman" w:eastAsia="Times New Roman" w:hint="default"/>
        </w:rPr>
        <w:t>6</w:t>
      </w:r>
      <w:r>
        <w:rPr/>
        <w:t>）就荣科科技中实体或业务活动的财务信息获取充分、适当的审计证据，以对财务报表发表审计意见。我们负责指 导、监督和执行集团审计，并对审计意见承担全部责任。</w:t>
      </w:r>
    </w:p>
    <w:p>
      <w:pPr>
        <w:pStyle w:val="BodyText"/>
        <w:spacing w:line="316" w:lineRule="auto" w:before="31"/>
        <w:ind w:right="19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9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6" w:lineRule="auto" w:before="19"/>
        <w:ind w:right="192"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5"/>
        </w:rPr>
        <w:t> </w:t>
      </w:r>
      <w:r>
        <w:rPr>
          <w:spacing w:val="-65"/>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pStyle w:val="BodyText"/>
        <w:tabs>
          <w:tab w:pos="3112" w:val="left" w:leader="none"/>
        </w:tabs>
        <w:spacing w:line="240" w:lineRule="auto" w:before="155"/>
        <w:ind w:left="232" w:right="94"/>
        <w:jc w:val="left"/>
      </w:pPr>
      <w:r>
        <w:rPr/>
        <w:t>华普天健会计师事务所</w:t>
        <w:tab/>
        <w:t>中国注册会计师（项目合伙人）：</w:t>
      </w:r>
    </w:p>
    <w:p>
      <w:pPr>
        <w:pStyle w:val="BodyText"/>
        <w:spacing w:line="240" w:lineRule="auto" w:before="136"/>
        <w:ind w:left="0" w:right="7798"/>
        <w:jc w:val="center"/>
      </w:pPr>
      <w:r>
        <w:rPr/>
        <w:t>（特殊普通合伙）</w:t>
      </w:r>
    </w:p>
    <w:p>
      <w:pPr>
        <w:pStyle w:val="BodyText"/>
        <w:spacing w:line="240" w:lineRule="auto" w:before="136"/>
        <w:ind w:left="3446" w:right="2727"/>
        <w:jc w:val="center"/>
      </w:pPr>
      <w:r>
        <w:rPr/>
        <w:t>中国注册会计师：陆红</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tabs>
          <w:tab w:pos="3571" w:val="left" w:leader="none"/>
        </w:tabs>
        <w:spacing w:line="240" w:lineRule="auto"/>
        <w:ind w:left="0" w:right="2727"/>
        <w:jc w:val="center"/>
      </w:pPr>
      <w:r>
        <w:rPr/>
        <w:t>中国</w:t>
      </w:r>
      <w:r>
        <w:rPr>
          <w:rFonts w:ascii="Times New Roman" w:hAnsi="Times New Roman" w:cs="Times New Roman" w:eastAsia="Times New Roman" w:hint="default"/>
        </w:rPr>
        <w:t>·</w:t>
      </w:r>
      <w:r>
        <w:rPr/>
        <w:t>北京</w:t>
        <w:tab/>
        <w:t>中国注册会计师：王逸飞</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spacing w:line="240" w:lineRule="auto"/>
        <w:ind w:left="3626" w:right="2727"/>
        <w:jc w:val="center"/>
      </w:pPr>
      <w:r>
        <w:rPr/>
        <w:t>中国注册会计师：佟海光</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0" w:right="1551"/>
        <w:jc w:val="righ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w:t>
      </w:r>
    </w:p>
    <w:p>
      <w:pPr>
        <w:spacing w:line="240" w:lineRule="auto" w:before="0"/>
        <w:rPr>
          <w:rFonts w:ascii="宋体" w:hAnsi="宋体" w:cs="宋体" w:eastAsia="宋体" w:hint="default"/>
          <w:sz w:val="24"/>
          <w:szCs w:val="24"/>
        </w:rPr>
      </w:pPr>
    </w:p>
    <w:p>
      <w:pPr>
        <w:pStyle w:val="Heading2"/>
        <w:spacing w:line="240" w:lineRule="auto"/>
        <w:ind w:right="6754"/>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4"/>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6754"/>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566" w:footer="978" w:top="1360" w:bottom="1160" w:left="1020" w:right="940"/>
        </w:sectPr>
      </w:pPr>
    </w:p>
    <w:p>
      <w:pPr>
        <w:pStyle w:val="BodyText"/>
        <w:spacing w:line="240" w:lineRule="auto" w:before="44"/>
        <w:ind w:right="-20"/>
        <w:jc w:val="left"/>
      </w:pPr>
      <w:r>
        <w:rPr/>
        <w:t>编制单位：荣科科技股份有限公司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440" w:bottom="1160" w:left="1020" w:right="940"/>
          <w:cols w:num="3" w:equalWidth="0">
            <w:col w:w="2813" w:space="1264"/>
            <w:col w:w="1599" w:space="3242"/>
            <w:col w:w="103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260"/>
        <w:gridCol w:w="2190"/>
        <w:gridCol w:w="2118"/>
      </w:tblGrid>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440" w:bottom="1160" w:left="1020" w:right="940"/>
        </w:sectPr>
      </w:pPr>
    </w:p>
    <w:tbl>
      <w:tblPr>
        <w:tblW w:w="0" w:type="auto"/>
        <w:jc w:val="left"/>
        <w:tblInd w:w="109" w:type="dxa"/>
        <w:tblLayout w:type="fixed"/>
        <w:tblCellMar>
          <w:top w:w="0" w:type="dxa"/>
          <w:left w:w="0" w:type="dxa"/>
          <w:bottom w:w="0" w:type="dxa"/>
          <w:right w:w="0" w:type="dxa"/>
        </w:tblCellMar>
        <w:tblLook w:val="01E0"/>
      </w:tblPr>
      <w:tblGrid>
        <w:gridCol w:w="5260"/>
        <w:gridCol w:w="2190"/>
        <w:gridCol w:w="2118"/>
      </w:tblGrid>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187,285,948.67</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266,527,437.89</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8,656,350.00</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278,005.00</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451,683,469.87</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451,390,318.29</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3,168,151.34</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7,255,664.66</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7,035,385.35</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9,099,434.09</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31,766,172.93</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44,524,399.42</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2,294,811.90</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2,170,511.96</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2,938,880.98</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3,894,820.42</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694,829,171.04</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785,140,591.73</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23,010,000.00</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17,010,000.00</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6,492,597.45</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8,034,420.02</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151,886,515.82</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72,832,025.22</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57,861,987.42</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29,925,084.73</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26,142,602.66</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440" w:bottom="1160" w:left="1020" w:right="1020"/>
        </w:sectPr>
      </w:pPr>
    </w:p>
    <w:tbl>
      <w:tblPr>
        <w:tblW w:w="0" w:type="auto"/>
        <w:jc w:val="left"/>
        <w:tblInd w:w="109" w:type="dxa"/>
        <w:tblLayout w:type="fixed"/>
        <w:tblCellMar>
          <w:top w:w="0" w:type="dxa"/>
          <w:left w:w="0" w:type="dxa"/>
          <w:bottom w:w="0" w:type="dxa"/>
          <w:right w:w="0" w:type="dxa"/>
        </w:tblCellMar>
        <w:tblLook w:val="01E0"/>
      </w:tblPr>
      <w:tblGrid>
        <w:gridCol w:w="5260"/>
        <w:gridCol w:w="2190"/>
        <w:gridCol w:w="2118"/>
      </w:tblGrid>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5,990,187.77</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5,126,806.47</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133,431,668.78</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133,431,668.78</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43,843.28</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212,264.18</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8,829,114.02</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6,273,644.48</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359,609,011.85</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326,925,419.23</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1,054,438,182.89</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1,112,066,010.96</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17,689,404.25</w:t>
            </w: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5,451,589.00</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31,583,436.50</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129,952,175.05</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137,786,903.91</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9,519,771.50</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8,092,109.68</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6,291,660.95</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5,769,932.80</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11,022,457.49</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10,312,032.33</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64,095,429.22</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4,930,036.62</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17,588,500.00</w:t>
            </w: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7,400,000.00</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269,010,987.46</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203,074,451.84</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67,539,500.00</w:t>
            </w:r>
          </w:p>
        </w:tc>
        <w:tc>
          <w:tcPr>
            <w:tcW w:w="21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8" w:top="1440" w:bottom="1160" w:left="1020" w:right="1020"/>
        </w:sectPr>
      </w:pPr>
    </w:p>
    <w:tbl>
      <w:tblPr>
        <w:tblW w:w="0" w:type="auto"/>
        <w:jc w:val="left"/>
        <w:tblInd w:w="109" w:type="dxa"/>
        <w:tblLayout w:type="fixed"/>
        <w:tblCellMar>
          <w:top w:w="0" w:type="dxa"/>
          <w:left w:w="0" w:type="dxa"/>
          <w:bottom w:w="0" w:type="dxa"/>
          <w:right w:w="0" w:type="dxa"/>
        </w:tblCellMar>
        <w:tblLook w:val="01E0"/>
      </w:tblPr>
      <w:tblGrid>
        <w:gridCol w:w="5260"/>
        <w:gridCol w:w="2190"/>
        <w:gridCol w:w="2118"/>
      </w:tblGrid>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7,900,000.00</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3,800,000.00</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335,727.38</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833,558.18</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75,775,227.38</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4,633,558.18</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344,786,214.84</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207,708,010.02</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321,429,652.00</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321,429,652.00</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116,770,052.52</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300,666,708.38</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209,324.87</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851,987.54</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30,850,851.57</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30,850,851.57</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240,395,020.25</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228,324,985.00</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709,654,901.21</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882,124,184.49</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-2,933.16</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22,233,816.45</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709,651,968.05</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904,358,000.94</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1,054,438,182.89</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1,112,066,010.96</w:t>
            </w:r>
          </w:p>
        </w:tc>
      </w:tr>
    </w:tbl>
    <w:p>
      <w:pPr>
        <w:spacing w:line="240" w:lineRule="auto" w:before="5"/>
        <w:rPr>
          <w:rFonts w:ascii="宋体" w:hAnsi="宋体" w:cs="宋体" w:eastAsia="宋体" w:hint="default"/>
          <w:sz w:val="20"/>
          <w:szCs w:val="20"/>
        </w:rPr>
      </w:pPr>
    </w:p>
    <w:p>
      <w:pPr>
        <w:pStyle w:val="BodyText"/>
        <w:tabs>
          <w:tab w:pos="3511" w:val="left" w:leader="none"/>
          <w:tab w:pos="7559" w:val="left" w:leader="none"/>
        </w:tabs>
        <w:spacing w:line="240" w:lineRule="auto" w:before="44"/>
        <w:ind w:left="0" w:right="211"/>
        <w:jc w:val="right"/>
      </w:pPr>
      <w:r>
        <w:rPr/>
        <w:t>法定代表人：付永全</w:t>
        <w:tab/>
        <w:t>主管会计工作负责人：冯丽</w:t>
        <w:tab/>
        <w:t>会计机构负责人：朱迎秋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200"/>
        <w:gridCol w:w="2280"/>
        <w:gridCol w:w="2088"/>
      </w:tblGrid>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8"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566" w:footer="978" w:top="1440" w:bottom="1160" w:left="1020" w:right="1020"/>
        </w:sectPr>
      </w:pPr>
    </w:p>
    <w:tbl>
      <w:tblPr>
        <w:tblW w:w="0" w:type="auto"/>
        <w:jc w:val="left"/>
        <w:tblInd w:w="109" w:type="dxa"/>
        <w:tblLayout w:type="fixed"/>
        <w:tblCellMar>
          <w:top w:w="0" w:type="dxa"/>
          <w:left w:w="0" w:type="dxa"/>
          <w:bottom w:w="0" w:type="dxa"/>
          <w:right w:w="0" w:type="dxa"/>
        </w:tblCellMar>
        <w:tblLook w:val="01E0"/>
      </w:tblPr>
      <w:tblGrid>
        <w:gridCol w:w="5200"/>
        <w:gridCol w:w="2280"/>
        <w:gridCol w:w="2088"/>
      </w:tblGrid>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143,198,359.81</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244,167,247.13</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8,656,350.00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278,005.00</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368,233,251.35</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398,049,366.75</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1,178,531.87</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5,382,806.21</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151,525.00</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30,739,568.90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18,170,573.93</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30,420,785.95</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43,827,975.75</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2,294,811.90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2,170,511.96</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1,768,858.23</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435,297.50</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586,490,518.01</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712,633,309.23</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23,010,000.00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17,010,000.00</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6,492,597.45</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8,034,420.02</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411,968,696.08</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206,618,996.08</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115,139,039.85</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31,566,374.60</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57,861,987.42</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17,386,880.16</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18,457,149.72</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43,843.28</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212,264.18</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6,718,168.80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5,343,822.36</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580,759,225.62</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345,105,014.38</w:t>
            </w:r>
          </w:p>
        </w:tc>
      </w:tr>
      <w:tr>
        <w:trPr>
          <w:trHeight w:val="400"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1,167,249,743.63</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1,057,738,323.61</w:t>
            </w:r>
          </w:p>
        </w:tc>
      </w:tr>
    </w:tbl>
    <w:p>
      <w:pPr>
        <w:spacing w:after="0" w:line="240" w:lineRule="auto"/>
        <w:jc w:val="right"/>
        <w:rPr>
          <w:rFonts w:ascii="Times New Roman" w:hAnsi="Times New Roman" w:cs="Times New Roman" w:eastAsia="Times New Roman" w:hint="default"/>
          <w:sz w:val="18"/>
          <w:szCs w:val="18"/>
        </w:rPr>
        <w:sectPr>
          <w:footerReference w:type="default" r:id="rId39"/>
          <w:pgSz w:w="11910" w:h="16840"/>
          <w:pgMar w:footer="978" w:header="566" w:top="1440" w:bottom="1160" w:left="1020" w:right="1020"/>
          <w:pgNumType w:start="70"/>
        </w:sectPr>
      </w:pPr>
    </w:p>
    <w:tbl>
      <w:tblPr>
        <w:tblW w:w="0" w:type="auto"/>
        <w:jc w:val="left"/>
        <w:tblInd w:w="109" w:type="dxa"/>
        <w:tblLayout w:type="fixed"/>
        <w:tblCellMar>
          <w:top w:w="0" w:type="dxa"/>
          <w:left w:w="0" w:type="dxa"/>
          <w:bottom w:w="0" w:type="dxa"/>
          <w:right w:w="0" w:type="dxa"/>
        </w:tblCellMar>
        <w:tblLook w:val="01E0"/>
      </w:tblPr>
      <w:tblGrid>
        <w:gridCol w:w="5200"/>
        <w:gridCol w:w="2280"/>
        <w:gridCol w:w="2088"/>
      </w:tblGrid>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12,699,404.25</w:t>
            </w: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5,451,589.00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31,583,436.50</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125,692,410.40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132,861,094.92</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8,056,918.61</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6,669,634.89</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2,858,925.31</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2,832,921.99</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4,087,990.69</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7,997,322.70</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63,909,676.60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4,913,381.55</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17,588,500.00</w:t>
            </w: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3,200,000.00</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243,045,414.86</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190,057,792.55</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67,539,500.00</w:t>
            </w: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7,900,000.00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75,439,500.00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318,484,914.86</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190,557,792.55</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321,429,652.00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321,429,652.00</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8" w:top="1440" w:bottom="1160" w:left="1020" w:right="10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200"/>
        <w:gridCol w:w="2280"/>
        <w:gridCol w:w="2088"/>
      </w:tblGrid>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295,412,401.12</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295,412,401.12</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30,850,851.57</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30,850,851.57</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201,071,924.08</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219,487,626.37</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848,764,828.77</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867,180,531.06</w:t>
            </w:r>
          </w:p>
        </w:tc>
      </w:tr>
      <w:tr>
        <w:trPr>
          <w:trHeight w:val="402" w:hRule="exact"/>
        </w:trPr>
        <w:tc>
          <w:tcPr>
            <w:tcW w:w="5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1,167,249,743.63</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1,057,738,323.61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260"/>
        <w:gridCol w:w="2265"/>
        <w:gridCol w:w="2042"/>
      </w:tblGrid>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418,657,673.48</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502,607,273.30</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418,657,673.48</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502,607,273.30</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409,910,214.04</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465,609,155.96</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290,255,400.08</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342,897,319.45</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4,645,339.54</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4,948,739.33</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25,327,864.65</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21,067,301.73</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82,803,922.22</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76,570,903.34</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2,142,460.23</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-3,171,771.45</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4,735,227.32</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23,296,663.56</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655.11</w:t>
            </w:r>
          </w:p>
        </w:tc>
        <w:tc>
          <w:tcPr>
            <w:tcW w:w="20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8" w:top="1360" w:bottom="1160" w:left="1020" w:right="1020"/>
        </w:sectPr>
      </w:pPr>
    </w:p>
    <w:tbl>
      <w:tblPr>
        <w:tblW w:w="0" w:type="auto"/>
        <w:jc w:val="left"/>
        <w:tblInd w:w="109" w:type="dxa"/>
        <w:tblLayout w:type="fixed"/>
        <w:tblCellMar>
          <w:top w:w="0" w:type="dxa"/>
          <w:left w:w="0" w:type="dxa"/>
          <w:bottom w:w="0" w:type="dxa"/>
          <w:right w:w="0" w:type="dxa"/>
        </w:tblCellMar>
        <w:tblLook w:val="01E0"/>
      </w:tblPr>
      <w:tblGrid>
        <w:gridCol w:w="5260"/>
        <w:gridCol w:w="2265"/>
        <w:gridCol w:w="2042"/>
      </w:tblGrid>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3,437.71</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129,474.26</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9,423,284.44</w:t>
            </w: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18,174,836.70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37,127,591.60</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62,415.29</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6,641,604.11</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104,802.26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784,707.69</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18,132,449.73</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42,984,488.02</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2,331,969.60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2,938,416.38</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15,800,480.13</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40,046,071.64</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15,800,480.13</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40,046,071.64</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18,820,057.94</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32,397,475.63</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-3,019,577.81</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7,648,596.01</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-642,662.67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797,201.71</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-642,662.67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405,536.51</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-642,662.67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405,536.51</w:t>
            </w:r>
          </w:p>
        </w:tc>
      </w:tr>
      <w:tr>
        <w:trPr>
          <w:trHeight w:val="714"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-642,662.67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405,536.51</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391,665.20</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15,157,817.46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40,843,273.35</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18,177,395.27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32,803,012.14</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-3,019,577.81</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8,040,261.21</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0.0586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0.1008</w:t>
            </w:r>
          </w:p>
        </w:tc>
      </w:tr>
      <w:tr>
        <w:trPr>
          <w:trHeight w:val="402" w:hRule="exact"/>
        </w:trPr>
        <w:tc>
          <w:tcPr>
            <w:tcW w:w="5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0.0586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0.1008</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440" w:bottom="1160" w:left="1020" w:right="1020"/>
        </w:sectPr>
      </w:pPr>
    </w:p>
    <w:p>
      <w:pPr>
        <w:pStyle w:val="BodyText"/>
        <w:tabs>
          <w:tab w:pos="3511" w:val="left" w:leader="none"/>
          <w:tab w:pos="7559" w:val="left" w:leader="none"/>
        </w:tabs>
        <w:spacing w:line="240" w:lineRule="auto" w:before="81"/>
        <w:ind w:left="0" w:right="211"/>
        <w:jc w:val="right"/>
      </w:pPr>
      <w:r>
        <w:rPr/>
        <w:t>法定代表人：付永全</w:t>
        <w:tab/>
        <w:t>主管会计工作负责人：冯丽</w:t>
        <w:tab/>
        <w:t>会计机构负责人：朱迎秋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245"/>
        <w:gridCol w:w="2265"/>
        <w:gridCol w:w="2058"/>
      </w:tblGrid>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331,556,657.38</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445,637,000.74</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261,910,494.90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316,206,807.74</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2,674,643.42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3,705,510.23</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14,677,368.57</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13,873,584.97</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67,770,843.51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66,842,672.65</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967,460.62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-3,545,090.95</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-106,275.77</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19,754,413.66</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-622,597.40</w:t>
            </w: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3,437.71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129,804.31</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4,638,742.54</w:t>
            </w: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-12,318,295.02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28,928,906.75</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59,216.95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2,998,788.73</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31,391.21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728,921.68</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-12,290,469.28</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31,198,773.80</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-624,789.68</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3,540,170.83</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-11,665,679.60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27,658,602.97</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-11,665,679.60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27,658,602.97</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36" w:firstLine="5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权益法下在被投资单位不能重分类进损益的其他综合收益 中享有的份额</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36" w:firstLine="5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权益法下在被投资单位以后将重分类进损益的其他综合收 益中享有的份额</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245"/>
        <w:gridCol w:w="2265"/>
        <w:gridCol w:w="2058"/>
      </w:tblGrid>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45" w:right="0"/>
              <w:jc w:val="left"/>
              <w:rPr>
                <w:rFonts w:ascii="Times New Roman" w:hAnsi="Times New Roman" w:cs="Times New Roman" w:eastAsia="Times New Roman" w:hint="default"/>
                <w:sz w:val="18"/>
                <w:szCs w:val="18"/>
              </w:rPr>
            </w:pPr>
            <w:r>
              <w:rPr>
                <w:rFonts w:ascii="Times New Roman"/>
                <w:sz w:val="18"/>
              </w:rPr>
              <w:t>-11,665,679.60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9" w:right="0"/>
              <w:jc w:val="left"/>
              <w:rPr>
                <w:rFonts w:ascii="Times New Roman" w:hAnsi="Times New Roman" w:cs="Times New Roman" w:eastAsia="Times New Roman" w:hint="default"/>
                <w:sz w:val="18"/>
                <w:szCs w:val="18"/>
              </w:rPr>
            </w:pPr>
            <w:r>
              <w:rPr>
                <w:rFonts w:ascii="Times New Roman"/>
                <w:sz w:val="18"/>
              </w:rPr>
              <w:t>27,658,602.97</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65"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72"/>
        <w:gridCol w:w="2172"/>
        <w:gridCol w:w="1924"/>
      </w:tblGrid>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461,831,441.62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503,188,296.54</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7,797,624.44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5,539,908.28</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13,218,311.84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12,668,889.07</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482,847,377.90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521,397,093.89</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300,164,761.07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315,968,414.46</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84,768,986.81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72,186,162.30</w:t>
            </w:r>
          </w:p>
        </w:tc>
      </w:tr>
      <w:tr>
        <w:trPr>
          <w:trHeight w:val="400"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30,545,432.75</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41,287,607.32</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tbl>
      <w:tblPr>
        <w:tblW w:w="0" w:type="auto"/>
        <w:jc w:val="left"/>
        <w:tblInd w:w="109" w:type="dxa"/>
        <w:tblLayout w:type="fixed"/>
        <w:tblCellMar>
          <w:top w:w="0" w:type="dxa"/>
          <w:left w:w="0" w:type="dxa"/>
          <w:bottom w:w="0" w:type="dxa"/>
          <w:right w:w="0" w:type="dxa"/>
        </w:tblCellMar>
        <w:tblLook w:val="01E0"/>
      </w:tblPr>
      <w:tblGrid>
        <w:gridCol w:w="5472"/>
        <w:gridCol w:w="2172"/>
        <w:gridCol w:w="1924"/>
      </w:tblGrid>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48,693,321.27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42,618,653.23</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464,172,501.90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472,060,837.31</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18,674,876.00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49,336,256.58</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41,867.50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229,293.00</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41,867.50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229,293.00</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41,253,932.52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50,010,452.11</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17,010,000.00</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8,500,034.00</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2,430,000.00</w:t>
            </w: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49,683,932.52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75,520,486.11</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-49,642,065.02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-75,291,193.11</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153,994,820.15</w:t>
            </w: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77,250.00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811,280.10</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154,072,070.15</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811,280.10</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51,177,415.90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12,841,079.40</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11,050,905.21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11,293,633.28</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72"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143,010,720.41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204,745.92</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205,239,041.52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24,339,458.60</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-51,166,971.37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-23,528,178.50</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-183,235.73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224,173.73</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-82,317,396.12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-49,258,941.30</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265,807,842.60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315,066,783.90</w:t>
            </w:r>
          </w:p>
        </w:tc>
      </w:tr>
      <w:tr>
        <w:trPr>
          <w:trHeight w:val="402" w:hRule="exact"/>
        </w:trPr>
        <w:tc>
          <w:tcPr>
            <w:tcW w:w="5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183,490,446.48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265,807,842.60</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440" w:bottom="1160" w:left="1020" w:right="1020"/>
        </w:sectPr>
      </w:pPr>
    </w:p>
    <w:p>
      <w:pPr>
        <w:pStyle w:val="Heading3"/>
        <w:spacing w:line="240" w:lineRule="auto" w:before="5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275"/>
        <w:gridCol w:w="2220"/>
        <w:gridCol w:w="2073"/>
      </w:tblGrid>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395,937,635.76</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464,260,169.76</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3,013,412.54</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2,101,550.95</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13,754,576.06</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8,581,522.59</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412,705,624.36</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474,943,243.30</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292,895,217.07</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307,975,673.84</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43,665,928.92</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44,067,291.09</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17,966,824.21</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27,487,138.67</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56,528,908.60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46,491,220.06</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411,056,878.80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426,021,323.66</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1,648,745.56</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48,921,919.64</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2,877,402.60</w:t>
            </w:r>
          </w:p>
        </w:tc>
        <w:tc>
          <w:tcPr>
            <w:tcW w:w="20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20" w:type="dxa"/>
            <w:tcBorders>
              <w:top w:val="single" w:sz="4" w:space="0" w:color="000000"/>
              <w:left w:val="single" w:sz="4" w:space="0" w:color="000000"/>
              <w:bottom w:val="single" w:sz="4" w:space="0" w:color="000000"/>
              <w:right w:val="single" w:sz="4" w:space="0" w:color="000000"/>
            </w:tcBorders>
          </w:tcPr>
          <w:p>
            <w:pPr/>
          </w:p>
        </w:tc>
        <w:tc>
          <w:tcPr>
            <w:tcW w:w="20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41,867.50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228,753.00</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20" w:type="dxa"/>
            <w:tcBorders>
              <w:top w:val="single" w:sz="4" w:space="0" w:color="000000"/>
              <w:left w:val="single" w:sz="4" w:space="0" w:color="000000"/>
              <w:bottom w:val="single" w:sz="4" w:space="0" w:color="000000"/>
              <w:right w:val="single" w:sz="4" w:space="0" w:color="000000"/>
            </w:tcBorders>
          </w:tcPr>
          <w:p>
            <w:pPr/>
          </w:p>
        </w:tc>
        <w:tc>
          <w:tcPr>
            <w:tcW w:w="20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20" w:type="dxa"/>
            <w:tcBorders>
              <w:top w:val="single" w:sz="4" w:space="0" w:color="000000"/>
              <w:left w:val="single" w:sz="4" w:space="0" w:color="000000"/>
              <w:bottom w:val="single" w:sz="4" w:space="0" w:color="000000"/>
              <w:right w:val="single" w:sz="4" w:space="0" w:color="000000"/>
            </w:tcBorders>
          </w:tcPr>
          <w:p>
            <w:pPr/>
          </w:p>
        </w:tc>
        <w:tc>
          <w:tcPr>
            <w:tcW w:w="20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2,919,270.10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228,753.00</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36,053,532.64</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44,862,472.30</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154,849,700.00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17,010,000.00</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20" w:type="dxa"/>
            <w:tcBorders>
              <w:top w:val="single" w:sz="4" w:space="0" w:color="000000"/>
              <w:left w:val="single" w:sz="4" w:space="0" w:color="000000"/>
              <w:bottom w:val="single" w:sz="4" w:space="0" w:color="000000"/>
              <w:right w:val="single" w:sz="4" w:space="0" w:color="000000"/>
            </w:tcBorders>
          </w:tcPr>
          <w:p>
            <w:pP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8,500,034.00</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2,430,000.00</w:t>
            </w:r>
          </w:p>
        </w:tc>
        <w:tc>
          <w:tcPr>
            <w:tcW w:w="20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193,333,232.64</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70,372,506.30</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-190,413,962.54</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-70,143,753.30</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20" w:type="dxa"/>
            <w:tcBorders>
              <w:top w:val="single" w:sz="4" w:space="0" w:color="000000"/>
              <w:left w:val="single" w:sz="4" w:space="0" w:color="000000"/>
              <w:bottom w:val="single" w:sz="4" w:space="0" w:color="000000"/>
              <w:right w:val="single" w:sz="4" w:space="0" w:color="000000"/>
            </w:tcBorders>
          </w:tcPr>
          <w:p>
            <w:pPr/>
          </w:p>
        </w:tc>
        <w:tc>
          <w:tcPr>
            <w:tcW w:w="20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147,994,820.15</w:t>
            </w:r>
          </w:p>
        </w:tc>
        <w:tc>
          <w:tcPr>
            <w:tcW w:w="20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20" w:type="dxa"/>
            <w:tcBorders>
              <w:top w:val="single" w:sz="4" w:space="0" w:color="000000"/>
              <w:left w:val="single" w:sz="4" w:space="0" w:color="000000"/>
              <w:bottom w:val="single" w:sz="4" w:space="0" w:color="000000"/>
              <w:right w:val="single" w:sz="4" w:space="0" w:color="000000"/>
            </w:tcBorders>
          </w:tcPr>
          <w:p>
            <w:pPr/>
          </w:p>
        </w:tc>
        <w:tc>
          <w:tcPr>
            <w:tcW w:w="20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77,250.00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811,280.10</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148,072,070.15</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811,280.10</w:t>
            </w:r>
          </w:p>
        </w:tc>
      </w:tr>
      <w:tr>
        <w:trPr>
          <w:trHeight w:val="400"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50,167,415.90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12,841,079.40</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5275"/>
        <w:gridCol w:w="2220"/>
        <w:gridCol w:w="2073"/>
      </w:tblGrid>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10,987,351.27</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11,293,633.28</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993,154.36</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204,745.92</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62,147,921.53</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24,339,458.60</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85,924,148.62</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-23,528,178.50</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-13,725.86</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6,275.48</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-102,854,794.22</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-44,743,736.68</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243,447,651.84</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288,191,388.52</w:t>
            </w:r>
          </w:p>
        </w:tc>
      </w:tr>
      <w:tr>
        <w:trPr>
          <w:trHeight w:val="402"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140,592,857.62</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243,447,651.84</w:t>
            </w:r>
          </w:p>
        </w:tc>
      </w:tr>
    </w:tbl>
    <w:p>
      <w:pPr>
        <w:spacing w:line="240" w:lineRule="auto" w:before="3"/>
        <w:rPr>
          <w:rFonts w:ascii="宋体" w:hAnsi="宋体" w:cs="宋体" w:eastAsia="宋体" w:hint="default"/>
          <w:sz w:val="19"/>
          <w:szCs w:val="19"/>
        </w:rPr>
      </w:pPr>
    </w:p>
    <w:p>
      <w:pPr>
        <w:pStyle w:val="Heading3"/>
        <w:spacing w:line="240" w:lineRule="auto" w:before="34"/>
        <w:ind w:left="1132" w:right="6854"/>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132" w:right="6854"/>
        <w:jc w:val="left"/>
      </w:pPr>
      <w:r>
        <w:rPr/>
        <w:t>本期金额</w:t>
      </w:r>
    </w:p>
    <w:p>
      <w:pPr>
        <w:pStyle w:val="BodyText"/>
        <w:spacing w:line="240" w:lineRule="auto" w:before="117"/>
        <w:ind w:left="0" w:right="652"/>
        <w:jc w:val="right"/>
      </w:pPr>
      <w:r>
        <w:rPr/>
        <w:t>单位：元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77"/>
        <w:gridCol w:w="1134"/>
        <w:gridCol w:w="329"/>
        <w:gridCol w:w="322"/>
        <w:gridCol w:w="342"/>
        <w:gridCol w:w="1134"/>
        <w:gridCol w:w="352"/>
        <w:gridCol w:w="810"/>
        <w:gridCol w:w="420"/>
        <w:gridCol w:w="945"/>
        <w:gridCol w:w="570"/>
        <w:gridCol w:w="1110"/>
        <w:gridCol w:w="1005"/>
        <w:gridCol w:w="1140"/>
      </w:tblGrid>
      <w:tr>
        <w:trPr>
          <w:trHeight w:val="402" w:hRule="exact"/>
        </w:trPr>
        <w:tc>
          <w:tcPr>
            <w:tcW w:w="1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项目</w:t>
            </w:r>
          </w:p>
        </w:tc>
        <w:tc>
          <w:tcPr>
            <w:tcW w:w="961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402" w:hRule="exact"/>
        </w:trPr>
        <w:tc>
          <w:tcPr>
            <w:tcW w:w="1577" w:type="dxa"/>
            <w:vMerge/>
            <w:tcBorders>
              <w:left w:val="single" w:sz="4" w:space="0" w:color="000000"/>
              <w:right w:val="single" w:sz="4" w:space="0" w:color="000000"/>
            </w:tcBorders>
            <w:shd w:val="clear" w:color="auto" w:fill="D2D2D2"/>
          </w:tcPr>
          <w:p>
            <w:pPr/>
          </w:p>
        </w:tc>
        <w:tc>
          <w:tcPr>
            <w:tcW w:w="74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1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2" w:hRule="exact"/>
        </w:trPr>
        <w:tc>
          <w:tcPr>
            <w:tcW w:w="1577" w:type="dxa"/>
            <w:vMerge/>
            <w:tcBorders>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9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0"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52"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19"/>
              <w:ind w:left="97" w:right="17" w:hanging="75"/>
              <w:jc w:val="left"/>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w w:val="99"/>
                <w:sz w:val="15"/>
                <w:szCs w:val="15"/>
              </w:rPr>
              <w:t> </w:t>
            </w:r>
            <w:r>
              <w:rPr>
                <w:rFonts w:ascii="宋体" w:hAnsi="宋体" w:cs="宋体" w:eastAsia="宋体" w:hint="default"/>
                <w:sz w:val="15"/>
                <w:szCs w:val="15"/>
              </w:rPr>
              <w:t>库</w:t>
            </w:r>
            <w:r>
              <w:rPr>
                <w:rFonts w:ascii="宋体" w:hAnsi="宋体" w:cs="宋体" w:eastAsia="宋体" w:hint="default"/>
                <w:w w:val="99"/>
                <w:sz w:val="15"/>
                <w:szCs w:val="15"/>
              </w:rPr>
              <w:t> </w:t>
            </w:r>
            <w:r>
              <w:rPr>
                <w:rFonts w:ascii="宋体" w:hAnsi="宋体" w:cs="宋体" w:eastAsia="宋体" w:hint="default"/>
                <w:sz w:val="15"/>
                <w:szCs w:val="15"/>
              </w:rPr>
              <w:t>存</w:t>
            </w:r>
            <w:r>
              <w:rPr>
                <w:rFonts w:ascii="宋体" w:hAnsi="宋体" w:cs="宋体" w:eastAsia="宋体" w:hint="default"/>
                <w:w w:val="99"/>
                <w:sz w:val="15"/>
                <w:szCs w:val="15"/>
              </w:rPr>
              <w:t> </w:t>
            </w:r>
            <w:r>
              <w:rPr>
                <w:rFonts w:ascii="宋体" w:hAnsi="宋体" w:cs="宋体" w:eastAsia="宋体" w:hint="default"/>
                <w:sz w:val="15"/>
                <w:szCs w:val="15"/>
              </w:rPr>
              <w:t>股</w:t>
            </w:r>
          </w:p>
        </w:tc>
        <w:tc>
          <w:tcPr>
            <w:tcW w:w="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81" w:lineRule="auto"/>
              <w:ind w:left="326" w:right="23" w:hanging="300"/>
              <w:jc w:val="left"/>
              <w:rPr>
                <w:rFonts w:ascii="宋体" w:hAnsi="宋体" w:cs="宋体" w:eastAsia="宋体" w:hint="default"/>
                <w:sz w:val="15"/>
                <w:szCs w:val="15"/>
              </w:rPr>
            </w:pPr>
            <w:r>
              <w:rPr>
                <w:rFonts w:ascii="宋体" w:hAnsi="宋体" w:cs="宋体" w:eastAsia="宋体" w:hint="default"/>
                <w:sz w:val="15"/>
                <w:szCs w:val="15"/>
              </w:rPr>
              <w:t>其他综合收</w:t>
            </w:r>
            <w:r>
              <w:rPr>
                <w:rFonts w:ascii="宋体" w:hAnsi="宋体" w:cs="宋体" w:eastAsia="宋体" w:hint="default"/>
                <w:w w:val="99"/>
                <w:sz w:val="15"/>
                <w:szCs w:val="15"/>
              </w:rPr>
              <w:t> </w:t>
            </w:r>
            <w:r>
              <w:rPr>
                <w:rFonts w:ascii="宋体" w:hAnsi="宋体" w:cs="宋体" w:eastAsia="宋体" w:hint="default"/>
                <w:sz w:val="15"/>
                <w:szCs w:val="15"/>
              </w:rPr>
              <w:t>益</w:t>
            </w:r>
          </w:p>
        </w:tc>
        <w:tc>
          <w:tcPr>
            <w:tcW w:w="4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81" w:lineRule="auto"/>
              <w:ind w:left="56" w:right="54"/>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w w:val="99"/>
                <w:sz w:val="15"/>
                <w:szCs w:val="15"/>
              </w:rPr>
              <w:t> </w:t>
            </w:r>
            <w:r>
              <w:rPr>
                <w:rFonts w:ascii="宋体" w:hAnsi="宋体" w:cs="宋体" w:eastAsia="宋体" w:hint="default"/>
                <w:sz w:val="15"/>
                <w:szCs w:val="15"/>
              </w:rPr>
              <w:t>储备</w:t>
            </w:r>
          </w:p>
        </w:tc>
        <w:tc>
          <w:tcPr>
            <w:tcW w:w="9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81" w:lineRule="auto"/>
              <w:ind w:left="54" w:right="55"/>
              <w:jc w:val="left"/>
              <w:rPr>
                <w:rFonts w:ascii="宋体" w:hAnsi="宋体" w:cs="宋体" w:eastAsia="宋体" w:hint="default"/>
                <w:sz w:val="15"/>
                <w:szCs w:val="15"/>
              </w:rPr>
            </w:pPr>
            <w:r>
              <w:rPr>
                <w:rFonts w:ascii="宋体" w:hAnsi="宋体" w:cs="宋体" w:eastAsia="宋体" w:hint="default"/>
                <w:sz w:val="15"/>
                <w:szCs w:val="15"/>
              </w:rPr>
              <w:t>一般风</w:t>
            </w:r>
            <w:r>
              <w:rPr>
                <w:rFonts w:ascii="宋体" w:hAnsi="宋体" w:cs="宋体" w:eastAsia="宋体" w:hint="default"/>
                <w:w w:val="99"/>
                <w:sz w:val="15"/>
                <w:szCs w:val="15"/>
              </w:rPr>
              <w:t> </w:t>
            </w:r>
            <w:r>
              <w:rPr>
                <w:rFonts w:ascii="宋体" w:hAnsi="宋体" w:cs="宋体" w:eastAsia="宋体" w:hint="default"/>
                <w:sz w:val="15"/>
                <w:szCs w:val="15"/>
              </w:rPr>
              <w:t>险准备</w:t>
            </w:r>
          </w:p>
        </w:tc>
        <w:tc>
          <w:tcPr>
            <w:tcW w:w="11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05" w:type="dxa"/>
            <w:vMerge/>
            <w:tcBorders>
              <w:left w:val="single" w:sz="4" w:space="0" w:color="000000"/>
              <w:right w:val="single" w:sz="4" w:space="0" w:color="000000"/>
            </w:tcBorders>
            <w:shd w:val="clear" w:color="auto" w:fill="D2D2D2"/>
          </w:tcPr>
          <w:p>
            <w:pPr/>
          </w:p>
        </w:tc>
        <w:tc>
          <w:tcPr>
            <w:tcW w:w="1140" w:type="dxa"/>
            <w:vMerge/>
            <w:tcBorders>
              <w:left w:val="single" w:sz="4" w:space="0" w:color="000000"/>
              <w:right w:val="single" w:sz="4" w:space="0" w:color="000000"/>
            </w:tcBorders>
            <w:shd w:val="clear" w:color="auto" w:fill="D2D2D2"/>
          </w:tcPr>
          <w:p>
            <w:pPr/>
          </w:p>
        </w:tc>
      </w:tr>
      <w:tr>
        <w:trPr>
          <w:trHeight w:val="1026" w:hRule="exact"/>
        </w:trPr>
        <w:tc>
          <w:tcPr>
            <w:tcW w:w="1577"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83" w:right="85"/>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99"/>
                <w:sz w:val="15"/>
                <w:szCs w:val="15"/>
              </w:rPr>
              <w:t> </w:t>
            </w:r>
            <w:r>
              <w:rPr>
                <w:rFonts w:ascii="宋体" w:hAnsi="宋体" w:cs="宋体" w:eastAsia="宋体" w:hint="default"/>
                <w:sz w:val="15"/>
                <w:szCs w:val="15"/>
              </w:rPr>
              <w:t>先</w:t>
            </w:r>
            <w:r>
              <w:rPr>
                <w:rFonts w:ascii="宋体" w:hAnsi="宋体" w:cs="宋体" w:eastAsia="宋体" w:hint="default"/>
                <w:w w:val="99"/>
                <w:sz w:val="15"/>
                <w:szCs w:val="15"/>
              </w:rPr>
              <w:t> </w:t>
            </w:r>
            <w:r>
              <w:rPr>
                <w:rFonts w:ascii="宋体" w:hAnsi="宋体" w:cs="宋体" w:eastAsia="宋体" w:hint="default"/>
                <w:sz w:val="15"/>
                <w:szCs w:val="15"/>
              </w:rPr>
              <w:t>股</w:t>
            </w: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80" w:right="80"/>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99"/>
                <w:sz w:val="15"/>
                <w:szCs w:val="15"/>
              </w:rPr>
              <w:t> </w:t>
            </w:r>
            <w:r>
              <w:rPr>
                <w:rFonts w:ascii="宋体" w:hAnsi="宋体" w:cs="宋体" w:eastAsia="宋体" w:hint="default"/>
                <w:sz w:val="15"/>
                <w:szCs w:val="15"/>
              </w:rPr>
              <w:t>续</w:t>
            </w:r>
            <w:r>
              <w:rPr>
                <w:rFonts w:ascii="宋体" w:hAnsi="宋体" w:cs="宋体" w:eastAsia="宋体" w:hint="default"/>
                <w:w w:val="99"/>
                <w:sz w:val="15"/>
                <w:szCs w:val="15"/>
              </w:rPr>
              <w:t> </w:t>
            </w:r>
            <w:r>
              <w:rPr>
                <w:rFonts w:ascii="宋体" w:hAnsi="宋体" w:cs="宋体" w:eastAsia="宋体" w:hint="default"/>
                <w:sz w:val="15"/>
                <w:szCs w:val="15"/>
              </w:rPr>
              <w:t>债</w:t>
            </w:r>
          </w:p>
        </w:tc>
        <w:tc>
          <w:tcPr>
            <w:tcW w:w="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89" w:right="91"/>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99"/>
                <w:sz w:val="15"/>
                <w:szCs w:val="15"/>
              </w:rPr>
              <w:t> </w:t>
            </w:r>
            <w:r>
              <w:rPr>
                <w:rFonts w:ascii="宋体" w:hAnsi="宋体" w:cs="宋体" w:eastAsia="宋体" w:hint="default"/>
                <w:sz w:val="15"/>
                <w:szCs w:val="15"/>
              </w:rPr>
              <w:t>他</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352"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420" w:type="dxa"/>
            <w:vMerge/>
            <w:tcBorders>
              <w:left w:val="single" w:sz="4" w:space="0" w:color="000000"/>
              <w:bottom w:val="single" w:sz="4" w:space="0" w:color="000000"/>
              <w:right w:val="single" w:sz="4" w:space="0" w:color="000000"/>
            </w:tcBorders>
            <w:shd w:val="clear" w:color="auto" w:fill="D2D2D2"/>
          </w:tcPr>
          <w:p>
            <w:pPr/>
          </w:p>
        </w:tc>
        <w:tc>
          <w:tcPr>
            <w:tcW w:w="945" w:type="dxa"/>
            <w:vMerge/>
            <w:tcBorders>
              <w:left w:val="single" w:sz="4" w:space="0" w:color="000000"/>
              <w:bottom w:val="single" w:sz="4" w:space="0" w:color="000000"/>
              <w:right w:val="single" w:sz="4" w:space="0" w:color="000000"/>
            </w:tcBorders>
            <w:shd w:val="clear" w:color="auto" w:fill="D2D2D2"/>
          </w:tcPr>
          <w:p>
            <w:pPr/>
          </w:p>
        </w:tc>
        <w:tc>
          <w:tcPr>
            <w:tcW w:w="570" w:type="dxa"/>
            <w:vMerge/>
            <w:tcBorders>
              <w:left w:val="single" w:sz="4" w:space="0" w:color="000000"/>
              <w:bottom w:val="single" w:sz="4" w:space="0" w:color="000000"/>
              <w:right w:val="single" w:sz="4" w:space="0" w:color="000000"/>
            </w:tcBorders>
            <w:shd w:val="clear" w:color="auto" w:fill="D2D2D2"/>
          </w:tcPr>
          <w:p>
            <w:pPr/>
          </w:p>
        </w:tc>
        <w:tc>
          <w:tcPr>
            <w:tcW w:w="1110"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321,429,652.00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300,666,708.38</w:t>
            </w: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9" w:right="0"/>
              <w:jc w:val="center"/>
              <w:rPr>
                <w:rFonts w:ascii="Times New Roman" w:hAnsi="Times New Roman" w:cs="Times New Roman" w:eastAsia="Times New Roman" w:hint="default"/>
                <w:sz w:val="15"/>
                <w:szCs w:val="15"/>
              </w:rPr>
            </w:pPr>
            <w:r>
              <w:rPr>
                <w:rFonts w:ascii="Times New Roman"/>
                <w:sz w:val="15"/>
              </w:rPr>
              <w:t>851,987.54</w:t>
            </w: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8" w:right="0"/>
              <w:jc w:val="center"/>
              <w:rPr>
                <w:rFonts w:ascii="Times New Roman" w:hAnsi="Times New Roman" w:cs="Times New Roman" w:eastAsia="Times New Roman" w:hint="default"/>
                <w:sz w:val="15"/>
                <w:szCs w:val="15"/>
              </w:rPr>
            </w:pPr>
            <w:r>
              <w:rPr>
                <w:rFonts w:ascii="Times New Roman"/>
                <w:sz w:val="15"/>
              </w:rPr>
              <w:t>30,850,851.57</w:t>
            </w: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228,324,985.00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22,233,816.45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904,358,000.94</w:t>
            </w: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7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7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7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321,429,652.00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300,666,708.38</w:t>
            </w: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9" w:right="0"/>
              <w:jc w:val="center"/>
              <w:rPr>
                <w:rFonts w:ascii="Times New Roman" w:hAnsi="Times New Roman" w:cs="Times New Roman" w:eastAsia="Times New Roman" w:hint="default"/>
                <w:sz w:val="15"/>
                <w:szCs w:val="15"/>
              </w:rPr>
            </w:pPr>
            <w:r>
              <w:rPr>
                <w:rFonts w:ascii="Times New Roman"/>
                <w:sz w:val="15"/>
              </w:rPr>
              <w:t>851,987.54</w:t>
            </w: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8" w:right="0"/>
              <w:jc w:val="center"/>
              <w:rPr>
                <w:rFonts w:ascii="Times New Roman" w:hAnsi="Times New Roman" w:cs="Times New Roman" w:eastAsia="Times New Roman" w:hint="default"/>
                <w:sz w:val="15"/>
                <w:szCs w:val="15"/>
              </w:rPr>
            </w:pPr>
            <w:r>
              <w:rPr>
                <w:rFonts w:ascii="Times New Roman"/>
                <w:sz w:val="15"/>
              </w:rPr>
              <w:t>30,850,851.57</w:t>
            </w: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228,324,985.00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22,233,816.45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904,358,000.94</w:t>
            </w:r>
          </w:p>
        </w:tc>
      </w:tr>
      <w:tr>
        <w:trPr>
          <w:trHeight w:val="714"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三、本期增减变动金额</w:t>
            </w:r>
          </w:p>
          <w:p>
            <w:pPr>
              <w:pStyle w:val="TableParagraph"/>
              <w:spacing w:line="240" w:lineRule="auto" w:before="115"/>
              <w:ind w:left="22" w:right="0"/>
              <w:jc w:val="left"/>
              <w:rPr>
                <w:rFonts w:ascii="宋体" w:hAnsi="宋体" w:cs="宋体" w:eastAsia="宋体" w:hint="default"/>
                <w:sz w:val="15"/>
                <w:szCs w:val="15"/>
              </w:rPr>
            </w:pPr>
            <w:r>
              <w:rPr>
                <w:rFonts w:ascii="宋体" w:hAnsi="宋体" w:cs="宋体" w:eastAsia="宋体" w:hint="default"/>
                <w:sz w:val="15"/>
                <w:szCs w:val="15"/>
              </w:rPr>
              <w:t>（减少以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-183,896,655.86</w:t>
            </w: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1" w:right="0"/>
              <w:jc w:val="center"/>
              <w:rPr>
                <w:rFonts w:ascii="Times New Roman" w:hAnsi="Times New Roman" w:cs="Times New Roman" w:eastAsia="Times New Roman" w:hint="default"/>
                <w:sz w:val="15"/>
                <w:szCs w:val="15"/>
              </w:rPr>
            </w:pPr>
            <w:r>
              <w:rPr>
                <w:rFonts w:ascii="Times New Roman"/>
                <w:sz w:val="15"/>
              </w:rPr>
              <w:t>-642,662.67</w:t>
            </w: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12,070,035.25</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-22,236,749.61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-194,706,032.89</w:t>
            </w: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1" w:right="0"/>
              <w:jc w:val="center"/>
              <w:rPr>
                <w:rFonts w:ascii="Times New Roman" w:hAnsi="Times New Roman" w:cs="Times New Roman" w:eastAsia="Times New Roman" w:hint="default"/>
                <w:sz w:val="15"/>
                <w:szCs w:val="15"/>
              </w:rPr>
            </w:pPr>
            <w:r>
              <w:rPr>
                <w:rFonts w:ascii="Times New Roman"/>
                <w:sz w:val="15"/>
              </w:rPr>
              <w:t>-642,662.67</w:t>
            </w: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18,820,057.94</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-3,019,577.81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15,157,817.46</w:t>
            </w:r>
          </w:p>
        </w:tc>
      </w:tr>
      <w:tr>
        <w:trPr>
          <w:trHeight w:val="714"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22" w:right="45"/>
              <w:jc w:val="left"/>
              <w:rPr>
                <w:rFonts w:ascii="宋体" w:hAnsi="宋体" w:cs="宋体" w:eastAsia="宋体" w:hint="default"/>
                <w:sz w:val="15"/>
                <w:szCs w:val="15"/>
              </w:rPr>
            </w:pPr>
            <w:r>
              <w:rPr>
                <w:rFonts w:ascii="宋体" w:hAnsi="宋体" w:cs="宋体" w:eastAsia="宋体" w:hint="default"/>
                <w:sz w:val="15"/>
                <w:szCs w:val="15"/>
              </w:rPr>
              <w:t>（二）所有者投入和减</w:t>
            </w:r>
            <w:r>
              <w:rPr>
                <w:rFonts w:ascii="宋体" w:hAnsi="宋体" w:cs="宋体" w:eastAsia="宋体" w:hint="default"/>
                <w:w w:val="99"/>
                <w:sz w:val="15"/>
                <w:szCs w:val="15"/>
              </w:rPr>
              <w:t> </w:t>
            </w:r>
            <w:r>
              <w:rPr>
                <w:rFonts w:ascii="宋体" w:hAnsi="宋体" w:cs="宋体" w:eastAsia="宋体" w:hint="default"/>
                <w:sz w:val="15"/>
                <w:szCs w:val="15"/>
              </w:rPr>
              <w:t>少资本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-1,233,172.55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-1,233,172.55</w:t>
            </w: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-1,500,000.00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-1,500,000.00</w:t>
            </w:r>
          </w:p>
        </w:tc>
      </w:tr>
      <w:tr>
        <w:trPr>
          <w:trHeight w:val="714"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3"/>
              <w:ind w:left="22" w:right="21"/>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2</w:t>
            </w:r>
            <w:r>
              <w:rPr>
                <w:rFonts w:ascii="宋体" w:hAnsi="宋体" w:cs="宋体" w:eastAsia="宋体" w:hint="default"/>
                <w:spacing w:val="-5"/>
                <w:sz w:val="15"/>
                <w:szCs w:val="15"/>
              </w:rPr>
              <w:t>．其他权益工具持有者</w:t>
            </w:r>
            <w:r>
              <w:rPr>
                <w:rFonts w:ascii="宋体" w:hAnsi="宋体" w:cs="宋体" w:eastAsia="宋体" w:hint="default"/>
                <w:w w:val="99"/>
                <w:sz w:val="15"/>
                <w:szCs w:val="15"/>
              </w:rPr>
              <w:t> </w:t>
            </w:r>
            <w:r>
              <w:rPr>
                <w:rFonts w:ascii="宋体" w:hAnsi="宋体" w:cs="宋体" w:eastAsia="宋体" w:hint="default"/>
                <w:sz w:val="15"/>
                <w:szCs w:val="15"/>
              </w:rPr>
              <w:t>投入资本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4"/>
              <w:ind w:left="22" w:right="21"/>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3</w:t>
            </w:r>
            <w:r>
              <w:rPr>
                <w:rFonts w:ascii="宋体" w:hAnsi="宋体" w:cs="宋体" w:eastAsia="宋体" w:hint="default"/>
                <w:spacing w:val="-5"/>
                <w:sz w:val="15"/>
                <w:szCs w:val="15"/>
              </w:rPr>
              <w:t>．股份支付计入所有者</w:t>
            </w:r>
            <w:r>
              <w:rPr>
                <w:rFonts w:ascii="宋体" w:hAnsi="宋体" w:cs="宋体" w:eastAsia="宋体" w:hint="default"/>
                <w:w w:val="99"/>
                <w:sz w:val="15"/>
                <w:szCs w:val="15"/>
              </w:rPr>
              <w:t> </w:t>
            </w:r>
            <w:r>
              <w:rPr>
                <w:rFonts w:ascii="宋体" w:hAnsi="宋体" w:cs="宋体" w:eastAsia="宋体" w:hint="default"/>
                <w:sz w:val="15"/>
                <w:szCs w:val="15"/>
              </w:rPr>
              <w:t>权益的金额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266,827.45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266,827.45</w:t>
            </w:r>
          </w:p>
        </w:tc>
      </w:tr>
    </w:tbl>
    <w:p>
      <w:pPr>
        <w:spacing w:after="0" w:line="240" w:lineRule="auto"/>
        <w:jc w:val="right"/>
        <w:rPr>
          <w:rFonts w:ascii="Times New Roman" w:hAnsi="Times New Roman" w:cs="Times New Roman" w:eastAsia="Times New Roman" w:hint="default"/>
          <w:sz w:val="15"/>
          <w:szCs w:val="15"/>
        </w:rPr>
        <w:sectPr>
          <w:pgSz w:w="11910" w:h="16840"/>
          <w:pgMar w:header="566" w:footer="978" w:top="1360" w:bottom="1160" w:left="0" w:right="480"/>
        </w:sectPr>
      </w:pPr>
    </w:p>
    <w:p>
      <w:pPr>
        <w:spacing w:line="240" w:lineRule="auto" w:before="4"/>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577"/>
        <w:gridCol w:w="1134"/>
        <w:gridCol w:w="329"/>
        <w:gridCol w:w="322"/>
        <w:gridCol w:w="342"/>
        <w:gridCol w:w="1134"/>
        <w:gridCol w:w="352"/>
        <w:gridCol w:w="810"/>
        <w:gridCol w:w="420"/>
        <w:gridCol w:w="945"/>
        <w:gridCol w:w="570"/>
        <w:gridCol w:w="1110"/>
        <w:gridCol w:w="1005"/>
        <w:gridCol w:w="1140"/>
      </w:tblGrid>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-6,750,022.69</w:t>
            </w: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-6,750,022.69</w:t>
            </w: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4"/>
              <w:ind w:left="22" w:right="-3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w:t>
            </w:r>
            <w:r>
              <w:rPr>
                <w:rFonts w:ascii="宋体" w:hAnsi="宋体" w:cs="宋体" w:eastAsia="宋体" w:hint="default"/>
                <w:w w:val="99"/>
                <w:sz w:val="15"/>
                <w:szCs w:val="15"/>
              </w:rPr>
              <w:t> </w:t>
            </w:r>
            <w:r>
              <w:rPr>
                <w:rFonts w:ascii="宋体" w:hAnsi="宋体" w:cs="宋体" w:eastAsia="宋体" w:hint="default"/>
                <w:sz w:val="15"/>
                <w:szCs w:val="15"/>
              </w:rPr>
              <w:t>的分配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宋体" w:hAnsi="宋体" w:cs="宋体" w:eastAsia="宋体" w:hint="default"/>
                <w:sz w:val="20"/>
                <w:szCs w:val="20"/>
              </w:rPr>
            </w:pPr>
            <w:r>
              <w:rPr>
                <w:rFonts w:ascii="宋体" w:hAnsi="宋体" w:cs="宋体" w:eastAsia="宋体" w:hint="default"/>
                <w:position w:val="-13"/>
                <w:sz w:val="20"/>
                <w:szCs w:val="20"/>
              </w:rPr>
              <w:pict>
                <v:group style="width:56.45pt;height:35.450pt;mso-position-horizontal-relative:char;mso-position-vertical-relative:line" coordorigin="0,0" coordsize="1129,709">
                  <v:group style="position:absolute;left:0;top:0;width:1129;height:709" coordorigin="0,0" coordsize="1129,709">
                    <v:shape style="position:absolute;left:0;top:0;width:1129;height:709" coordorigin="0,0" coordsize="1129,709" path="m0,0l1129,0,1129,709,0,709,0,0xe" filled="true" fillcolor="#ffffff" stroked="false">
                      <v:path arrowok="t"/>
                      <v:fill type="solid"/>
                    </v:shape>
                  </v:group>
                </v:group>
              </w:pict>
            </w:r>
            <w:r>
              <w:rPr>
                <w:rFonts w:ascii="宋体" w:hAnsi="宋体" w:cs="宋体" w:eastAsia="宋体" w:hint="default"/>
                <w:position w:val="-13"/>
                <w:sz w:val="20"/>
                <w:szCs w:val="20"/>
              </w:rPr>
            </w: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-6,750,022.69</w:t>
            </w: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-6,750,022.69</w:t>
            </w: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2" w:right="45"/>
              <w:jc w:val="left"/>
              <w:rPr>
                <w:rFonts w:ascii="宋体" w:hAnsi="宋体" w:cs="宋体" w:eastAsia="宋体" w:hint="default"/>
                <w:sz w:val="15"/>
                <w:szCs w:val="15"/>
              </w:rPr>
            </w:pPr>
            <w:r>
              <w:rPr>
                <w:rFonts w:ascii="宋体" w:hAnsi="宋体" w:cs="宋体" w:eastAsia="宋体" w:hint="default"/>
                <w:sz w:val="15"/>
                <w:szCs w:val="15"/>
              </w:rPr>
              <w:t>（四）所有者权益内部</w:t>
            </w:r>
            <w:r>
              <w:rPr>
                <w:rFonts w:ascii="宋体" w:hAnsi="宋体" w:cs="宋体" w:eastAsia="宋体" w:hint="default"/>
                <w:w w:val="99"/>
                <w:sz w:val="15"/>
                <w:szCs w:val="15"/>
              </w:rPr>
              <w:t> </w:t>
            </w:r>
            <w:r>
              <w:rPr>
                <w:rFonts w:ascii="宋体" w:hAnsi="宋体" w:cs="宋体" w:eastAsia="宋体" w:hint="default"/>
                <w:sz w:val="15"/>
                <w:szCs w:val="15"/>
              </w:rPr>
              <w:t>结转</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-183,896,655.86</w:t>
            </w: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-183,896,655.86</w:t>
            </w:r>
          </w:p>
        </w:tc>
      </w:tr>
      <w:tr>
        <w:trPr>
          <w:trHeight w:val="714"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-183,896,655.86</w:t>
            </w: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-183,896,655.86</w:t>
            </w: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-17,983,999.25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-17,983,999.25</w:t>
            </w:r>
          </w:p>
        </w:tc>
      </w:tr>
      <w:tr>
        <w:trPr>
          <w:trHeight w:val="402"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6" w:right="0"/>
              <w:jc w:val="left"/>
              <w:rPr>
                <w:rFonts w:ascii="Times New Roman" w:hAnsi="Times New Roman" w:cs="Times New Roman" w:eastAsia="Times New Roman" w:hint="default"/>
                <w:sz w:val="15"/>
                <w:szCs w:val="15"/>
              </w:rPr>
            </w:pPr>
            <w:r>
              <w:rPr>
                <w:rFonts w:ascii="Times New Roman"/>
                <w:sz w:val="15"/>
              </w:rPr>
              <w:t>321,429,652.00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w w:val="95"/>
                <w:sz w:val="15"/>
              </w:rPr>
              <w:t>116,770,052.52</w:t>
            </w:r>
            <w:r>
              <w:rPr>
                <w:rFonts w:ascii="Times New Roman"/>
                <w:spacing w:val="-1"/>
                <w:sz w:val="15"/>
              </w:rPr>
            </w:r>
          </w:p>
        </w:tc>
        <w:tc>
          <w:tcPr>
            <w:tcW w:w="3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2" w:right="0"/>
              <w:jc w:val="left"/>
              <w:rPr>
                <w:rFonts w:ascii="Times New Roman" w:hAnsi="Times New Roman" w:cs="Times New Roman" w:eastAsia="Times New Roman" w:hint="default"/>
                <w:sz w:val="15"/>
                <w:szCs w:val="15"/>
              </w:rPr>
            </w:pPr>
            <w:r>
              <w:rPr>
                <w:rFonts w:ascii="Times New Roman"/>
                <w:sz w:val="15"/>
              </w:rPr>
              <w:t>209,324.87</w:t>
            </w:r>
          </w:p>
        </w:tc>
        <w:tc>
          <w:tcPr>
            <w:tcW w:w="42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1" w:right="0"/>
              <w:jc w:val="left"/>
              <w:rPr>
                <w:rFonts w:ascii="Times New Roman" w:hAnsi="Times New Roman" w:cs="Times New Roman" w:eastAsia="Times New Roman" w:hint="default"/>
                <w:sz w:val="15"/>
                <w:szCs w:val="15"/>
              </w:rPr>
            </w:pPr>
            <w:r>
              <w:rPr>
                <w:rFonts w:ascii="Times New Roman"/>
                <w:sz w:val="15"/>
              </w:rPr>
              <w:t>30,850,851.57</w:t>
            </w:r>
          </w:p>
        </w:tc>
        <w:tc>
          <w:tcPr>
            <w:tcW w:w="57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240,395,020.25</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-2,933.16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709,651,968.05</w:t>
            </w:r>
          </w:p>
        </w:tc>
      </w:tr>
    </w:tbl>
    <w:p>
      <w:pPr>
        <w:spacing w:before="74"/>
        <w:ind w:left="1132" w:right="6854" w:firstLine="0"/>
        <w:jc w:val="left"/>
        <w:rPr>
          <w:rFonts w:ascii="宋体" w:hAnsi="宋体" w:cs="宋体" w:eastAsia="宋体" w:hint="default"/>
          <w:sz w:val="15"/>
          <w:szCs w:val="15"/>
        </w:rPr>
      </w:pPr>
      <w:r>
        <w:rPr>
          <w:rFonts w:ascii="宋体" w:hAnsi="宋体" w:cs="宋体" w:eastAsia="宋体" w:hint="default"/>
          <w:sz w:val="15"/>
          <w:szCs w:val="15"/>
        </w:rPr>
        <w:t>上期金额</w:t>
      </w:r>
    </w:p>
    <w:p>
      <w:pPr>
        <w:spacing w:line="240" w:lineRule="auto" w:before="12"/>
        <w:rPr>
          <w:rFonts w:ascii="宋体" w:hAnsi="宋体" w:cs="宋体" w:eastAsia="宋体" w:hint="default"/>
          <w:sz w:val="7"/>
          <w:szCs w:val="7"/>
        </w:rPr>
      </w:pPr>
    </w:p>
    <w:p>
      <w:pPr>
        <w:spacing w:before="53"/>
        <w:ind w:left="0" w:right="655" w:firstLine="0"/>
        <w:jc w:val="right"/>
        <w:rPr>
          <w:rFonts w:ascii="宋体" w:hAnsi="宋体" w:cs="宋体" w:eastAsia="宋体" w:hint="default"/>
          <w:sz w:val="15"/>
          <w:szCs w:val="15"/>
        </w:rPr>
      </w:pPr>
      <w:r>
        <w:rPr>
          <w:rFonts w:ascii="宋体" w:hAnsi="宋体" w:cs="宋体" w:eastAsia="宋体" w:hint="default"/>
          <w:w w:val="95"/>
          <w:sz w:val="15"/>
          <w:szCs w:val="15"/>
        </w:rPr>
        <w:t>单位：元</w:t>
      </w:r>
      <w:r>
        <w:rPr>
          <w:rFonts w:ascii="宋体" w:hAnsi="宋体" w:cs="宋体" w:eastAsia="宋体" w:hint="default"/>
          <w:sz w:val="15"/>
          <w:szCs w:val="15"/>
        </w:rPr>
      </w:r>
    </w:p>
    <w:p>
      <w:pPr>
        <w:spacing w:line="240" w:lineRule="auto" w:before="3"/>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1583"/>
        <w:gridCol w:w="1106"/>
        <w:gridCol w:w="336"/>
        <w:gridCol w:w="336"/>
        <w:gridCol w:w="322"/>
        <w:gridCol w:w="1134"/>
        <w:gridCol w:w="358"/>
        <w:gridCol w:w="825"/>
        <w:gridCol w:w="405"/>
        <w:gridCol w:w="975"/>
        <w:gridCol w:w="555"/>
        <w:gridCol w:w="1095"/>
        <w:gridCol w:w="945"/>
        <w:gridCol w:w="1185"/>
      </w:tblGrid>
      <w:tr>
        <w:trPr>
          <w:trHeight w:val="402" w:hRule="exact"/>
        </w:trPr>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957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1"/>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402" w:hRule="exact"/>
        </w:trPr>
        <w:tc>
          <w:tcPr>
            <w:tcW w:w="1583" w:type="dxa"/>
            <w:vMerge/>
            <w:tcBorders>
              <w:left w:val="single" w:sz="4" w:space="0" w:color="000000"/>
              <w:right w:val="single" w:sz="4" w:space="0" w:color="000000"/>
            </w:tcBorders>
            <w:shd w:val="clear" w:color="auto" w:fill="D2D2D2"/>
          </w:tcPr>
          <w:p>
            <w:pPr/>
          </w:p>
        </w:tc>
        <w:tc>
          <w:tcPr>
            <w:tcW w:w="744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9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81" w:lineRule="auto"/>
              <w:ind w:left="392" w:right="91" w:hanging="300"/>
              <w:jc w:val="left"/>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w w:val="99"/>
                <w:sz w:val="15"/>
                <w:szCs w:val="15"/>
              </w:rPr>
              <w:t> </w:t>
            </w:r>
            <w:r>
              <w:rPr>
                <w:rFonts w:ascii="宋体" w:hAnsi="宋体" w:cs="宋体" w:eastAsia="宋体" w:hint="default"/>
                <w:sz w:val="15"/>
                <w:szCs w:val="15"/>
              </w:rPr>
              <w:t>益</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2" w:hRule="exact"/>
        </w:trPr>
        <w:tc>
          <w:tcPr>
            <w:tcW w:w="1583" w:type="dxa"/>
            <w:vMerge/>
            <w:tcBorders>
              <w:left w:val="single" w:sz="4" w:space="0" w:color="000000"/>
              <w:right w:val="single" w:sz="4" w:space="0" w:color="000000"/>
            </w:tcBorders>
            <w:shd w:val="clear" w:color="auto" w:fill="D2D2D2"/>
          </w:tcPr>
          <w:p>
            <w:pPr/>
          </w:p>
        </w:tc>
        <w:tc>
          <w:tcPr>
            <w:tcW w:w="11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9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4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6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92"/>
              <w:ind w:left="23" w:right="24"/>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w w:val="99"/>
                <w:sz w:val="15"/>
                <w:szCs w:val="15"/>
              </w:rPr>
              <w:t> </w:t>
            </w:r>
            <w:r>
              <w:rPr>
                <w:rFonts w:ascii="宋体" w:hAnsi="宋体" w:cs="宋体" w:eastAsia="宋体" w:hint="default"/>
                <w:sz w:val="15"/>
                <w:szCs w:val="15"/>
              </w:rPr>
              <w:t>库存</w:t>
            </w:r>
            <w:r>
              <w:rPr>
                <w:rFonts w:ascii="宋体" w:hAnsi="宋体" w:cs="宋体" w:eastAsia="宋体" w:hint="default"/>
                <w:w w:val="99"/>
                <w:sz w:val="15"/>
                <w:szCs w:val="15"/>
              </w:rPr>
              <w:t> </w:t>
            </w:r>
            <w:r>
              <w:rPr>
                <w:rFonts w:ascii="宋体" w:hAnsi="宋体" w:cs="宋体" w:eastAsia="宋体" w:hint="default"/>
                <w:sz w:val="15"/>
                <w:szCs w:val="15"/>
              </w:rPr>
              <w:t>股</w:t>
            </w:r>
          </w:p>
        </w:tc>
        <w:tc>
          <w:tcPr>
            <w:tcW w:w="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81" w:lineRule="auto"/>
              <w:ind w:left="333" w:right="31" w:hanging="300"/>
              <w:jc w:val="left"/>
              <w:rPr>
                <w:rFonts w:ascii="宋体" w:hAnsi="宋体" w:cs="宋体" w:eastAsia="宋体" w:hint="default"/>
                <w:sz w:val="15"/>
                <w:szCs w:val="15"/>
              </w:rPr>
            </w:pPr>
            <w:r>
              <w:rPr>
                <w:rFonts w:ascii="宋体" w:hAnsi="宋体" w:cs="宋体" w:eastAsia="宋体" w:hint="default"/>
                <w:sz w:val="15"/>
                <w:szCs w:val="15"/>
              </w:rPr>
              <w:t>其他综合收</w:t>
            </w:r>
            <w:r>
              <w:rPr>
                <w:rFonts w:ascii="宋体" w:hAnsi="宋体" w:cs="宋体" w:eastAsia="宋体" w:hint="default"/>
                <w:w w:val="99"/>
                <w:sz w:val="15"/>
                <w:szCs w:val="15"/>
              </w:rPr>
              <w:t> </w:t>
            </w:r>
            <w:r>
              <w:rPr>
                <w:rFonts w:ascii="宋体" w:hAnsi="宋体" w:cs="宋体" w:eastAsia="宋体" w:hint="default"/>
                <w:sz w:val="15"/>
                <w:szCs w:val="15"/>
              </w:rPr>
              <w:t>益</w:t>
            </w:r>
          </w:p>
        </w:tc>
        <w:tc>
          <w:tcPr>
            <w:tcW w:w="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81" w:lineRule="auto"/>
              <w:ind w:left="48" w:right="47"/>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w w:val="99"/>
                <w:sz w:val="15"/>
                <w:szCs w:val="15"/>
              </w:rPr>
              <w:t> </w:t>
            </w:r>
            <w:r>
              <w:rPr>
                <w:rFonts w:ascii="宋体" w:hAnsi="宋体" w:cs="宋体" w:eastAsia="宋体" w:hint="default"/>
                <w:sz w:val="15"/>
                <w:szCs w:val="15"/>
              </w:rPr>
              <w:t>储备</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81" w:lineRule="auto"/>
              <w:ind w:left="48" w:right="46"/>
              <w:jc w:val="left"/>
              <w:rPr>
                <w:rFonts w:ascii="宋体" w:hAnsi="宋体" w:cs="宋体" w:eastAsia="宋体" w:hint="default"/>
                <w:sz w:val="15"/>
                <w:szCs w:val="15"/>
              </w:rPr>
            </w:pPr>
            <w:r>
              <w:rPr>
                <w:rFonts w:ascii="宋体" w:hAnsi="宋体" w:cs="宋体" w:eastAsia="宋体" w:hint="default"/>
                <w:sz w:val="15"/>
                <w:szCs w:val="15"/>
              </w:rPr>
              <w:t>一般风</w:t>
            </w:r>
            <w:r>
              <w:rPr>
                <w:rFonts w:ascii="宋体" w:hAnsi="宋体" w:cs="宋体" w:eastAsia="宋体" w:hint="default"/>
                <w:w w:val="99"/>
                <w:sz w:val="15"/>
                <w:szCs w:val="15"/>
              </w:rPr>
              <w:t> </w:t>
            </w:r>
            <w:r>
              <w:rPr>
                <w:rFonts w:ascii="宋体" w:hAnsi="宋体" w:cs="宋体" w:eastAsia="宋体" w:hint="default"/>
                <w:sz w:val="15"/>
                <w:szCs w:val="15"/>
              </w:rPr>
              <w:t>险准备</w:t>
            </w:r>
          </w:p>
        </w:tc>
        <w:tc>
          <w:tcPr>
            <w:tcW w:w="10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45"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026" w:hRule="exact"/>
        </w:trPr>
        <w:tc>
          <w:tcPr>
            <w:tcW w:w="1583" w:type="dxa"/>
            <w:vMerge/>
            <w:tcBorders>
              <w:left w:val="single" w:sz="4" w:space="0" w:color="000000"/>
              <w:bottom w:val="single" w:sz="4" w:space="0" w:color="000000"/>
              <w:right w:val="single" w:sz="4" w:space="0" w:color="000000"/>
            </w:tcBorders>
            <w:shd w:val="clear" w:color="auto" w:fill="D2D2D2"/>
          </w:tcPr>
          <w:p>
            <w:pPr/>
          </w:p>
        </w:tc>
        <w:tc>
          <w:tcPr>
            <w:tcW w:w="1106" w:type="dxa"/>
            <w:vMerge/>
            <w:tcBorders>
              <w:left w:val="single" w:sz="4" w:space="0" w:color="000000"/>
              <w:bottom w:val="single" w:sz="4" w:space="0" w:color="000000"/>
              <w:right w:val="single" w:sz="4" w:space="0" w:color="000000"/>
            </w:tcBorders>
            <w:shd w:val="clear" w:color="auto" w:fill="D2D2D2"/>
          </w:tcPr>
          <w:p>
            <w:pP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87" w:right="87"/>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99"/>
                <w:sz w:val="15"/>
                <w:szCs w:val="15"/>
              </w:rPr>
              <w:t> </w:t>
            </w:r>
            <w:r>
              <w:rPr>
                <w:rFonts w:ascii="宋体" w:hAnsi="宋体" w:cs="宋体" w:eastAsia="宋体" w:hint="default"/>
                <w:sz w:val="15"/>
                <w:szCs w:val="15"/>
              </w:rPr>
              <w:t>先</w:t>
            </w:r>
            <w:r>
              <w:rPr>
                <w:rFonts w:ascii="宋体" w:hAnsi="宋体" w:cs="宋体" w:eastAsia="宋体" w:hint="default"/>
                <w:w w:val="99"/>
                <w:sz w:val="15"/>
                <w:szCs w:val="15"/>
              </w:rPr>
              <w:t> </w:t>
            </w:r>
            <w:r>
              <w:rPr>
                <w:rFonts w:ascii="宋体" w:hAnsi="宋体" w:cs="宋体" w:eastAsia="宋体" w:hint="default"/>
                <w:sz w:val="15"/>
                <w:szCs w:val="15"/>
              </w:rPr>
              <w:t>股</w:t>
            </w: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88" w:right="87"/>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99"/>
                <w:sz w:val="15"/>
                <w:szCs w:val="15"/>
              </w:rPr>
              <w:t> </w:t>
            </w:r>
            <w:r>
              <w:rPr>
                <w:rFonts w:ascii="宋体" w:hAnsi="宋体" w:cs="宋体" w:eastAsia="宋体" w:hint="default"/>
                <w:sz w:val="15"/>
                <w:szCs w:val="15"/>
              </w:rPr>
              <w:t>续</w:t>
            </w:r>
            <w:r>
              <w:rPr>
                <w:rFonts w:ascii="宋体" w:hAnsi="宋体" w:cs="宋体" w:eastAsia="宋体" w:hint="default"/>
                <w:w w:val="99"/>
                <w:sz w:val="15"/>
                <w:szCs w:val="15"/>
              </w:rPr>
              <w:t> </w:t>
            </w:r>
            <w:r>
              <w:rPr>
                <w:rFonts w:ascii="宋体" w:hAnsi="宋体" w:cs="宋体" w:eastAsia="宋体" w:hint="default"/>
                <w:sz w:val="15"/>
                <w:szCs w:val="15"/>
              </w:rPr>
              <w:t>债</w:t>
            </w: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381" w:lineRule="auto"/>
              <w:ind w:left="80" w:right="80"/>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99"/>
                <w:sz w:val="15"/>
                <w:szCs w:val="15"/>
              </w:rPr>
              <w:t> </w:t>
            </w:r>
            <w:r>
              <w:rPr>
                <w:rFonts w:ascii="宋体" w:hAnsi="宋体" w:cs="宋体" w:eastAsia="宋体" w:hint="default"/>
                <w:sz w:val="15"/>
                <w:szCs w:val="15"/>
              </w:rPr>
              <w:t>他</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358"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40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555" w:type="dxa"/>
            <w:vMerge/>
            <w:tcBorders>
              <w:left w:val="single" w:sz="4" w:space="0" w:color="000000"/>
              <w:bottom w:val="single" w:sz="4" w:space="0" w:color="000000"/>
              <w:right w:val="single" w:sz="4" w:space="0" w:color="000000"/>
            </w:tcBorders>
            <w:shd w:val="clear" w:color="auto" w:fill="D2D2D2"/>
          </w:tcPr>
          <w:p>
            <w:pPr/>
          </w:p>
        </w:tc>
        <w:tc>
          <w:tcPr>
            <w:tcW w:w="1095" w:type="dxa"/>
            <w:vMerge/>
            <w:tcBorders>
              <w:left w:val="single" w:sz="4" w:space="0" w:color="000000"/>
              <w:bottom w:val="single" w:sz="4" w:space="0" w:color="000000"/>
              <w:right w:val="single" w:sz="4" w:space="0" w:color="000000"/>
            </w:tcBorders>
            <w:shd w:val="clear" w:color="auto" w:fill="D2D2D2"/>
          </w:tcPr>
          <w:p>
            <w:pPr/>
          </w:p>
        </w:tc>
        <w:tc>
          <w:tcPr>
            <w:tcW w:w="94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321,429,652.00</w:t>
            </w: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295,413,056.23</w:t>
            </w: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446,451.03</w:t>
            </w: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28,084,991.27</w:t>
            </w: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209,943,407.49</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7" w:right="0"/>
              <w:jc w:val="center"/>
              <w:rPr>
                <w:rFonts w:ascii="Times New Roman" w:hAnsi="Times New Roman" w:cs="Times New Roman" w:eastAsia="Times New Roman" w:hint="default"/>
                <w:sz w:val="15"/>
                <w:szCs w:val="15"/>
              </w:rPr>
            </w:pPr>
            <w:r>
              <w:rPr>
                <w:rFonts w:ascii="Times New Roman"/>
                <w:sz w:val="15"/>
              </w:rPr>
              <w:t>19,447,207.39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874,764,765.41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7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72"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7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4"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5"/>
                <w:szCs w:val="15"/>
              </w:rPr>
            </w:pPr>
            <w:r>
              <w:rPr>
                <w:rFonts w:ascii="Times New Roman"/>
                <w:spacing w:val="-1"/>
                <w:sz w:val="15"/>
              </w:rPr>
              <w:t>321,429,652.00</w:t>
            </w: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5"/>
                <w:szCs w:val="15"/>
              </w:rPr>
            </w:pPr>
            <w:r>
              <w:rPr>
                <w:rFonts w:ascii="Times New Roman"/>
                <w:spacing w:val="-1"/>
                <w:sz w:val="15"/>
              </w:rPr>
              <w:t>295,413,056.23</w:t>
            </w: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446,451.03</w:t>
            </w: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28,084,991.27</w:t>
            </w: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5"/>
                <w:szCs w:val="15"/>
              </w:rPr>
            </w:pPr>
            <w:r>
              <w:rPr>
                <w:rFonts w:ascii="Times New Roman"/>
                <w:spacing w:val="-1"/>
                <w:sz w:val="15"/>
              </w:rPr>
              <w:t>209,943,407.49</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7" w:right="0"/>
              <w:jc w:val="center"/>
              <w:rPr>
                <w:rFonts w:ascii="Times New Roman" w:hAnsi="Times New Roman" w:cs="Times New Roman" w:eastAsia="Times New Roman" w:hint="default"/>
                <w:sz w:val="15"/>
                <w:szCs w:val="15"/>
              </w:rPr>
            </w:pPr>
            <w:r>
              <w:rPr>
                <w:rFonts w:ascii="Times New Roman"/>
                <w:sz w:val="15"/>
              </w:rPr>
              <w:t>19,447,207.39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874,764,765.41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三、本期增减变动金额</w:t>
            </w:r>
          </w:p>
          <w:p>
            <w:pPr>
              <w:pStyle w:val="TableParagraph"/>
              <w:spacing w:line="240" w:lineRule="auto" w:before="115"/>
              <w:ind w:left="24" w:right="0"/>
              <w:jc w:val="left"/>
              <w:rPr>
                <w:rFonts w:ascii="宋体" w:hAnsi="宋体" w:cs="宋体" w:eastAsia="宋体" w:hint="default"/>
                <w:sz w:val="15"/>
                <w:szCs w:val="15"/>
              </w:rPr>
            </w:pPr>
            <w:r>
              <w:rPr>
                <w:rFonts w:ascii="宋体" w:hAnsi="宋体" w:cs="宋体" w:eastAsia="宋体" w:hint="default"/>
                <w:sz w:val="15"/>
                <w:szCs w:val="15"/>
              </w:rPr>
              <w:t>（减少以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5,253,652.15</w:t>
            </w: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405,536.51</w:t>
            </w: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2,765,860.30</w:t>
            </w: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18,381,577.51</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1" w:right="0"/>
              <w:jc w:val="center"/>
              <w:rPr>
                <w:rFonts w:ascii="Times New Roman" w:hAnsi="Times New Roman" w:cs="Times New Roman" w:eastAsia="Times New Roman" w:hint="default"/>
                <w:sz w:val="15"/>
                <w:szCs w:val="15"/>
              </w:rPr>
            </w:pPr>
            <w:r>
              <w:rPr>
                <w:rFonts w:ascii="Times New Roman"/>
                <w:sz w:val="15"/>
              </w:rPr>
              <w:t>2,786,609.06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29,593,235.53</w:t>
            </w:r>
          </w:p>
        </w:tc>
      </w:tr>
      <w:tr>
        <w:trPr>
          <w:trHeight w:val="400"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4"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405,536.51</w:t>
            </w: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5"/>
                <w:szCs w:val="15"/>
              </w:rPr>
            </w:pPr>
            <w:r>
              <w:rPr>
                <w:rFonts w:ascii="Times New Roman"/>
                <w:spacing w:val="-1"/>
                <w:sz w:val="15"/>
              </w:rPr>
              <w:t>32,397,475.63</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1" w:right="0"/>
              <w:jc w:val="center"/>
              <w:rPr>
                <w:rFonts w:ascii="Times New Roman" w:hAnsi="Times New Roman" w:cs="Times New Roman" w:eastAsia="Times New Roman" w:hint="default"/>
                <w:sz w:val="15"/>
                <w:szCs w:val="15"/>
              </w:rPr>
            </w:pPr>
            <w:r>
              <w:rPr>
                <w:rFonts w:ascii="Times New Roman"/>
                <w:sz w:val="15"/>
              </w:rPr>
              <w:t>8,040,261.21</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40,843,273.35</w:t>
            </w:r>
          </w:p>
        </w:tc>
      </w:tr>
    </w:tbl>
    <w:p>
      <w:pPr>
        <w:spacing w:after="0" w:line="240" w:lineRule="auto"/>
        <w:jc w:val="right"/>
        <w:rPr>
          <w:rFonts w:ascii="Times New Roman" w:hAnsi="Times New Roman" w:cs="Times New Roman" w:eastAsia="Times New Roman" w:hint="default"/>
          <w:sz w:val="15"/>
          <w:szCs w:val="15"/>
        </w:rPr>
        <w:sectPr>
          <w:pgSz w:w="11910" w:h="16840"/>
          <w:pgMar w:header="566" w:footer="978" w:top="1360" w:bottom="1160" w:left="0" w:right="480"/>
        </w:sectPr>
      </w:pPr>
    </w:p>
    <w:tbl>
      <w:tblPr>
        <w:tblW w:w="0" w:type="auto"/>
        <w:jc w:val="left"/>
        <w:tblInd w:w="134" w:type="dxa"/>
        <w:tblLayout w:type="fixed"/>
        <w:tblCellMar>
          <w:top w:w="0" w:type="dxa"/>
          <w:left w:w="0" w:type="dxa"/>
          <w:bottom w:w="0" w:type="dxa"/>
          <w:right w:w="0" w:type="dxa"/>
        </w:tblCellMar>
        <w:tblLook w:val="01E0"/>
      </w:tblPr>
      <w:tblGrid>
        <w:gridCol w:w="1583"/>
        <w:gridCol w:w="1106"/>
        <w:gridCol w:w="336"/>
        <w:gridCol w:w="336"/>
        <w:gridCol w:w="322"/>
        <w:gridCol w:w="1134"/>
        <w:gridCol w:w="358"/>
        <w:gridCol w:w="825"/>
        <w:gridCol w:w="405"/>
        <w:gridCol w:w="975"/>
        <w:gridCol w:w="555"/>
        <w:gridCol w:w="1095"/>
        <w:gridCol w:w="945"/>
        <w:gridCol w:w="1185"/>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24" w:right="49"/>
              <w:jc w:val="left"/>
              <w:rPr>
                <w:rFonts w:ascii="宋体" w:hAnsi="宋体" w:cs="宋体" w:eastAsia="宋体" w:hint="default"/>
                <w:sz w:val="15"/>
                <w:szCs w:val="15"/>
              </w:rPr>
            </w:pPr>
            <w:r>
              <w:rPr>
                <w:rFonts w:ascii="宋体" w:hAnsi="宋体" w:cs="宋体" w:eastAsia="宋体" w:hint="default"/>
                <w:sz w:val="15"/>
                <w:szCs w:val="15"/>
              </w:rPr>
              <w:t>（二）所有者投入和减</w:t>
            </w:r>
            <w:r>
              <w:rPr>
                <w:rFonts w:ascii="宋体" w:hAnsi="宋体" w:cs="宋体" w:eastAsia="宋体" w:hint="default"/>
                <w:w w:val="99"/>
                <w:sz w:val="15"/>
                <w:szCs w:val="15"/>
              </w:rPr>
              <w:t> </w:t>
            </w:r>
            <w:r>
              <w:rPr>
                <w:rFonts w:ascii="宋体" w:hAnsi="宋体" w:cs="宋体" w:eastAsia="宋体" w:hint="default"/>
                <w:sz w:val="15"/>
                <w:szCs w:val="15"/>
              </w:rPr>
              <w:t>少资本</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3"/>
              <w:ind w:left="24" w:right="23"/>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2</w:t>
            </w:r>
            <w:r>
              <w:rPr>
                <w:rFonts w:ascii="宋体" w:hAnsi="宋体" w:cs="宋体" w:eastAsia="宋体" w:hint="default"/>
                <w:spacing w:val="-5"/>
                <w:sz w:val="15"/>
                <w:szCs w:val="15"/>
              </w:rPr>
              <w:t>．其他权益工具持有者</w:t>
            </w:r>
            <w:r>
              <w:rPr>
                <w:rFonts w:ascii="宋体" w:hAnsi="宋体" w:cs="宋体" w:eastAsia="宋体" w:hint="default"/>
                <w:w w:val="99"/>
                <w:sz w:val="15"/>
                <w:szCs w:val="15"/>
              </w:rPr>
              <w:t> </w:t>
            </w:r>
            <w:r>
              <w:rPr>
                <w:rFonts w:ascii="宋体" w:hAnsi="宋体" w:cs="宋体" w:eastAsia="宋体" w:hint="default"/>
                <w:sz w:val="15"/>
                <w:szCs w:val="15"/>
              </w:rPr>
              <w:t>投入资本</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4"/>
              <w:ind w:left="24" w:right="23"/>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3</w:t>
            </w:r>
            <w:r>
              <w:rPr>
                <w:rFonts w:ascii="宋体" w:hAnsi="宋体" w:cs="宋体" w:eastAsia="宋体" w:hint="default"/>
                <w:spacing w:val="-5"/>
                <w:sz w:val="15"/>
                <w:szCs w:val="15"/>
              </w:rPr>
              <w:t>．股份支付计入所有者</w:t>
            </w:r>
            <w:r>
              <w:rPr>
                <w:rFonts w:ascii="宋体" w:hAnsi="宋体" w:cs="宋体" w:eastAsia="宋体" w:hint="default"/>
                <w:w w:val="99"/>
                <w:sz w:val="15"/>
                <w:szCs w:val="15"/>
              </w:rPr>
              <w:t> </w:t>
            </w:r>
            <w:r>
              <w:rPr>
                <w:rFonts w:ascii="宋体" w:hAnsi="宋体" w:cs="宋体" w:eastAsia="宋体" w:hint="default"/>
                <w:sz w:val="15"/>
                <w:szCs w:val="15"/>
              </w:rPr>
              <w:t>权益的金额</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2,765,860.30</w:t>
            </w: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-14,015,898.12</w:t>
            </w: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w w:val="95"/>
                <w:sz w:val="15"/>
              </w:rPr>
              <w:t>-11,250,037.82</w:t>
            </w:r>
            <w:r>
              <w:rPr>
                <w:rFonts w:ascii="Times New Roman"/>
                <w:spacing w:val="-1"/>
                <w:sz w:val="15"/>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2,765,860.30</w:t>
            </w: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-2,765,860.30</w:t>
            </w: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3"/>
              <w:ind w:left="24" w:right="-23"/>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w:t>
            </w:r>
            <w:r>
              <w:rPr>
                <w:rFonts w:ascii="宋体" w:hAnsi="宋体" w:cs="宋体" w:eastAsia="宋体" w:hint="default"/>
                <w:w w:val="99"/>
                <w:sz w:val="15"/>
                <w:szCs w:val="15"/>
              </w:rPr>
              <w:t> </w:t>
            </w:r>
            <w:r>
              <w:rPr>
                <w:rFonts w:ascii="宋体" w:hAnsi="宋体" w:cs="宋体" w:eastAsia="宋体" w:hint="default"/>
                <w:sz w:val="15"/>
                <w:szCs w:val="15"/>
              </w:rPr>
              <w:t>的分配</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w w:val="95"/>
                <w:sz w:val="15"/>
              </w:rPr>
              <w:t>-11,250,037.82</w:t>
            </w:r>
            <w:r>
              <w:rPr>
                <w:rFonts w:ascii="Times New Roman"/>
                <w:spacing w:val="-1"/>
                <w:sz w:val="15"/>
              </w:rPr>
            </w: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w w:val="95"/>
                <w:sz w:val="15"/>
              </w:rPr>
              <w:t>-11,250,037.82</w:t>
            </w:r>
            <w:r>
              <w:rPr>
                <w:rFonts w:ascii="Times New Roman"/>
                <w:spacing w:val="-1"/>
                <w:sz w:val="15"/>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24" w:right="49"/>
              <w:jc w:val="left"/>
              <w:rPr>
                <w:rFonts w:ascii="宋体" w:hAnsi="宋体" w:cs="宋体" w:eastAsia="宋体" w:hint="default"/>
                <w:sz w:val="15"/>
                <w:szCs w:val="15"/>
              </w:rPr>
            </w:pPr>
            <w:r>
              <w:rPr>
                <w:rFonts w:ascii="宋体" w:hAnsi="宋体" w:cs="宋体" w:eastAsia="宋体" w:hint="default"/>
                <w:sz w:val="15"/>
                <w:szCs w:val="15"/>
              </w:rPr>
              <w:t>（四）所有者权益内部</w:t>
            </w:r>
            <w:r>
              <w:rPr>
                <w:rFonts w:ascii="宋体" w:hAnsi="宋体" w:cs="宋体" w:eastAsia="宋体" w:hint="default"/>
                <w:w w:val="99"/>
                <w:sz w:val="15"/>
                <w:szCs w:val="15"/>
              </w:rPr>
              <w:t> </w:t>
            </w:r>
            <w:r>
              <w:rPr>
                <w:rFonts w:ascii="宋体" w:hAnsi="宋体" w:cs="宋体" w:eastAsia="宋体" w:hint="default"/>
                <w:sz w:val="15"/>
                <w:szCs w:val="15"/>
              </w:rPr>
              <w:t>结转</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w:t>
            </w:r>
          </w:p>
          <w:p>
            <w:pPr>
              <w:pStyle w:val="TableParagraph"/>
              <w:spacing w:line="240" w:lineRule="auto" w:before="104"/>
              <w:ind w:left="24"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w:t>
            </w:r>
          </w:p>
          <w:p>
            <w:pPr>
              <w:pStyle w:val="TableParagraph"/>
              <w:spacing w:line="240" w:lineRule="auto" w:before="104"/>
              <w:ind w:left="24"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5,253,652.15</w:t>
            </w: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6" w:right="0"/>
              <w:jc w:val="center"/>
              <w:rPr>
                <w:rFonts w:ascii="Times New Roman" w:hAnsi="Times New Roman" w:cs="Times New Roman" w:eastAsia="Times New Roman" w:hint="default"/>
                <w:sz w:val="15"/>
                <w:szCs w:val="15"/>
              </w:rPr>
            </w:pPr>
            <w:r>
              <w:rPr>
                <w:rFonts w:ascii="Times New Roman"/>
                <w:sz w:val="15"/>
              </w:rPr>
              <w:t>-5,253,652.15</w:t>
            </w:r>
          </w:p>
        </w:tc>
        <w:tc>
          <w:tcPr>
            <w:tcW w:w="1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8" w:right="0"/>
              <w:jc w:val="left"/>
              <w:rPr>
                <w:rFonts w:ascii="Times New Roman" w:hAnsi="Times New Roman" w:cs="Times New Roman" w:eastAsia="Times New Roman" w:hint="default"/>
                <w:sz w:val="15"/>
                <w:szCs w:val="15"/>
              </w:rPr>
            </w:pPr>
            <w:r>
              <w:rPr>
                <w:rFonts w:ascii="Times New Roman"/>
                <w:sz w:val="15"/>
              </w:rPr>
              <w:t>321,429,652.00</w:t>
            </w:r>
          </w:p>
        </w:tc>
        <w:tc>
          <w:tcPr>
            <w:tcW w:w="336"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300,666,708.38</w:t>
            </w:r>
          </w:p>
        </w:tc>
        <w:tc>
          <w:tcPr>
            <w:tcW w:w="358"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17" w:right="0"/>
              <w:jc w:val="left"/>
              <w:rPr>
                <w:rFonts w:ascii="Times New Roman" w:hAnsi="Times New Roman" w:cs="Times New Roman" w:eastAsia="Times New Roman" w:hint="default"/>
                <w:sz w:val="15"/>
                <w:szCs w:val="15"/>
              </w:rPr>
            </w:pPr>
            <w:r>
              <w:rPr>
                <w:rFonts w:ascii="Times New Roman"/>
                <w:sz w:val="15"/>
              </w:rPr>
              <w:t>851,987.54</w:t>
            </w:r>
          </w:p>
        </w:tc>
        <w:tc>
          <w:tcPr>
            <w:tcW w:w="405"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30,850,851.57</w:t>
            </w:r>
          </w:p>
        </w:tc>
        <w:tc>
          <w:tcPr>
            <w:tcW w:w="55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228,324,985.00</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7" w:right="0"/>
              <w:jc w:val="center"/>
              <w:rPr>
                <w:rFonts w:ascii="Times New Roman" w:hAnsi="Times New Roman" w:cs="Times New Roman" w:eastAsia="Times New Roman" w:hint="default"/>
                <w:sz w:val="15"/>
                <w:szCs w:val="15"/>
              </w:rPr>
            </w:pPr>
            <w:r>
              <w:rPr>
                <w:rFonts w:ascii="Times New Roman"/>
                <w:sz w:val="15"/>
              </w:rPr>
              <w:t>22,233,816.45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904,358,000.94</w:t>
            </w:r>
          </w:p>
        </w:tc>
      </w:tr>
    </w:tbl>
    <w:p>
      <w:pPr>
        <w:spacing w:line="240" w:lineRule="auto" w:before="3"/>
        <w:rPr>
          <w:rFonts w:ascii="宋体" w:hAnsi="宋体" w:cs="宋体" w:eastAsia="宋体" w:hint="default"/>
          <w:sz w:val="19"/>
          <w:szCs w:val="19"/>
        </w:rPr>
      </w:pPr>
    </w:p>
    <w:p>
      <w:pPr>
        <w:pStyle w:val="Heading3"/>
        <w:spacing w:line="240" w:lineRule="auto" w:before="34"/>
        <w:ind w:left="1132" w:right="6854"/>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132" w:right="6854"/>
        <w:jc w:val="left"/>
      </w:pPr>
      <w:r>
        <w:rPr/>
        <w:t>本期金额</w:t>
      </w:r>
    </w:p>
    <w:p>
      <w:pPr>
        <w:pStyle w:val="BodyText"/>
        <w:spacing w:line="240" w:lineRule="auto" w:before="117"/>
        <w:ind w:left="0" w:right="652"/>
        <w:jc w:val="right"/>
      </w:pPr>
      <w:r>
        <w:rPr/>
        <w:t>单位：元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472"/>
        <w:gridCol w:w="1064"/>
        <w:gridCol w:w="584"/>
        <w:gridCol w:w="600"/>
        <w:gridCol w:w="510"/>
        <w:gridCol w:w="1140"/>
        <w:gridCol w:w="675"/>
        <w:gridCol w:w="675"/>
        <w:gridCol w:w="660"/>
        <w:gridCol w:w="1200"/>
        <w:gridCol w:w="1220"/>
        <w:gridCol w:w="1375"/>
      </w:tblGrid>
      <w:tr>
        <w:trPr>
          <w:trHeight w:val="402" w:hRule="exact"/>
        </w:trPr>
        <w:tc>
          <w:tcPr>
            <w:tcW w:w="14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970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402" w:hRule="exact"/>
        </w:trPr>
        <w:tc>
          <w:tcPr>
            <w:tcW w:w="1472" w:type="dxa"/>
            <w:vMerge/>
            <w:tcBorders>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1"/>
              <w:jc w:val="center"/>
              <w:rPr>
                <w:rFonts w:ascii="宋体" w:hAnsi="宋体" w:cs="宋体" w:eastAsia="宋体" w:hint="default"/>
                <w:sz w:val="15"/>
                <w:szCs w:val="15"/>
              </w:rPr>
            </w:pPr>
            <w:r>
              <w:rPr>
                <w:rFonts w:ascii="宋体" w:hAnsi="宋体" w:cs="宋体" w:eastAsia="宋体" w:hint="default"/>
                <w:sz w:val="15"/>
                <w:szCs w:val="15"/>
              </w:rPr>
              <w:t>股本</w:t>
            </w:r>
          </w:p>
        </w:tc>
        <w:tc>
          <w:tcPr>
            <w:tcW w:w="16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9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26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0"/>
              <w:ind w:left="256" w:right="32" w:hanging="224"/>
              <w:jc w:val="left"/>
              <w:rPr>
                <w:rFonts w:ascii="宋体" w:hAnsi="宋体" w:cs="宋体" w:eastAsia="宋体" w:hint="default"/>
                <w:sz w:val="15"/>
                <w:szCs w:val="15"/>
              </w:rPr>
            </w:pPr>
            <w:r>
              <w:rPr>
                <w:rFonts w:ascii="宋体" w:hAnsi="宋体" w:cs="宋体" w:eastAsia="宋体" w:hint="default"/>
                <w:sz w:val="15"/>
                <w:szCs w:val="15"/>
              </w:rPr>
              <w:t>减：库存</w:t>
            </w:r>
            <w:r>
              <w:rPr>
                <w:rFonts w:ascii="宋体" w:hAnsi="宋体" w:cs="宋体" w:eastAsia="宋体" w:hint="default"/>
                <w:w w:val="99"/>
                <w:sz w:val="15"/>
                <w:szCs w:val="15"/>
              </w:rPr>
              <w:t> </w:t>
            </w:r>
            <w:r>
              <w:rPr>
                <w:rFonts w:ascii="宋体" w:hAnsi="宋体" w:cs="宋体" w:eastAsia="宋体" w:hint="default"/>
                <w:sz w:val="15"/>
                <w:szCs w:val="15"/>
              </w:rPr>
              <w:t>股</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0"/>
              <w:ind w:left="181" w:right="33" w:hanging="149"/>
              <w:jc w:val="left"/>
              <w:rPr>
                <w:rFonts w:ascii="宋体" w:hAnsi="宋体" w:cs="宋体" w:eastAsia="宋体" w:hint="default"/>
                <w:sz w:val="15"/>
                <w:szCs w:val="15"/>
              </w:rPr>
            </w:pPr>
            <w:r>
              <w:rPr>
                <w:rFonts w:ascii="宋体" w:hAnsi="宋体" w:cs="宋体" w:eastAsia="宋体" w:hint="default"/>
                <w:sz w:val="15"/>
                <w:szCs w:val="15"/>
              </w:rPr>
              <w:t>其他综合</w:t>
            </w:r>
            <w:r>
              <w:rPr>
                <w:rFonts w:ascii="宋体" w:hAnsi="宋体" w:cs="宋体" w:eastAsia="宋体" w:hint="default"/>
                <w:w w:val="99"/>
                <w:sz w:val="15"/>
                <w:szCs w:val="15"/>
              </w:rPr>
              <w:t> </w:t>
            </w:r>
            <w:r>
              <w:rPr>
                <w:rFonts w:ascii="宋体" w:hAnsi="宋体" w:cs="宋体" w:eastAsia="宋体" w:hint="default"/>
                <w:sz w:val="15"/>
                <w:szCs w:val="15"/>
              </w:rPr>
              <w:t>收益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2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29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23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5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2" w:hRule="exact"/>
        </w:trPr>
        <w:tc>
          <w:tcPr>
            <w:tcW w:w="1472"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61"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0"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40"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37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96" w:right="0"/>
              <w:jc w:val="left"/>
              <w:rPr>
                <w:rFonts w:ascii="Times New Roman" w:hAnsi="Times New Roman" w:cs="Times New Roman" w:eastAsia="Times New Roman" w:hint="default"/>
                <w:sz w:val="15"/>
                <w:szCs w:val="15"/>
              </w:rPr>
            </w:pPr>
            <w:r>
              <w:rPr>
                <w:rFonts w:ascii="Times New Roman"/>
                <w:sz w:val="15"/>
              </w:rPr>
              <w:t>321,429,652.00</w:t>
            </w: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70" w:right="0"/>
              <w:jc w:val="left"/>
              <w:rPr>
                <w:rFonts w:ascii="Times New Roman" w:hAnsi="Times New Roman" w:cs="Times New Roman" w:eastAsia="Times New Roman" w:hint="default"/>
                <w:sz w:val="15"/>
                <w:szCs w:val="15"/>
              </w:rPr>
            </w:pPr>
            <w:r>
              <w:rPr>
                <w:rFonts w:ascii="Times New Roman"/>
                <w:sz w:val="15"/>
              </w:rPr>
              <w:t>295,412,401.12</w:t>
            </w: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05" w:right="0"/>
              <w:jc w:val="left"/>
              <w:rPr>
                <w:rFonts w:ascii="Times New Roman" w:hAnsi="Times New Roman" w:cs="Times New Roman" w:eastAsia="Times New Roman" w:hint="default"/>
                <w:sz w:val="15"/>
                <w:szCs w:val="15"/>
              </w:rPr>
            </w:pPr>
            <w:r>
              <w:rPr>
                <w:rFonts w:ascii="Times New Roman"/>
                <w:sz w:val="15"/>
              </w:rPr>
              <w:t>30,850,851.57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50" w:right="0"/>
              <w:jc w:val="left"/>
              <w:rPr>
                <w:rFonts w:ascii="Times New Roman" w:hAnsi="Times New Roman" w:cs="Times New Roman" w:eastAsia="Times New Roman" w:hint="default"/>
                <w:sz w:val="15"/>
                <w:szCs w:val="15"/>
              </w:rPr>
            </w:pPr>
            <w:r>
              <w:rPr>
                <w:rFonts w:ascii="Times New Roman"/>
                <w:sz w:val="15"/>
              </w:rPr>
              <w:t>219,487,626.37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05" w:right="0"/>
              <w:jc w:val="left"/>
              <w:rPr>
                <w:rFonts w:ascii="Times New Roman" w:hAnsi="Times New Roman" w:cs="Times New Roman" w:eastAsia="Times New Roman" w:hint="default"/>
                <w:sz w:val="15"/>
                <w:szCs w:val="15"/>
              </w:rPr>
            </w:pPr>
            <w:r>
              <w:rPr>
                <w:rFonts w:ascii="Times New Roman"/>
                <w:sz w:val="15"/>
              </w:rPr>
              <w:t>867,180,531.06</w:t>
            </w:r>
          </w:p>
        </w:tc>
      </w:tr>
      <w:tr>
        <w:trPr>
          <w:trHeight w:val="400"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0"/>
          <w:pgSz w:w="11910" w:h="16840"/>
          <w:pgMar w:footer="978" w:header="566" w:top="1440" w:bottom="1160" w:left="0" w:right="480"/>
          <w:pgNumType w:start="80"/>
        </w:sectPr>
      </w:pPr>
    </w:p>
    <w:tbl>
      <w:tblPr>
        <w:tblW w:w="0" w:type="auto"/>
        <w:jc w:val="left"/>
        <w:tblInd w:w="119" w:type="dxa"/>
        <w:tblLayout w:type="fixed"/>
        <w:tblCellMar>
          <w:top w:w="0" w:type="dxa"/>
          <w:left w:w="0" w:type="dxa"/>
          <w:bottom w:w="0" w:type="dxa"/>
          <w:right w:w="0" w:type="dxa"/>
        </w:tblCellMar>
        <w:tblLook w:val="01E0"/>
      </w:tblPr>
      <w:tblGrid>
        <w:gridCol w:w="1472"/>
        <w:gridCol w:w="1064"/>
        <w:gridCol w:w="584"/>
        <w:gridCol w:w="600"/>
        <w:gridCol w:w="510"/>
        <w:gridCol w:w="1140"/>
        <w:gridCol w:w="675"/>
        <w:gridCol w:w="675"/>
        <w:gridCol w:w="660"/>
        <w:gridCol w:w="1200"/>
        <w:gridCol w:w="1220"/>
        <w:gridCol w:w="1375"/>
      </w:tblGrid>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7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7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321,429,652.00</w:t>
            </w: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295,412,401.12</w:t>
            </w: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30,850,851.57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219,487,626.37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867,180,531.06</w:t>
            </w:r>
          </w:p>
        </w:tc>
      </w:tr>
      <w:tr>
        <w:trPr>
          <w:trHeight w:val="1026"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2" w:lineRule="auto" w:before="74"/>
              <w:ind w:left="22" w:right="89"/>
              <w:jc w:val="both"/>
              <w:rPr>
                <w:rFonts w:ascii="宋体" w:hAnsi="宋体" w:cs="宋体" w:eastAsia="宋体" w:hint="default"/>
                <w:sz w:val="15"/>
                <w:szCs w:val="15"/>
              </w:rPr>
            </w:pPr>
            <w:r>
              <w:rPr>
                <w:rFonts w:ascii="宋体" w:hAnsi="宋体" w:cs="宋体" w:eastAsia="宋体" w:hint="default"/>
                <w:sz w:val="15"/>
                <w:szCs w:val="15"/>
              </w:rPr>
              <w:t>三、本期增减变动金</w:t>
            </w:r>
            <w:r>
              <w:rPr>
                <w:rFonts w:ascii="宋体" w:hAnsi="宋体" w:cs="宋体" w:eastAsia="宋体" w:hint="default"/>
                <w:w w:val="99"/>
                <w:sz w:val="15"/>
                <w:szCs w:val="15"/>
              </w:rPr>
              <w:t> </w:t>
            </w:r>
            <w:r>
              <w:rPr>
                <w:rFonts w:ascii="宋体" w:hAnsi="宋体" w:cs="宋体" w:eastAsia="宋体" w:hint="default"/>
                <w:sz w:val="15"/>
                <w:szCs w:val="15"/>
              </w:rPr>
              <w:t>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w:t>
            </w:r>
            <w:r>
              <w:rPr>
                <w:rFonts w:ascii="宋体" w:hAnsi="宋体" w:cs="宋体" w:eastAsia="宋体" w:hint="default"/>
                <w:w w:val="99"/>
                <w:sz w:val="15"/>
                <w:szCs w:val="15"/>
              </w:rPr>
              <w:t> </w:t>
            </w:r>
            <w:r>
              <w:rPr>
                <w:rFonts w:ascii="宋体" w:hAnsi="宋体" w:cs="宋体" w:eastAsia="宋体" w:hint="default"/>
                <w:sz w:val="15"/>
                <w:szCs w:val="15"/>
              </w:rPr>
              <w:t>列）</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-18,415,702.29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-18,415,702.29</w:t>
            </w: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w w:val="95"/>
                <w:sz w:val="15"/>
              </w:rPr>
              <w:t>-11,665,679.60</w:t>
            </w:r>
            <w:r>
              <w:rPr>
                <w:rFonts w:ascii="Times New Roman"/>
                <w:spacing w:val="-1"/>
                <w:sz w:val="15"/>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w w:val="95"/>
                <w:sz w:val="15"/>
              </w:rPr>
              <w:t>-11,665,679.60</w:t>
            </w:r>
            <w:r>
              <w:rPr>
                <w:rFonts w:ascii="Times New Roman"/>
                <w:spacing w:val="-1"/>
                <w:sz w:val="15"/>
              </w:rPr>
            </w:r>
          </w:p>
        </w:tc>
      </w:tr>
      <w:tr>
        <w:trPr>
          <w:trHeight w:val="714"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2" w:right="89"/>
              <w:jc w:val="left"/>
              <w:rPr>
                <w:rFonts w:ascii="宋体" w:hAnsi="宋体" w:cs="宋体" w:eastAsia="宋体" w:hint="default"/>
                <w:sz w:val="15"/>
                <w:szCs w:val="15"/>
              </w:rPr>
            </w:pPr>
            <w:r>
              <w:rPr>
                <w:rFonts w:ascii="宋体" w:hAnsi="宋体" w:cs="宋体" w:eastAsia="宋体" w:hint="default"/>
                <w:sz w:val="15"/>
                <w:szCs w:val="15"/>
              </w:rPr>
              <w:t>（二）所有者投入和</w:t>
            </w:r>
            <w:r>
              <w:rPr>
                <w:rFonts w:ascii="宋体" w:hAnsi="宋体" w:cs="宋体" w:eastAsia="宋体" w:hint="default"/>
                <w:w w:val="99"/>
                <w:sz w:val="15"/>
                <w:szCs w:val="15"/>
              </w:rPr>
              <w:t> </w:t>
            </w:r>
            <w:r>
              <w:rPr>
                <w:rFonts w:ascii="宋体" w:hAnsi="宋体" w:cs="宋体" w:eastAsia="宋体" w:hint="default"/>
                <w:sz w:val="15"/>
                <w:szCs w:val="15"/>
              </w:rPr>
              <w:t>减少资本</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4"/>
              <w:ind w:left="22" w:right="24"/>
              <w:jc w:val="left"/>
              <w:rPr>
                <w:rFonts w:ascii="宋体" w:hAnsi="宋体" w:cs="宋体" w:eastAsia="宋体" w:hint="default"/>
                <w:sz w:val="15"/>
                <w:szCs w:val="15"/>
              </w:rPr>
            </w:pPr>
            <w:r>
              <w:rPr>
                <w:rFonts w:ascii="Times New Roman" w:hAnsi="Times New Roman" w:cs="Times New Roman" w:eastAsia="Times New Roman" w:hint="default"/>
                <w:w w:val="95"/>
                <w:sz w:val="15"/>
                <w:szCs w:val="15"/>
              </w:rPr>
              <w:t>2</w:t>
            </w:r>
            <w:r>
              <w:rPr>
                <w:rFonts w:ascii="宋体" w:hAnsi="宋体" w:cs="宋体" w:eastAsia="宋体" w:hint="default"/>
                <w:w w:val="95"/>
                <w:sz w:val="15"/>
                <w:szCs w:val="15"/>
              </w:rPr>
              <w:t>．其他权益工具持有</w:t>
            </w:r>
            <w:r>
              <w:rPr>
                <w:rFonts w:ascii="宋体" w:hAnsi="宋体" w:cs="宋体" w:eastAsia="宋体" w:hint="default"/>
                <w:spacing w:val="-16"/>
                <w:w w:val="95"/>
                <w:sz w:val="15"/>
                <w:szCs w:val="15"/>
              </w:rPr>
              <w:t> </w:t>
            </w:r>
            <w:r>
              <w:rPr>
                <w:rFonts w:ascii="宋体" w:hAnsi="宋体" w:cs="宋体" w:eastAsia="宋体" w:hint="default"/>
                <w:spacing w:val="-16"/>
                <w:w w:val="95"/>
                <w:sz w:val="15"/>
                <w:szCs w:val="15"/>
              </w:rPr>
            </w:r>
            <w:r>
              <w:rPr>
                <w:rFonts w:ascii="宋体" w:hAnsi="宋体" w:cs="宋体" w:eastAsia="宋体" w:hint="default"/>
                <w:sz w:val="15"/>
                <w:szCs w:val="15"/>
              </w:rPr>
              <w:t>者投入资本</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3"/>
              <w:ind w:left="22" w:right="24"/>
              <w:jc w:val="left"/>
              <w:rPr>
                <w:rFonts w:ascii="宋体" w:hAnsi="宋体" w:cs="宋体" w:eastAsia="宋体" w:hint="default"/>
                <w:sz w:val="15"/>
                <w:szCs w:val="15"/>
              </w:rPr>
            </w:pPr>
            <w:r>
              <w:rPr>
                <w:rFonts w:ascii="Times New Roman" w:hAnsi="Times New Roman" w:cs="Times New Roman" w:eastAsia="Times New Roman" w:hint="default"/>
                <w:w w:val="95"/>
                <w:sz w:val="15"/>
                <w:szCs w:val="15"/>
              </w:rPr>
              <w:t>3</w:t>
            </w:r>
            <w:r>
              <w:rPr>
                <w:rFonts w:ascii="宋体" w:hAnsi="宋体" w:cs="宋体" w:eastAsia="宋体" w:hint="default"/>
                <w:w w:val="95"/>
                <w:sz w:val="15"/>
                <w:szCs w:val="15"/>
              </w:rPr>
              <w:t>．股份支付计入所有</w:t>
            </w:r>
            <w:r>
              <w:rPr>
                <w:rFonts w:ascii="宋体" w:hAnsi="宋体" w:cs="宋体" w:eastAsia="宋体" w:hint="default"/>
                <w:spacing w:val="-16"/>
                <w:w w:val="95"/>
                <w:sz w:val="15"/>
                <w:szCs w:val="15"/>
              </w:rPr>
              <w:t> </w:t>
            </w:r>
            <w:r>
              <w:rPr>
                <w:rFonts w:ascii="宋体" w:hAnsi="宋体" w:cs="宋体" w:eastAsia="宋体" w:hint="default"/>
                <w:spacing w:val="-16"/>
                <w:w w:val="95"/>
                <w:sz w:val="15"/>
                <w:szCs w:val="15"/>
              </w:rPr>
            </w:r>
            <w:r>
              <w:rPr>
                <w:rFonts w:ascii="宋体" w:hAnsi="宋体" w:cs="宋体" w:eastAsia="宋体" w:hint="default"/>
                <w:sz w:val="15"/>
                <w:szCs w:val="15"/>
              </w:rPr>
              <w:t>者权益的金额</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-6,750,022.69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-6,750,022.69</w:t>
            </w: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3"/>
              <w:ind w:left="22" w:right="96"/>
              <w:jc w:val="left"/>
              <w:rPr>
                <w:rFonts w:ascii="宋体" w:hAnsi="宋体" w:cs="宋体" w:eastAsia="宋体" w:hint="default"/>
                <w:sz w:val="15"/>
                <w:szCs w:val="15"/>
              </w:rPr>
            </w:pPr>
            <w:r>
              <w:rPr>
                <w:rFonts w:ascii="Times New Roman" w:hAnsi="Times New Roman" w:cs="Times New Roman" w:eastAsia="Times New Roman" w:hint="default"/>
                <w:spacing w:val="-8"/>
                <w:sz w:val="15"/>
                <w:szCs w:val="15"/>
              </w:rPr>
              <w:t>2</w:t>
            </w:r>
            <w:r>
              <w:rPr>
                <w:rFonts w:ascii="宋体" w:hAnsi="宋体" w:cs="宋体" w:eastAsia="宋体" w:hint="default"/>
                <w:spacing w:val="-8"/>
                <w:sz w:val="15"/>
                <w:szCs w:val="15"/>
              </w:rPr>
              <w:t>．对所有者（或股东</w:t>
            </w:r>
            <w:r>
              <w:rPr>
                <w:rFonts w:ascii="宋体" w:hAnsi="宋体" w:cs="宋体" w:eastAsia="宋体" w:hint="default"/>
                <w:w w:val="99"/>
                <w:sz w:val="15"/>
                <w:szCs w:val="15"/>
              </w:rPr>
              <w:t> </w:t>
            </w:r>
            <w:r>
              <w:rPr>
                <w:rFonts w:ascii="宋体" w:hAnsi="宋体" w:cs="宋体" w:eastAsia="宋体" w:hint="default"/>
                <w:sz w:val="15"/>
                <w:szCs w:val="15"/>
              </w:rPr>
              <w:t>的分配</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8" w:right="0"/>
              <w:jc w:val="left"/>
              <w:rPr>
                <w:rFonts w:ascii="宋体" w:hAnsi="宋体" w:cs="宋体" w:eastAsia="宋体" w:hint="default"/>
                <w:sz w:val="15"/>
                <w:szCs w:val="15"/>
              </w:rPr>
            </w:pPr>
            <w:r>
              <w:rPr>
                <w:rFonts w:ascii="宋体" w:hAnsi="宋体" w:cs="宋体" w:eastAsia="宋体" w:hint="default"/>
                <w:w w:val="99"/>
                <w:sz w:val="15"/>
                <w:szCs w:val="15"/>
              </w:rPr>
              <w:t>）</w:t>
            </w:r>
            <w:r>
              <w:rPr>
                <w:rFonts w:ascii="宋体" w:hAnsi="宋体" w:cs="宋体" w:eastAsia="宋体" w:hint="default"/>
                <w:sz w:val="15"/>
                <w:szCs w:val="15"/>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-6,750,022.69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-6,750,022.69</w:t>
            </w: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22" w:right="89"/>
              <w:jc w:val="left"/>
              <w:rPr>
                <w:rFonts w:ascii="宋体" w:hAnsi="宋体" w:cs="宋体" w:eastAsia="宋体" w:hint="default"/>
                <w:sz w:val="15"/>
                <w:szCs w:val="15"/>
              </w:rPr>
            </w:pPr>
            <w:r>
              <w:rPr>
                <w:rFonts w:ascii="宋体" w:hAnsi="宋体" w:cs="宋体" w:eastAsia="宋体" w:hint="default"/>
                <w:sz w:val="15"/>
                <w:szCs w:val="15"/>
              </w:rPr>
              <w:t>（四）所有者权益内</w:t>
            </w:r>
            <w:r>
              <w:rPr>
                <w:rFonts w:ascii="宋体" w:hAnsi="宋体" w:cs="宋体" w:eastAsia="宋体" w:hint="default"/>
                <w:w w:val="99"/>
                <w:sz w:val="15"/>
                <w:szCs w:val="15"/>
              </w:rPr>
              <w:t> </w:t>
            </w:r>
            <w:r>
              <w:rPr>
                <w:rFonts w:ascii="宋体" w:hAnsi="宋体" w:cs="宋体" w:eastAsia="宋体" w:hint="default"/>
                <w:sz w:val="15"/>
                <w:szCs w:val="15"/>
              </w:rPr>
              <w:t>部结转</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0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321,429,652.00</w:t>
            </w:r>
          </w:p>
        </w:tc>
        <w:tc>
          <w:tcPr>
            <w:tcW w:w="58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295,412,401.12</w:t>
            </w:r>
          </w:p>
        </w:tc>
        <w:tc>
          <w:tcPr>
            <w:tcW w:w="675"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30,850,851.57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201,071,924.08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848,764,828.77</w:t>
            </w:r>
          </w:p>
        </w:tc>
      </w:tr>
    </w:tbl>
    <w:p>
      <w:pPr>
        <w:pStyle w:val="BodyText"/>
        <w:spacing w:line="240" w:lineRule="auto" w:before="50"/>
        <w:ind w:left="1132" w:right="6854"/>
        <w:jc w:val="left"/>
      </w:pPr>
      <w:r>
        <w:rPr/>
        <w:pict>
          <v:group style="position:absolute;margin-left:79.949997pt;margin-top:391.600037pt;width:52.95pt;height:35.450pt;mso-position-horizontal-relative:page;mso-position-vertical-relative:page;z-index:-821608" coordorigin="1599,7832" coordsize="1059,709">
            <v:shape style="position:absolute;left:1599;top:7832;width:1059;height:709" coordorigin="1599,7832" coordsize="1059,709" path="m1599,7832l2658,7832,2658,8541,1599,8541,1599,7832xe" filled="true" fillcolor="#ffffff" stroked="false">
              <v:path arrowok="t"/>
              <v:fill type="solid"/>
            </v:shape>
            <w10:wrap type="none"/>
          </v:group>
        </w:pict>
      </w:r>
      <w:r>
        <w:rPr/>
        <w:t>上期金额</w:t>
      </w:r>
    </w:p>
    <w:p>
      <w:pPr>
        <w:pStyle w:val="BodyText"/>
        <w:spacing w:line="240" w:lineRule="auto" w:before="117"/>
        <w:ind w:left="0" w:right="652"/>
        <w:jc w:val="right"/>
      </w:pPr>
      <w:r>
        <w:rPr/>
        <w:t>单位：元</w:t>
      </w:r>
    </w:p>
    <w:p>
      <w:pPr>
        <w:spacing w:line="240" w:lineRule="auto" w:before="10"/>
        <w:rPr>
          <w:rFonts w:ascii="宋体" w:hAnsi="宋体" w:cs="宋体" w:eastAsia="宋体" w:hint="default"/>
          <w:sz w:val="7"/>
          <w:szCs w:val="7"/>
        </w:rPr>
      </w:pPr>
    </w:p>
    <w:p>
      <w:pPr>
        <w:spacing w:line="414" w:lineRule="exact"/>
        <w:ind w:left="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559pt;height:20.75pt;mso-position-horizontal-relative:char;mso-position-vertical-relative:line" coordorigin="0,0" coordsize="11180,415">
            <v:group style="position:absolute;left:13;top:13;width:1555;height:397" coordorigin="13,13" coordsize="1555,397">
              <v:shape style="position:absolute;left:13;top:13;width:1555;height:397" coordorigin="13,13" coordsize="1555,397" path="m13,13l1568,13,1568,410,13,410,13,13xe" filled="true" fillcolor="#d2d2d2" stroked="false">
                <v:path arrowok="t"/>
                <v:fill type="solid"/>
              </v:shape>
            </v:group>
            <v:group style="position:absolute;left:1573;top:13;width:9595;height:397" coordorigin="1573,13" coordsize="9595,397">
              <v:shape style="position:absolute;left:1573;top:13;width:9595;height:397" coordorigin="1573,13" coordsize="9595,397" path="m1573,13l11168,13,11168,410,1573,410,1573,13xe" filled="true" fillcolor="#d2d2d2" stroked="false">
                <v:path arrowok="t"/>
                <v:fill type="solid"/>
              </v:shape>
            </v:group>
            <v:group style="position:absolute;left:5;top:10;width:11170;height:2" coordorigin="5,10" coordsize="11170,2">
              <v:shape style="position:absolute;left:5;top:10;width:11170;height:2" coordorigin="5,10" coordsize="11170,0" path="m5,10l11174,10e" filled="false" stroked="true" strokeweight=".48pt" strokecolor="#000000">
                <v:path arrowok="t"/>
              </v:shape>
            </v:group>
            <v:group style="position:absolute;left:5;top:410;width:11170;height:2" coordorigin="5,410" coordsize="11170,2">
              <v:shape style="position:absolute;left:5;top:410;width:11170;height:2" coordorigin="5,410" coordsize="11170,0" path="m5,410l11174,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1570;top:5;width:2;height:400" coordorigin="1570,5" coordsize="2,400">
              <v:shape style="position:absolute;left:1570;top:5;width:2;height:400" coordorigin="1570,5" coordsize="0,400" path="m1570,5l1570,405e" filled="false" stroked="true" strokeweight=".48pt" strokecolor="#000000">
                <v:path arrowok="t"/>
              </v:shape>
            </v:group>
            <v:group style="position:absolute;left:11170;top:5;width:2;height:400" coordorigin="11170,5" coordsize="2,400">
              <v:shape style="position:absolute;left:11170;top:5;width:2;height:400" coordorigin="11170,5" coordsize="0,400" path="m11170,5l11170,405e" filled="false" stroked="true" strokeweight=".48pt" strokecolor="#000000">
                <v:path arrowok="t"/>
              </v:shape>
              <v:shape style="position:absolute;left:10;top:10;width:1560;height:400" type="#_x0000_t202" filled="false" stroked="false">
                <v:textbox inset="0,0,0,0">
                  <w:txbxContent>
                    <w:p>
                      <w:pPr>
                        <w:spacing w:before="80"/>
                        <w:ind w:left="-1" w:right="2" w:firstLine="0"/>
                        <w:jc w:val="center"/>
                        <w:rPr>
                          <w:rFonts w:ascii="宋体" w:hAnsi="宋体" w:cs="宋体" w:eastAsia="宋体" w:hint="default"/>
                          <w:sz w:val="15"/>
                          <w:szCs w:val="15"/>
                        </w:rPr>
                      </w:pPr>
                      <w:r>
                        <w:rPr>
                          <w:rFonts w:ascii="宋体" w:hAnsi="宋体" w:cs="宋体" w:eastAsia="宋体" w:hint="default"/>
                          <w:sz w:val="15"/>
                          <w:szCs w:val="15"/>
                        </w:rPr>
                        <w:t>项目</w:t>
                      </w:r>
                    </w:p>
                  </w:txbxContent>
                </v:textbox>
                <w10:wrap type="none"/>
              </v:shape>
              <v:shape style="position:absolute;left:6219;top:137;width:298;height:149"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w w:val="95"/>
                          <w:sz w:val="15"/>
                          <w:szCs w:val="15"/>
                        </w:rPr>
                        <w:t>上期</w:t>
                      </w:r>
                      <w:r>
                        <w:rPr>
                          <w:rFonts w:ascii="宋体" w:hAnsi="宋体" w:cs="宋体" w:eastAsia="宋体" w:hint="default"/>
                          <w:sz w:val="15"/>
                          <w:szCs w:val="15"/>
                        </w:rPr>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566" w:footer="978" w:top="1440" w:bottom="1160" w:left="0" w:right="480"/>
        </w:sectPr>
      </w:pPr>
    </w:p>
    <w:tbl>
      <w:tblPr>
        <w:tblW w:w="0" w:type="auto"/>
        <w:jc w:val="left"/>
        <w:tblInd w:w="114" w:type="dxa"/>
        <w:tblLayout w:type="fixed"/>
        <w:tblCellMar>
          <w:top w:w="0" w:type="dxa"/>
          <w:left w:w="0" w:type="dxa"/>
          <w:bottom w:w="0" w:type="dxa"/>
          <w:right w:w="0" w:type="dxa"/>
        </w:tblCellMar>
        <w:tblLook w:val="01E0"/>
      </w:tblPr>
      <w:tblGrid>
        <w:gridCol w:w="1560"/>
        <w:gridCol w:w="1110"/>
        <w:gridCol w:w="690"/>
        <w:gridCol w:w="1097"/>
        <w:gridCol w:w="665"/>
        <w:gridCol w:w="1373"/>
        <w:gridCol w:w="510"/>
        <w:gridCol w:w="615"/>
        <w:gridCol w:w="420"/>
        <w:gridCol w:w="1005"/>
        <w:gridCol w:w="1050"/>
        <w:gridCol w:w="1065"/>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1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4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771"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8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10"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10"/>
              <w:ind w:left="100" w:right="23" w:hanging="75"/>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w w:val="99"/>
                <w:sz w:val="15"/>
                <w:szCs w:val="15"/>
              </w:rPr>
              <w:t> </w:t>
            </w:r>
            <w:r>
              <w:rPr>
                <w:rFonts w:ascii="宋体" w:hAnsi="宋体" w:cs="宋体" w:eastAsia="宋体" w:hint="default"/>
                <w:sz w:val="15"/>
                <w:szCs w:val="15"/>
              </w:rPr>
              <w:t>存股</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10"/>
              <w:ind w:left="77" w:right="76"/>
              <w:jc w:val="left"/>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w w:val="99"/>
                <w:sz w:val="15"/>
                <w:szCs w:val="15"/>
              </w:rPr>
              <w:t> </w:t>
            </w:r>
            <w:r>
              <w:rPr>
                <w:rFonts w:ascii="宋体" w:hAnsi="宋体" w:cs="宋体" w:eastAsia="宋体" w:hint="default"/>
                <w:sz w:val="15"/>
                <w:szCs w:val="15"/>
              </w:rPr>
              <w:t>合收益</w:t>
            </w:r>
          </w:p>
        </w:tc>
        <w:tc>
          <w:tcPr>
            <w:tcW w:w="420"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10"/>
              <w:ind w:left="55" w:right="55"/>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w w:val="99"/>
                <w:sz w:val="15"/>
                <w:szCs w:val="15"/>
              </w:rPr>
              <w:t> </w:t>
            </w:r>
            <w:r>
              <w:rPr>
                <w:rFonts w:ascii="宋体" w:hAnsi="宋体" w:cs="宋体" w:eastAsia="宋体" w:hint="default"/>
                <w:sz w:val="15"/>
                <w:szCs w:val="15"/>
              </w:rPr>
              <w:t>储备</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9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0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4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10"/>
              <w:ind w:left="453" w:right="79" w:hanging="377"/>
              <w:jc w:val="left"/>
              <w:rPr>
                <w:rFonts w:ascii="宋体" w:hAnsi="宋体" w:cs="宋体" w:eastAsia="宋体" w:hint="default"/>
                <w:sz w:val="15"/>
                <w:szCs w:val="15"/>
              </w:rPr>
            </w:pPr>
            <w:r>
              <w:rPr>
                <w:rFonts w:ascii="宋体" w:hAnsi="宋体" w:cs="宋体" w:eastAsia="宋体" w:hint="default"/>
                <w:sz w:val="15"/>
                <w:szCs w:val="15"/>
              </w:rPr>
              <w:t>所有者权益合</w:t>
            </w:r>
            <w:r>
              <w:rPr>
                <w:rFonts w:ascii="宋体" w:hAnsi="宋体" w:cs="宋体" w:eastAsia="宋体" w:hint="default"/>
                <w:w w:val="99"/>
                <w:sz w:val="15"/>
                <w:szCs w:val="15"/>
              </w:rPr>
              <w:t> </w:t>
            </w:r>
            <w:r>
              <w:rPr>
                <w:rFonts w:ascii="宋体" w:hAnsi="宋体" w:cs="宋体" w:eastAsia="宋体" w:hint="default"/>
                <w:sz w:val="15"/>
                <w:szCs w:val="15"/>
              </w:rPr>
              <w:t>计</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10" w:type="dxa"/>
            <w:vMerge/>
            <w:tcBorders>
              <w:left w:val="single" w:sz="4" w:space="0" w:color="000000"/>
              <w:bottom w:val="single" w:sz="4" w:space="0" w:color="000000"/>
              <w:right w:val="single" w:sz="4" w:space="0" w:color="000000"/>
            </w:tcBorders>
            <w:shd w:val="clear" w:color="auto" w:fill="D2D2D2"/>
          </w:tcPr>
          <w:p>
            <w:pP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114"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316"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17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73" w:type="dxa"/>
            <w:vMerge/>
            <w:tcBorders>
              <w:left w:val="single" w:sz="4" w:space="0" w:color="000000"/>
              <w:bottom w:val="single" w:sz="4" w:space="0" w:color="000000"/>
              <w:right w:val="single" w:sz="4" w:space="0" w:color="000000"/>
            </w:tcBorders>
            <w:shd w:val="clear" w:color="auto" w:fill="D2D2D2"/>
          </w:tcPr>
          <w:p>
            <w:pPr/>
          </w:p>
        </w:tc>
        <w:tc>
          <w:tcPr>
            <w:tcW w:w="510"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420"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50" w:type="dxa"/>
            <w:vMerge/>
            <w:tcBorders>
              <w:left w:val="single" w:sz="4" w:space="0" w:color="000000"/>
              <w:bottom w:val="single" w:sz="4" w:space="0" w:color="000000"/>
              <w:right w:val="single" w:sz="4" w:space="0" w:color="000000"/>
            </w:tcBorders>
            <w:shd w:val="clear" w:color="auto" w:fill="D2D2D2"/>
          </w:tcPr>
          <w:p>
            <w:pPr/>
          </w:p>
        </w:tc>
        <w:tc>
          <w:tcPr>
            <w:tcW w:w="106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5"/>
                <w:szCs w:val="15"/>
              </w:rPr>
            </w:pPr>
            <w:r>
              <w:rPr>
                <w:rFonts w:ascii="Times New Roman"/>
                <w:spacing w:val="-1"/>
                <w:sz w:val="15"/>
              </w:rPr>
              <w:t>321,429,652.00</w:t>
            </w: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5"/>
                <w:szCs w:val="15"/>
              </w:rPr>
            </w:pPr>
            <w:r>
              <w:rPr>
                <w:rFonts w:ascii="Times New Roman"/>
                <w:spacing w:val="-1"/>
                <w:sz w:val="15"/>
              </w:rPr>
              <w:t>295,412,401.12</w:t>
            </w: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5"/>
                <w:szCs w:val="15"/>
              </w:rPr>
            </w:pPr>
            <w:r>
              <w:rPr>
                <w:rFonts w:ascii="Times New Roman"/>
                <w:spacing w:val="-1"/>
                <w:sz w:val="15"/>
              </w:rPr>
              <w:t>28,084,991.27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5"/>
                <w:szCs w:val="15"/>
              </w:rPr>
            </w:pPr>
            <w:r>
              <w:rPr>
                <w:rFonts w:ascii="Times New Roman"/>
                <w:spacing w:val="-1"/>
                <w:sz w:val="15"/>
              </w:rPr>
              <w:t>205,844,921.52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5"/>
                <w:szCs w:val="15"/>
              </w:rPr>
            </w:pPr>
            <w:r>
              <w:rPr>
                <w:rFonts w:ascii="Times New Roman"/>
                <w:spacing w:val="-1"/>
                <w:sz w:val="15"/>
              </w:rPr>
              <w:t>850,771,965.91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17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2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2"/>
              <w:jc w:val="center"/>
              <w:rPr>
                <w:rFonts w:ascii="宋体" w:hAnsi="宋体" w:cs="宋体" w:eastAsia="宋体" w:hint="default"/>
                <w:sz w:val="15"/>
                <w:szCs w:val="15"/>
              </w:rPr>
            </w:pPr>
            <w:r>
              <w:rPr>
                <w:rFonts w:ascii="宋体" w:hAnsi="宋体" w:cs="宋体" w:eastAsia="宋体" w:hint="default"/>
                <w:sz w:val="15"/>
                <w:szCs w:val="15"/>
              </w:rPr>
              <w:t>其他</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5"/>
                <w:szCs w:val="15"/>
              </w:rPr>
            </w:pPr>
            <w:r>
              <w:rPr>
                <w:rFonts w:ascii="Times New Roman"/>
                <w:spacing w:val="-1"/>
                <w:sz w:val="15"/>
              </w:rPr>
              <w:t>321,429,652.00</w:t>
            </w: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5"/>
                <w:szCs w:val="15"/>
              </w:rPr>
            </w:pPr>
            <w:r>
              <w:rPr>
                <w:rFonts w:ascii="Times New Roman"/>
                <w:spacing w:val="-1"/>
                <w:sz w:val="15"/>
              </w:rPr>
              <w:t>295,412,401.12</w:t>
            </w: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5"/>
                <w:szCs w:val="15"/>
              </w:rPr>
            </w:pPr>
            <w:r>
              <w:rPr>
                <w:rFonts w:ascii="Times New Roman"/>
                <w:spacing w:val="-1"/>
                <w:sz w:val="15"/>
              </w:rPr>
              <w:t>28,084,991.27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5"/>
                <w:szCs w:val="15"/>
              </w:rPr>
            </w:pPr>
            <w:r>
              <w:rPr>
                <w:rFonts w:ascii="Times New Roman"/>
                <w:spacing w:val="-1"/>
                <w:sz w:val="15"/>
              </w:rPr>
              <w:t>205,844,921.52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5"/>
                <w:szCs w:val="15"/>
              </w:rPr>
            </w:pPr>
            <w:r>
              <w:rPr>
                <w:rFonts w:ascii="Times New Roman"/>
                <w:spacing w:val="-1"/>
                <w:sz w:val="15"/>
              </w:rPr>
              <w:t>850,771,965.91</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4" w:right="0"/>
              <w:jc w:val="left"/>
              <w:rPr>
                <w:rFonts w:ascii="宋体" w:hAnsi="宋体" w:cs="宋体" w:eastAsia="宋体" w:hint="default"/>
                <w:sz w:val="15"/>
                <w:szCs w:val="15"/>
              </w:rPr>
            </w:pPr>
            <w:r>
              <w:rPr>
                <w:rFonts w:ascii="宋体" w:hAnsi="宋体" w:cs="宋体" w:eastAsia="宋体" w:hint="default"/>
                <w:sz w:val="15"/>
                <w:szCs w:val="15"/>
              </w:rPr>
              <w:t>三、本期增减变动金额</w:t>
            </w:r>
          </w:p>
          <w:p>
            <w:pPr>
              <w:pStyle w:val="TableParagraph"/>
              <w:spacing w:line="240" w:lineRule="auto" w:before="115"/>
              <w:ind w:left="24" w:right="0"/>
              <w:jc w:val="left"/>
              <w:rPr>
                <w:rFonts w:ascii="宋体" w:hAnsi="宋体" w:cs="宋体" w:eastAsia="宋体" w:hint="default"/>
                <w:sz w:val="15"/>
                <w:szCs w:val="15"/>
              </w:rPr>
            </w:pPr>
            <w:r>
              <w:rPr>
                <w:rFonts w:ascii="宋体" w:hAnsi="宋体" w:cs="宋体" w:eastAsia="宋体" w:hint="default"/>
                <w:sz w:val="15"/>
                <w:szCs w:val="15"/>
              </w:rPr>
              <w:t>（减少以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2,765,860.30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13,642,704.85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16,408,565.15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5"/>
                <w:szCs w:val="15"/>
              </w:rPr>
            </w:pPr>
            <w:r>
              <w:rPr>
                <w:rFonts w:ascii="Times New Roman"/>
                <w:spacing w:val="-1"/>
                <w:sz w:val="15"/>
              </w:rPr>
              <w:t>27,658,602.97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5"/>
                <w:szCs w:val="15"/>
              </w:rPr>
            </w:pPr>
            <w:r>
              <w:rPr>
                <w:rFonts w:ascii="Times New Roman"/>
                <w:spacing w:val="-1"/>
                <w:sz w:val="15"/>
              </w:rPr>
              <w:t>27,658,602.97</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66"/>
              <w:ind w:left="24" w:right="26"/>
              <w:jc w:val="left"/>
              <w:rPr>
                <w:rFonts w:ascii="宋体" w:hAnsi="宋体" w:cs="宋体" w:eastAsia="宋体" w:hint="default"/>
                <w:sz w:val="15"/>
                <w:szCs w:val="15"/>
              </w:rPr>
            </w:pPr>
            <w:r>
              <w:rPr>
                <w:rFonts w:ascii="宋体" w:hAnsi="宋体" w:cs="宋体" w:eastAsia="宋体" w:hint="default"/>
                <w:sz w:val="15"/>
                <w:szCs w:val="15"/>
              </w:rPr>
              <w:t>（二）所有者投入和减</w:t>
            </w:r>
            <w:r>
              <w:rPr>
                <w:rFonts w:ascii="宋体" w:hAnsi="宋体" w:cs="宋体" w:eastAsia="宋体" w:hint="default"/>
                <w:w w:val="99"/>
                <w:sz w:val="15"/>
                <w:szCs w:val="15"/>
              </w:rPr>
              <w:t> </w:t>
            </w:r>
            <w:r>
              <w:rPr>
                <w:rFonts w:ascii="宋体" w:hAnsi="宋体" w:cs="宋体" w:eastAsia="宋体" w:hint="default"/>
                <w:sz w:val="15"/>
                <w:szCs w:val="15"/>
              </w:rPr>
              <w:t>少资本</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66"/>
              <w:ind w:left="24" w:right="21"/>
              <w:jc w:val="left"/>
              <w:rPr>
                <w:rFonts w:ascii="宋体" w:hAnsi="宋体" w:cs="宋体" w:eastAsia="宋体" w:hint="default"/>
                <w:sz w:val="15"/>
                <w:szCs w:val="15"/>
              </w:rPr>
            </w:pPr>
            <w:r>
              <w:rPr>
                <w:rFonts w:ascii="Times New Roman" w:hAnsi="Times New Roman" w:cs="Times New Roman" w:eastAsia="Times New Roman" w:hint="default"/>
                <w:spacing w:val="-7"/>
                <w:w w:val="99"/>
                <w:sz w:val="15"/>
                <w:szCs w:val="15"/>
              </w:rPr>
              <w:t>2</w:t>
            </w:r>
            <w:r>
              <w:rPr>
                <w:rFonts w:ascii="宋体" w:hAnsi="宋体" w:cs="宋体" w:eastAsia="宋体" w:hint="default"/>
                <w:spacing w:val="-7"/>
                <w:w w:val="99"/>
                <w:sz w:val="15"/>
                <w:szCs w:val="15"/>
              </w:rPr>
              <w:t>．其他权益工具持有者</w:t>
            </w:r>
            <w:r>
              <w:rPr>
                <w:rFonts w:ascii="宋体" w:hAnsi="宋体" w:cs="宋体" w:eastAsia="宋体" w:hint="default"/>
                <w:spacing w:val="-65"/>
                <w:w w:val="99"/>
                <w:sz w:val="15"/>
                <w:szCs w:val="15"/>
              </w:rPr>
              <w:t> </w:t>
            </w:r>
            <w:r>
              <w:rPr>
                <w:rFonts w:ascii="宋体" w:hAnsi="宋体" w:cs="宋体" w:eastAsia="宋体" w:hint="default"/>
                <w:spacing w:val="-65"/>
                <w:w w:val="99"/>
                <w:sz w:val="15"/>
                <w:szCs w:val="15"/>
              </w:rPr>
            </w:r>
            <w:r>
              <w:rPr>
                <w:rFonts w:ascii="宋体" w:hAnsi="宋体" w:cs="宋体" w:eastAsia="宋体" w:hint="default"/>
                <w:sz w:val="15"/>
                <w:szCs w:val="15"/>
              </w:rPr>
              <w:t>投入资本</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65"/>
              <w:ind w:left="24" w:right="21"/>
              <w:jc w:val="left"/>
              <w:rPr>
                <w:rFonts w:ascii="宋体" w:hAnsi="宋体" w:cs="宋体" w:eastAsia="宋体" w:hint="default"/>
                <w:sz w:val="15"/>
                <w:szCs w:val="15"/>
              </w:rPr>
            </w:pPr>
            <w:r>
              <w:rPr>
                <w:rFonts w:ascii="Times New Roman" w:hAnsi="Times New Roman" w:cs="Times New Roman" w:eastAsia="Times New Roman" w:hint="default"/>
                <w:spacing w:val="-7"/>
                <w:w w:val="99"/>
                <w:sz w:val="15"/>
                <w:szCs w:val="15"/>
              </w:rPr>
              <w:t>3</w:t>
            </w:r>
            <w:r>
              <w:rPr>
                <w:rFonts w:ascii="宋体" w:hAnsi="宋体" w:cs="宋体" w:eastAsia="宋体" w:hint="default"/>
                <w:spacing w:val="-7"/>
                <w:w w:val="99"/>
                <w:sz w:val="15"/>
                <w:szCs w:val="15"/>
              </w:rPr>
              <w:t>．股份支付计入所有者</w:t>
            </w:r>
            <w:r>
              <w:rPr>
                <w:rFonts w:ascii="宋体" w:hAnsi="宋体" w:cs="宋体" w:eastAsia="宋体" w:hint="default"/>
                <w:spacing w:val="-65"/>
                <w:w w:val="99"/>
                <w:sz w:val="15"/>
                <w:szCs w:val="15"/>
              </w:rPr>
              <w:t> </w:t>
            </w:r>
            <w:r>
              <w:rPr>
                <w:rFonts w:ascii="宋体" w:hAnsi="宋体" w:cs="宋体" w:eastAsia="宋体" w:hint="default"/>
                <w:spacing w:val="-65"/>
                <w:w w:val="99"/>
                <w:sz w:val="15"/>
                <w:szCs w:val="15"/>
              </w:rPr>
            </w:r>
            <w:r>
              <w:rPr>
                <w:rFonts w:ascii="宋体" w:hAnsi="宋体" w:cs="宋体" w:eastAsia="宋体" w:hint="default"/>
                <w:sz w:val="15"/>
                <w:szCs w:val="15"/>
              </w:rPr>
              <w:t>权益的金额</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5"/>
                <w:szCs w:val="15"/>
              </w:rPr>
            </w:pPr>
            <w:r>
              <w:rPr>
                <w:rFonts w:ascii="Times New Roman"/>
                <w:spacing w:val="-1"/>
                <w:sz w:val="15"/>
              </w:rPr>
              <w:t>2,765,860.30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5"/>
                <w:szCs w:val="15"/>
              </w:rPr>
            </w:pPr>
            <w:r>
              <w:rPr>
                <w:rFonts w:ascii="Times New Roman"/>
                <w:spacing w:val="-1"/>
                <w:sz w:val="15"/>
              </w:rPr>
              <w:t>-14,015,898.12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5"/>
                <w:szCs w:val="15"/>
              </w:rPr>
            </w:pPr>
            <w:r>
              <w:rPr>
                <w:rFonts w:ascii="Times New Roman"/>
                <w:spacing w:val="-1"/>
                <w:w w:val="95"/>
                <w:sz w:val="15"/>
              </w:rPr>
              <w:t>-11,250,037.82</w:t>
            </w:r>
            <w:r>
              <w:rPr>
                <w:rFonts w:ascii="Times New Roman"/>
                <w:spacing w:val="-1"/>
                <w:sz w:val="15"/>
              </w:rPr>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5"/>
                <w:szCs w:val="15"/>
              </w:rPr>
            </w:pPr>
            <w:r>
              <w:rPr>
                <w:rFonts w:ascii="Times New Roman"/>
                <w:spacing w:val="-1"/>
                <w:sz w:val="15"/>
              </w:rPr>
              <w:t>2,765,860.30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5"/>
                <w:szCs w:val="15"/>
              </w:rPr>
            </w:pPr>
            <w:r>
              <w:rPr>
                <w:rFonts w:ascii="Times New Roman"/>
                <w:spacing w:val="-1"/>
                <w:sz w:val="15"/>
              </w:rPr>
              <w:t>-2,765,860.30</w:t>
            </w: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65"/>
              <w:ind w:left="24" w:right="-46"/>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w:t>
            </w:r>
            <w:r>
              <w:rPr>
                <w:rFonts w:ascii="宋体" w:hAnsi="宋体" w:cs="宋体" w:eastAsia="宋体" w:hint="default"/>
                <w:w w:val="99"/>
                <w:sz w:val="15"/>
                <w:szCs w:val="15"/>
              </w:rPr>
              <w:t> </w:t>
            </w:r>
            <w:r>
              <w:rPr>
                <w:rFonts w:ascii="宋体" w:hAnsi="宋体" w:cs="宋体" w:eastAsia="宋体" w:hint="default"/>
                <w:sz w:val="15"/>
                <w:szCs w:val="15"/>
              </w:rPr>
              <w:t>的分配</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宋体" w:hAnsi="宋体" w:cs="宋体" w:eastAsia="宋体" w:hint="default"/>
                <w:sz w:val="20"/>
                <w:szCs w:val="20"/>
              </w:rPr>
            </w:pPr>
            <w:r>
              <w:rPr>
                <w:rFonts w:ascii="宋体" w:hAnsi="宋体" w:cs="宋体" w:eastAsia="宋体" w:hint="default"/>
                <w:position w:val="-13"/>
                <w:sz w:val="20"/>
                <w:szCs w:val="20"/>
              </w:rPr>
              <w:pict>
                <v:group style="width:55.25pt;height:35.450pt;mso-position-horizontal-relative:char;mso-position-vertical-relative:line" coordorigin="0,0" coordsize="1105,709">
                  <v:group style="position:absolute;left:0;top:0;width:1105;height:709" coordorigin="0,0" coordsize="1105,709">
                    <v:shape style="position:absolute;left:0;top:0;width:1105;height:709" coordorigin="0,0" coordsize="1105,709" path="m0,0l1105,0,1105,709,0,709,0,0xe" filled="true" fillcolor="#ffffff" stroked="false">
                      <v:path arrowok="t"/>
                      <v:fill type="solid"/>
                    </v:shape>
                  </v:group>
                </v:group>
              </w:pict>
            </w:r>
            <w:r>
              <w:rPr>
                <w:rFonts w:ascii="宋体" w:hAnsi="宋体" w:cs="宋体" w:eastAsia="宋体" w:hint="default"/>
                <w:position w:val="-13"/>
                <w:sz w:val="20"/>
                <w:szCs w:val="20"/>
              </w:rPr>
            </w: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w w:val="95"/>
                <w:sz w:val="15"/>
              </w:rPr>
              <w:t>-11,250,037.82</w:t>
            </w:r>
            <w:r>
              <w:rPr>
                <w:rFonts w:ascii="Times New Roman"/>
                <w:spacing w:val="-1"/>
                <w:sz w:val="15"/>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w w:val="95"/>
                <w:sz w:val="15"/>
              </w:rPr>
              <w:t>-11,250,037.82</w:t>
            </w:r>
            <w:r>
              <w:rPr>
                <w:rFonts w:ascii="Times New Roman"/>
                <w:spacing w:val="-1"/>
                <w:sz w:val="15"/>
              </w:rPr>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65"/>
              <w:ind w:left="24" w:right="26"/>
              <w:jc w:val="left"/>
              <w:rPr>
                <w:rFonts w:ascii="宋体" w:hAnsi="宋体" w:cs="宋体" w:eastAsia="宋体" w:hint="default"/>
                <w:sz w:val="15"/>
                <w:szCs w:val="15"/>
              </w:rPr>
            </w:pPr>
            <w:r>
              <w:rPr>
                <w:rFonts w:ascii="宋体" w:hAnsi="宋体" w:cs="宋体" w:eastAsia="宋体" w:hint="default"/>
                <w:sz w:val="15"/>
                <w:szCs w:val="15"/>
              </w:rPr>
              <w:t>（四）所有者权益内部</w:t>
            </w:r>
            <w:r>
              <w:rPr>
                <w:rFonts w:ascii="宋体" w:hAnsi="宋体" w:cs="宋体" w:eastAsia="宋体" w:hint="default"/>
                <w:w w:val="99"/>
                <w:sz w:val="15"/>
                <w:szCs w:val="15"/>
              </w:rPr>
              <w:t> </w:t>
            </w:r>
            <w:r>
              <w:rPr>
                <w:rFonts w:ascii="宋体" w:hAnsi="宋体" w:cs="宋体" w:eastAsia="宋体" w:hint="default"/>
                <w:sz w:val="15"/>
                <w:szCs w:val="15"/>
              </w:rPr>
              <w:t>结转</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w:t>
            </w:r>
          </w:p>
          <w:p>
            <w:pPr>
              <w:pStyle w:val="TableParagraph"/>
              <w:spacing w:line="240" w:lineRule="auto" w:before="104"/>
              <w:ind w:left="24"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w:t>
            </w:r>
          </w:p>
          <w:p>
            <w:pPr>
              <w:pStyle w:val="TableParagraph"/>
              <w:spacing w:line="240" w:lineRule="auto" w:before="104"/>
              <w:ind w:left="24"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4"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5"/>
                <w:szCs w:val="15"/>
              </w:rPr>
            </w:pPr>
            <w:r>
              <w:rPr>
                <w:rFonts w:ascii="Times New Roman"/>
                <w:spacing w:val="-1"/>
                <w:sz w:val="15"/>
              </w:rPr>
              <w:t>321,429,652.00</w:t>
            </w:r>
          </w:p>
        </w:tc>
        <w:tc>
          <w:tcPr>
            <w:tcW w:w="69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5"/>
                <w:szCs w:val="15"/>
              </w:rPr>
            </w:pPr>
            <w:r>
              <w:rPr>
                <w:rFonts w:ascii="Times New Roman"/>
                <w:spacing w:val="-1"/>
                <w:sz w:val="15"/>
              </w:rPr>
              <w:t>295,412,401.12</w:t>
            </w:r>
          </w:p>
        </w:tc>
        <w:tc>
          <w:tcPr>
            <w:tcW w:w="5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5"/>
                <w:szCs w:val="15"/>
              </w:rPr>
            </w:pPr>
            <w:r>
              <w:rPr>
                <w:rFonts w:ascii="Times New Roman"/>
                <w:spacing w:val="-1"/>
                <w:sz w:val="15"/>
              </w:rPr>
              <w:t>30,850,851.57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5"/>
                <w:szCs w:val="15"/>
              </w:rPr>
            </w:pPr>
            <w:r>
              <w:rPr>
                <w:rFonts w:ascii="Times New Roman"/>
                <w:spacing w:val="-1"/>
                <w:sz w:val="15"/>
              </w:rPr>
              <w:t>219,487,626.37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5"/>
                <w:szCs w:val="15"/>
              </w:rPr>
            </w:pPr>
            <w:r>
              <w:rPr>
                <w:rFonts w:ascii="Times New Roman"/>
                <w:spacing w:val="-1"/>
                <w:sz w:val="15"/>
              </w:rPr>
              <w:t>867,180,531.06</w:t>
            </w:r>
          </w:p>
        </w:tc>
      </w:tr>
    </w:tbl>
    <w:p>
      <w:pPr>
        <w:spacing w:after="0" w:line="240" w:lineRule="auto"/>
        <w:jc w:val="right"/>
        <w:rPr>
          <w:rFonts w:ascii="Times New Roman" w:hAnsi="Times New Roman" w:cs="Times New Roman" w:eastAsia="Times New Roman" w:hint="default"/>
          <w:sz w:val="15"/>
          <w:szCs w:val="15"/>
        </w:rPr>
        <w:sectPr>
          <w:pgSz w:w="11910" w:h="16840"/>
          <w:pgMar w:header="566" w:footer="978" w:top="1440" w:bottom="1160" w:left="20" w:right="480"/>
        </w:sectPr>
      </w:pPr>
    </w:p>
    <w:p>
      <w:pPr>
        <w:spacing w:line="240" w:lineRule="auto" w:before="8"/>
        <w:rPr>
          <w:rFonts w:ascii="宋体" w:hAnsi="宋体" w:cs="宋体" w:eastAsia="宋体" w:hint="default"/>
          <w:sz w:val="23"/>
          <w:szCs w:val="23"/>
        </w:rPr>
      </w:pPr>
      <w:r>
        <w:rPr/>
        <w:pict>
          <v:group style="position:absolute;margin-left:56.34pt;margin-top:28.320024pt;width:482.65pt;height:40.2pt;mso-position-horizontal-relative:page;mso-position-vertical-relative:page;z-index:-821560"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Heading2"/>
        <w:spacing w:line="240" w:lineRule="auto" w:before="26"/>
        <w:ind w:right="6754"/>
        <w:jc w:val="left"/>
        <w:rPr>
          <w:b w:val="0"/>
          <w:bCs w:val="0"/>
        </w:rPr>
      </w:pPr>
      <w:r>
        <w:rPr/>
        <w:t>三、公司基本情况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6754"/>
        <w:jc w:val="left"/>
        <w:rPr>
          <w:b w:val="0"/>
          <w:bCs w:val="0"/>
        </w:rPr>
      </w:pPr>
      <w:r>
        <w:rPr/>
        <w:t>（一）公司概况</w:t>
      </w:r>
      <w:r>
        <w:rPr>
          <w:b w:val="0"/>
          <w:bCs w:val="0"/>
        </w:rPr>
      </w:r>
    </w:p>
    <w:p>
      <w:pPr>
        <w:spacing w:line="240" w:lineRule="auto" w:before="6"/>
        <w:rPr>
          <w:rFonts w:ascii="宋体" w:hAnsi="宋体" w:cs="宋体" w:eastAsia="宋体" w:hint="default"/>
          <w:b/>
          <w:bCs/>
          <w:sz w:val="33"/>
          <w:szCs w:val="33"/>
        </w:rPr>
      </w:pPr>
    </w:p>
    <w:p>
      <w:pPr>
        <w:pStyle w:val="BodyText"/>
        <w:spacing w:line="340" w:lineRule="auto"/>
        <w:ind w:left="472" w:right="94"/>
        <w:jc w:val="left"/>
      </w:pPr>
      <w:r>
        <w:rPr>
          <w:rFonts w:ascii="Times New Roman" w:hAnsi="Times New Roman" w:cs="Times New Roman" w:eastAsia="Times New Roman" w:hint="default"/>
        </w:rPr>
        <w:t>1</w:t>
      </w:r>
      <w:r>
        <w:rPr/>
        <w:t>、公司的历史沿革 </w:t>
      </w:r>
      <w:r>
        <w:rPr>
          <w:spacing w:val="-4"/>
        </w:rPr>
        <w:t>荣科科技股份有限公司（以下简称公司或本公司）系由沈阳荣科科技工程有限公司（以下简称荣科工程公司或有限公司）</w:t>
      </w:r>
    </w:p>
    <w:p>
      <w:pPr>
        <w:pStyle w:val="BodyText"/>
        <w:spacing w:line="240" w:lineRule="auto" w:before="1"/>
        <w:ind w:right="94"/>
        <w:jc w:val="left"/>
      </w:pPr>
      <w:r>
        <w:rPr/>
        <w:t>于</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年以整体变更方式设立的股份有限公司。荣科工程公司系由自然人崔万涛、付艳杰共同出资组建的有限责任公司，</w:t>
      </w:r>
    </w:p>
    <w:p>
      <w:pPr>
        <w:pStyle w:val="BodyText"/>
        <w:spacing w:line="300" w:lineRule="auto" w:before="63"/>
        <w:ind w:right="190"/>
        <w:jc w:val="left"/>
      </w:pPr>
      <w:r>
        <w:rPr/>
        <w:t>并于</w:t>
      </w:r>
      <w:r>
        <w:rPr>
          <w:spacing w:val="-4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spacing w:val="-2"/>
        </w:rPr>
        <w:t>11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日取得沈阳市工商行政管理局核发的</w:t>
      </w:r>
      <w:r>
        <w:rPr>
          <w:spacing w:val="-43"/>
        </w:rPr>
        <w:t> </w:t>
      </w:r>
      <w:r>
        <w:rPr>
          <w:rFonts w:ascii="Times New Roman" w:hAnsi="Times New Roman" w:cs="Times New Roman" w:eastAsia="Times New Roman" w:hint="default"/>
          <w:spacing w:val="-1"/>
        </w:rPr>
        <w:t>2101052102543</w:t>
      </w:r>
      <w:r>
        <w:rPr>
          <w:rFonts w:ascii="Times New Roman" w:hAnsi="Times New Roman" w:cs="Times New Roman" w:eastAsia="Times New Roman" w:hint="default"/>
          <w:spacing w:val="1"/>
        </w:rPr>
        <w:t> </w:t>
      </w:r>
      <w:r>
        <w:rPr>
          <w:spacing w:val="-8"/>
        </w:rPr>
        <w:t>号《企业法人营业执照》，有限公司设立时的注册</w:t>
      </w:r>
      <w:r>
        <w:rPr/>
        <w:t> 资本为人民币</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t>万元，自然人崔万涛、付艳杰各自持有荣科工程公司</w:t>
      </w:r>
      <w:r>
        <w:rPr>
          <w:spacing w:val="-46"/>
        </w:rPr>
        <w:t> </w:t>
      </w:r>
      <w:r>
        <w:rPr>
          <w:rFonts w:ascii="Times New Roman" w:hAnsi="Times New Roman" w:cs="Times New Roman" w:eastAsia="Times New Roman" w:hint="default"/>
        </w:rPr>
        <w:t>50%</w:t>
      </w:r>
      <w:r>
        <w:rPr/>
        <w:t>股权。</w:t>
      </w:r>
    </w:p>
    <w:p>
      <w:pPr>
        <w:pStyle w:val="BodyText"/>
        <w:spacing w:line="240" w:lineRule="auto" w:before="53"/>
        <w:ind w:left="472" w:right="94"/>
        <w:jc w:val="left"/>
        <w:rPr>
          <w:rFonts w:ascii="Times New Roman" w:hAnsi="Times New Roman" w:cs="Times New Roman" w:eastAsia="Times New Roman" w:hint="default"/>
        </w:rPr>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spacing w:val="-4"/>
        </w:rPr>
        <w:t>日，根据有限公司股东会决议及修改后章程的规定，崔万涛、付艳杰各自以货币资金向有限公司增资</w:t>
      </w:r>
      <w:r>
        <w:rPr>
          <w:spacing w:val="-42"/>
        </w:rPr>
        <w:t> </w:t>
      </w:r>
      <w:r>
        <w:rPr>
          <w:rFonts w:ascii="Times New Roman" w:hAnsi="Times New Roman" w:cs="Times New Roman" w:eastAsia="Times New Roman" w:hint="default"/>
        </w:rPr>
        <w:t>225</w:t>
      </w:r>
    </w:p>
    <w:p>
      <w:pPr>
        <w:pStyle w:val="BodyText"/>
        <w:spacing w:line="240" w:lineRule="auto" w:before="63"/>
        <w:ind w:right="6754"/>
        <w:jc w:val="left"/>
      </w:pPr>
      <w:r>
        <w:rPr/>
        <w:t>万元（合计</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r>
        <w:rPr>
          <w:spacing w:val="-89"/>
        </w:rPr>
        <w:t>）</w:t>
      </w:r>
      <w:r>
        <w:rPr/>
        <w:t>。</w:t>
      </w:r>
    </w:p>
    <w:p>
      <w:pPr>
        <w:pStyle w:val="BodyText"/>
        <w:spacing w:line="240" w:lineRule="auto" w:before="101"/>
        <w:ind w:left="472" w:right="94"/>
        <w:jc w:val="left"/>
        <w:rPr>
          <w:rFonts w:ascii="Times New Roman" w:hAnsi="Times New Roman" w:cs="Times New Roman" w:eastAsia="Times New Roman" w:hint="default"/>
        </w:rPr>
      </w:pP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 </w:t>
      </w:r>
      <w:r>
        <w:rPr/>
        <w:t>日，根据有限公司股东会决议及修改后章程的规定，崔万涛、付艳杰各自以货币资金向有限公司增资</w:t>
      </w:r>
      <w:r>
        <w:rPr>
          <w:spacing w:val="-55"/>
        </w:rPr>
        <w:t> </w:t>
      </w:r>
      <w:r>
        <w:rPr>
          <w:rFonts w:ascii="Times New Roman" w:hAnsi="Times New Roman" w:cs="Times New Roman" w:eastAsia="Times New Roman" w:hint="default"/>
        </w:rPr>
        <w:t>5</w:t>
      </w:r>
    </w:p>
    <w:p>
      <w:pPr>
        <w:pStyle w:val="BodyText"/>
        <w:spacing w:line="240" w:lineRule="auto" w:before="63"/>
        <w:ind w:right="6754"/>
        <w:jc w:val="left"/>
      </w:pPr>
      <w:r>
        <w:rPr/>
        <w:t>万元（合计</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r>
        <w:rPr>
          <w:spacing w:val="-92"/>
        </w:rPr>
        <w:t>）</w:t>
      </w:r>
      <w:r>
        <w:rPr/>
        <w:t>。</w:t>
      </w:r>
    </w:p>
    <w:p>
      <w:pPr>
        <w:pStyle w:val="BodyText"/>
        <w:spacing w:line="240" w:lineRule="auto" w:before="103"/>
        <w:ind w:left="472" w:right="94"/>
        <w:jc w:val="left"/>
        <w:rPr>
          <w:rFonts w:ascii="Times New Roman" w:hAnsi="Times New Roman" w:cs="Times New Roman" w:eastAsia="Times New Roman" w:hint="default"/>
        </w:rPr>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4"/>
        </w:rPr>
        <w:t>日，根据有限公司股东会决议及修改后章程的规定，崔万涛、付艳杰各自以货币资金向有限公司增资</w:t>
      </w:r>
      <w:r>
        <w:rPr>
          <w:spacing w:val="-42"/>
        </w:rPr>
        <w:t> </w:t>
      </w:r>
      <w:r>
        <w:rPr>
          <w:rFonts w:ascii="Times New Roman" w:hAnsi="Times New Roman" w:cs="Times New Roman" w:eastAsia="Times New Roman" w:hint="default"/>
        </w:rPr>
        <w:t>245</w:t>
      </w:r>
    </w:p>
    <w:p>
      <w:pPr>
        <w:pStyle w:val="BodyText"/>
        <w:spacing w:line="240" w:lineRule="auto" w:before="63"/>
        <w:ind w:right="6754"/>
        <w:jc w:val="left"/>
      </w:pPr>
      <w:r>
        <w:rPr/>
        <w:t>万元（合计</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9</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r>
        <w:rPr>
          <w:spacing w:val="-89"/>
        </w:rPr>
        <w:t>）</w:t>
      </w:r>
      <w:r>
        <w:rPr/>
        <w:t>。</w:t>
      </w:r>
    </w:p>
    <w:p>
      <w:pPr>
        <w:pStyle w:val="BodyText"/>
        <w:spacing w:line="240" w:lineRule="auto" w:before="103"/>
        <w:ind w:left="472" w:right="9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日，根据有限公司股东会决议及修改后章程的规定，尹春福、杨皓等</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名自然人以货币资金向有限公司</w:t>
      </w:r>
    </w:p>
    <w:p>
      <w:pPr>
        <w:pStyle w:val="BodyText"/>
        <w:spacing w:line="240" w:lineRule="auto" w:before="63"/>
        <w:ind w:right="6754"/>
        <w:jc w:val="left"/>
      </w:pPr>
      <w:r>
        <w:rPr/>
        <w:t>增资</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万元。</w:t>
      </w:r>
    </w:p>
    <w:p>
      <w:pPr>
        <w:pStyle w:val="BodyText"/>
        <w:spacing w:line="240" w:lineRule="auto" w:before="101"/>
        <w:ind w:left="472" w:right="9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日，根据有限公司股东会决议及修改后章程的规定，平安财智投资管理有限公司、北京正达联合投资有</w:t>
      </w:r>
    </w:p>
    <w:p>
      <w:pPr>
        <w:pStyle w:val="BodyText"/>
        <w:spacing w:line="240" w:lineRule="auto" w:before="63"/>
        <w:ind w:right="94"/>
        <w:jc w:val="left"/>
      </w:pPr>
      <w:r>
        <w:rPr>
          <w:spacing w:val="7"/>
        </w:rPr>
        <w:t>限公司、北京恒远恒信科技发展有限公司等三名法人股东向有限公司增资 </w:t>
      </w:r>
      <w:r>
        <w:rPr>
          <w:rFonts w:ascii="Times New Roman" w:hAnsi="Times New Roman" w:cs="Times New Roman" w:eastAsia="Times New Roman" w:hint="default"/>
        </w:rPr>
        <w:t>278.81</w:t>
      </w:r>
      <w:r>
        <w:rPr>
          <w:rFonts w:ascii="Times New Roman" w:hAnsi="Times New Roman" w:cs="Times New Roman" w:eastAsia="Times New Roman" w:hint="default"/>
          <w:spacing w:val="1"/>
        </w:rPr>
        <w:t> </w:t>
      </w:r>
      <w:r>
        <w:rPr>
          <w:spacing w:val="7"/>
        </w:rPr>
        <w:t>万元，有限公司变更后的注册资本为</w:t>
      </w:r>
    </w:p>
    <w:p>
      <w:pPr>
        <w:pStyle w:val="BodyText"/>
        <w:spacing w:line="240" w:lineRule="auto" w:before="63"/>
        <w:ind w:right="6754"/>
        <w:jc w:val="left"/>
      </w:pPr>
      <w:r>
        <w:rPr>
          <w:rFonts w:ascii="Times New Roman" w:hAnsi="Times New Roman" w:cs="Times New Roman" w:eastAsia="Times New Roman" w:hint="default"/>
        </w:rPr>
        <w:t>1,298.81</w:t>
      </w:r>
      <w:r>
        <w:rPr>
          <w:rFonts w:ascii="Times New Roman" w:hAnsi="Times New Roman" w:cs="Times New Roman" w:eastAsia="Times New Roman" w:hint="default"/>
          <w:spacing w:val="-3"/>
        </w:rPr>
        <w:t> </w:t>
      </w:r>
      <w:r>
        <w:rPr/>
        <w:t>万元。</w:t>
      </w:r>
    </w:p>
    <w:p>
      <w:pPr>
        <w:pStyle w:val="BodyText"/>
        <w:spacing w:line="240" w:lineRule="auto" w:before="103"/>
        <w:ind w:left="472" w:right="94"/>
        <w:jc w:val="left"/>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w:t>
      </w:r>
      <w:r>
        <w:rPr>
          <w:spacing w:val="-15"/>
        </w:rPr>
        <w:t>，</w:t>
      </w:r>
      <w:r>
        <w:rPr/>
        <w:t>根据有限公</w:t>
      </w:r>
      <w:r>
        <w:rPr>
          <w:spacing w:val="-10"/>
        </w:rPr>
        <w:t>司</w:t>
      </w:r>
      <w:r>
        <w:rPr>
          <w:spacing w:val="-3"/>
        </w:rPr>
        <w:t>《</w:t>
      </w:r>
      <w:r>
        <w:rPr/>
        <w:t>关于公司由有限公司变更设立股份公司的决</w:t>
      </w:r>
      <w:r>
        <w:rPr>
          <w:spacing w:val="2"/>
        </w:rPr>
        <w:t>议</w:t>
      </w:r>
      <w:r>
        <w:rPr>
          <w:spacing w:val="-92"/>
        </w:rPr>
        <w:t>》</w:t>
      </w:r>
      <w:r>
        <w:rPr>
          <w:spacing w:val="-101"/>
        </w:rPr>
        <w:t>、</w:t>
      </w:r>
      <w:r>
        <w:rPr/>
        <w:t>《沈阳荣科科技股份有限公司发起</w:t>
      </w:r>
    </w:p>
    <w:p>
      <w:pPr>
        <w:pStyle w:val="BodyText"/>
        <w:spacing w:line="240" w:lineRule="auto" w:before="63"/>
        <w:ind w:right="94"/>
        <w:jc w:val="left"/>
      </w:pPr>
      <w:r>
        <w:rPr/>
        <w:t>人协议书》以及公司章程的规定，有限公司以</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日为基准日，以经审计的净资产</w:t>
      </w:r>
      <w:r>
        <w:rPr>
          <w:spacing w:val="-49"/>
        </w:rPr>
        <w:t> </w:t>
      </w:r>
      <w:r>
        <w:rPr>
          <w:rFonts w:ascii="Times New Roman" w:hAnsi="Times New Roman" w:cs="Times New Roman" w:eastAsia="Times New Roman" w:hint="default"/>
        </w:rPr>
        <w:t>7,040.36</w:t>
      </w:r>
      <w:r>
        <w:rPr>
          <w:rFonts w:ascii="Times New Roman" w:hAnsi="Times New Roman" w:cs="Times New Roman" w:eastAsia="Times New Roman" w:hint="default"/>
          <w:spacing w:val="-5"/>
        </w:rPr>
        <w:t> </w:t>
      </w:r>
      <w:r>
        <w:rPr/>
        <w:t>万元折股</w:t>
      </w:r>
      <w:r>
        <w:rPr>
          <w:spacing w:val="-49"/>
        </w:rPr>
        <w:t> </w:t>
      </w:r>
      <w:r>
        <w:rPr>
          <w:rFonts w:ascii="Times New Roman" w:hAnsi="Times New Roman" w:cs="Times New Roman" w:eastAsia="Times New Roman" w:hint="default"/>
        </w:rPr>
        <w:t>5,100</w:t>
      </w:r>
      <w:r>
        <w:rPr>
          <w:rFonts w:ascii="Times New Roman" w:hAnsi="Times New Roman" w:cs="Times New Roman" w:eastAsia="Times New Roman" w:hint="default"/>
          <w:spacing w:val="-5"/>
        </w:rPr>
        <w:t> </w:t>
      </w:r>
      <w:r>
        <w:rPr/>
        <w:t>万股</w:t>
      </w:r>
    </w:p>
    <w:p>
      <w:pPr>
        <w:pStyle w:val="BodyText"/>
        <w:spacing w:line="240" w:lineRule="auto" w:before="63"/>
        <w:ind w:right="94"/>
        <w:jc w:val="left"/>
      </w:pPr>
      <w:r>
        <w:rPr/>
        <w:t>整体改制变更为股份有限公司，公司变更后的名称为荣科科技股份有限公司，并于</w:t>
      </w:r>
      <w:r>
        <w:rPr>
          <w:spacing w:val="-44"/>
        </w:rPr>
        <w:t> </w:t>
      </w:r>
      <w:r>
        <w:rPr>
          <w:rFonts w:ascii="Times New Roman" w:hAnsi="Times New Roman" w:cs="Times New Roman" w:eastAsia="Times New Roman" w:hint="default"/>
        </w:rPr>
        <w:t>2010 </w:t>
      </w:r>
      <w:r>
        <w:rPr/>
        <w:t>年</w:t>
      </w:r>
      <w:r>
        <w:rPr>
          <w:spacing w:val="-44"/>
        </w:rPr>
        <w:t> </w:t>
      </w:r>
      <w:r>
        <w:rPr>
          <w:rFonts w:ascii="Times New Roman" w:hAnsi="Times New Roman" w:cs="Times New Roman" w:eastAsia="Times New Roman" w:hint="default"/>
        </w:rPr>
        <w:t>9 </w:t>
      </w:r>
      <w:r>
        <w:rPr/>
        <w:t>月</w:t>
      </w:r>
      <w:r>
        <w:rPr>
          <w:spacing w:val="-44"/>
        </w:rPr>
        <w:t> </w:t>
      </w:r>
      <w:r>
        <w:rPr>
          <w:rFonts w:ascii="Times New Roman" w:hAnsi="Times New Roman" w:cs="Times New Roman" w:eastAsia="Times New Roman" w:hint="default"/>
        </w:rPr>
        <w:t>8 </w:t>
      </w:r>
      <w:r>
        <w:rPr/>
        <w:t>日取得沈阳市工商行政管</w:t>
      </w:r>
    </w:p>
    <w:p>
      <w:pPr>
        <w:pStyle w:val="BodyText"/>
        <w:spacing w:line="240" w:lineRule="auto" w:before="63"/>
        <w:ind w:right="94"/>
        <w:jc w:val="left"/>
      </w:pPr>
      <w:r>
        <w:rPr/>
        <w:t>理局核发的</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6</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号《企业法人营业执照</w:t>
      </w:r>
      <w:r>
        <w:rPr>
          <w:spacing w:val="-89"/>
        </w:rPr>
        <w:t>》</w:t>
      </w:r>
      <w:r>
        <w:rPr/>
        <w:t>。</w:t>
      </w:r>
    </w:p>
    <w:p>
      <w:pPr>
        <w:pStyle w:val="BodyText"/>
        <w:spacing w:line="240" w:lineRule="auto" w:before="103"/>
        <w:ind w:left="472" w:right="94"/>
        <w:jc w:val="left"/>
      </w:pPr>
      <w:r>
        <w:rPr/>
        <w:t>经中国证券监督管理委员会证监许可</w:t>
      </w:r>
      <w:r>
        <w:rPr>
          <w:rFonts w:ascii="Times New Roman" w:hAnsi="Times New Roman" w:cs="Times New Roman" w:eastAsia="Times New Roman" w:hint="default"/>
        </w:rPr>
        <w:t>[2011]2143 </w:t>
      </w:r>
      <w:r>
        <w:rPr>
          <w:spacing w:val="2"/>
        </w:rPr>
        <w:t>号文件核准，本公司向社会公众公开发行人民币普通股（</w:t>
      </w:r>
      <w:r>
        <w:rPr>
          <w:rFonts w:ascii="Times New Roman" w:hAnsi="Times New Roman" w:cs="Times New Roman" w:eastAsia="Times New Roman" w:hint="default"/>
          <w:spacing w:val="2"/>
        </w:rPr>
        <w:t>A</w:t>
      </w:r>
      <w:r>
        <w:rPr>
          <w:rFonts w:ascii="Times New Roman" w:hAnsi="Times New Roman" w:cs="Times New Roman" w:eastAsia="Times New Roman" w:hint="default"/>
          <w:spacing w:val="44"/>
        </w:rPr>
        <w:t> </w:t>
      </w:r>
      <w:r>
        <w:rPr/>
        <w:t>股）股票</w:t>
      </w:r>
    </w:p>
    <w:p>
      <w:pPr>
        <w:pStyle w:val="BodyText"/>
        <w:spacing w:line="240" w:lineRule="auto" w:before="63"/>
        <w:ind w:right="94"/>
        <w:jc w:val="left"/>
        <w:rPr>
          <w:rFonts w:ascii="Times New Roman" w:hAnsi="Times New Roman" w:cs="Times New Roman" w:eastAsia="Times New Roman" w:hint="default"/>
        </w:rPr>
      </w:pPr>
      <w:r>
        <w:rPr>
          <w:rFonts w:ascii="Times New Roman" w:hAnsi="Times New Roman" w:cs="Times New Roman" w:eastAsia="Times New Roman" w:hint="default"/>
        </w:rPr>
        <w:t>1,700</w:t>
      </w:r>
      <w:r>
        <w:rPr>
          <w:rFonts w:ascii="Times New Roman" w:hAnsi="Times New Roman" w:cs="Times New Roman" w:eastAsia="Times New Roman" w:hint="default"/>
          <w:spacing w:val="2"/>
        </w:rPr>
        <w:t> </w:t>
      </w:r>
      <w:r>
        <w:rPr/>
        <w:t>万股，每股面值</w:t>
      </w:r>
      <w:r>
        <w:rPr>
          <w:spacing w:val="-42"/>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元，公司股票已于</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日在深圳证券交易所挂牌交易。发行后公司股本变更为</w:t>
      </w:r>
      <w:r>
        <w:rPr>
          <w:spacing w:val="-39"/>
        </w:rPr>
        <w:t> </w:t>
      </w:r>
      <w:r>
        <w:rPr>
          <w:rFonts w:ascii="Times New Roman" w:hAnsi="Times New Roman" w:cs="Times New Roman" w:eastAsia="Times New Roman" w:hint="default"/>
        </w:rPr>
        <w:t>6,800</w:t>
      </w:r>
    </w:p>
    <w:p>
      <w:pPr>
        <w:pStyle w:val="BodyText"/>
        <w:spacing w:line="240" w:lineRule="auto" w:before="63"/>
        <w:ind w:right="94"/>
        <w:jc w:val="left"/>
      </w:pPr>
      <w:r>
        <w:rPr/>
        <w:t>万股。公司已于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日在沈阳市工商行政管理局办理工商变更登记手续。</w:t>
      </w:r>
    </w:p>
    <w:p>
      <w:pPr>
        <w:pStyle w:val="BodyText"/>
        <w:spacing w:line="240" w:lineRule="auto" w:before="101"/>
        <w:ind w:left="472" w:right="94"/>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5"/>
        </w:rPr>
        <w:t>日，根据公司</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年年度股东大会决议的相关规定，公司以总股本</w:t>
      </w:r>
      <w:r>
        <w:rPr>
          <w:spacing w:val="-49"/>
        </w:rPr>
        <w:t> </w:t>
      </w:r>
      <w:r>
        <w:rPr>
          <w:rFonts w:ascii="Times New Roman" w:hAnsi="Times New Roman" w:cs="Times New Roman" w:eastAsia="Times New Roman" w:hint="default"/>
        </w:rPr>
        <w:t>6,800</w:t>
      </w:r>
      <w:r>
        <w:rPr>
          <w:rFonts w:ascii="Times New Roman" w:hAnsi="Times New Roman" w:cs="Times New Roman" w:eastAsia="Times New Roman" w:hint="default"/>
          <w:spacing w:val="-3"/>
        </w:rPr>
        <w:t> </w:t>
      </w:r>
      <w:r>
        <w:rPr>
          <w:spacing w:val="-3"/>
        </w:rPr>
        <w:t>万股为基数，以资本公积向全</w:t>
      </w:r>
    </w:p>
    <w:p>
      <w:pPr>
        <w:pStyle w:val="BodyText"/>
        <w:spacing w:line="240" w:lineRule="auto" w:before="63"/>
        <w:ind w:right="94"/>
        <w:jc w:val="left"/>
      </w:pPr>
      <w:r>
        <w:rPr/>
        <w:t>体股东每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股，共计转增</w:t>
      </w:r>
      <w:r>
        <w:rPr>
          <w:spacing w:val="-45"/>
        </w:rPr>
        <w:t> </w:t>
      </w:r>
      <w:r>
        <w:rPr>
          <w:rFonts w:ascii="Times New Roman" w:hAnsi="Times New Roman" w:cs="Times New Roman" w:eastAsia="Times New Roman" w:hint="default"/>
        </w:rPr>
        <w:t>6,800</w:t>
      </w:r>
      <w:r>
        <w:rPr>
          <w:rFonts w:ascii="Times New Roman" w:hAnsi="Times New Roman" w:cs="Times New Roman" w:eastAsia="Times New Roman" w:hint="default"/>
          <w:spacing w:val="-1"/>
        </w:rPr>
        <w:t> </w:t>
      </w:r>
      <w:r>
        <w:rPr/>
        <w:t>万股。</w:t>
      </w:r>
    </w:p>
    <w:p>
      <w:pPr>
        <w:pStyle w:val="BodyText"/>
        <w:spacing w:line="300" w:lineRule="auto" w:before="103"/>
        <w:ind w:right="192"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37"/>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日，根据公司</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年度第二次临时股东大会决议，并经中国证券监督管理委员会《关于核准荣科科技 股份有限公司非公开发行股票的批复》（证监许可【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996 </w:t>
      </w:r>
      <w:r>
        <w:rPr>
          <w:spacing w:val="3"/>
        </w:rPr>
        <w:t>号）的核准，公司向特定投资者非公开发行人民币普通股</w:t>
      </w:r>
      <w:r>
        <w:rPr>
          <w:spacing w:val="-62"/>
        </w:rPr>
        <w:t> </w:t>
      </w:r>
      <w:r>
        <w:rPr>
          <w:spacing w:val="-62"/>
        </w:rPr>
      </w:r>
      <w:r>
        <w:rPr>
          <w:rFonts w:ascii="Times New Roman" w:hAnsi="Times New Roman" w:cs="Times New Roman" w:eastAsia="Times New Roman" w:hint="default"/>
        </w:rPr>
        <w:t>24,714,826</w:t>
      </w:r>
      <w:r>
        <w:rPr>
          <w:rFonts w:ascii="Times New Roman" w:hAnsi="Times New Roman" w:cs="Times New Roman" w:eastAsia="Times New Roman" w:hint="default"/>
          <w:spacing w:val="-3"/>
        </w:rPr>
        <w:t> </w:t>
      </w:r>
      <w:r>
        <w:rPr/>
        <w:t>股，公司股本总额增加至</w:t>
      </w:r>
      <w:r>
        <w:rPr>
          <w:spacing w:val="-50"/>
        </w:rPr>
        <w:t> </w:t>
      </w:r>
      <w:r>
        <w:rPr>
          <w:rFonts w:ascii="Times New Roman" w:hAnsi="Times New Roman" w:cs="Times New Roman" w:eastAsia="Times New Roman" w:hint="default"/>
        </w:rPr>
        <w:t>160,714,826.00</w:t>
      </w:r>
      <w:r>
        <w:rPr>
          <w:rFonts w:ascii="Times New Roman" w:hAnsi="Times New Roman" w:cs="Times New Roman" w:eastAsia="Times New Roman" w:hint="default"/>
          <w:spacing w:val="-4"/>
        </w:rPr>
        <w:t> </w:t>
      </w:r>
      <w:r>
        <w:rPr/>
        <w:t>元。</w:t>
      </w:r>
    </w:p>
    <w:p>
      <w:pPr>
        <w:pStyle w:val="BodyText"/>
        <w:spacing w:line="240" w:lineRule="auto" w:before="53"/>
        <w:ind w:left="472" w:right="94"/>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日，根据公司</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年度第一次临时股东大会决议，公司以截至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6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日的总股本</w:t>
      </w:r>
      <w:r>
        <w:rPr>
          <w:spacing w:val="-46"/>
        </w:rPr>
        <w:t> </w:t>
      </w:r>
      <w:r>
        <w:rPr>
          <w:rFonts w:ascii="Times New Roman" w:hAnsi="Times New Roman" w:cs="Times New Roman" w:eastAsia="Times New Roman" w:hint="default"/>
        </w:rPr>
        <w:t>16,071.4826</w:t>
      </w:r>
    </w:p>
    <w:p>
      <w:pPr>
        <w:pStyle w:val="BodyText"/>
        <w:spacing w:line="240" w:lineRule="auto" w:before="63"/>
        <w:ind w:right="94"/>
        <w:jc w:val="left"/>
      </w:pPr>
      <w:r>
        <w:rPr/>
        <w:t>万股为基数，以资本公积向全体股东每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股，共计转增</w:t>
      </w:r>
      <w:r>
        <w:rPr>
          <w:spacing w:val="-46"/>
        </w:rPr>
        <w:t> </w:t>
      </w:r>
      <w:r>
        <w:rPr>
          <w:rFonts w:ascii="Times New Roman" w:hAnsi="Times New Roman" w:cs="Times New Roman" w:eastAsia="Times New Roman" w:hint="default"/>
        </w:rPr>
        <w:t>16,071.4826</w:t>
      </w:r>
      <w:r>
        <w:rPr>
          <w:rFonts w:ascii="Times New Roman" w:hAnsi="Times New Roman" w:cs="Times New Roman" w:eastAsia="Times New Roman" w:hint="default"/>
          <w:spacing w:val="-2"/>
        </w:rPr>
        <w:t> </w:t>
      </w:r>
      <w:r>
        <w:rPr/>
        <w:t>万股。</w:t>
      </w:r>
    </w:p>
    <w:p>
      <w:pPr>
        <w:pStyle w:val="BodyText"/>
        <w:spacing w:line="240" w:lineRule="auto" w:before="101"/>
        <w:ind w:left="472" w:right="94"/>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日止，公司股本为人民币</w:t>
      </w:r>
      <w:r>
        <w:rPr>
          <w:spacing w:val="-46"/>
        </w:rPr>
        <w:t> </w:t>
      </w:r>
      <w:r>
        <w:rPr>
          <w:rFonts w:ascii="Times New Roman" w:hAnsi="Times New Roman" w:cs="Times New Roman" w:eastAsia="Times New Roman" w:hint="default"/>
        </w:rPr>
        <w:t>321,429,652.00</w:t>
      </w:r>
      <w:r>
        <w:rPr>
          <w:rFonts w:ascii="Times New Roman" w:hAnsi="Times New Roman" w:cs="Times New Roman" w:eastAsia="Times New Roman" w:hint="default"/>
          <w:spacing w:val="-2"/>
        </w:rPr>
        <w:t> </w:t>
      </w:r>
      <w:r>
        <w:rPr/>
        <w:t>元。</w:t>
      </w:r>
    </w:p>
    <w:p>
      <w:pPr>
        <w:pStyle w:val="BodyText"/>
        <w:spacing w:line="348" w:lineRule="auto" w:before="103"/>
        <w:ind w:left="472" w:right="6934"/>
        <w:jc w:val="left"/>
      </w:pPr>
      <w:r>
        <w:rPr>
          <w:rFonts w:ascii="Times New Roman" w:hAnsi="Times New Roman" w:cs="Times New Roman" w:eastAsia="Times New Roman" w:hint="default"/>
        </w:rPr>
        <w:t>2</w:t>
      </w:r>
      <w:r>
        <w:rPr/>
        <w:t>、行业性质 公司属软件和信息技术服务业。 </w:t>
      </w:r>
      <w:r>
        <w:rPr>
          <w:rFonts w:ascii="Times New Roman" w:hAnsi="Times New Roman" w:cs="Times New Roman" w:eastAsia="Times New Roman" w:hint="default"/>
        </w:rPr>
        <w:t>3</w:t>
      </w:r>
      <w:r>
        <w:rPr/>
        <w:t>、主要业务</w:t>
      </w:r>
    </w:p>
    <w:p>
      <w:pPr>
        <w:pStyle w:val="BodyText"/>
        <w:spacing w:line="240" w:lineRule="auto" w:before="14"/>
        <w:ind w:left="472" w:right="94"/>
        <w:jc w:val="left"/>
      </w:pPr>
      <w:r>
        <w:rPr/>
        <w:t>公司主要产品及业务：健康数据服务、智能融合云服务。</w:t>
      </w:r>
    </w:p>
    <w:p>
      <w:pPr>
        <w:pStyle w:val="BodyText"/>
        <w:spacing w:line="338" w:lineRule="auto" w:before="117"/>
        <w:ind w:left="472" w:right="94"/>
        <w:jc w:val="left"/>
      </w:pPr>
      <w:r>
        <w:rPr>
          <w:rFonts w:ascii="Times New Roman" w:hAnsi="Times New Roman" w:cs="Times New Roman" w:eastAsia="Times New Roman" w:hint="default"/>
        </w:rPr>
        <w:t>4</w:t>
      </w:r>
      <w:r>
        <w:rPr/>
        <w:t>、经营范围 </w:t>
      </w:r>
      <w:r>
        <w:rPr>
          <w:spacing w:val="-2"/>
        </w:rPr>
        <w:t>公司的经营范围为：许可经营项目：第二类增值电信业务中的信息服务业务（不含固定网电话信息服务和互联网信息服</w:t>
      </w:r>
    </w:p>
    <w:p>
      <w:pPr>
        <w:pStyle w:val="BodyText"/>
        <w:spacing w:line="240" w:lineRule="auto" w:before="2"/>
        <w:ind w:right="94"/>
        <w:jc w:val="left"/>
      </w:pPr>
      <w:r>
        <w:rPr/>
        <w:t>务</w:t>
      </w:r>
      <w:r>
        <w:rPr>
          <w:spacing w:val="-89"/>
        </w:rPr>
        <w:t>）</w:t>
      </w:r>
      <w:r>
        <w:rPr/>
        <w:t>；一般经营项目：计算机软硬件技术、电控工程技术开发；计算机系统集成（持资质证经营）及咨询服务，计算机及辅</w:t>
      </w:r>
    </w:p>
    <w:p>
      <w:pPr>
        <w:spacing w:after="0" w:line="240" w:lineRule="auto"/>
        <w:jc w:val="left"/>
        <w:sectPr>
          <w:headerReference w:type="default" r:id="rId41"/>
          <w:pgSz w:w="11910" w:h="16840"/>
          <w:pgMar w:header="868" w:footer="978" w:top="1060" w:bottom="1160" w:left="1020" w:right="940"/>
        </w:sectPr>
      </w:pPr>
    </w:p>
    <w:p>
      <w:pPr>
        <w:spacing w:line="240" w:lineRule="auto" w:before="12"/>
        <w:rPr>
          <w:rFonts w:ascii="宋体" w:hAnsi="宋体" w:cs="宋体" w:eastAsia="宋体" w:hint="default"/>
          <w:sz w:val="25"/>
          <w:szCs w:val="25"/>
        </w:rPr>
      </w:pPr>
      <w:r>
        <w:rPr/>
        <w:pict>
          <v:group style="position:absolute;margin-left:56.34pt;margin-top:28.320024pt;width:482.65pt;height:40.2pt;mso-position-horizontal-relative:page;mso-position-vertical-relative:page;z-index:2080"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BodyText"/>
        <w:spacing w:line="316" w:lineRule="auto" w:before="44"/>
        <w:ind w:right="132"/>
        <w:jc w:val="both"/>
      </w:pPr>
      <w:r>
        <w:rPr>
          <w:spacing w:val="-2"/>
        </w:rPr>
        <w:t>助设备、通讯器材、机械电子设备销售，建筑智能化工程、防雷电工程、安全技术防范设施工程、弱电工程设计、施工，计</w:t>
      </w:r>
      <w:r>
        <w:rPr>
          <w:spacing w:val="-66"/>
        </w:rPr>
        <w:t> </w:t>
      </w:r>
      <w:r>
        <w:rPr>
          <w:spacing w:val="-66"/>
        </w:rPr>
      </w:r>
      <w:r>
        <w:rPr>
          <w:spacing w:val="-2"/>
        </w:rPr>
        <w:t>算机房装修及综合布线（上述项目持资质证经营），计算机系统维护，自营和代理各类商品和技术的进出口，但国家限定公</w:t>
      </w:r>
      <w:r>
        <w:rPr>
          <w:spacing w:val="-71"/>
        </w:rPr>
        <w:t> </w:t>
      </w:r>
      <w:r>
        <w:rPr>
          <w:spacing w:val="-71"/>
        </w:rPr>
      </w:r>
      <w:r>
        <w:rPr>
          <w:spacing w:val="-4"/>
        </w:rPr>
        <w:t>司经营或禁止进出口的商品和技术除外。（依法须经批准的项目，经相关部门批准后方可开展经营活动。）</w:t>
      </w:r>
    </w:p>
    <w:p>
      <w:pPr>
        <w:pStyle w:val="BodyText"/>
        <w:spacing w:line="240" w:lineRule="auto" w:before="57"/>
        <w:ind w:left="472" w:right="0"/>
        <w:jc w:val="left"/>
      </w:pPr>
      <w:r>
        <w:rPr>
          <w:rFonts w:ascii="Times New Roman" w:hAnsi="Times New Roman" w:cs="Times New Roman" w:eastAsia="Times New Roman" w:hint="default"/>
        </w:rPr>
        <w:t>5</w:t>
      </w:r>
      <w:r>
        <w:rPr/>
        <w:t>、公司注册地址：辽宁省沈阳市沈阳经济技术开发区开发大路</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甲</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p>
    <w:p>
      <w:pPr>
        <w:pStyle w:val="BodyText"/>
        <w:spacing w:line="240" w:lineRule="auto" w:before="103"/>
        <w:ind w:left="472" w:right="0"/>
        <w:jc w:val="left"/>
      </w:pPr>
      <w:r>
        <w:rPr>
          <w:rFonts w:ascii="Times New Roman" w:hAnsi="Times New Roman" w:cs="Times New Roman" w:eastAsia="Times New Roman" w:hint="default"/>
        </w:rPr>
        <w:t>6</w:t>
      </w:r>
      <w:r>
        <w:rPr/>
        <w:t>、公司法定代表人：付永全。</w:t>
      </w:r>
    </w:p>
    <w:p>
      <w:pPr>
        <w:pStyle w:val="BodyText"/>
        <w:spacing w:line="240" w:lineRule="auto" w:before="103"/>
        <w:ind w:left="472" w:right="0"/>
        <w:jc w:val="left"/>
      </w:pPr>
      <w:r>
        <w:rPr>
          <w:rFonts w:ascii="Times New Roman" w:hAnsi="Times New Roman" w:cs="Times New Roman" w:eastAsia="Times New Roman" w:hint="default"/>
        </w:rPr>
        <w:t>7</w:t>
      </w:r>
      <w:r>
        <w:rPr/>
        <w:t>、财务报告批准报出日：本财务报告于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日由公司董事会通过并批准发布。</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both"/>
        <w:rPr>
          <w:b w:val="0"/>
          <w:bCs w:val="0"/>
        </w:rPr>
      </w:pPr>
      <w:r>
        <w:rPr/>
        <w:t>（二）合并财务报表范围</w:t>
      </w:r>
      <w:r>
        <w:rPr>
          <w:b w:val="0"/>
          <w:bCs w:val="0"/>
        </w:rPr>
      </w:r>
    </w:p>
    <w:p>
      <w:pPr>
        <w:spacing w:line="240" w:lineRule="auto" w:before="6"/>
        <w:rPr>
          <w:rFonts w:ascii="宋体" w:hAnsi="宋体" w:cs="宋体" w:eastAsia="宋体" w:hint="default"/>
          <w:b/>
          <w:bCs/>
          <w:sz w:val="33"/>
          <w:szCs w:val="33"/>
        </w:rPr>
      </w:pPr>
    </w:p>
    <w:p>
      <w:pPr>
        <w:pStyle w:val="BodyText"/>
        <w:spacing w:line="240" w:lineRule="auto"/>
        <w:ind w:left="472" w:right="0"/>
        <w:jc w:val="left"/>
      </w:pPr>
      <w:r>
        <w:rPr>
          <w:rFonts w:ascii="Times New Roman" w:hAnsi="Times New Roman" w:cs="Times New Roman" w:eastAsia="Times New Roman" w:hint="default"/>
        </w:rPr>
        <w:t>1</w:t>
      </w:r>
      <w:r>
        <w:rPr/>
        <w:t>、本公司合并财务报表范围如下：</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556"/>
        <w:gridCol w:w="1000"/>
        <w:gridCol w:w="851"/>
        <w:gridCol w:w="992"/>
        <w:gridCol w:w="710"/>
        <w:gridCol w:w="711"/>
        <w:gridCol w:w="2834"/>
      </w:tblGrid>
      <w:tr>
        <w:trPr>
          <w:trHeight w:val="342" w:hRule="exact"/>
        </w:trPr>
        <w:tc>
          <w:tcPr>
            <w:tcW w:w="2556" w:type="dxa"/>
            <w:vMerge w:val="restart"/>
            <w:tcBorders>
              <w:top w:val="single" w:sz="4" w:space="0" w:color="000000"/>
              <w:left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00" w:type="dxa"/>
            <w:vMerge w:val="restart"/>
            <w:tcBorders>
              <w:top w:val="single" w:sz="4" w:space="0" w:color="000000"/>
              <w:left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851" w:type="dxa"/>
            <w:vMerge w:val="restart"/>
            <w:tcBorders>
              <w:top w:val="single" w:sz="4" w:space="0" w:color="000000"/>
              <w:left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92" w:type="dxa"/>
            <w:vMerge w:val="restart"/>
            <w:tcBorders>
              <w:top w:val="single" w:sz="4" w:space="0" w:color="000000"/>
              <w:left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21" w:type="dxa"/>
            <w:gridSpan w:val="2"/>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0"/>
              <w:ind w:left="19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834" w:type="dxa"/>
            <w:vMerge w:val="restart"/>
            <w:tcBorders>
              <w:top w:val="single" w:sz="4" w:space="0" w:color="000000"/>
              <w:left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42" w:hRule="exact"/>
        </w:trPr>
        <w:tc>
          <w:tcPr>
            <w:tcW w:w="2556" w:type="dxa"/>
            <w:vMerge/>
            <w:tcBorders>
              <w:left w:val="single" w:sz="4" w:space="0" w:color="000000"/>
              <w:bottom w:val="single" w:sz="4" w:space="0" w:color="000000"/>
              <w:right w:val="single" w:sz="4" w:space="0" w:color="000000"/>
            </w:tcBorders>
            <w:shd w:val="clear" w:color="auto" w:fill="D6D6D6"/>
          </w:tcPr>
          <w:p>
            <w:pPr/>
          </w:p>
        </w:tc>
        <w:tc>
          <w:tcPr>
            <w:tcW w:w="1000" w:type="dxa"/>
            <w:vMerge/>
            <w:tcBorders>
              <w:left w:val="single" w:sz="4" w:space="0" w:color="000000"/>
              <w:bottom w:val="single" w:sz="4" w:space="0" w:color="000000"/>
              <w:right w:val="single" w:sz="4" w:space="0" w:color="000000"/>
            </w:tcBorders>
            <w:shd w:val="clear" w:color="auto" w:fill="D6D6D6"/>
          </w:tcPr>
          <w:p>
            <w:pPr/>
          </w:p>
        </w:tc>
        <w:tc>
          <w:tcPr>
            <w:tcW w:w="851" w:type="dxa"/>
            <w:vMerge/>
            <w:tcBorders>
              <w:left w:val="single" w:sz="4" w:space="0" w:color="000000"/>
              <w:bottom w:val="single" w:sz="4" w:space="0" w:color="000000"/>
              <w:right w:val="single" w:sz="4" w:space="0" w:color="000000"/>
            </w:tcBorders>
            <w:shd w:val="clear" w:color="auto" w:fill="D6D6D6"/>
          </w:tcPr>
          <w:p>
            <w:pPr/>
          </w:p>
        </w:tc>
        <w:tc>
          <w:tcPr>
            <w:tcW w:w="992" w:type="dxa"/>
            <w:vMerge/>
            <w:tcBorders>
              <w:left w:val="single" w:sz="4" w:space="0" w:color="000000"/>
              <w:bottom w:val="single" w:sz="4" w:space="0" w:color="000000"/>
              <w:right w:val="single" w:sz="4" w:space="0" w:color="000000"/>
            </w:tcBorders>
            <w:shd w:val="clear" w:color="auto" w:fill="D6D6D6"/>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1"/>
              <w:ind w:left="170"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2834" w:type="dxa"/>
            <w:vMerge/>
            <w:tcBorders>
              <w:left w:val="single" w:sz="4" w:space="0" w:color="000000"/>
              <w:bottom w:val="single" w:sz="4" w:space="0" w:color="000000"/>
              <w:right w:val="single" w:sz="4" w:space="0" w:color="000000"/>
            </w:tcBorders>
            <w:shd w:val="clear" w:color="auto" w:fill="D6D6D6"/>
          </w:tcPr>
          <w:p>
            <w:pPr/>
          </w:p>
        </w:tc>
      </w:tr>
      <w:tr>
        <w:trPr>
          <w:trHeight w:val="342"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70.00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r>
      <w:tr>
        <w:trPr>
          <w:trHeight w:val="342"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铁岭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铁岭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r>
      <w:tr>
        <w:trPr>
          <w:trHeight w:val="342"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r>
      <w:tr>
        <w:trPr>
          <w:trHeight w:val="342"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342"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342"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苏州易健医疗信息技术有限公司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342"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北京米东信息技术有限公司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55.00</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342"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西藏米健信息技术有限公司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西藏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西藏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r>
      <w:tr>
        <w:trPr>
          <w:trHeight w:val="422"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上海米健健康科技有限公司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100.00</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r>
    </w:tbl>
    <w:p>
      <w:pPr>
        <w:pStyle w:val="BodyText"/>
        <w:spacing w:line="240" w:lineRule="auto" w:before="52"/>
        <w:ind w:right="0"/>
        <w:jc w:val="left"/>
      </w:pPr>
      <w:r>
        <w:rPr/>
        <w:t>以上子公司具体信息详见本报告第十一节、九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pStyle w:val="BodyText"/>
        <w:spacing w:line="240" w:lineRule="auto" w:before="101"/>
        <w:ind w:left="472" w:right="0"/>
        <w:jc w:val="left"/>
      </w:pPr>
      <w:r>
        <w:rPr>
          <w:rFonts w:ascii="Times New Roman" w:hAnsi="Times New Roman" w:cs="Times New Roman" w:eastAsia="Times New Roman" w:hint="default"/>
        </w:rPr>
        <w:t>2</w:t>
      </w:r>
      <w:r>
        <w:rPr/>
        <w:t>、本公司本期合并财务报表范围变化</w:t>
      </w:r>
    </w:p>
    <w:p>
      <w:pPr>
        <w:pStyle w:val="BodyText"/>
        <w:spacing w:line="240" w:lineRule="auto" w:before="103"/>
        <w:ind w:left="472"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10"/>
        </w:rPr>
        <w:t> </w:t>
      </w:r>
      <w:r>
        <w:rPr/>
        <w:t>日，根据公司第二届董事会第二十四次会议审议通过的《关于注销控股子公司沈阳荣科全濠科技</w:t>
      </w:r>
    </w:p>
    <w:p>
      <w:pPr>
        <w:pStyle w:val="BodyText"/>
        <w:spacing w:line="240" w:lineRule="auto" w:before="63"/>
        <w:ind w:right="0"/>
        <w:jc w:val="left"/>
      </w:pPr>
      <w:r>
        <w:rPr/>
        <w:t>有限公司的议案</w:t>
      </w:r>
      <w:r>
        <w:rPr>
          <w:spacing w:val="-89"/>
        </w:rPr>
        <w:t>》</w:t>
      </w:r>
      <w:r>
        <w:rPr>
          <w:spacing w:val="-32"/>
        </w:rPr>
        <w:t>，</w:t>
      </w:r>
      <w:r>
        <w:rPr/>
        <w:t>公司拟注销子公司沈阳荣科全濠科技有限公司</w:t>
      </w:r>
      <w:r>
        <w:rPr>
          <w:spacing w:val="-34"/>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34"/>
        </w:rPr>
        <w:t>，</w:t>
      </w:r>
      <w:r>
        <w:rPr/>
        <w:t>沈阳荣科全濠科技有限公司取</w:t>
      </w:r>
      <w:r>
        <w:rPr>
          <w:spacing w:val="-32"/>
        </w:rPr>
        <w:t>得</w:t>
      </w:r>
      <w:r>
        <w:rPr/>
        <w:t>（沈</w:t>
      </w:r>
    </w:p>
    <w:p>
      <w:pPr>
        <w:pStyle w:val="BodyText"/>
        <w:spacing w:line="240" w:lineRule="auto" w:before="63"/>
        <w:ind w:right="0"/>
        <w:jc w:val="left"/>
      </w:pPr>
      <w:r>
        <w:rPr>
          <w:rFonts w:ascii="Times New Roman" w:hAnsi="Times New Roman" w:cs="Times New Roman" w:eastAsia="Times New Roman" w:hint="default"/>
        </w:rPr>
        <w:t>08</w:t>
      </w:r>
      <w:r>
        <w:rPr/>
        <w:t>）工商外资销准字【</w:t>
      </w:r>
      <w:r>
        <w:rPr>
          <w:rFonts w:ascii="Times New Roman" w:hAnsi="Times New Roman" w:cs="Times New Roman" w:eastAsia="Times New Roman" w:hint="default"/>
        </w:rPr>
        <w:t>2017</w:t>
      </w:r>
      <w:r>
        <w:rPr/>
        <w:t>】第</w:t>
      </w:r>
      <w:r>
        <w:rPr>
          <w:spacing w:val="-49"/>
        </w:rPr>
        <w:t> </w:t>
      </w:r>
      <w:r>
        <w:rPr>
          <w:rFonts w:ascii="Times New Roman" w:hAnsi="Times New Roman" w:cs="Times New Roman" w:eastAsia="Times New Roman" w:hint="default"/>
        </w:rPr>
        <w:t>2017022808</w:t>
      </w:r>
      <w:r>
        <w:rPr>
          <w:rFonts w:ascii="Times New Roman" w:hAnsi="Times New Roman" w:cs="Times New Roman" w:eastAsia="Times New Roman" w:hint="default"/>
          <w:spacing w:val="-4"/>
        </w:rPr>
        <w:t> </w:t>
      </w:r>
      <w:r>
        <w:rPr/>
        <w:t>号外商投资企业注销登记通知书。相关注销工作已经完成。</w:t>
      </w:r>
    </w:p>
    <w:p>
      <w:pPr>
        <w:pStyle w:val="BodyText"/>
        <w:spacing w:line="240" w:lineRule="auto" w:before="103"/>
        <w:ind w:left="472"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日，公司之子公司上海米健信息技术有限公司出资设立全资子公司上海米健健康科技有限公司。截</w:t>
      </w:r>
    </w:p>
    <w:p>
      <w:pPr>
        <w:pStyle w:val="BodyText"/>
        <w:spacing w:line="300" w:lineRule="auto" w:before="63"/>
        <w:ind w:right="128"/>
        <w:jc w:val="left"/>
      </w:pPr>
      <w:r>
        <w:rPr/>
        <w:t>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日止，上海米健健康科技有限公司注册资本</w:t>
      </w:r>
      <w:r>
        <w:rPr>
          <w:spacing w:val="-47"/>
        </w:rPr>
        <w:t> </w:t>
      </w:r>
      <w:r>
        <w:rPr>
          <w:rFonts w:ascii="Times New Roman" w:hAnsi="Times New Roman" w:cs="Times New Roman" w:eastAsia="Times New Roman" w:hint="default"/>
        </w:rPr>
        <w:t>200</w:t>
      </w:r>
      <w:r>
        <w:rPr>
          <w:rFonts w:ascii="Times New Roman" w:hAnsi="Times New Roman" w:cs="Times New Roman" w:eastAsia="Times New Roman" w:hint="default"/>
          <w:spacing w:val="-3"/>
        </w:rPr>
        <w:t> </w:t>
      </w:r>
      <w:r>
        <w:rPr>
          <w:spacing w:val="-4"/>
        </w:rPr>
        <w:t>万元，实收资本</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4"/>
        </w:rPr>
        <w:t>元，公司将其纳入</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年度合并财务 报表。</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本公司以持续经营为基础，根据实际发生的交易和事项，按照企业会计准则及其应用指南和准则解释的规定进行确认和</w:t>
      </w:r>
      <w:r>
        <w:rPr/>
        <w:t> 计量，在此基础上编制财务报表。</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本公司对自报告期末起12个月的持续经营能力进行了评估，未发现影响本公司持续经营能力的事项，本公司以持续经营</w:t>
      </w:r>
      <w:r>
        <w:rPr/>
        <w:t> 为基础编制财务报表是合理的。</w:t>
      </w:r>
    </w:p>
    <w:p>
      <w:pPr>
        <w:spacing w:after="0" w:line="316" w:lineRule="auto"/>
        <w:jc w:val="left"/>
        <w:sectPr>
          <w:pgSz w:w="11910" w:h="16840"/>
          <w:pgMar w:header="868" w:footer="978" w:top="1060" w:bottom="1160" w:left="1020" w:right="1000"/>
        </w:sectPr>
      </w:pPr>
    </w:p>
    <w:p>
      <w:pPr>
        <w:spacing w:line="240" w:lineRule="auto" w:before="8"/>
        <w:rPr>
          <w:rFonts w:ascii="宋体" w:hAnsi="宋体" w:cs="宋体" w:eastAsia="宋体" w:hint="default"/>
          <w:sz w:val="23"/>
          <w:szCs w:val="23"/>
        </w:rPr>
      </w:pPr>
      <w:r>
        <w:rPr/>
        <w:pict>
          <v:group style="position:absolute;margin-left:56.34pt;margin-top:28.320024pt;width:482.65pt;height:40.2pt;mso-position-horizontal-relative:page;mso-position-vertical-relative:page;z-index:2104"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Heading2"/>
        <w:spacing w:line="240" w:lineRule="auto" w:before="26"/>
        <w:ind w:right="94"/>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6754"/>
        <w:jc w:val="left"/>
      </w:pPr>
      <w:r>
        <w:rPr/>
        <w:t>公司是否需要遵守特殊行业的披露要求 否</w:t>
      </w:r>
    </w:p>
    <w:p>
      <w:pPr>
        <w:pStyle w:val="BodyText"/>
        <w:spacing w:line="316" w:lineRule="auto" w:before="19"/>
        <w:ind w:left="472" w:right="454" w:hanging="360"/>
        <w:jc w:val="left"/>
      </w:pPr>
      <w:r>
        <w:rPr/>
        <w:t>具体会计政策和会计估计提示： 本公司下列重要会计政策、会计估计根据企业会计准则制定。未提及的业务按企业会计准则中相关会计政策执行。</w:t>
      </w:r>
    </w:p>
    <w:p>
      <w:pPr>
        <w:spacing w:line="240" w:lineRule="auto" w:before="8"/>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本公司所编制的财务报表符合企业会计准则的要求，真实、完整地反映了公司的财务状况、经营成果、所有者权益变动</w:t>
      </w:r>
      <w:r>
        <w:rPr/>
        <w:t> 和现金流量等有关信息。</w:t>
      </w:r>
    </w:p>
    <w:p>
      <w:pPr>
        <w:spacing w:line="240" w:lineRule="auto" w:before="8"/>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94"/>
        <w:jc w:val="left"/>
      </w:pPr>
      <w:r>
        <w:rPr/>
        <w:t>本公司会计年度自公历1月1日起至12月31日止。</w:t>
      </w:r>
    </w:p>
    <w:p>
      <w:pPr>
        <w:spacing w:line="240" w:lineRule="auto" w:before="11"/>
        <w:rPr>
          <w:rFonts w:ascii="宋体" w:hAnsi="宋体" w:cs="宋体" w:eastAsia="宋体" w:hint="default"/>
          <w:sz w:val="26"/>
          <w:szCs w:val="26"/>
        </w:rPr>
      </w:pPr>
    </w:p>
    <w:p>
      <w:pPr>
        <w:pStyle w:val="Heading3"/>
        <w:spacing w:line="240" w:lineRule="auto"/>
        <w:ind w:right="675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2" w:right="6754"/>
        <w:jc w:val="left"/>
      </w:pPr>
      <w:r>
        <w:rPr/>
        <w:t>本公司正常营业周期为一年。</w:t>
      </w:r>
    </w:p>
    <w:p>
      <w:pPr>
        <w:spacing w:line="240" w:lineRule="auto" w:before="11"/>
        <w:rPr>
          <w:rFonts w:ascii="宋体" w:hAnsi="宋体" w:cs="宋体" w:eastAsia="宋体" w:hint="default"/>
          <w:sz w:val="26"/>
          <w:szCs w:val="26"/>
        </w:rPr>
      </w:pPr>
    </w:p>
    <w:p>
      <w:pPr>
        <w:pStyle w:val="Heading3"/>
        <w:spacing w:line="240" w:lineRule="auto"/>
        <w:ind w:right="675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94"/>
        <w:jc w:val="left"/>
      </w:pPr>
      <w:r>
        <w:rPr/>
        <w:t>本公司的记账本位币为人民币，境外(分)子公司按所在国家或地区的货币为记账本位币。</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2" w:right="94" w:hanging="360"/>
        <w:jc w:val="left"/>
      </w:pPr>
      <w:r>
        <w:rPr/>
        <w:t>（</w:t>
      </w:r>
      <w:r>
        <w:rPr>
          <w:rFonts w:ascii="Times New Roman" w:hAnsi="Times New Roman" w:cs="Times New Roman" w:eastAsia="Times New Roman" w:hint="default"/>
        </w:rPr>
        <w:t>1</w:t>
      </w:r>
      <w:r>
        <w:rPr/>
        <w:t>）同一控制下的企业合并 </w:t>
      </w:r>
      <w:r>
        <w:rPr>
          <w:spacing w:val="-4"/>
        </w:rPr>
        <w:t>本公司在企业合并中取得的资产和负债，在合并日按取得被合并方在最终控制方合并财务报表中的账面价值计量。其中，</w:t>
      </w:r>
    </w:p>
    <w:p>
      <w:pPr>
        <w:pStyle w:val="BodyText"/>
        <w:spacing w:line="316" w:lineRule="auto" w:before="31"/>
        <w:ind w:right="190"/>
        <w:jc w:val="both"/>
      </w:pPr>
      <w:r>
        <w:rPr>
          <w:spacing w:val="-2"/>
        </w:rPr>
        <w:t>对于被合并方与本公司在企业合并前采用的会计政策不同的，基于重要性原则统一会计政策，即按照本公司的会计政策对被</w:t>
      </w:r>
      <w:r>
        <w:rPr>
          <w:spacing w:val="-64"/>
        </w:rPr>
        <w:t> </w:t>
      </w:r>
      <w:r>
        <w:rPr>
          <w:spacing w:val="-64"/>
        </w:rPr>
      </w:r>
      <w:r>
        <w:rPr>
          <w:spacing w:val="-2"/>
        </w:rPr>
        <w:t>合并方资产、负债的账面价值进行调整。本公司在企业合并中取得的净资产账面价值与所支付对价的账面价值之间存在差额</w:t>
      </w:r>
      <w:r>
        <w:rPr>
          <w:spacing w:val="-64"/>
        </w:rPr>
        <w:t> </w:t>
      </w:r>
      <w:r>
        <w:rPr>
          <w:spacing w:val="-64"/>
        </w:rPr>
      </w:r>
      <w:r>
        <w:rPr>
          <w:spacing w:val="-2"/>
        </w:rPr>
        <w:t>的，首先调整资本公积（资本溢价或股本溢价），资本公积（资本溢价或股本溢价）的余额不足冲减的，依次冲减盈余公积</w:t>
      </w:r>
      <w:r>
        <w:rPr>
          <w:spacing w:val="-64"/>
        </w:rPr>
        <w:t> </w:t>
      </w:r>
      <w:r>
        <w:rPr>
          <w:spacing w:val="-64"/>
        </w:rPr>
      </w:r>
      <w:r>
        <w:rPr/>
        <w:t>和未分配利润。</w:t>
      </w:r>
    </w:p>
    <w:p>
      <w:pPr>
        <w:pStyle w:val="BodyText"/>
        <w:spacing w:line="300" w:lineRule="auto" w:before="19"/>
        <w:ind w:left="472" w:right="94" w:hanging="360"/>
        <w:jc w:val="left"/>
      </w:pPr>
      <w:r>
        <w:rPr/>
        <w:t>（</w:t>
      </w:r>
      <w:r>
        <w:rPr>
          <w:rFonts w:ascii="Times New Roman" w:hAnsi="Times New Roman" w:cs="Times New Roman" w:eastAsia="Times New Roman" w:hint="default"/>
        </w:rPr>
        <w:t>2</w:t>
      </w:r>
      <w:r>
        <w:rPr/>
        <w:t>）非同一控制下的企业合并 </w:t>
      </w:r>
      <w:r>
        <w:rPr>
          <w:spacing w:val="-2"/>
        </w:rPr>
        <w:t>本公司在企业合并中取得的被购买方各项可辨认资产和负债，在购买日按其公允价值计量。其中，对于被购买方与本公</w:t>
      </w:r>
    </w:p>
    <w:p>
      <w:pPr>
        <w:pStyle w:val="BodyText"/>
        <w:spacing w:line="316" w:lineRule="auto" w:before="31"/>
        <w:ind w:right="190"/>
        <w:jc w:val="both"/>
      </w:pPr>
      <w:r>
        <w:rPr>
          <w:spacing w:val="-2"/>
        </w:rPr>
        <w:t>司在企业合并前采用的会计政策不同的，基于重要性原则统一会计政策，即按照本公司的会计政策对被购买方资产、负债的</w:t>
      </w:r>
      <w:r>
        <w:rPr>
          <w:spacing w:val="-63"/>
        </w:rPr>
        <w:t> </w:t>
      </w:r>
      <w:r>
        <w:rPr>
          <w:spacing w:val="-63"/>
        </w:rPr>
      </w:r>
      <w:r>
        <w:rPr>
          <w:spacing w:val="-2"/>
        </w:rPr>
        <w:t>账面价值进行调整。本公司在购买日的合并成本大于企业合并中取得的被购买方可辨认资产、负债公允价值的差额，确认为</w:t>
      </w:r>
      <w:r>
        <w:rPr>
          <w:spacing w:val="-63"/>
        </w:rPr>
        <w:t> </w:t>
      </w:r>
      <w:r>
        <w:rPr>
          <w:spacing w:val="-63"/>
        </w:rPr>
      </w:r>
      <w:r>
        <w:rPr>
          <w:spacing w:val="-2"/>
        </w:rPr>
        <w:t>商誉；如果合并成本小于企业合并中取得的被购买方可辨认资产、负债公允价值的差额，首先对合并成本以及在企业合并中</w:t>
      </w:r>
      <w:r>
        <w:rPr>
          <w:spacing w:val="-63"/>
        </w:rPr>
        <w:t> </w:t>
      </w:r>
      <w:r>
        <w:rPr>
          <w:spacing w:val="-63"/>
        </w:rPr>
      </w:r>
      <w:r>
        <w:rPr>
          <w:spacing w:val="-2"/>
        </w:rPr>
        <w:t>取得的被购买方可辨认资产、负债的公允价值进行复核，经复核后合并成本仍小于取得的被购买方可辨认资产、负债公允价</w:t>
      </w:r>
      <w:r>
        <w:rPr>
          <w:spacing w:val="-63"/>
        </w:rPr>
        <w:t> </w:t>
      </w:r>
      <w:r>
        <w:rPr>
          <w:spacing w:val="-63"/>
        </w:rPr>
      </w:r>
      <w:r>
        <w:rPr/>
        <w:t>值的，其差额确认为合并当期损益。</w:t>
      </w:r>
    </w:p>
    <w:p>
      <w:pPr>
        <w:spacing w:line="240" w:lineRule="auto" w:before="6"/>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2" w:right="94" w:hanging="360"/>
        <w:jc w:val="left"/>
      </w:pPr>
      <w:r>
        <w:rPr/>
        <w:t>（</w:t>
      </w:r>
      <w:r>
        <w:rPr>
          <w:rFonts w:ascii="Times New Roman" w:hAnsi="Times New Roman" w:cs="Times New Roman" w:eastAsia="Times New Roman" w:hint="default"/>
        </w:rPr>
        <w:t>1</w:t>
      </w:r>
      <w:r>
        <w:rPr/>
        <w:t>）合并范围的确定 </w:t>
      </w:r>
      <w:r>
        <w:rPr>
          <w:spacing w:val="-2"/>
        </w:rPr>
        <w:t>合并财务报表的合并范围以控制为基础予以确定，不仅包括根据表决权（或类似表决权）本身或者结合其他安排确定的</w:t>
      </w:r>
    </w:p>
    <w:p>
      <w:pPr>
        <w:pStyle w:val="BodyText"/>
        <w:spacing w:line="240" w:lineRule="auto" w:before="31"/>
        <w:ind w:right="94"/>
        <w:jc w:val="left"/>
      </w:pPr>
      <w:r>
        <w:rPr/>
        <w:t>子公司，也包括基于一项或多项合同安排决定的结构化主体。</w:t>
      </w:r>
    </w:p>
    <w:p>
      <w:pPr>
        <w:spacing w:after="0" w:line="240" w:lineRule="auto"/>
        <w:jc w:val="left"/>
        <w:sectPr>
          <w:pgSz w:w="11910" w:h="16840"/>
          <w:pgMar w:header="868" w:footer="978" w:top="1060" w:bottom="1160" w:left="1020" w:right="940"/>
        </w:sectPr>
      </w:pPr>
    </w:p>
    <w:p>
      <w:pPr>
        <w:spacing w:line="240" w:lineRule="auto" w:before="12"/>
        <w:rPr>
          <w:rFonts w:ascii="宋体" w:hAnsi="宋体" w:cs="宋体" w:eastAsia="宋体" w:hint="default"/>
          <w:sz w:val="25"/>
          <w:szCs w:val="25"/>
        </w:rPr>
      </w:pPr>
      <w:r>
        <w:rPr/>
        <w:pict>
          <v:group style="position:absolute;margin-left:56.34pt;margin-top:28.320024pt;width:482.65pt;height:40.2pt;mso-position-horizontal-relative:page;mso-position-vertical-relative:page;z-index:2128"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BodyText"/>
        <w:spacing w:line="316" w:lineRule="auto" w:before="44"/>
        <w:ind w:right="110" w:firstLine="360"/>
        <w:jc w:val="both"/>
      </w:pPr>
      <w:r>
        <w:rPr>
          <w:spacing w:val="-2"/>
        </w:rPr>
        <w:t>控制是指本公司拥有对被投资方的权力，通过参与被投资方的相关活动而享有可变回报，并且有能力运用对被投资方的</w:t>
      </w:r>
      <w:r>
        <w:rPr/>
        <w:t> </w:t>
      </w:r>
      <w:r>
        <w:rPr>
          <w:spacing w:val="-2"/>
        </w:rPr>
        <w:t>权力影响其回报金额。子公司是指被本公司控制的主体（含企业、被投资单位中可分割的部分，以及企业所控制的结构化主</w:t>
      </w:r>
      <w:r>
        <w:rPr>
          <w:spacing w:val="-65"/>
        </w:rPr>
        <w:t> </w:t>
      </w:r>
      <w:r>
        <w:rPr>
          <w:spacing w:val="-65"/>
        </w:rPr>
      </w:r>
      <w:r>
        <w:rPr>
          <w:spacing w:val="-2"/>
        </w:rPr>
        <w:t>体等），结构化主体是指在确定其控制方时没有将表决权或类似权利作为决定性因素而设计的主体（注：有时也称为特殊目</w:t>
      </w:r>
      <w:r>
        <w:rPr>
          <w:spacing w:val="-64"/>
        </w:rPr>
        <w:t> </w:t>
      </w:r>
      <w:r>
        <w:rPr>
          <w:spacing w:val="-64"/>
        </w:rPr>
      </w:r>
      <w:r>
        <w:rPr/>
        <w:t>的主体）。</w:t>
      </w:r>
    </w:p>
    <w:p>
      <w:pPr>
        <w:pStyle w:val="BodyText"/>
        <w:spacing w:line="300" w:lineRule="auto" w:before="19"/>
        <w:ind w:left="472" w:right="2714" w:hanging="360"/>
        <w:jc w:val="left"/>
      </w:pPr>
      <w:r>
        <w:rPr/>
        <w:t>（</w:t>
      </w:r>
      <w:r>
        <w:rPr>
          <w:rFonts w:ascii="Times New Roman" w:hAnsi="Times New Roman" w:cs="Times New Roman" w:eastAsia="Times New Roman" w:hint="default"/>
        </w:rPr>
        <w:t>2</w:t>
      </w:r>
      <w:r>
        <w:rPr/>
        <w:t>）合并财务报表的编制方法 本公司以自身和子公司的财务报表为基础，根据其他有关资料，编制合并财务报表。</w:t>
      </w:r>
    </w:p>
    <w:p>
      <w:pPr>
        <w:pStyle w:val="BodyText"/>
        <w:spacing w:line="316" w:lineRule="auto" w:before="31"/>
        <w:ind w:right="0" w:firstLine="360"/>
        <w:jc w:val="left"/>
      </w:pPr>
      <w:r>
        <w:rPr>
          <w:spacing w:val="-2"/>
        </w:rPr>
        <w:t>本公司编制合并财务报表，将整个企业集团视为一个会计主体，依据相关企业会计准则的确认、计量和列报要求，按照</w:t>
      </w:r>
      <w:r>
        <w:rPr/>
        <w:t> 统一的会计政策，反映企业集团整体财务状况、经营成果和现金流量。</w:t>
      </w:r>
    </w:p>
    <w:p>
      <w:pPr>
        <w:pStyle w:val="BodyText"/>
        <w:spacing w:line="240" w:lineRule="auto" w:before="19"/>
        <w:ind w:left="472" w:right="0"/>
        <w:jc w:val="left"/>
      </w:pPr>
      <w:r>
        <w:rPr/>
        <w:t>①合并母公司与子公司的资产、负债、所有者权益、收入、费用和现金流等项目。</w:t>
      </w:r>
    </w:p>
    <w:p>
      <w:pPr>
        <w:pStyle w:val="BodyText"/>
        <w:spacing w:line="240" w:lineRule="auto" w:before="76"/>
        <w:ind w:left="472" w:right="0"/>
        <w:jc w:val="left"/>
      </w:pPr>
      <w:r>
        <w:rPr/>
        <w:t>②抵销母公司对子公司的长期股权投资与母公司在子公司所有者权益中所享有的份额。</w:t>
      </w:r>
    </w:p>
    <w:p>
      <w:pPr>
        <w:pStyle w:val="BodyText"/>
        <w:spacing w:line="316" w:lineRule="auto" w:before="76"/>
        <w:ind w:right="0" w:firstLine="360"/>
        <w:jc w:val="left"/>
      </w:pPr>
      <w:r>
        <w:rPr>
          <w:spacing w:val="-2"/>
        </w:rPr>
        <w:t>③抵销母公司与子公司、子公司相互之间发生的内部交易的影响。内部交易表明相关资产发生减值损失的，应当全额确</w:t>
      </w:r>
      <w:r>
        <w:rPr/>
        <w:t> 认该部分损失。</w:t>
      </w:r>
    </w:p>
    <w:p>
      <w:pPr>
        <w:pStyle w:val="BodyText"/>
        <w:spacing w:line="240" w:lineRule="auto" w:before="19"/>
        <w:ind w:left="472" w:right="0"/>
        <w:jc w:val="left"/>
      </w:pPr>
      <w:r>
        <w:rPr/>
        <w:t>④站在企业集团角度对特殊交易事项予以调整。</w:t>
      </w:r>
    </w:p>
    <w:p>
      <w:pPr>
        <w:pStyle w:val="BodyText"/>
        <w:spacing w:line="300" w:lineRule="auto" w:before="76"/>
        <w:ind w:left="472" w:right="7124" w:hanging="360"/>
        <w:jc w:val="left"/>
      </w:pPr>
      <w:r>
        <w:rPr/>
        <w:t>（</w:t>
      </w:r>
      <w:r>
        <w:rPr>
          <w:rFonts w:ascii="Times New Roman" w:hAnsi="Times New Roman" w:cs="Times New Roman" w:eastAsia="Times New Roman" w:hint="default"/>
        </w:rPr>
        <w:t>3</w:t>
      </w:r>
      <w:r>
        <w:rPr/>
        <w:t>）报告期内增减子公司的处理 1）增加子公司或业务</w:t>
      </w:r>
    </w:p>
    <w:p>
      <w:pPr>
        <w:pStyle w:val="BodyText"/>
        <w:spacing w:line="240" w:lineRule="auto" w:before="31"/>
        <w:ind w:left="472" w:right="0"/>
        <w:jc w:val="left"/>
      </w:pPr>
      <w:r>
        <w:rPr/>
        <w:t>①同一控制下企业合并增加的子公司或业务</w:t>
      </w:r>
    </w:p>
    <w:p>
      <w:pPr>
        <w:pStyle w:val="BodyText"/>
        <w:spacing w:line="316" w:lineRule="auto" w:before="76"/>
        <w:ind w:right="104" w:firstLine="360"/>
        <w:jc w:val="left"/>
      </w:pPr>
      <w:r>
        <w:rPr/>
        <w:t>（a）编制合并资产负债表时，调整合并资产负债表的期初数，同时对比较报表的相关项目进行调整，视同合并后的报 告主体自最终控制方开始控制时点起一直存在。</w:t>
      </w:r>
    </w:p>
    <w:p>
      <w:pPr>
        <w:pStyle w:val="BodyText"/>
        <w:spacing w:line="316" w:lineRule="auto" w:before="19"/>
        <w:ind w:right="104" w:firstLine="360"/>
        <w:jc w:val="left"/>
      </w:pPr>
      <w:r>
        <w:rPr/>
        <w:t>（b）编制合并利润表时，将该子公司以及业务合并当期期初至报告期末的收入、费用、利润纳入合并利润表，同时对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BodyText"/>
        <w:spacing w:line="316" w:lineRule="auto" w:before="19"/>
        <w:ind w:right="104" w:firstLine="360"/>
        <w:jc w:val="left"/>
      </w:pPr>
      <w:r>
        <w:rPr/>
        <w:t>（c）编制合并现金流量表时，将该子公司以及业务合并当期期初至报告期末的现金流量纳入合并现金流量表，同时对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BodyText"/>
        <w:spacing w:line="240" w:lineRule="auto" w:before="19"/>
        <w:ind w:left="472" w:right="0"/>
        <w:jc w:val="left"/>
      </w:pPr>
      <w:r>
        <w:rPr/>
        <w:t>②非同一控制下企业合并增加的子公司或业务</w:t>
      </w:r>
    </w:p>
    <w:p>
      <w:pPr>
        <w:pStyle w:val="BodyText"/>
        <w:spacing w:line="240" w:lineRule="auto" w:before="76"/>
        <w:ind w:left="472" w:right="0"/>
        <w:jc w:val="left"/>
      </w:pPr>
      <w:r>
        <w:rPr/>
        <w:t>（a）编制合并资产负债表时，不调整合并资产负债表的期初数。</w:t>
      </w:r>
    </w:p>
    <w:p>
      <w:pPr>
        <w:pStyle w:val="BodyText"/>
        <w:spacing w:line="240" w:lineRule="auto" w:before="76"/>
        <w:ind w:left="472" w:right="0"/>
        <w:jc w:val="left"/>
      </w:pPr>
      <w:r>
        <w:rPr/>
        <w:t>（b）编制合并利润表时，将该子公司以及业务购买日至报告期末的收入、费用、利润纳入合并利润表。</w:t>
      </w:r>
    </w:p>
    <w:p>
      <w:pPr>
        <w:pStyle w:val="BodyText"/>
        <w:spacing w:line="316" w:lineRule="auto" w:before="76"/>
        <w:ind w:left="472" w:right="1904"/>
        <w:jc w:val="left"/>
      </w:pPr>
      <w:r>
        <w:rPr/>
        <w:t>（c）编制合并现金流量表时，将该子公司购买日至报告期末的现金流量纳入合并现金流量表。 2）处置子公司或业务</w:t>
      </w:r>
    </w:p>
    <w:p>
      <w:pPr>
        <w:pStyle w:val="BodyText"/>
        <w:spacing w:line="240" w:lineRule="auto" w:before="19"/>
        <w:ind w:left="472" w:right="0"/>
        <w:jc w:val="left"/>
      </w:pPr>
      <w:r>
        <w:rPr/>
        <w:t>①编制合并资产负债表时，不调整合并资产负债表的期初数。</w:t>
      </w:r>
    </w:p>
    <w:p>
      <w:pPr>
        <w:pStyle w:val="BodyText"/>
        <w:spacing w:line="240" w:lineRule="auto" w:before="76"/>
        <w:ind w:left="472" w:right="0"/>
        <w:jc w:val="left"/>
      </w:pPr>
      <w:r>
        <w:rPr/>
        <w:t>②编制合并利润表时，将该子公司以及业务期初至处置日的收入、费用、利润纳入合并利润表。</w:t>
      </w:r>
    </w:p>
    <w:p>
      <w:pPr>
        <w:pStyle w:val="BodyText"/>
        <w:spacing w:line="240" w:lineRule="auto" w:before="76"/>
        <w:ind w:left="472" w:right="0"/>
        <w:jc w:val="left"/>
      </w:pPr>
      <w:r>
        <w:rPr/>
        <w:t>③编制合并现金流量表时将该子公司以及业务期初至处置日的现金流量纳入合并现金流量表。</w:t>
      </w:r>
    </w:p>
    <w:p>
      <w:pPr>
        <w:pStyle w:val="BodyText"/>
        <w:spacing w:line="300" w:lineRule="auto" w:before="76"/>
        <w:ind w:left="472" w:right="104" w:hanging="360"/>
        <w:jc w:val="left"/>
      </w:pPr>
      <w:r>
        <w:rPr/>
        <w:t>（</w:t>
      </w:r>
      <w:r>
        <w:rPr>
          <w:rFonts w:ascii="Times New Roman" w:hAnsi="Times New Roman" w:cs="Times New Roman" w:eastAsia="Times New Roman" w:hint="default"/>
        </w:rPr>
        <w:t>4</w:t>
      </w:r>
      <w:r>
        <w:rPr/>
        <w:t>）合并抵销中的特殊考虑 1）子公司持有本公司的长期股权投资，应当视为本公司的库存股，作为所有者权益的减项，在合并资产负债表中所有</w:t>
      </w:r>
    </w:p>
    <w:p>
      <w:pPr>
        <w:pStyle w:val="BodyText"/>
        <w:spacing w:line="316" w:lineRule="auto" w:before="31"/>
        <w:ind w:left="472" w:right="0" w:hanging="360"/>
        <w:jc w:val="left"/>
      </w:pPr>
      <w:r>
        <w:rPr/>
        <w:t>者权益项目下以“减：库存股”项目列示。 </w:t>
      </w:r>
      <w:r>
        <w:rPr>
          <w:spacing w:val="-2"/>
        </w:rPr>
        <w:t>子公司相互之间持有的长期股权投资，比照本公司对子公司的股权投资的抵销方法，将长期股权投资与其对应的子公司</w:t>
      </w:r>
    </w:p>
    <w:p>
      <w:pPr>
        <w:pStyle w:val="BodyText"/>
        <w:spacing w:line="316" w:lineRule="auto" w:before="19"/>
        <w:ind w:left="472" w:right="104" w:hanging="360"/>
        <w:jc w:val="left"/>
      </w:pPr>
      <w:r>
        <w:rPr/>
        <w:t>所有者权益中所享有的份额相互抵销。 2）“专项储备”和“一般风险准备”项目由于既不属于实收资本（或股本）、资本公积，也与留存收益、未分配利润</w:t>
      </w:r>
    </w:p>
    <w:p>
      <w:pPr>
        <w:pStyle w:val="BodyText"/>
        <w:spacing w:line="316" w:lineRule="auto" w:before="19"/>
        <w:ind w:left="472" w:right="104" w:hanging="360"/>
        <w:jc w:val="left"/>
      </w:pPr>
      <w:r>
        <w:rPr/>
        <w:t>不同，在长期股权投资与子公司所有者权益相互抵销后，按归属于母公司所有者的份额予以恢复。 3）因抵销未实现内部销售损益导致合并资产负债表中资产、负债的账面价值与其在所属纳税主体的计税基础之间产生</w:t>
      </w:r>
    </w:p>
    <w:p>
      <w:pPr>
        <w:pStyle w:val="BodyText"/>
        <w:spacing w:line="316" w:lineRule="auto" w:before="19"/>
        <w:ind w:right="0"/>
        <w:jc w:val="left"/>
      </w:pPr>
      <w:r>
        <w:rPr>
          <w:spacing w:val="-2"/>
        </w:rPr>
        <w:t>暂时性差异的，在合并资产负债表中确认递延所得税资产或递延所得税负债，同时调整合并利润表中的所得税费用，但与直</w:t>
      </w:r>
      <w:r>
        <w:rPr>
          <w:spacing w:val="-63"/>
        </w:rPr>
        <w:t> </w:t>
      </w:r>
      <w:r>
        <w:rPr>
          <w:spacing w:val="-63"/>
        </w:rPr>
      </w:r>
      <w:r>
        <w:rPr/>
        <w:t>接计入所有者权益的交易或事项及企业合并相关的递延所得税除外。</w:t>
      </w:r>
    </w:p>
    <w:p>
      <w:pPr>
        <w:pStyle w:val="BodyText"/>
        <w:spacing w:line="316" w:lineRule="auto" w:before="19"/>
        <w:ind w:right="110" w:firstLine="360"/>
        <w:jc w:val="both"/>
      </w:pPr>
      <w:r>
        <w:rPr/>
        <w:t>4）本公司向子公司出售资产所发生的未实现内部交易损益，应当全额抵销“归属于母公司所有者的净利润”。子公司 向本公司出售资产所发生的未实现内部交易损益，应当按照本公司对该子公司的分配比例在“归属于母公司所有者的净利</w:t>
      </w:r>
      <w:r>
        <w:rPr>
          <w:spacing w:val="-7"/>
        </w:rPr>
        <w:t> </w:t>
      </w:r>
      <w:r>
        <w:rPr>
          <w:spacing w:val="-7"/>
        </w:rPr>
      </w:r>
      <w:r>
        <w:rPr>
          <w:spacing w:val="-2"/>
        </w:rPr>
        <w:t>润”和“少数股东损益”之间分配抵销。子公司之间出售资产所发生的未实现内部交易损益，应当按照本公司对出售方子公</w:t>
      </w:r>
      <w:r>
        <w:rPr>
          <w:spacing w:val="-64"/>
        </w:rPr>
        <w:t> </w:t>
      </w:r>
      <w:r>
        <w:rPr>
          <w:spacing w:val="-64"/>
        </w:rPr>
      </w:r>
      <w:r>
        <w:rPr/>
        <w:t>司的分配比例在“归属于母公司所有者的净利润”和“少数股东损益”之间分配抵销。</w:t>
      </w:r>
    </w:p>
    <w:p>
      <w:pPr>
        <w:spacing w:after="0" w:line="316" w:lineRule="auto"/>
        <w:jc w:val="both"/>
        <w:sectPr>
          <w:pgSz w:w="11910" w:h="16840"/>
          <w:pgMar w:header="868" w:footer="978" w:top="1060" w:bottom="1160" w:left="1020" w:right="1020"/>
        </w:sectPr>
      </w:pPr>
    </w:p>
    <w:p>
      <w:pPr>
        <w:pStyle w:val="BodyText"/>
        <w:spacing w:line="316" w:lineRule="auto" w:before="81"/>
        <w:ind w:right="192" w:firstLine="360"/>
        <w:jc w:val="both"/>
      </w:pPr>
      <w:r>
        <w:rPr/>
        <w:t>5）子公司少数股东分担的当期亏损超过了少数股东在该子公司期初所有者权益中所享有的份额的，其余额仍应当冲减 少数股东权益。</w:t>
      </w:r>
    </w:p>
    <w:p>
      <w:pPr>
        <w:pStyle w:val="BodyText"/>
        <w:spacing w:line="300" w:lineRule="auto" w:before="19"/>
        <w:ind w:left="472" w:right="7744" w:hanging="360"/>
        <w:jc w:val="left"/>
      </w:pPr>
      <w:r>
        <w:rPr/>
        <w:t>（</w:t>
      </w:r>
      <w:r>
        <w:rPr>
          <w:rFonts w:ascii="Times New Roman" w:hAnsi="Times New Roman" w:cs="Times New Roman" w:eastAsia="Times New Roman" w:hint="default"/>
        </w:rPr>
        <w:t>5</w:t>
      </w:r>
      <w:r>
        <w:rPr/>
        <w:t>）特殊交易的会计处理 1）购买少数股东股权</w:t>
      </w:r>
    </w:p>
    <w:p>
      <w:pPr>
        <w:pStyle w:val="BodyText"/>
        <w:spacing w:line="316" w:lineRule="auto" w:before="31"/>
        <w:ind w:right="190" w:firstLine="360"/>
        <w:jc w:val="both"/>
      </w:pPr>
      <w:r>
        <w:rPr>
          <w:spacing w:val="-2"/>
        </w:rPr>
        <w:t>本公司购买子公司少数股东拥有的子公司股权，在个别财务报表中，购买少数股权新取得的长期股权投资的投资成本按</w:t>
      </w:r>
      <w:r>
        <w:rPr/>
        <w:t> </w:t>
      </w:r>
      <w:r>
        <w:rPr>
          <w:spacing w:val="-2"/>
        </w:rPr>
        <w:t>照所支付对价的公允价值计量。在合并财务报表中，因购买少数股权新取得的长期股权投资与按照新增持股比例计算应享有</w:t>
      </w:r>
      <w:r>
        <w:rPr>
          <w:spacing w:val="-64"/>
        </w:rPr>
        <w:t> </w:t>
      </w:r>
      <w:r>
        <w:rPr>
          <w:spacing w:val="-64"/>
        </w:rPr>
      </w:r>
      <w:r>
        <w:rPr>
          <w:spacing w:val="-2"/>
        </w:rPr>
        <w:t>子公司自购买日或合并日开始持续计算的净资产份额之间的差额，应当调整资本公积（资本溢价或股本溢价），资本公积不</w:t>
      </w:r>
      <w:r>
        <w:rPr>
          <w:spacing w:val="-64"/>
        </w:rPr>
        <w:t> </w:t>
      </w:r>
      <w:r>
        <w:rPr>
          <w:spacing w:val="-64"/>
        </w:rPr>
      </w:r>
      <w:r>
        <w:rPr/>
        <w:t>足冲减的，依次冲减盈余公积和未分配利润。</w:t>
      </w:r>
    </w:p>
    <w:p>
      <w:pPr>
        <w:pStyle w:val="BodyText"/>
        <w:spacing w:line="240" w:lineRule="auto" w:before="19"/>
        <w:ind w:left="472" w:right="94"/>
        <w:jc w:val="left"/>
      </w:pPr>
      <w:r>
        <w:rPr/>
        <w:t>2）通过多次交易分步取得子公司控制权的</w:t>
      </w:r>
    </w:p>
    <w:p>
      <w:pPr>
        <w:pStyle w:val="BodyText"/>
        <w:spacing w:line="316" w:lineRule="auto" w:before="76"/>
        <w:ind w:left="472" w:right="94"/>
        <w:jc w:val="left"/>
      </w:pPr>
      <w:r>
        <w:rPr/>
        <w:t>①通过多次交易分步实现同一控制下企业合并 </w:t>
      </w:r>
      <w:r>
        <w:rPr>
          <w:spacing w:val="-2"/>
        </w:rPr>
        <w:t>属于“一揽子交易”的，本公司将各项交易作为一项取得子公司控制权的交易进行处理。在个别财务报表中，在合并日</w:t>
      </w:r>
    </w:p>
    <w:p>
      <w:pPr>
        <w:pStyle w:val="BodyText"/>
        <w:spacing w:line="316" w:lineRule="auto" w:before="19"/>
        <w:ind w:right="94"/>
        <w:jc w:val="left"/>
      </w:pPr>
      <w:r>
        <w:rPr>
          <w:spacing w:val="-2"/>
        </w:rPr>
        <w:t>之前的每次交易中，股权投资均确认为长期股权投资且其初始投资成本按照所对应的持股比例计算的对被合并方净资产在最</w:t>
      </w:r>
      <w:r>
        <w:rPr>
          <w:spacing w:val="-64"/>
        </w:rPr>
        <w:t> </w:t>
      </w:r>
      <w:r>
        <w:rPr>
          <w:spacing w:val="-64"/>
        </w:rPr>
      </w:r>
      <w:r>
        <w:rPr>
          <w:spacing w:val="-2"/>
        </w:rPr>
        <w:t>终控制方合并财务报表中的账面价值份额确定，长期股权投资的初始成本与支付对价的账面价值的差额调整资本公积（资本</w:t>
      </w:r>
      <w:r>
        <w:rPr>
          <w:spacing w:val="-64"/>
        </w:rPr>
        <w:t> </w:t>
      </w:r>
      <w:r>
        <w:rPr>
          <w:spacing w:val="-64"/>
        </w:rPr>
      </w:r>
      <w:r>
        <w:rPr>
          <w:spacing w:val="-2"/>
        </w:rPr>
        <w:t>溢价或股本溢价），资本公积（资本溢价或股本溢价）不足冲减的，依次冲减盈余公积和未分配利润。在后续计量时，长期</w:t>
      </w:r>
      <w:r>
        <w:rPr>
          <w:spacing w:val="-62"/>
        </w:rPr>
        <w:t> </w:t>
      </w:r>
      <w:r>
        <w:rPr>
          <w:spacing w:val="-62"/>
        </w:rPr>
      </w:r>
      <w:r>
        <w:rPr>
          <w:spacing w:val="-2"/>
        </w:rPr>
        <w:t>股权投资按照成本法核算，但不涉及合并财务报表编制问题。在合并日，本公司对子公司的长期股权投资初始成本按照对子</w:t>
      </w:r>
      <w:r>
        <w:rPr>
          <w:spacing w:val="-63"/>
        </w:rPr>
        <w:t> </w:t>
      </w:r>
      <w:r>
        <w:rPr>
          <w:spacing w:val="-63"/>
        </w:rPr>
      </w:r>
      <w:r>
        <w:rPr>
          <w:spacing w:val="-2"/>
        </w:rPr>
        <w:t>公司累计持股比例计算的对被合并方净资产在最终控制方合并财务报表中的账面价值份额确定，初始投资成本与达到合并前</w:t>
      </w:r>
      <w:r>
        <w:rPr>
          <w:spacing w:val="-64"/>
        </w:rPr>
        <w:t> </w:t>
      </w:r>
      <w:r>
        <w:rPr>
          <w:spacing w:val="-64"/>
        </w:rPr>
      </w:r>
      <w:r>
        <w:rPr>
          <w:spacing w:val="-2"/>
        </w:rPr>
        <w:t>的长期股权投资账面价值加上合并日取得进一步股份新支付对价的账面价值之和的差额，调整资本公积（资本溢价或股本溢</w:t>
      </w:r>
      <w:r>
        <w:rPr>
          <w:spacing w:val="-64"/>
        </w:rPr>
        <w:t> </w:t>
      </w:r>
      <w:r>
        <w:rPr>
          <w:spacing w:val="-64"/>
        </w:rPr>
      </w:r>
      <w:r>
        <w:rPr/>
        <w:t>价），资本公积（资本溢价或股本溢价）不足冲减的，依次冲减盈余公积和未分配利润。同时编制合并日的合并财务报表， 并且本公司在合并财务报表中，视同参与合并的各方在最终控制方开始控制时即以目前的状态存在进行调整。</w:t>
      </w:r>
    </w:p>
    <w:p>
      <w:pPr>
        <w:pStyle w:val="BodyText"/>
        <w:spacing w:line="240" w:lineRule="auto" w:before="19"/>
        <w:ind w:left="472" w:right="0"/>
        <w:jc w:val="left"/>
      </w:pPr>
      <w:r>
        <w:rPr/>
        <w:t>各项交易的条款、条件以及经济影响符合下列一种或多种情况的，通常将多次交易作为“一揽子交易”进行会计处理：</w:t>
      </w:r>
    </w:p>
    <w:p>
      <w:pPr>
        <w:pStyle w:val="BodyText"/>
        <w:spacing w:line="240" w:lineRule="auto" w:before="76"/>
        <w:ind w:left="472" w:right="94"/>
        <w:jc w:val="left"/>
      </w:pPr>
      <w:r>
        <w:rPr/>
        <w:t>（a）这些交易是同时或者在考虑了彼此影响的情况下订立的。</w:t>
      </w:r>
    </w:p>
    <w:p>
      <w:pPr>
        <w:pStyle w:val="BodyText"/>
        <w:spacing w:line="240" w:lineRule="auto" w:before="76"/>
        <w:ind w:left="472" w:right="94"/>
        <w:jc w:val="left"/>
      </w:pPr>
      <w:r>
        <w:rPr/>
        <w:t>（b）这些交易整体才能达成一项完整的商业结果。</w:t>
      </w:r>
    </w:p>
    <w:p>
      <w:pPr>
        <w:pStyle w:val="BodyText"/>
        <w:spacing w:line="240" w:lineRule="auto" w:before="76"/>
        <w:ind w:left="472" w:right="94"/>
        <w:jc w:val="left"/>
      </w:pPr>
      <w:r>
        <w:rPr/>
        <w:t>（c）一项交易的发生取决于其他至少一项交易的发生。</w:t>
      </w:r>
    </w:p>
    <w:p>
      <w:pPr>
        <w:pStyle w:val="BodyText"/>
        <w:spacing w:line="316" w:lineRule="auto" w:before="76"/>
        <w:ind w:left="472" w:right="94"/>
        <w:jc w:val="left"/>
      </w:pPr>
      <w:r>
        <w:rPr/>
        <w:t>（d）一项交易单独考虑时是不经济的，但是和其他交易一并考虑时是经济的。 </w:t>
      </w:r>
      <w:r>
        <w:rPr>
          <w:spacing w:val="-2"/>
        </w:rPr>
        <w:t>不属于“一揽子交易”的，在合并日之前的每次交易中，本公司所发生的每次交易按照所支付对价的公允价值确认为金</w:t>
      </w:r>
    </w:p>
    <w:p>
      <w:pPr>
        <w:pStyle w:val="BodyText"/>
        <w:spacing w:line="316" w:lineRule="auto" w:before="19"/>
        <w:ind w:right="190"/>
        <w:jc w:val="both"/>
      </w:pPr>
      <w:r>
        <w:rPr>
          <w:spacing w:val="-2"/>
        </w:rPr>
        <w:t>融资产（以公允价值计量且其变动计入当期损益的金融资产或可供出售金融资产）或按照权益法核算的长期股权投资。在合</w:t>
      </w:r>
      <w:r>
        <w:rPr>
          <w:spacing w:val="-63"/>
        </w:rPr>
        <w:t> </w:t>
      </w:r>
      <w:r>
        <w:rPr>
          <w:spacing w:val="-63"/>
        </w:rPr>
      </w:r>
      <w:r>
        <w:rPr>
          <w:spacing w:val="-2"/>
        </w:rPr>
        <w:t>并日，本公司在个别财务报表中，根据合并后应享有的子公司净资产在最终控制方合并财务报表中的账面价值的份额，确定</w:t>
      </w:r>
      <w:r>
        <w:rPr>
          <w:spacing w:val="-64"/>
        </w:rPr>
        <w:t> </w:t>
      </w:r>
      <w:r>
        <w:rPr>
          <w:spacing w:val="-64"/>
        </w:rPr>
      </w:r>
      <w:r>
        <w:rPr>
          <w:spacing w:val="-2"/>
        </w:rPr>
        <w:t>长期股权投资的初始投资成本。合并日长期股权投资的初始投资成本，与达到合并前的长期股权投资账面价值加上合并日进</w:t>
      </w:r>
      <w:r>
        <w:rPr>
          <w:spacing w:val="-64"/>
        </w:rPr>
        <w:t> </w:t>
      </w:r>
      <w:r>
        <w:rPr>
          <w:spacing w:val="-64"/>
        </w:rPr>
      </w:r>
      <w:r>
        <w:rPr>
          <w:spacing w:val="-2"/>
        </w:rPr>
        <w:t>一步取得股份新支付对价的账面价值之和的差额，调整资本公积（资本溢价或股本溢价），资本公积不足冲减的，依次冲减</w:t>
      </w:r>
      <w:r>
        <w:rPr>
          <w:spacing w:val="-64"/>
        </w:rPr>
        <w:t> </w:t>
      </w:r>
      <w:r>
        <w:rPr>
          <w:spacing w:val="-64"/>
        </w:rPr>
      </w:r>
      <w:r>
        <w:rPr/>
        <w:t>盈余公积和未分配利润。</w:t>
      </w:r>
    </w:p>
    <w:p>
      <w:pPr>
        <w:pStyle w:val="BodyText"/>
        <w:spacing w:line="316" w:lineRule="auto" w:before="19"/>
        <w:ind w:right="190" w:firstLine="360"/>
        <w:jc w:val="both"/>
      </w:pPr>
      <w:r>
        <w:rPr>
          <w:spacing w:val="-2"/>
        </w:rPr>
        <w:t>本公司在合并财务报表中，视同参与合并的各方在最终控制方开始控制时即以目前的状态存在进行调整，在编制合并财</w:t>
      </w:r>
      <w:r>
        <w:rPr/>
        <w:t> </w:t>
      </w:r>
      <w:r>
        <w:rPr>
          <w:spacing w:val="-2"/>
        </w:rPr>
        <w:t>务报表时，以不早于合并方和被合并方处于最终控制方的控制之下的时点为限，将被合并方的有关资产、负债并入合并方合</w:t>
      </w:r>
      <w:r>
        <w:rPr>
          <w:spacing w:val="-63"/>
        </w:rPr>
        <w:t> </w:t>
      </w:r>
      <w:r>
        <w:rPr>
          <w:spacing w:val="-63"/>
        </w:rPr>
      </w:r>
      <w:r>
        <w:rPr>
          <w:spacing w:val="-2"/>
        </w:rPr>
        <w:t>并财务报表的比较报表中，并将合并增加的净资产在比较报表中调整所有者权益项下的相关项目。因合并方的资本公积（资</w:t>
      </w:r>
      <w:r>
        <w:rPr>
          <w:spacing w:val="-63"/>
        </w:rPr>
        <w:t> </w:t>
      </w:r>
      <w:r>
        <w:rPr>
          <w:spacing w:val="-63"/>
        </w:rPr>
      </w:r>
      <w:r>
        <w:rPr>
          <w:spacing w:val="-2"/>
        </w:rPr>
        <w:t>本溢价或股本溢价）余额不足，被合并方在合并前实现的留存收益中归属于合并方的部分在合并财务报表中未予以全额恢复</w:t>
      </w:r>
      <w:r>
        <w:rPr>
          <w:spacing w:val="-64"/>
        </w:rPr>
        <w:t> </w:t>
      </w:r>
      <w:r>
        <w:rPr>
          <w:spacing w:val="-64"/>
        </w:rPr>
      </w:r>
      <w:r>
        <w:rPr>
          <w:spacing w:val="-2"/>
        </w:rPr>
        <w:t>的，本公司在报表附注中对这一情况进行说明，包括被合并方在合并前实现的留存收益金额、归属于本公司的金额及因资本</w:t>
      </w:r>
      <w:r>
        <w:rPr>
          <w:spacing w:val="-63"/>
        </w:rPr>
        <w:t> </w:t>
      </w:r>
      <w:r>
        <w:rPr>
          <w:spacing w:val="-63"/>
        </w:rPr>
      </w:r>
      <w:r>
        <w:rPr/>
        <w:t>公积余额不足在合并资产负债表中未转入留存收益的金额等。</w:t>
      </w:r>
    </w:p>
    <w:p>
      <w:pPr>
        <w:pStyle w:val="BodyText"/>
        <w:spacing w:line="316" w:lineRule="auto" w:before="19"/>
        <w:ind w:right="192" w:firstLine="360"/>
        <w:jc w:val="both"/>
      </w:pPr>
      <w:r>
        <w:rPr>
          <w:spacing w:val="-2"/>
        </w:rPr>
        <w:t>合并方在取得被合并方控制权之前持有的股权投资且按权益法核算的，在取得原股权之日与合并方和被合并方同处于同</w:t>
      </w:r>
      <w:r>
        <w:rPr/>
        <w:t> </w:t>
      </w:r>
      <w:r>
        <w:rPr>
          <w:spacing w:val="-2"/>
        </w:rPr>
        <w:t>一方最终控制之日孰晚日起至合并日之间已确认有关损益、其他综合收益以及其他所有者权益变动，应分别冲减比较报表期</w:t>
      </w:r>
      <w:r>
        <w:rPr>
          <w:spacing w:val="-64"/>
        </w:rPr>
        <w:t> </w:t>
      </w:r>
      <w:r>
        <w:rPr>
          <w:spacing w:val="-64"/>
        </w:rPr>
      </w:r>
      <w:r>
        <w:rPr/>
        <w:t>间的期初留存收益。</w:t>
      </w:r>
    </w:p>
    <w:p>
      <w:pPr>
        <w:pStyle w:val="BodyText"/>
        <w:spacing w:line="316" w:lineRule="auto" w:before="19"/>
        <w:ind w:left="472" w:right="94"/>
        <w:jc w:val="left"/>
      </w:pPr>
      <w:r>
        <w:rPr/>
        <w:t>②通过多次交易分步实现非同一控制下企业合并 </w:t>
      </w:r>
      <w:r>
        <w:rPr>
          <w:spacing w:val="-2"/>
        </w:rPr>
        <w:t>属于“一揽子交易”的，本公司将各项交易作为一项取得子公司控制权的交易进行处理。在个别财务报表中，在合并日</w:t>
      </w:r>
    </w:p>
    <w:p>
      <w:pPr>
        <w:pStyle w:val="BodyText"/>
        <w:spacing w:line="316" w:lineRule="auto" w:before="19"/>
        <w:ind w:right="111"/>
        <w:jc w:val="both"/>
      </w:pPr>
      <w:r>
        <w:rPr>
          <w:spacing w:val="-2"/>
        </w:rPr>
        <w:t>之前的每次交易中，股权投资均确认为长期股权投资且其初始投资成本按照所支付对价的公允价值确定。在后续计量时，长</w:t>
      </w:r>
      <w:r>
        <w:rPr>
          <w:spacing w:val="-63"/>
        </w:rPr>
        <w:t> </w:t>
      </w:r>
      <w:r>
        <w:rPr>
          <w:spacing w:val="-63"/>
        </w:rPr>
      </w:r>
      <w:r>
        <w:rPr>
          <w:spacing w:val="-2"/>
        </w:rPr>
        <w:t>期股权投资按照成本法核算，但不涉及合并财务报表编制问题。在合并日，在个别财务报表中，按照原持有的长期股权投资</w:t>
      </w:r>
      <w:r>
        <w:rPr>
          <w:spacing w:val="-64"/>
        </w:rPr>
        <w:t> </w:t>
      </w:r>
      <w:r>
        <w:rPr>
          <w:spacing w:val="-64"/>
        </w:rPr>
      </w:r>
      <w:r>
        <w:rPr/>
        <w:t>的账面价值加上新增投资成本（进一步取得股份所支付对价的公允价值）之和，作为合并日长期股权投资的初始投资成本。</w:t>
      </w:r>
    </w:p>
    <w:p>
      <w:pPr>
        <w:spacing w:after="0" w:line="316" w:lineRule="auto"/>
        <w:jc w:val="both"/>
        <w:sectPr>
          <w:headerReference w:type="default" r:id="rId42"/>
          <w:pgSz w:w="11910" w:h="16840"/>
          <w:pgMar w:header="566" w:footer="978" w:top="1360" w:bottom="1160" w:left="1020" w:right="940"/>
        </w:sectPr>
      </w:pPr>
    </w:p>
    <w:p>
      <w:pPr>
        <w:pStyle w:val="BodyText"/>
        <w:spacing w:line="316" w:lineRule="auto" w:before="81"/>
        <w:ind w:right="94"/>
        <w:jc w:val="left"/>
      </w:pPr>
      <w:r>
        <w:rPr>
          <w:spacing w:val="-2"/>
        </w:rPr>
        <w:t>在合并财务报表中，初始投资成本与对子公司可辨认净资产公允价值所享有的份额进行抵销，差额确认为商誉或计入合并当</w:t>
      </w:r>
      <w:r>
        <w:rPr>
          <w:spacing w:val="-64"/>
        </w:rPr>
        <w:t> </w:t>
      </w:r>
      <w:r>
        <w:rPr>
          <w:spacing w:val="-64"/>
        </w:rPr>
      </w:r>
      <w:r>
        <w:rPr/>
        <w:t>期损益。</w:t>
      </w:r>
    </w:p>
    <w:p>
      <w:pPr>
        <w:pStyle w:val="BodyText"/>
        <w:spacing w:line="316" w:lineRule="auto" w:before="19"/>
        <w:ind w:right="190" w:firstLine="360"/>
        <w:jc w:val="both"/>
      </w:pPr>
      <w:r>
        <w:rPr>
          <w:spacing w:val="-2"/>
        </w:rPr>
        <w:t>不属于“一揽子交易”的，在合并日之前的每次交易中，投资方所发生的每次交易按照所支付对价的公允价值确认为金</w:t>
      </w:r>
      <w:r>
        <w:rPr/>
        <w:t> </w:t>
      </w:r>
      <w:r>
        <w:rPr>
          <w:spacing w:val="-2"/>
        </w:rPr>
        <w:t>融资产（以公允价值计量且其变动计入当期损益的金融资产或可供出售金融资产）或按照权益法核算的长期股权投资。在合</w:t>
      </w:r>
      <w:r>
        <w:rPr>
          <w:spacing w:val="-63"/>
        </w:rPr>
        <w:t> </w:t>
      </w:r>
      <w:r>
        <w:rPr>
          <w:spacing w:val="-63"/>
        </w:rPr>
      </w:r>
      <w:r>
        <w:rPr>
          <w:spacing w:val="-2"/>
        </w:rPr>
        <w:t>并日，在个别财务报表中，按照原持有的股权投资（金融资产或按照权益法核算的长期股权投资）的账面价值加上新增投资</w:t>
      </w:r>
      <w:r>
        <w:rPr>
          <w:spacing w:val="-64"/>
        </w:rPr>
        <w:t> </w:t>
      </w:r>
      <w:r>
        <w:rPr>
          <w:spacing w:val="-64"/>
        </w:rPr>
      </w:r>
      <w:r>
        <w:rPr>
          <w:spacing w:val="-2"/>
        </w:rPr>
        <w:t>成本之和，作为改按成本法核算长期股权投资的初始成本。在合并财务报表中，对于购买日之前持有的被购买方的股权，按</w:t>
      </w:r>
      <w:r>
        <w:rPr>
          <w:spacing w:val="-64"/>
        </w:rPr>
        <w:t> </w:t>
      </w:r>
      <w:r>
        <w:rPr>
          <w:spacing w:val="-64"/>
        </w:rPr>
      </w:r>
      <w:r>
        <w:rPr>
          <w:spacing w:val="-2"/>
        </w:rPr>
        <w:t>照该股权在购买日的公允价值进行重新计量，公允价值与其账面价值的差额计入当期投资收益；购买日之前持有的被购买方</w:t>
      </w:r>
      <w:r>
        <w:rPr>
          <w:spacing w:val="-64"/>
        </w:rPr>
        <w:t> </w:t>
      </w:r>
      <w:r>
        <w:rPr>
          <w:spacing w:val="-64"/>
        </w:rPr>
      </w:r>
      <w:r>
        <w:rPr>
          <w:spacing w:val="-2"/>
        </w:rPr>
        <w:t>的股权涉及权益法核算下的其他综合收益等的，与其相关的其他综合收益等转为购买日所属当期收益，但由于被合并方重新</w:t>
      </w:r>
      <w:r>
        <w:rPr>
          <w:spacing w:val="-64"/>
        </w:rPr>
        <w:t> </w:t>
      </w:r>
      <w:r>
        <w:rPr>
          <w:spacing w:val="-64"/>
        </w:rPr>
      </w:r>
      <w:r>
        <w:rPr>
          <w:spacing w:val="-2"/>
        </w:rPr>
        <w:t>计量设定受益计划净资产或净负债变动而产生的其他综合收益除外。本公司在附注中披露其在购买日之前持有的被购买方的</w:t>
      </w:r>
      <w:r>
        <w:rPr>
          <w:spacing w:val="-64"/>
        </w:rPr>
        <w:t> </w:t>
      </w:r>
      <w:r>
        <w:rPr>
          <w:spacing w:val="-64"/>
        </w:rPr>
      </w:r>
      <w:r>
        <w:rPr/>
        <w:t>股权在购买日的公允价值、按照公允价值重新计量产生的相关利得或损失的金额。</w:t>
      </w:r>
    </w:p>
    <w:p>
      <w:pPr>
        <w:pStyle w:val="BodyText"/>
        <w:spacing w:line="316" w:lineRule="auto" w:before="19"/>
        <w:ind w:left="472" w:right="94"/>
        <w:jc w:val="left"/>
      </w:pPr>
      <w:r>
        <w:rPr/>
        <w:t>3）本公司处置对子公司长期股权投资但未丧失控制权 </w:t>
      </w:r>
      <w:r>
        <w:rPr>
          <w:spacing w:val="-2"/>
        </w:rPr>
        <w:t>母公司在不丧失控制权的情况下部分处置对子公司的长期股权投资，在合并财务报表中，处置价款与处置长期股权投资</w:t>
      </w:r>
    </w:p>
    <w:p>
      <w:pPr>
        <w:pStyle w:val="BodyText"/>
        <w:spacing w:line="316" w:lineRule="auto" w:before="19"/>
        <w:ind w:right="94"/>
        <w:jc w:val="left"/>
      </w:pPr>
      <w:r>
        <w:rPr>
          <w:spacing w:val="-2"/>
        </w:rPr>
        <w:t>相对应享有子公司自购买日或合并日开始持续计算的净资产份额之间的差额，调整资本公积（资本溢价或股本溢价），资本</w:t>
      </w:r>
      <w:r>
        <w:rPr>
          <w:spacing w:val="-64"/>
        </w:rPr>
        <w:t> </w:t>
      </w:r>
      <w:r>
        <w:rPr>
          <w:spacing w:val="-64"/>
        </w:rPr>
      </w:r>
      <w:r>
        <w:rPr/>
        <w:t>公积不足冲减的，调整留存收益。</w:t>
      </w:r>
    </w:p>
    <w:p>
      <w:pPr>
        <w:pStyle w:val="BodyText"/>
        <w:spacing w:line="240" w:lineRule="auto" w:before="19"/>
        <w:ind w:left="472" w:right="94"/>
        <w:jc w:val="left"/>
      </w:pPr>
      <w:r>
        <w:rPr/>
        <w:t>4）本公司处置对子公司长期股权投资且丧失控制权</w:t>
      </w:r>
    </w:p>
    <w:p>
      <w:pPr>
        <w:pStyle w:val="BodyText"/>
        <w:spacing w:line="316" w:lineRule="auto" w:before="76"/>
        <w:ind w:left="472" w:right="94"/>
        <w:jc w:val="left"/>
      </w:pPr>
      <w:r>
        <w:rPr/>
        <w:t>①一次交易处置 </w:t>
      </w:r>
      <w:r>
        <w:rPr>
          <w:spacing w:val="-2"/>
        </w:rPr>
        <w:t>本公司因处置部分股权投资等原因丧失了对被投资方的控制权的，在编制合并财务报表时，对于剩余股权，按照其在丧</w:t>
      </w:r>
    </w:p>
    <w:p>
      <w:pPr>
        <w:pStyle w:val="BodyText"/>
        <w:spacing w:line="316" w:lineRule="auto" w:before="19"/>
        <w:ind w:right="190"/>
        <w:jc w:val="both"/>
      </w:pPr>
      <w:r>
        <w:rPr>
          <w:spacing w:val="-2"/>
        </w:rPr>
        <w:t>失控制权日的公允价值进行重新计量。处置股权取得的对价与剩余股权公允价值之和，减去按原持股比例计算应享有原有子</w:t>
      </w:r>
      <w:r>
        <w:rPr>
          <w:spacing w:val="-64"/>
        </w:rPr>
        <w:t> </w:t>
      </w:r>
      <w:r>
        <w:rPr>
          <w:spacing w:val="-64"/>
        </w:rPr>
      </w:r>
      <w:r>
        <w:rPr>
          <w:spacing w:val="-2"/>
        </w:rPr>
        <w:t>公司自购买日或合并日开始持续计算的净资产的份额之间的差额，计入丧失控制权当期的投资收益，同时冲减商誉（注：如</w:t>
      </w:r>
      <w:r>
        <w:rPr>
          <w:spacing w:val="-64"/>
        </w:rPr>
        <w:t> </w:t>
      </w:r>
      <w:r>
        <w:rPr>
          <w:spacing w:val="-64"/>
        </w:rPr>
      </w:r>
      <w:r>
        <w:rPr>
          <w:spacing w:val="-2"/>
        </w:rPr>
        <w:t>果原企业合并为非同一控制下的且存在商誉的）。与原有子公司股权投资相关的其他综合收益等，在丧失控制权时转为当期</w:t>
      </w:r>
      <w:r>
        <w:rPr>
          <w:spacing w:val="-63"/>
        </w:rPr>
        <w:t> </w:t>
      </w:r>
      <w:r>
        <w:rPr>
          <w:spacing w:val="-63"/>
        </w:rPr>
      </w:r>
      <w:r>
        <w:rPr/>
        <w:t>投资收益。</w:t>
      </w:r>
    </w:p>
    <w:p>
      <w:pPr>
        <w:pStyle w:val="BodyText"/>
        <w:spacing w:line="316" w:lineRule="auto" w:before="19"/>
        <w:ind w:right="94" w:firstLine="360"/>
        <w:jc w:val="left"/>
      </w:pPr>
      <w:r>
        <w:rPr>
          <w:spacing w:val="-2"/>
        </w:rPr>
        <w:t>此外，与原子公司的股权投资相关的其他综合收益、其他所有者权益变动，在丧失控制权时转入当期损益，由于被投资</w:t>
      </w:r>
      <w:r>
        <w:rPr/>
        <w:t> 方重新计量设定受益计划净负债或净资产变动而产生的其他综合收益除外。</w:t>
      </w:r>
    </w:p>
    <w:p>
      <w:pPr>
        <w:pStyle w:val="BodyText"/>
        <w:spacing w:line="316" w:lineRule="auto" w:before="19"/>
        <w:ind w:left="472" w:right="4054"/>
        <w:jc w:val="left"/>
      </w:pPr>
      <w:r>
        <w:rPr/>
        <w:t>②多次交易分步处置 在合并财务报表中，应首先判断分步交易是否属于“一揽子交易”。</w:t>
      </w:r>
    </w:p>
    <w:p>
      <w:pPr>
        <w:pStyle w:val="BodyText"/>
        <w:spacing w:line="316" w:lineRule="auto" w:before="19"/>
        <w:ind w:right="94" w:firstLine="360"/>
        <w:jc w:val="left"/>
      </w:pPr>
      <w:r>
        <w:rPr>
          <w:spacing w:val="-2"/>
        </w:rPr>
        <w:t>如果分步交易不属于“一揽子交易”的，则在丧失对子公司控制权之前的各项交易，应按照“母公司处置对子公司长期</w:t>
      </w:r>
      <w:r>
        <w:rPr/>
        <w:t> 股权投资但未丧失控制权”的有关规定处理。</w:t>
      </w:r>
    </w:p>
    <w:p>
      <w:pPr>
        <w:pStyle w:val="BodyText"/>
        <w:spacing w:line="316" w:lineRule="auto" w:before="19"/>
        <w:ind w:right="94" w:firstLine="360"/>
        <w:jc w:val="left"/>
      </w:pPr>
      <w:r>
        <w:rPr/>
        <w:t>如果分步交易属于“一揽子交易”的，应当将各项交易作为一项处置子公司并丧失控制权的交易进行会计处理；其中， </w:t>
      </w:r>
      <w:r>
        <w:rPr>
          <w:spacing w:val="-2"/>
        </w:rPr>
        <w:t>对于丧失控制权之前每一次交易，处置价款与处置投资对应的享有该子公司净资产份额的差额，在合并财务报表中应当确认</w:t>
      </w:r>
      <w:r>
        <w:rPr>
          <w:spacing w:val="-64"/>
        </w:rPr>
        <w:t> </w:t>
      </w:r>
      <w:r>
        <w:rPr>
          <w:spacing w:val="-64"/>
        </w:rPr>
      </w:r>
      <w:r>
        <w:rPr/>
        <w:t>为其他综合收益，在丧失控制权时一并转入丧失控制权当期的损益。</w:t>
      </w:r>
    </w:p>
    <w:p>
      <w:pPr>
        <w:pStyle w:val="BodyText"/>
        <w:spacing w:line="316" w:lineRule="auto" w:before="19"/>
        <w:ind w:left="472" w:right="94"/>
        <w:jc w:val="left"/>
      </w:pPr>
      <w:r>
        <w:rPr/>
        <w:t>5）因子公司的少数股东增资而稀释母公司拥有的股权比例 </w:t>
      </w:r>
      <w:r>
        <w:rPr>
          <w:spacing w:val="-2"/>
        </w:rPr>
        <w:t>子公司的其他股东（少数股东）对子公司进行增资，由此稀释了母公司对子公司的股权比例。在合并财务报表中，按照</w:t>
      </w:r>
    </w:p>
    <w:p>
      <w:pPr>
        <w:pStyle w:val="BodyText"/>
        <w:spacing w:line="316" w:lineRule="auto" w:before="19"/>
        <w:ind w:right="94"/>
        <w:jc w:val="left"/>
      </w:pPr>
      <w:r>
        <w:rPr>
          <w:spacing w:val="-2"/>
        </w:rPr>
        <w:t>增资前的母公司股权比例计算其在增资前子公司账面净资产中的份额，该份额与增资后按照母公司持股比例计算的在增资后</w:t>
      </w:r>
      <w:r>
        <w:rPr>
          <w:spacing w:val="-64"/>
        </w:rPr>
        <w:t> </w:t>
      </w:r>
      <w:r>
        <w:rPr>
          <w:spacing w:val="-64"/>
        </w:rPr>
      </w:r>
      <w:r>
        <w:rPr/>
        <w:t>子公司账面净资产份额之间的差额调整资本公积（资本溢价或股本溢价），资本公积（资本溢价或股本溢价）不足冲减的， 调整留存收益。</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94"/>
        <w:jc w:val="left"/>
      </w:pPr>
      <w:r>
        <w:rPr/>
        <w:t>合营安排，是指一项由两个或两个以上的参与方共同控制的安排。本公司合营安排分为共同经营和合营企业。</w:t>
      </w:r>
    </w:p>
    <w:p>
      <w:pPr>
        <w:pStyle w:val="BodyText"/>
        <w:spacing w:line="240" w:lineRule="auto" w:before="76"/>
        <w:ind w:right="6754"/>
        <w:jc w:val="left"/>
      </w:pPr>
      <w:r>
        <w:rPr/>
        <w:t>（1）共同经营</w:t>
      </w:r>
    </w:p>
    <w:p>
      <w:pPr>
        <w:pStyle w:val="BodyText"/>
        <w:spacing w:line="316" w:lineRule="auto" w:before="76"/>
        <w:ind w:left="472" w:right="1354"/>
        <w:jc w:val="left"/>
      </w:pPr>
      <w:r>
        <w:rPr/>
        <w:t>共同经营是指本公司享有该安排相关资产且承担该安排相关负债的合营安排。 本公司确认其与共同经营中利益份额相关的下列项目，并按照相关企业会计准则的规定进行会计处理： 1）确认单独所持有的资产，以及按其份额确认共同持有的资产；</w:t>
      </w:r>
    </w:p>
    <w:p>
      <w:pPr>
        <w:pStyle w:val="BodyText"/>
        <w:spacing w:line="240" w:lineRule="auto" w:before="19"/>
        <w:ind w:left="472" w:right="94"/>
        <w:jc w:val="left"/>
      </w:pPr>
      <w:r>
        <w:rPr/>
        <w:t>2）确认单独所承担的负债，以及按其份额确认共同承担的负债；</w:t>
      </w:r>
    </w:p>
    <w:p>
      <w:pPr>
        <w:spacing w:after="0" w:line="240" w:lineRule="auto"/>
        <w:jc w:val="left"/>
        <w:sectPr>
          <w:pgSz w:w="11910" w:h="16840"/>
          <w:pgMar w:header="566" w:footer="978" w:top="1360" w:bottom="1160" w:left="1020" w:right="940"/>
        </w:sectPr>
      </w:pPr>
    </w:p>
    <w:p>
      <w:pPr>
        <w:pStyle w:val="BodyText"/>
        <w:spacing w:line="240" w:lineRule="auto" w:before="81"/>
        <w:ind w:left="472" w:right="94"/>
        <w:jc w:val="left"/>
      </w:pPr>
      <w:r>
        <w:rPr/>
        <w:t>3）确认出售其享有的共同经营产出份额所产生的收入；</w:t>
      </w:r>
    </w:p>
    <w:p>
      <w:pPr>
        <w:pStyle w:val="BodyText"/>
        <w:spacing w:line="240" w:lineRule="auto" w:before="76"/>
        <w:ind w:left="472" w:right="94"/>
        <w:jc w:val="left"/>
      </w:pPr>
      <w:r>
        <w:rPr/>
        <w:t>4）按其份额确认共同经营因出售产出所产生的收入；</w:t>
      </w:r>
    </w:p>
    <w:p>
      <w:pPr>
        <w:pStyle w:val="BodyText"/>
        <w:spacing w:line="240" w:lineRule="auto" w:before="76"/>
        <w:ind w:left="472" w:right="94"/>
        <w:jc w:val="left"/>
      </w:pPr>
      <w:r>
        <w:rPr/>
        <w:t>5）确认单独所发生的费用，以及按其份额确认共同经营发生的费用。</w:t>
      </w:r>
    </w:p>
    <w:p>
      <w:pPr>
        <w:pStyle w:val="BodyText"/>
        <w:spacing w:line="240" w:lineRule="auto" w:before="76"/>
        <w:ind w:right="6754"/>
        <w:jc w:val="left"/>
      </w:pPr>
      <w:r>
        <w:rPr/>
        <w:t>（2）合营企业</w:t>
      </w:r>
    </w:p>
    <w:p>
      <w:pPr>
        <w:pStyle w:val="BodyText"/>
        <w:spacing w:line="316" w:lineRule="auto" w:before="76"/>
        <w:ind w:left="472" w:right="2974"/>
        <w:jc w:val="left"/>
      </w:pPr>
      <w:r>
        <w:rPr/>
        <w:t>合营企业是指本公司仅对该安排的净资产享有权利的合营安排。 本公司按照长期股权投资有关权益法核算的规定对合营企业的投资进行会计处理。</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firstLine="360"/>
        <w:jc w:val="left"/>
      </w:pPr>
      <w:r>
        <w:rPr/>
        <w:t>现金指企业库存现金及可以随时用于支付的存款。现金等价物指持有的期限短（一般是指从购买日起三个月内到期）、 流动性强、易于转换为已知金额现金、价值变动风险很小的投资。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72" w:right="1714" w:hanging="360"/>
        <w:jc w:val="left"/>
      </w:pPr>
      <w:r>
        <w:rPr/>
        <w:t>（1）外币交易时折算汇率的确定方法 本公司外币交易初始确认时采用交易发生日的即期汇率或即期汇率的近似汇率折算为记账本位币。</w:t>
      </w:r>
    </w:p>
    <w:p>
      <w:pPr>
        <w:pStyle w:val="BodyText"/>
        <w:spacing w:line="316" w:lineRule="auto" w:before="19"/>
        <w:ind w:left="472" w:right="94" w:hanging="360"/>
        <w:jc w:val="left"/>
      </w:pPr>
      <w:r>
        <w:rPr/>
        <w:t>（2）资产负债表日外币货币性项目的折算方法 </w:t>
      </w:r>
      <w:r>
        <w:rPr>
          <w:spacing w:val="-2"/>
        </w:rPr>
        <w:t>在资产负债表日，对于外币货币性项目，采用资产负债表日的即期汇率折算。因资产负债表日即期汇率与初始确认时或</w:t>
      </w:r>
    </w:p>
    <w:p>
      <w:pPr>
        <w:pStyle w:val="BodyText"/>
        <w:spacing w:line="240" w:lineRule="auto" w:before="19"/>
        <w:ind w:right="94"/>
        <w:jc w:val="left"/>
      </w:pPr>
      <w:r>
        <w:rPr/>
        <w:t>前一资产负债表日即期汇率不同而产生的汇兑差额，计入当期损益。</w:t>
      </w:r>
    </w:p>
    <w:p>
      <w:pPr>
        <w:pStyle w:val="BodyText"/>
        <w:spacing w:line="316" w:lineRule="auto" w:before="76"/>
        <w:ind w:left="472" w:right="94" w:hanging="360"/>
        <w:jc w:val="left"/>
      </w:pPr>
      <w:r>
        <w:rPr/>
        <w:t>（3）外币报表折算方法 对企业境外经营财务报表进行折算前先调整境外经营的会计期间和会计政策，使之与企业会计期间和会计政策相一致，</w:t>
      </w:r>
    </w:p>
    <w:p>
      <w:pPr>
        <w:pStyle w:val="BodyText"/>
        <w:spacing w:line="316" w:lineRule="auto" w:before="19"/>
        <w:ind w:right="94"/>
        <w:jc w:val="left"/>
      </w:pPr>
      <w:r>
        <w:rPr>
          <w:spacing w:val="-2"/>
        </w:rPr>
        <w:t>再根据调整后会计政策及会计期间编制相应货币（记账本位币以外的货币）的财务报表，再按照以下方法对境外经营财务报</w:t>
      </w:r>
      <w:r>
        <w:rPr>
          <w:spacing w:val="-63"/>
        </w:rPr>
        <w:t> </w:t>
      </w:r>
      <w:r>
        <w:rPr>
          <w:spacing w:val="-63"/>
        </w:rPr>
      </w:r>
      <w:r>
        <w:rPr/>
        <w:t>表进行折算：</w:t>
      </w:r>
    </w:p>
    <w:p>
      <w:pPr>
        <w:pStyle w:val="BodyText"/>
        <w:spacing w:line="316" w:lineRule="auto" w:before="19"/>
        <w:ind w:right="184" w:firstLine="360"/>
        <w:jc w:val="left"/>
      </w:pPr>
      <w:r>
        <w:rPr/>
        <w:t>1）资产负债表中的资产和负债项目，采用资产负债表日的即期汇率折算，所有者权益项目除“未分配利润”项目外， 其他项目采用发生时的即期汇率折算。</w:t>
      </w:r>
    </w:p>
    <w:p>
      <w:pPr>
        <w:pStyle w:val="BodyText"/>
        <w:spacing w:line="240" w:lineRule="auto" w:before="19"/>
        <w:ind w:left="472" w:right="94"/>
        <w:jc w:val="left"/>
      </w:pPr>
      <w:r>
        <w:rPr/>
        <w:t>2）利润表中的收入和费用项目，采用交易发生日的即期汇率或即期汇率的近似汇率折算。</w:t>
      </w:r>
    </w:p>
    <w:p>
      <w:pPr>
        <w:pStyle w:val="BodyText"/>
        <w:spacing w:line="316" w:lineRule="auto" w:before="76"/>
        <w:ind w:right="184" w:firstLine="360"/>
        <w:jc w:val="left"/>
      </w:pPr>
      <w:r>
        <w:rPr/>
        <w:t>3）产生的外币财务报表折算差额，在编制合并财务报表时，在合并资产负债表中所有者权益项目下单独列示“其他综 合收益”。</w:t>
      </w:r>
    </w:p>
    <w:p>
      <w:pPr>
        <w:pStyle w:val="BodyText"/>
        <w:spacing w:line="316" w:lineRule="auto" w:before="19"/>
        <w:ind w:right="184" w:firstLine="360"/>
        <w:jc w:val="left"/>
      </w:pPr>
      <w:r>
        <w:rPr/>
        <w:t>4）外币现金流量以及境外子公司的现金流量，采用现金流量发生日的即期汇率或即期汇率的近似汇率折算。汇率变动 对现金的影响额应当作为调节项目，在现金流量表中单独列报。</w:t>
      </w:r>
    </w:p>
    <w:p>
      <w:pPr>
        <w:spacing w:line="240" w:lineRule="auto" w:before="8"/>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72" w:right="5224" w:hanging="360"/>
        <w:jc w:val="left"/>
      </w:pPr>
      <w:r>
        <w:rPr/>
        <w:t>（</w:t>
      </w:r>
      <w:r>
        <w:rPr>
          <w:rFonts w:ascii="Times New Roman" w:hAnsi="Times New Roman" w:cs="Times New Roman" w:eastAsia="Times New Roman" w:hint="default"/>
        </w:rPr>
        <w:t>1</w:t>
      </w:r>
      <w:r>
        <w:rPr/>
        <w:t>）金融资产的分类 1）以公允价值计量且其变动计入当期损益的金融资产</w:t>
      </w:r>
    </w:p>
    <w:p>
      <w:pPr>
        <w:pStyle w:val="BodyText"/>
        <w:spacing w:line="316" w:lineRule="auto" w:before="31"/>
        <w:ind w:right="190" w:firstLine="360"/>
        <w:jc w:val="both"/>
      </w:pPr>
      <w:r>
        <w:rPr>
          <w:spacing w:val="-2"/>
        </w:rPr>
        <w:t>包括交易性金融资产和直接指定为以公允价值计量且其变动计入当期损益的金融资产，前者主要是指本公司为了近期内</w:t>
      </w:r>
      <w:r>
        <w:rPr/>
        <w:t> </w:t>
      </w:r>
      <w:r>
        <w:rPr>
          <w:spacing w:val="-2"/>
        </w:rPr>
        <w:t>出售而持有的股票、债券、基金以及不作为有效套期工具的衍生工具投资。这类资产在初始计量时按照取得时的公允价值作</w:t>
      </w:r>
      <w:r>
        <w:rPr>
          <w:spacing w:val="-63"/>
        </w:rPr>
        <w:t> </w:t>
      </w:r>
      <w:r>
        <w:rPr>
          <w:spacing w:val="-63"/>
        </w:rPr>
      </w:r>
      <w:r>
        <w:rPr>
          <w:spacing w:val="-2"/>
        </w:rPr>
        <w:t>为初始确认金额，相关的交易费用在发生时计入当期损益。支付的价款中包含已宣告但尚未发放的现金股利或已到付息但尚</w:t>
      </w:r>
      <w:r>
        <w:rPr>
          <w:spacing w:val="-64"/>
        </w:rPr>
        <w:t> </w:t>
      </w:r>
      <w:r>
        <w:rPr>
          <w:spacing w:val="-64"/>
        </w:rPr>
      </w:r>
      <w:r>
        <w:rPr>
          <w:spacing w:val="-2"/>
        </w:rPr>
        <w:t>未领取的债券利息，单独确认为应收项目。在持有期间取得利息或现金股利，确认为投资收益。资产负债表日，本公司将这</w:t>
      </w:r>
      <w:r>
        <w:rPr>
          <w:spacing w:val="-64"/>
        </w:rPr>
        <w:t> </w:t>
      </w:r>
      <w:r>
        <w:rPr>
          <w:spacing w:val="-64"/>
        </w:rPr>
      </w:r>
      <w:r>
        <w:rPr>
          <w:spacing w:val="-2"/>
        </w:rPr>
        <w:t>类金融资产以公允价值计量且其变动计入当期损益。这类金融资产在处置时，其公允价值与初始入账金额之间的差额确认为</w:t>
      </w:r>
      <w:r>
        <w:rPr>
          <w:spacing w:val="-64"/>
        </w:rPr>
        <w:t> </w:t>
      </w:r>
      <w:r>
        <w:rPr>
          <w:spacing w:val="-64"/>
        </w:rPr>
      </w:r>
      <w:r>
        <w:rPr/>
        <w:t>投资收益，同时调整公允价值变动损益。</w:t>
      </w:r>
    </w:p>
    <w:p>
      <w:pPr>
        <w:pStyle w:val="BodyText"/>
        <w:spacing w:line="316" w:lineRule="auto" w:before="19"/>
        <w:ind w:left="472" w:right="94"/>
        <w:jc w:val="left"/>
      </w:pPr>
      <w:r>
        <w:rPr/>
        <w:t>2）持有至到期投资 </w:t>
      </w:r>
      <w:r>
        <w:rPr>
          <w:spacing w:val="-2"/>
        </w:rPr>
        <w:t>主要是指到期日固定、回收金额固定或可确定，且本公司具有明确意图和能力持有至到期的国债、公司债券等。这类金</w:t>
      </w:r>
    </w:p>
    <w:p>
      <w:pPr>
        <w:pStyle w:val="BodyText"/>
        <w:spacing w:line="316" w:lineRule="auto" w:before="19"/>
        <w:ind w:right="94"/>
        <w:jc w:val="left"/>
      </w:pPr>
      <w:r>
        <w:rPr/>
        <w:t>融资产按照取得时的公允价值和相关交易费用之和作为初始确认金额。支付价款中包含的已到付息期但尚未发放的债券利</w:t>
      </w:r>
      <w:r>
        <w:rPr>
          <w:spacing w:val="-9"/>
        </w:rPr>
        <w:t> </w:t>
      </w:r>
      <w:r>
        <w:rPr>
          <w:spacing w:val="-9"/>
        </w:rPr>
      </w:r>
      <w:r>
        <w:rPr>
          <w:spacing w:val="-2"/>
        </w:rPr>
        <w:t>息，单独确认为应收项目。持有至到期投资在持有期间按照摊余成本和实际利率计算确认利息收入，计入投资收益。处置持</w:t>
      </w:r>
    </w:p>
    <w:p>
      <w:pPr>
        <w:spacing w:after="0" w:line="316" w:lineRule="auto"/>
        <w:jc w:val="left"/>
        <w:sectPr>
          <w:pgSz w:w="11910" w:h="16840"/>
          <w:pgMar w:header="566" w:footer="978" w:top="1360" w:bottom="1160" w:left="1020" w:right="940"/>
        </w:sectPr>
      </w:pPr>
    </w:p>
    <w:p>
      <w:pPr>
        <w:pStyle w:val="BodyText"/>
        <w:spacing w:line="316" w:lineRule="auto" w:before="81"/>
        <w:ind w:left="472" w:right="3694" w:hanging="360"/>
        <w:jc w:val="left"/>
      </w:pPr>
      <w:r>
        <w:rPr/>
        <w:t>有至到期投资时，将所取得价款与该投资账面价值之间的差额计入投资收益。 3）应收款项</w:t>
      </w:r>
    </w:p>
    <w:p>
      <w:pPr>
        <w:pStyle w:val="BodyText"/>
        <w:spacing w:line="316" w:lineRule="auto" w:before="19"/>
        <w:ind w:right="192" w:firstLine="360"/>
        <w:jc w:val="both"/>
      </w:pPr>
      <w:r>
        <w:rPr>
          <w:spacing w:val="-2"/>
        </w:rPr>
        <w:t>应收款项主要包括应收账款和其他应收款等。应收账款是指本公司销售商品或提供劳务形成的应收款项。应收账款按从</w:t>
      </w:r>
      <w:r>
        <w:rPr/>
        <w:t> 购货方应收的合同或协议价款作为初始确认金额。</w:t>
      </w:r>
    </w:p>
    <w:p>
      <w:pPr>
        <w:pStyle w:val="BodyText"/>
        <w:spacing w:line="316" w:lineRule="auto" w:before="19"/>
        <w:ind w:left="472" w:right="94"/>
        <w:jc w:val="left"/>
      </w:pPr>
      <w:r>
        <w:rPr/>
        <w:t>4）可供出售金融资产 </w:t>
      </w:r>
      <w:r>
        <w:rPr>
          <w:spacing w:val="-2"/>
        </w:rPr>
        <w:t>主要是指本公司没有划分为以公允价值计量且其变动计入当期损益的金融资产、持有至到期投资、贷款和应收款项的金</w:t>
      </w:r>
    </w:p>
    <w:p>
      <w:pPr>
        <w:pStyle w:val="BodyText"/>
        <w:spacing w:line="316" w:lineRule="auto" w:before="19"/>
        <w:ind w:right="192"/>
        <w:jc w:val="both"/>
      </w:pPr>
      <w:r>
        <w:rPr>
          <w:spacing w:val="-2"/>
        </w:rPr>
        <w:t>融资产。可供出售金融资产按照取得该金融资产的公允价值和相关交易费用之和作为初始确认金额。支付的价款中包含的已</w:t>
      </w:r>
      <w:r>
        <w:rPr>
          <w:spacing w:val="-64"/>
        </w:rPr>
        <w:t> </w:t>
      </w:r>
      <w:r>
        <w:rPr>
          <w:spacing w:val="-64"/>
        </w:rPr>
      </w:r>
      <w:r>
        <w:rPr>
          <w:spacing w:val="-2"/>
        </w:rPr>
        <w:t>到付息期但尚未领取的债券利息或已宣告但尚未发放的现金股利，单独确认为应收项目。可供出售金融资产持有期间取得的</w:t>
      </w:r>
      <w:r>
        <w:rPr>
          <w:spacing w:val="-64"/>
        </w:rPr>
        <w:t> </w:t>
      </w:r>
      <w:r>
        <w:rPr>
          <w:spacing w:val="-64"/>
        </w:rPr>
      </w:r>
      <w:r>
        <w:rPr/>
        <w:t>利息或现金股利计入投资收益。</w:t>
      </w:r>
    </w:p>
    <w:p>
      <w:pPr>
        <w:pStyle w:val="BodyText"/>
        <w:spacing w:line="316" w:lineRule="auto" w:before="19"/>
        <w:ind w:right="190" w:firstLine="360"/>
        <w:jc w:val="both"/>
      </w:pPr>
      <w:r>
        <w:rPr>
          <w:spacing w:val="-2"/>
        </w:rPr>
        <w:t>可供出售金融资产是外币货币性金融资产的，其形成的汇兑损益应当计入当期损益。采用实际利率法计算的可供出售债</w:t>
      </w:r>
      <w:r>
        <w:rPr/>
        <w:t> </w:t>
      </w:r>
      <w:r>
        <w:rPr>
          <w:spacing w:val="-2"/>
        </w:rPr>
        <w:t>务工具投资的利息，计入当期损益；可供出售权益工具投资的现金股利，在被投资单位宣告发放股利时计入当期损益。资产</w:t>
      </w:r>
      <w:r>
        <w:rPr>
          <w:spacing w:val="-64"/>
        </w:rPr>
        <w:t> </w:t>
      </w:r>
      <w:r>
        <w:rPr>
          <w:spacing w:val="-64"/>
        </w:rPr>
      </w:r>
      <w:r>
        <w:rPr>
          <w:spacing w:val="-2"/>
        </w:rPr>
        <w:t>负债表日，可供出售金融资产以公允价值计量，且其变动计入其他综合收益。处置可供出售金融资产时，将取得的价款与该</w:t>
      </w:r>
      <w:r>
        <w:rPr>
          <w:spacing w:val="-64"/>
        </w:rPr>
        <w:t> </w:t>
      </w:r>
      <w:r>
        <w:rPr>
          <w:spacing w:val="-64"/>
        </w:rPr>
      </w:r>
      <w:r>
        <w:rPr>
          <w:spacing w:val="-2"/>
        </w:rPr>
        <w:t>金融资产账面价值之间差额计入投资收益；同时，将原计入所有者权益的公允价值变动累计额对应处置部分的金额转出，计</w:t>
      </w:r>
      <w:r>
        <w:rPr>
          <w:spacing w:val="-63"/>
        </w:rPr>
        <w:t> </w:t>
      </w:r>
      <w:r>
        <w:rPr>
          <w:spacing w:val="-63"/>
        </w:rPr>
      </w:r>
      <w:r>
        <w:rPr/>
        <w:t>入投资收益。</w:t>
      </w:r>
    </w:p>
    <w:p>
      <w:pPr>
        <w:pStyle w:val="BodyText"/>
        <w:spacing w:line="300" w:lineRule="auto" w:before="19"/>
        <w:ind w:left="472" w:right="184" w:hanging="360"/>
        <w:jc w:val="left"/>
      </w:pPr>
      <w:r>
        <w:rPr/>
        <w:t>（</w:t>
      </w:r>
      <w:r>
        <w:rPr>
          <w:rFonts w:ascii="Times New Roman" w:hAnsi="Times New Roman" w:cs="Times New Roman" w:eastAsia="Times New Roman" w:hint="default"/>
        </w:rPr>
        <w:t>2</w:t>
      </w:r>
      <w:r>
        <w:rPr/>
        <w:t>）金融负债的分类 1）以公允价值计量且其变动计入当期损益的金融负债，包括交易性金融负债和指定为以公允价值计量且其变动计入当</w:t>
      </w:r>
    </w:p>
    <w:p>
      <w:pPr>
        <w:pStyle w:val="BodyText"/>
        <w:spacing w:line="316" w:lineRule="auto" w:before="31"/>
        <w:ind w:right="190"/>
        <w:jc w:val="both"/>
      </w:pPr>
      <w:r>
        <w:rPr>
          <w:spacing w:val="-2"/>
        </w:rPr>
        <w:t>期损益的金融负债；这类金融负债初始确认时以公允价值计量，相关交易费用直接计入当期损益，资产负债表日将公允价值</w:t>
      </w:r>
      <w:r>
        <w:rPr>
          <w:spacing w:val="-63"/>
        </w:rPr>
        <w:t> </w:t>
      </w:r>
      <w:r>
        <w:rPr>
          <w:spacing w:val="-63"/>
        </w:rPr>
      </w:r>
      <w:r>
        <w:rPr/>
        <w:t>变动计入当期损益。</w:t>
      </w:r>
    </w:p>
    <w:p>
      <w:pPr>
        <w:pStyle w:val="BodyText"/>
        <w:spacing w:line="240" w:lineRule="auto" w:before="19"/>
        <w:ind w:left="472" w:right="94"/>
        <w:jc w:val="left"/>
      </w:pPr>
      <w:r>
        <w:rPr/>
        <w:t>2）其他金融负债，是指以公允价值计量且其变动计入当期损益的金融负债以外的金融负债。</w:t>
      </w:r>
    </w:p>
    <w:p>
      <w:pPr>
        <w:pStyle w:val="BodyText"/>
        <w:spacing w:line="300" w:lineRule="auto" w:before="76"/>
        <w:ind w:left="472" w:right="94" w:hanging="360"/>
        <w:jc w:val="left"/>
      </w:pPr>
      <w:r>
        <w:rPr/>
        <w:t>（</w:t>
      </w:r>
      <w:r>
        <w:rPr>
          <w:rFonts w:ascii="Times New Roman" w:hAnsi="Times New Roman" w:cs="Times New Roman" w:eastAsia="Times New Roman" w:hint="default"/>
        </w:rPr>
        <w:t>3</w:t>
      </w:r>
      <w:r>
        <w:rPr/>
        <w:t>）金融资产的重分类 因持有意图或能力发生改变，使某项投资不再适合划分为持有至到期投资的，本公司将其重分类为可供出售金融资产，</w:t>
      </w:r>
    </w:p>
    <w:p>
      <w:pPr>
        <w:pStyle w:val="BodyText"/>
        <w:spacing w:line="316" w:lineRule="auto" w:before="31"/>
        <w:ind w:right="190"/>
        <w:jc w:val="both"/>
      </w:pPr>
      <w:r>
        <w:rPr>
          <w:spacing w:val="-2"/>
        </w:rPr>
        <w:t>并以公允价值进行后续计量。持有至到期投资部分出售或重分类的金额较大，且不属于《企业会计准则第22号——金融工具</w:t>
      </w:r>
      <w:r>
        <w:rPr>
          <w:spacing w:val="-62"/>
        </w:rPr>
        <w:t> </w:t>
      </w:r>
      <w:r>
        <w:rPr>
          <w:spacing w:val="-62"/>
        </w:rPr>
      </w:r>
      <w:r>
        <w:rPr>
          <w:spacing w:val="-2"/>
        </w:rPr>
        <w:t>确认和计量》第十六条所指的例外情况，使该投资的剩余部分不再适合划分为持有至到期投资的，本公司应当将该投资的剩</w:t>
      </w:r>
      <w:r>
        <w:rPr>
          <w:spacing w:val="-63"/>
        </w:rPr>
        <w:t> </w:t>
      </w:r>
      <w:r>
        <w:rPr>
          <w:spacing w:val="-63"/>
        </w:rPr>
      </w:r>
      <w:r>
        <w:rPr>
          <w:spacing w:val="-2"/>
        </w:rPr>
        <w:t>余部分重分类为可供出售金融资产，并以公允价值进行后续计量，但在本会计年度及以后两个完整的会计年度内不再将该金</w:t>
      </w:r>
      <w:r>
        <w:rPr>
          <w:spacing w:val="-64"/>
        </w:rPr>
        <w:t> </w:t>
      </w:r>
      <w:r>
        <w:rPr>
          <w:spacing w:val="-64"/>
        </w:rPr>
      </w:r>
      <w:r>
        <w:rPr/>
        <w:t>融资产划分为持有至到期投资。</w:t>
      </w:r>
    </w:p>
    <w:p>
      <w:pPr>
        <w:pStyle w:val="BodyText"/>
        <w:spacing w:line="316" w:lineRule="auto" w:before="19"/>
        <w:ind w:right="192" w:firstLine="360"/>
        <w:jc w:val="both"/>
      </w:pPr>
      <w:r>
        <w:rPr>
          <w:spacing w:val="-2"/>
        </w:rPr>
        <w:t>重分类日，该投资的账面价值与公允价值之间的差额计入其他综合收益，在该可供出售金融资产发生减值或终止确认时</w:t>
      </w:r>
      <w:r>
        <w:rPr/>
        <w:t> 转出，计入当期损益。</w:t>
      </w:r>
    </w:p>
    <w:p>
      <w:pPr>
        <w:pStyle w:val="BodyText"/>
        <w:spacing w:line="300" w:lineRule="auto" w:before="19"/>
        <w:ind w:left="472" w:right="4594" w:hanging="360"/>
        <w:jc w:val="left"/>
      </w:pPr>
      <w:r>
        <w:rPr/>
        <w:t>（</w:t>
      </w:r>
      <w:r>
        <w:rPr>
          <w:rFonts w:ascii="Times New Roman" w:hAnsi="Times New Roman" w:cs="Times New Roman" w:eastAsia="Times New Roman" w:hint="default"/>
        </w:rPr>
        <w:t>4</w:t>
      </w:r>
      <w:r>
        <w:rPr/>
        <w:t>）金融负债与权益工具的区分 除特殊情况外，金融负债与权益工具按照下列原则进行区分：</w:t>
      </w:r>
    </w:p>
    <w:p>
      <w:pPr>
        <w:pStyle w:val="BodyText"/>
        <w:spacing w:line="316" w:lineRule="auto" w:before="31"/>
        <w:ind w:right="94" w:firstLine="360"/>
        <w:jc w:val="left"/>
      </w:pPr>
      <w:r>
        <w:rPr>
          <w:spacing w:val="-2"/>
        </w:rPr>
        <w:t>1）如果本公司不能无条件地避免以交付现金或其他金融资产来履行一项合同义务，则该合同义务符合金融负债的定义。</w:t>
      </w:r>
      <w:r>
        <w:rPr/>
        <w:t> </w:t>
      </w:r>
      <w:r>
        <w:rPr>
          <w:spacing w:val="-2"/>
        </w:rPr>
        <w:t>有些金融工具虽然没有明确地包含交付现金或其他金融资产义务的条款和条件，但有可能通过其他条款和条件间接地形成合</w:t>
      </w:r>
      <w:r>
        <w:rPr>
          <w:spacing w:val="-64"/>
        </w:rPr>
        <w:t> </w:t>
      </w:r>
      <w:r>
        <w:rPr>
          <w:spacing w:val="-64"/>
        </w:rPr>
      </w:r>
      <w:r>
        <w:rPr/>
        <w:t>同义务。</w:t>
      </w:r>
    </w:p>
    <w:p>
      <w:pPr>
        <w:pStyle w:val="BodyText"/>
        <w:spacing w:line="316" w:lineRule="auto" w:before="19"/>
        <w:ind w:right="190" w:firstLine="360"/>
        <w:jc w:val="both"/>
      </w:pPr>
      <w:r>
        <w:rPr/>
        <w:t>2）如果一项金融工具须用或可用本公司自身权益工具进行结算，需要考虑用于结算该工具的本公司自身权益工具，是 </w:t>
      </w:r>
      <w:r>
        <w:rPr>
          <w:spacing w:val="-2"/>
        </w:rPr>
        <w:t>作为现金或其他金融资产的替代品，还是为了使该工具持有方享有在发行方扣除所有负债后的资产中的剩余权益。如果是前</w:t>
      </w:r>
      <w:r>
        <w:rPr>
          <w:spacing w:val="-64"/>
        </w:rPr>
        <w:t> </w:t>
      </w:r>
      <w:r>
        <w:rPr>
          <w:spacing w:val="-64"/>
        </w:rPr>
      </w:r>
      <w:r>
        <w:rPr>
          <w:spacing w:val="-2"/>
        </w:rPr>
        <w:t>者，该工具是发行方的金融负债；如果是后者，该工具是发行方的权益工具。在某些情况下，一项金融工具合同规定本公司</w:t>
      </w:r>
      <w:r>
        <w:rPr>
          <w:spacing w:val="-63"/>
        </w:rPr>
        <w:t> </w:t>
      </w:r>
      <w:r>
        <w:rPr>
          <w:spacing w:val="-63"/>
        </w:rPr>
      </w:r>
      <w:r>
        <w:rPr>
          <w:spacing w:val="-2"/>
        </w:rPr>
        <w:t>须用或可用自身权益工具结算该金融工具，其中合同权利或合同义务的金额等于可获取或需交付的自身权益工具的数量乘以</w:t>
      </w:r>
      <w:r>
        <w:rPr>
          <w:spacing w:val="-64"/>
        </w:rPr>
        <w:t> </w:t>
      </w:r>
      <w:r>
        <w:rPr>
          <w:spacing w:val="-64"/>
        </w:rPr>
      </w:r>
      <w:r>
        <w:rPr>
          <w:spacing w:val="-2"/>
        </w:rPr>
        <w:t>其结算时的公允价值，则无论该合同权利或合同义务的金额是固定的，还是完全或部分地基于除本公司自身权益工具的市场</w:t>
      </w:r>
      <w:r>
        <w:rPr>
          <w:spacing w:val="-64"/>
        </w:rPr>
        <w:t> </w:t>
      </w:r>
      <w:r>
        <w:rPr>
          <w:spacing w:val="-64"/>
        </w:rPr>
      </w:r>
      <w:r>
        <w:rPr/>
        <w:t>价格以外变量（例如利率、某种商品的价格或某项金融工具的价格）的变动而变动，该合同分类为金融负债。</w:t>
      </w:r>
    </w:p>
    <w:p>
      <w:pPr>
        <w:pStyle w:val="BodyText"/>
        <w:spacing w:line="300" w:lineRule="auto" w:before="19"/>
        <w:ind w:left="472" w:right="94" w:hanging="360"/>
        <w:jc w:val="left"/>
      </w:pPr>
      <w:r>
        <w:rPr/>
        <w:t>（</w:t>
      </w:r>
      <w:r>
        <w:rPr>
          <w:rFonts w:ascii="Times New Roman" w:hAnsi="Times New Roman" w:cs="Times New Roman" w:eastAsia="Times New Roman" w:hint="default"/>
        </w:rPr>
        <w:t>5</w:t>
      </w:r>
      <w:r>
        <w:rPr/>
        <w:t>）金融资产转移 </w:t>
      </w:r>
      <w:r>
        <w:rPr>
          <w:spacing w:val="-2"/>
        </w:rPr>
        <w:t>金融资产转移是指下列两种情形：将收取金融资产现金流量的合同权利转移给另一方；将金融资产整体或部分转移给另</w:t>
      </w:r>
    </w:p>
    <w:p>
      <w:pPr>
        <w:pStyle w:val="BodyText"/>
        <w:spacing w:line="316" w:lineRule="auto" w:before="31"/>
        <w:ind w:left="472" w:right="94" w:hanging="360"/>
        <w:jc w:val="left"/>
      </w:pPr>
      <w:r>
        <w:rPr/>
        <w:t>一方，但保留收取金融资产现金流量的合同权利，并承担将收取的现金流量支付给一个或多个收款方的合同义务。 1）终止确认所转移的金融资产 </w:t>
      </w:r>
      <w:r>
        <w:rPr>
          <w:spacing w:val="-2"/>
        </w:rPr>
        <w:t>已将金融资产所有权上几乎所有的风险和报酬转移给转入方的，或既没有转移也没有保留金融资产所有权上几乎所有的</w:t>
      </w:r>
    </w:p>
    <w:p>
      <w:pPr>
        <w:pStyle w:val="BodyText"/>
        <w:spacing w:line="240" w:lineRule="auto" w:before="19"/>
        <w:ind w:right="94"/>
        <w:jc w:val="left"/>
      </w:pPr>
      <w:r>
        <w:rPr/>
        <w:t>风险和报酬的，但放弃了对该金融资产控制的，终止确认该金融资产。</w:t>
      </w:r>
    </w:p>
    <w:p>
      <w:pPr>
        <w:spacing w:after="0" w:line="240" w:lineRule="auto"/>
        <w:jc w:val="left"/>
        <w:sectPr>
          <w:footerReference w:type="default" r:id="rId43"/>
          <w:pgSz w:w="11910" w:h="16840"/>
          <w:pgMar w:footer="978" w:header="566" w:top="1360" w:bottom="1160" w:left="1020" w:right="940"/>
          <w:pgNumType w:start="90"/>
        </w:sectPr>
      </w:pPr>
    </w:p>
    <w:p>
      <w:pPr>
        <w:pStyle w:val="BodyText"/>
        <w:spacing w:line="316" w:lineRule="auto" w:before="81"/>
        <w:ind w:right="112" w:firstLine="360"/>
        <w:jc w:val="both"/>
      </w:pPr>
      <w:r>
        <w:rPr>
          <w:spacing w:val="-2"/>
        </w:rPr>
        <w:t>在判断是否已放弃对所转移金融资产的控制时，注重转入方出售该金融资产的实际能力。转入方能够单独将转入的金融</w:t>
      </w:r>
      <w:r>
        <w:rPr/>
        <w:t> </w:t>
      </w:r>
      <w:r>
        <w:rPr>
          <w:spacing w:val="-2"/>
        </w:rPr>
        <w:t>资产整体出售给与其不存在关联方关系的第三方，且没有额外条件对此项出售加以限制的，表明企业已放弃对该金融资产的</w:t>
      </w:r>
      <w:r>
        <w:rPr>
          <w:spacing w:val="-64"/>
        </w:rPr>
        <w:t> </w:t>
      </w:r>
      <w:r>
        <w:rPr>
          <w:spacing w:val="-64"/>
        </w:rPr>
      </w:r>
      <w:r>
        <w:rPr/>
        <w:t>控制。</w:t>
      </w:r>
    </w:p>
    <w:p>
      <w:pPr>
        <w:pStyle w:val="BodyText"/>
        <w:spacing w:line="316" w:lineRule="auto" w:before="19"/>
        <w:ind w:left="472" w:right="2174"/>
        <w:jc w:val="left"/>
      </w:pPr>
      <w:r>
        <w:rPr/>
        <w:t>本公司在判断金融资产转移是否满足金融资产终止确认条件时，注重金融资产转移的实质。 金融资产整体转移满足终止确认条件的，将下列两项金额的差额计入当期损益：</w:t>
      </w:r>
    </w:p>
    <w:p>
      <w:pPr>
        <w:pStyle w:val="BodyText"/>
        <w:spacing w:line="240" w:lineRule="auto" w:before="19"/>
        <w:ind w:left="472" w:right="0"/>
        <w:jc w:val="left"/>
      </w:pPr>
      <w:r>
        <w:rPr/>
        <w:t>①所转移金融资产的账面价值；</w:t>
      </w:r>
    </w:p>
    <w:p>
      <w:pPr>
        <w:pStyle w:val="BodyText"/>
        <w:spacing w:line="316" w:lineRule="auto" w:before="76"/>
        <w:ind w:right="112" w:firstLine="360"/>
        <w:jc w:val="both"/>
      </w:pPr>
      <w:r>
        <w:rPr>
          <w:spacing w:val="-2"/>
        </w:rPr>
        <w:t>②因转移而收到的对价，与原直接计入所有者权益的公允价值变动累计额（涉及转移的金融资产为可供出售金融资产的</w:t>
      </w:r>
      <w:r>
        <w:rPr/>
        <w:t> 情形）之和。</w:t>
      </w:r>
    </w:p>
    <w:p>
      <w:pPr>
        <w:pStyle w:val="BodyText"/>
        <w:spacing w:line="316" w:lineRule="auto" w:before="19"/>
        <w:ind w:right="110"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种情况下，所保留的服务资产视同未终止确认金融资产的一部分）之间，按照各自的相对公允价值进行分摊，并将下列两项</w:t>
      </w:r>
      <w:r>
        <w:rPr>
          <w:spacing w:val="-64"/>
        </w:rPr>
        <w:t> </w:t>
      </w:r>
      <w:r>
        <w:rPr>
          <w:spacing w:val="-64"/>
        </w:rPr>
      </w:r>
      <w:r>
        <w:rPr/>
        <w:t>金额的差额计入当期损益：</w:t>
      </w:r>
    </w:p>
    <w:p>
      <w:pPr>
        <w:pStyle w:val="BodyText"/>
        <w:spacing w:line="240" w:lineRule="auto" w:before="19"/>
        <w:ind w:left="472" w:right="0"/>
        <w:jc w:val="left"/>
      </w:pPr>
      <w:r>
        <w:rPr/>
        <w:t>①终止确认部分的账面价值；</w:t>
      </w:r>
    </w:p>
    <w:p>
      <w:pPr>
        <w:pStyle w:val="BodyText"/>
        <w:spacing w:line="316" w:lineRule="auto" w:before="76"/>
        <w:ind w:right="112" w:firstLine="360"/>
        <w:jc w:val="both"/>
      </w:pPr>
      <w:r>
        <w:rPr>
          <w:spacing w:val="-2"/>
        </w:rPr>
        <w:t>②终止确认部分的对价，与原直接计入所有者权益的公允价值变动累计额中对应终止确认部分的金额（涉及转移的金融</w:t>
      </w:r>
      <w:r>
        <w:rPr/>
        <w:t> 资产为可供出售金融资产的情形）之和。</w:t>
      </w:r>
    </w:p>
    <w:p>
      <w:pPr>
        <w:pStyle w:val="BodyText"/>
        <w:spacing w:line="316" w:lineRule="auto" w:before="19"/>
        <w:ind w:left="472" w:right="0"/>
        <w:jc w:val="left"/>
      </w:pPr>
      <w:r>
        <w:rPr/>
        <w:t>2）继续涉入所转移的金融资产 </w:t>
      </w:r>
      <w:r>
        <w:rPr>
          <w:spacing w:val="-2"/>
        </w:rPr>
        <w:t>既没有转移也没有保留金融资产所有权上几乎所有的风险和报酬的，且未放弃对该金融资产控制的，应当按照其继续涉</w:t>
      </w:r>
    </w:p>
    <w:p>
      <w:pPr>
        <w:pStyle w:val="BodyText"/>
        <w:spacing w:line="316" w:lineRule="auto" w:before="19"/>
        <w:ind w:left="472" w:right="2714" w:hanging="360"/>
        <w:jc w:val="left"/>
      </w:pPr>
      <w:r>
        <w:rPr/>
        <w:t>入所转移金融资产的程度确认有关金融资产，并相应确认有关负债。 继续涉入所转移金融资产的程度，是指该金融资产价值变动使企业面临的风险水平。 3）继续确认所转移的金融资产</w:t>
      </w:r>
    </w:p>
    <w:p>
      <w:pPr>
        <w:pStyle w:val="BodyText"/>
        <w:spacing w:line="316" w:lineRule="auto" w:before="19"/>
        <w:ind w:right="112" w:firstLine="360"/>
        <w:jc w:val="both"/>
      </w:pPr>
      <w:r>
        <w:rPr>
          <w:spacing w:val="-2"/>
        </w:rPr>
        <w:t>仍保留与所转移金融资产所有权上几乎所有的风险和报酬的，应当继续确认所转移金融资产整体，并将收到的对价确认</w:t>
      </w:r>
      <w:r>
        <w:rPr/>
        <w:t> 为一项金融负债。</w:t>
      </w:r>
    </w:p>
    <w:p>
      <w:pPr>
        <w:pStyle w:val="BodyText"/>
        <w:spacing w:line="316" w:lineRule="auto" w:before="19"/>
        <w:ind w:right="112" w:firstLine="360"/>
        <w:jc w:val="both"/>
      </w:pPr>
      <w:r>
        <w:rPr>
          <w:spacing w:val="-2"/>
        </w:rPr>
        <w:t>该金融资产与确认的相关金融负债不得相互抵销。在随后的会计期间，企业应当继续确认该金融资产产生的收入和该金</w:t>
      </w:r>
      <w:r>
        <w:rPr/>
        <w:t> </w:t>
      </w:r>
      <w:r>
        <w:rPr>
          <w:spacing w:val="-2"/>
        </w:rPr>
        <w:t>融负债产生的费用。所转移的金融资产以摊余成本计量的，确认的相关负债不得指定为以公允价值计量且其变动计入当期损</w:t>
      </w:r>
      <w:r>
        <w:rPr>
          <w:spacing w:val="-64"/>
        </w:rPr>
        <w:t> </w:t>
      </w:r>
      <w:r>
        <w:rPr>
          <w:spacing w:val="-64"/>
        </w:rPr>
      </w:r>
      <w:r>
        <w:rPr/>
        <w:t>益的金融负债。</w:t>
      </w:r>
    </w:p>
    <w:p>
      <w:pPr>
        <w:pStyle w:val="BodyText"/>
        <w:spacing w:line="300" w:lineRule="auto" w:before="19"/>
        <w:ind w:left="472" w:right="3074" w:hanging="360"/>
        <w:jc w:val="left"/>
      </w:pPr>
      <w:r>
        <w:rPr/>
        <w:t>（</w:t>
      </w:r>
      <w:r>
        <w:rPr>
          <w:rFonts w:ascii="Times New Roman" w:hAnsi="Times New Roman" w:cs="Times New Roman" w:eastAsia="Times New Roman" w:hint="default"/>
        </w:rPr>
        <w:t>6</w:t>
      </w:r>
      <w:r>
        <w:rPr/>
        <w:t>）金融负债终止确认 金融负债的现时义务全部或部分已经解除的，终止确认该金融负债或其一部分。</w:t>
      </w:r>
    </w:p>
    <w:p>
      <w:pPr>
        <w:pStyle w:val="BodyText"/>
        <w:spacing w:line="316" w:lineRule="auto" w:before="31"/>
        <w:ind w:right="110" w:firstLine="360"/>
        <w:jc w:val="both"/>
      </w:pPr>
      <w:r>
        <w:rPr>
          <w:spacing w:val="-2"/>
        </w:rPr>
        <w:t>将用于偿付金融负债的资产转入某个机构或设立信托，偿付债务的现时义务仍存在的，不终止确认该金融负债，也不终</w:t>
      </w:r>
      <w:r>
        <w:rPr/>
        <w:t> 止确认转出的资产。</w:t>
      </w:r>
    </w:p>
    <w:p>
      <w:pPr>
        <w:pStyle w:val="BodyText"/>
        <w:spacing w:line="316" w:lineRule="auto" w:before="19"/>
        <w:ind w:right="112" w:firstLine="360"/>
        <w:jc w:val="both"/>
      </w:pPr>
      <w:r>
        <w:rPr>
          <w:spacing w:val="-2"/>
        </w:rPr>
        <w:t>与债权人之间签订协议，以承担新金融负债方式替换现存金融负债，且新金融负债与现存金融负债的合同条款实质上不</w:t>
      </w:r>
      <w:r>
        <w:rPr/>
        <w:t> 同的，终止确认现存金融负债，并同时确认新金融负债。</w:t>
      </w:r>
    </w:p>
    <w:p>
      <w:pPr>
        <w:pStyle w:val="BodyText"/>
        <w:spacing w:line="316" w:lineRule="auto" w:before="19"/>
        <w:ind w:right="112" w:firstLine="360"/>
        <w:jc w:val="both"/>
      </w:pPr>
      <w:r>
        <w:rPr>
          <w:spacing w:val="-2"/>
        </w:rPr>
        <w:t>对现存金融负债全部或部分的合同条款作出实质性修改的，终止确认现存金融负债或其一部分，同时将修改条款后的金</w:t>
      </w:r>
      <w:r>
        <w:rPr/>
        <w:t> 融负债确认为一项新金融负债。</w:t>
      </w:r>
    </w:p>
    <w:p>
      <w:pPr>
        <w:pStyle w:val="BodyText"/>
        <w:spacing w:line="316" w:lineRule="auto" w:before="19"/>
        <w:ind w:right="112"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472" w:right="0" w:hanging="360"/>
        <w:jc w:val="left"/>
      </w:pPr>
      <w:r>
        <w:rPr/>
        <w:t>（</w:t>
      </w:r>
      <w:r>
        <w:rPr>
          <w:rFonts w:ascii="Times New Roman" w:hAnsi="Times New Roman" w:cs="Times New Roman" w:eastAsia="Times New Roman" w:hint="default"/>
        </w:rPr>
        <w:t>7</w:t>
      </w:r>
      <w:r>
        <w:rPr/>
        <w:t>）金融资产和金融负债的抵销 </w:t>
      </w:r>
      <w:r>
        <w:rPr>
          <w:spacing w:val="-2"/>
        </w:rPr>
        <w:t>金融资产和金融负债应当在资产负债表内分别列示，不得相互抵销。但同时满足下列条件的，以相互抵销后的净额在资</w:t>
      </w:r>
    </w:p>
    <w:p>
      <w:pPr>
        <w:pStyle w:val="BodyText"/>
        <w:spacing w:line="316" w:lineRule="auto" w:before="31"/>
        <w:ind w:left="472" w:right="3434" w:hanging="360"/>
        <w:jc w:val="left"/>
      </w:pPr>
      <w:r>
        <w:rPr/>
        <w:t>产负债表内列示： 本公司具有抵销已确认金额的法定权利，且该种法定权利是当前可执行的； 本公司计划以净额结算，或同时变现该金融资产和清偿该金融负债。</w:t>
      </w:r>
    </w:p>
    <w:p>
      <w:pPr>
        <w:pStyle w:val="BodyText"/>
        <w:spacing w:line="240" w:lineRule="auto" w:before="19"/>
        <w:ind w:left="472" w:right="0"/>
        <w:jc w:val="left"/>
      </w:pPr>
      <w:r>
        <w:rPr/>
        <w:t>不满足终止确认条件的金融资产转移，转出方不得将已转移的金融资产和相关负债进行抵销。</w:t>
      </w:r>
    </w:p>
    <w:p>
      <w:pPr>
        <w:pStyle w:val="BodyText"/>
        <w:spacing w:line="300" w:lineRule="auto" w:before="76"/>
        <w:ind w:left="472" w:right="5864" w:hanging="360"/>
        <w:jc w:val="left"/>
      </w:pPr>
      <w:r>
        <w:rPr/>
        <w:t>（</w:t>
      </w:r>
      <w:r>
        <w:rPr>
          <w:rFonts w:ascii="Times New Roman" w:hAnsi="Times New Roman" w:cs="Times New Roman" w:eastAsia="Times New Roman" w:hint="default"/>
        </w:rPr>
        <w:t>8</w:t>
      </w:r>
      <w:r>
        <w:rPr/>
        <w:t>）金融资产减值测试方法及减值准备计提方法 1）金融资产发生减值的客观证据：</w:t>
      </w:r>
    </w:p>
    <w:p>
      <w:pPr>
        <w:pStyle w:val="BodyText"/>
        <w:spacing w:line="240" w:lineRule="auto" w:before="31"/>
        <w:ind w:left="472" w:right="0"/>
        <w:jc w:val="left"/>
      </w:pPr>
      <w:r>
        <w:rPr/>
        <w:t>①发行方或债务人发生严重财务困难；</w:t>
      </w:r>
    </w:p>
    <w:p>
      <w:pPr>
        <w:pStyle w:val="BodyText"/>
        <w:spacing w:line="240" w:lineRule="auto" w:before="76"/>
        <w:ind w:left="472" w:right="0"/>
        <w:jc w:val="left"/>
      </w:pPr>
      <w:r>
        <w:rPr/>
        <w:t>②债务人违反了合同条款，如偿付利息或本金发生违约或逾期等；</w:t>
      </w:r>
    </w:p>
    <w:p>
      <w:pPr>
        <w:spacing w:after="0" w:line="240" w:lineRule="auto"/>
        <w:jc w:val="left"/>
        <w:sectPr>
          <w:pgSz w:w="11910" w:h="16840"/>
          <w:pgMar w:header="566" w:footer="978" w:top="1360" w:bottom="1160" w:left="1020" w:right="1020"/>
        </w:sectPr>
      </w:pPr>
    </w:p>
    <w:p>
      <w:pPr>
        <w:pStyle w:val="BodyText"/>
        <w:spacing w:line="240" w:lineRule="auto" w:before="81"/>
        <w:ind w:left="472" w:right="94"/>
        <w:jc w:val="left"/>
      </w:pPr>
      <w:r>
        <w:rPr/>
        <w:t>③债权人出于经济或法律等方面的考虑，对发生财务困难的债务人作出让步；</w:t>
      </w:r>
    </w:p>
    <w:p>
      <w:pPr>
        <w:pStyle w:val="BodyText"/>
        <w:spacing w:line="240" w:lineRule="auto" w:before="76"/>
        <w:ind w:left="472" w:right="94"/>
        <w:jc w:val="left"/>
      </w:pPr>
      <w:r>
        <w:rPr/>
        <w:t>④债务人可能倒闭或进行其他财务重组；</w:t>
      </w:r>
    </w:p>
    <w:p>
      <w:pPr>
        <w:pStyle w:val="BodyText"/>
        <w:spacing w:line="240" w:lineRule="auto" w:before="76"/>
        <w:ind w:left="472" w:right="94"/>
        <w:jc w:val="left"/>
      </w:pPr>
      <w:r>
        <w:rPr/>
        <w:t>⑤因发行方发生重大财务困难，该金融资产无法在活跃市场继续交易；</w:t>
      </w:r>
    </w:p>
    <w:p>
      <w:pPr>
        <w:pStyle w:val="BodyText"/>
        <w:spacing w:line="316" w:lineRule="auto" w:before="76"/>
        <w:ind w:right="94" w:firstLine="360"/>
        <w:jc w:val="left"/>
      </w:pPr>
      <w:r>
        <w:rPr>
          <w:spacing w:val="-2"/>
        </w:rPr>
        <w:t>⑥无法辨认一组金融资产中的某项资产的现金流量是否已经减少，但根据公开的数据对其进行总体评价后发现，该组金</w:t>
      </w:r>
      <w:r>
        <w:rPr/>
        <w:t> 融资产自初始确认以来的预计未来现金流量确已减少且可计量；</w:t>
      </w:r>
    </w:p>
    <w:p>
      <w:pPr>
        <w:pStyle w:val="BodyText"/>
        <w:spacing w:line="240" w:lineRule="auto" w:before="19"/>
        <w:ind w:left="472" w:right="94"/>
        <w:jc w:val="left"/>
      </w:pPr>
      <w:r>
        <w:rPr/>
        <w:t>⑦债务人经营所处的技术、市场、经济或法律环境等发生重大不利变化，使权益工具投资人可能无法收回投资成本；</w:t>
      </w:r>
    </w:p>
    <w:p>
      <w:pPr>
        <w:pStyle w:val="BodyText"/>
        <w:spacing w:line="240" w:lineRule="auto" w:before="76"/>
        <w:ind w:left="472" w:right="94"/>
        <w:jc w:val="left"/>
      </w:pPr>
      <w:r>
        <w:rPr/>
        <w:t>⑧权益工具投资的公允价值发生严重或非暂时性下跌；</w:t>
      </w:r>
    </w:p>
    <w:p>
      <w:pPr>
        <w:pStyle w:val="BodyText"/>
        <w:spacing w:line="316" w:lineRule="auto" w:before="76"/>
        <w:ind w:left="472" w:right="5944"/>
        <w:jc w:val="left"/>
      </w:pPr>
      <w:r>
        <w:rPr/>
        <w:t>⑨其他表明金融资产发生减值的客观证据。 2）金融资产的减值测试（不包括应收款项）</w:t>
      </w:r>
    </w:p>
    <w:p>
      <w:pPr>
        <w:pStyle w:val="BodyText"/>
        <w:spacing w:line="316" w:lineRule="auto" w:before="19"/>
        <w:ind w:left="472" w:right="94"/>
        <w:jc w:val="left"/>
      </w:pPr>
      <w:r>
        <w:rPr/>
        <w:t>①持有至到期投资减值测试 </w:t>
      </w:r>
      <w:r>
        <w:rPr>
          <w:spacing w:val="-2"/>
        </w:rPr>
        <w:t>持有至到期投资发生减值时，将该持有至到期投资的账面价值减记至预计未来现金流量（不包括尚未发生的未来信用损</w:t>
      </w:r>
    </w:p>
    <w:p>
      <w:pPr>
        <w:pStyle w:val="BodyText"/>
        <w:spacing w:line="316" w:lineRule="auto" w:before="19"/>
        <w:ind w:left="472" w:right="94" w:hanging="360"/>
        <w:jc w:val="left"/>
      </w:pPr>
      <w:r>
        <w:rPr/>
        <w:t>失）现值，减记的金额确认为资产减值损失，计入当期损益。 </w:t>
      </w:r>
      <w:r>
        <w:rPr>
          <w:spacing w:val="-2"/>
        </w:rPr>
        <w:t>预计未来现金流量现值，按照该持有至到期投资的原实际利率折现确定，并考虑相关担保物的价值（取得和出售该担保</w:t>
      </w:r>
    </w:p>
    <w:p>
      <w:pPr>
        <w:pStyle w:val="BodyText"/>
        <w:spacing w:line="316" w:lineRule="auto" w:before="19"/>
        <w:ind w:right="190"/>
        <w:jc w:val="both"/>
      </w:pPr>
      <w:r>
        <w:rPr>
          <w:spacing w:val="-2"/>
        </w:rPr>
        <w:t>物发生的费用予以扣除）。原实际利率是初始确认该持有至到期投资时计算确定的实际利率。对于浮动利率的持有至到期投</w:t>
      </w:r>
      <w:r>
        <w:rPr>
          <w:spacing w:val="-63"/>
        </w:rPr>
        <w:t> </w:t>
      </w:r>
      <w:r>
        <w:rPr>
          <w:spacing w:val="-63"/>
        </w:rPr>
      </w:r>
      <w:r>
        <w:rPr/>
        <w:t>资，在计算未来现金流量现值时可采用合同规定的现行实际利率作为折现率。</w:t>
      </w:r>
    </w:p>
    <w:p>
      <w:pPr>
        <w:pStyle w:val="BodyText"/>
        <w:spacing w:line="316" w:lineRule="auto" w:before="19"/>
        <w:ind w:right="94" w:firstLine="360"/>
        <w:jc w:val="left"/>
      </w:pPr>
      <w:r>
        <w:rPr>
          <w:spacing w:val="-2"/>
        </w:rPr>
        <w:t>即使合同条款因债务方或金融资产发行方发生财务困难而重新商定或修改，在确认减值损失时，仍用条款修改前所计算</w:t>
      </w:r>
      <w:r>
        <w:rPr/>
        <w:t> 的该金融资产的原实际利率计算。</w:t>
      </w:r>
    </w:p>
    <w:p>
      <w:pPr>
        <w:pStyle w:val="BodyText"/>
        <w:spacing w:line="316" w:lineRule="auto" w:before="19"/>
        <w:ind w:right="94" w:firstLine="360"/>
        <w:jc w:val="left"/>
      </w:pPr>
      <w:r>
        <w:rPr>
          <w:spacing w:val="-2"/>
        </w:rPr>
        <w:t>对持有至到期投资确认减值损失后，如有客观证据表明该持有至到期投资价值已恢复，且客观上与确认该损失后发生的</w:t>
      </w:r>
      <w:r>
        <w:rPr/>
        <w:t> 事项有关（如债务人的信用评级已提高等），原确认的减值损失予以转回，计入当期损益。</w:t>
      </w:r>
    </w:p>
    <w:p>
      <w:pPr>
        <w:pStyle w:val="BodyText"/>
        <w:spacing w:line="240" w:lineRule="auto" w:before="19"/>
        <w:ind w:left="472" w:right="0"/>
        <w:jc w:val="left"/>
      </w:pPr>
      <w:r>
        <w:rPr/>
        <w:t>持有至到期投资发生减值后，利息收入按照确定减值损失时对未来现金流量进行折现采用的折现率作为利率计算确认。</w:t>
      </w:r>
    </w:p>
    <w:p>
      <w:pPr>
        <w:pStyle w:val="BodyText"/>
        <w:spacing w:line="316" w:lineRule="auto" w:before="76"/>
        <w:ind w:left="472" w:right="94"/>
        <w:jc w:val="left"/>
      </w:pPr>
      <w:r>
        <w:rPr/>
        <w:t>②可供出售金融资产减值测试 </w:t>
      </w:r>
      <w:r>
        <w:rPr>
          <w:spacing w:val="-2"/>
        </w:rPr>
        <w:t>在资产负债表日本公司对可供出售金融资产的减值情况进行分析，判断该项金融资产公允价值是否持续下降。通常情况</w:t>
      </w:r>
    </w:p>
    <w:p>
      <w:pPr>
        <w:pStyle w:val="BodyText"/>
        <w:spacing w:line="316" w:lineRule="auto" w:before="19"/>
        <w:ind w:right="190"/>
        <w:jc w:val="both"/>
      </w:pPr>
      <w:r>
        <w:rPr/>
        <w:t>下，如果可供出售金融资产的期末公允价值相对于成本的下跌幅度已达到或超过50%，或者持续下跌时间已达到或超过12个</w:t>
      </w:r>
      <w:r>
        <w:rPr>
          <w:spacing w:val="-86"/>
        </w:rPr>
        <w:t> </w:t>
      </w:r>
      <w:r>
        <w:rPr>
          <w:spacing w:val="-86"/>
        </w:rPr>
      </w:r>
      <w:r>
        <w:rPr>
          <w:spacing w:val="-2"/>
        </w:rPr>
        <w:t>月，在综合考虑各种相关因素后，预期这种下降趋势属于非暂时性的，可以认定该可供出售金融资产已发生减值，确认减值</w:t>
      </w:r>
      <w:r>
        <w:rPr>
          <w:spacing w:val="-64"/>
        </w:rPr>
        <w:t> </w:t>
      </w:r>
      <w:r>
        <w:rPr>
          <w:spacing w:val="-64"/>
        </w:rPr>
      </w:r>
      <w:r>
        <w:rPr>
          <w:spacing w:val="-2"/>
        </w:rPr>
        <w:t>损失。可供出售金融资产发生减值的，在确认减值损失时，将原直接计入所有者权益的公允价值下降形成的累计损失一并转</w:t>
      </w:r>
      <w:r>
        <w:rPr>
          <w:spacing w:val="-65"/>
        </w:rPr>
        <w:t> </w:t>
      </w:r>
      <w:r>
        <w:rPr>
          <w:spacing w:val="-65"/>
        </w:rPr>
      </w:r>
      <w:r>
        <w:rPr/>
        <w:t>出，计入资产减值损失。</w:t>
      </w:r>
    </w:p>
    <w:p>
      <w:pPr>
        <w:pStyle w:val="BodyText"/>
        <w:spacing w:line="316" w:lineRule="auto" w:before="19"/>
        <w:ind w:left="472" w:right="94"/>
        <w:jc w:val="left"/>
      </w:pPr>
      <w:r>
        <w:rPr/>
        <w:t>可供出售债务工具金融资产是否发生减值，可参照上述可供出售权益工具投资进行分析判断。 可供出售权益工具投资发生的减值损失，不得通过损益转回。 </w:t>
      </w:r>
      <w:r>
        <w:rPr>
          <w:spacing w:val="-2"/>
        </w:rPr>
        <w:t>可供出售债务工具金融资产发生减值后，利息收入按照确定减值损失时对未来现金流量进行折现采用的折现率作为利率</w:t>
      </w:r>
    </w:p>
    <w:p>
      <w:pPr>
        <w:pStyle w:val="BodyText"/>
        <w:spacing w:line="240" w:lineRule="auto" w:before="19"/>
        <w:ind w:right="6754"/>
        <w:jc w:val="left"/>
      </w:pPr>
      <w:r>
        <w:rPr/>
        <w:t>计算确认。</w:t>
      </w:r>
    </w:p>
    <w:p>
      <w:pPr>
        <w:pStyle w:val="BodyText"/>
        <w:spacing w:line="316" w:lineRule="auto" w:before="76"/>
        <w:ind w:right="94" w:firstLine="360"/>
        <w:jc w:val="left"/>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p>
    <w:p>
      <w:pPr>
        <w:pStyle w:val="BodyText"/>
        <w:spacing w:line="300" w:lineRule="auto" w:before="19"/>
        <w:ind w:left="472" w:right="94" w:hanging="360"/>
        <w:jc w:val="left"/>
      </w:pPr>
      <w:r>
        <w:rPr/>
        <w:t>（</w:t>
      </w:r>
      <w:r>
        <w:rPr>
          <w:rFonts w:ascii="Times New Roman" w:hAnsi="Times New Roman" w:cs="Times New Roman" w:eastAsia="Times New Roman" w:hint="default"/>
        </w:rPr>
        <w:t>9</w:t>
      </w:r>
      <w:r>
        <w:rPr/>
        <w:t>）金融资产和金融负债公允价值的确定方法 </w:t>
      </w:r>
      <w:r>
        <w:rPr>
          <w:spacing w:val="-2"/>
        </w:rPr>
        <w:t>本公司以主要市场的价格计量相关资产或负债的公允价值，不存在主要市场的，本公司以最有利市场的价格计量相关资</w:t>
      </w:r>
    </w:p>
    <w:p>
      <w:pPr>
        <w:pStyle w:val="BodyText"/>
        <w:spacing w:line="316" w:lineRule="auto" w:before="31"/>
        <w:ind w:left="472" w:right="94" w:hanging="360"/>
        <w:jc w:val="left"/>
      </w:pPr>
      <w:r>
        <w:rPr/>
        <w:t>产或负债的公允价值。 </w:t>
      </w:r>
      <w:r>
        <w:rPr>
          <w:spacing w:val="-2"/>
        </w:rPr>
        <w:t>主要市场，是指相关资产或负债交易量最大和交易活跃程度最高的市场；最有利市场，是指在考虑交易费用和运输费用</w:t>
      </w:r>
    </w:p>
    <w:p>
      <w:pPr>
        <w:pStyle w:val="BodyText"/>
        <w:spacing w:line="316" w:lineRule="auto" w:before="19"/>
        <w:ind w:right="192"/>
        <w:jc w:val="both"/>
      </w:pPr>
      <w:r>
        <w:rPr>
          <w:spacing w:val="-2"/>
        </w:rPr>
        <w:t>后，能够以最高金额出售相关资产或者以最低金额转移相关负债的市场。本公司采用市场参与者在对该资产或负债定价时为</w:t>
      </w:r>
      <w:r>
        <w:rPr>
          <w:spacing w:val="-64"/>
        </w:rPr>
        <w:t> </w:t>
      </w:r>
      <w:r>
        <w:rPr>
          <w:spacing w:val="-64"/>
        </w:rPr>
      </w:r>
      <w:r>
        <w:rPr/>
        <w:t>实现其经济利益最大化所使用的假设。</w:t>
      </w:r>
    </w:p>
    <w:p>
      <w:pPr>
        <w:pStyle w:val="BodyText"/>
        <w:spacing w:line="316" w:lineRule="auto" w:before="19"/>
        <w:ind w:left="472" w:right="94"/>
        <w:jc w:val="left"/>
      </w:pPr>
      <w:r>
        <w:rPr/>
        <w:t>1）估值技术 </w:t>
      </w:r>
      <w:r>
        <w:rPr>
          <w:spacing w:val="-2"/>
        </w:rPr>
        <w:t>本公司采用在当期情况下适用并且有足够可利用数据和其他信息支持的估值技术，使用的估值技术主要包括市场法、收</w:t>
      </w:r>
    </w:p>
    <w:p>
      <w:pPr>
        <w:pStyle w:val="BodyText"/>
        <w:spacing w:line="316" w:lineRule="auto" w:before="19"/>
        <w:ind w:right="190"/>
        <w:jc w:val="both"/>
      </w:pPr>
      <w:r>
        <w:rPr>
          <w:spacing w:val="-2"/>
        </w:rPr>
        <w:t>益法和成本法。本公司使用与其中一种或多种估值技术相一致的方法计量公允价值，使用多种估值技术计量公允价值的，考</w:t>
      </w:r>
      <w:r>
        <w:rPr>
          <w:spacing w:val="-63"/>
        </w:rPr>
        <w:t> </w:t>
      </w:r>
      <w:r>
        <w:rPr>
          <w:spacing w:val="-63"/>
        </w:rPr>
      </w:r>
      <w:r>
        <w:rPr/>
        <w:t>虑各估值结果的合理性，选取在当期情况下最能代表公允价值的金额作为公允价值。</w:t>
      </w:r>
    </w:p>
    <w:p>
      <w:pPr>
        <w:pStyle w:val="BodyText"/>
        <w:spacing w:line="316" w:lineRule="auto" w:before="19"/>
        <w:ind w:right="94" w:firstLine="360"/>
        <w:jc w:val="left"/>
      </w:pPr>
      <w:r>
        <w:rPr>
          <w:spacing w:val="-2"/>
        </w:rPr>
        <w:t>本公司在估值技术的应用中，优先使用相关可观察输入值，只有在相关可观察输入值无法取得或取得不切实可行的情况</w:t>
      </w:r>
      <w:r>
        <w:rPr/>
        <w:t> </w:t>
      </w:r>
      <w:r>
        <w:rPr>
          <w:spacing w:val="-2"/>
        </w:rPr>
        <w:t>下，才使用不可观察输入值。可观察输入值，是指能够从市场数据中取得的输入值。该输入值反映了市场参与者在对相关资</w:t>
      </w:r>
    </w:p>
    <w:p>
      <w:pPr>
        <w:spacing w:after="0" w:line="316" w:lineRule="auto"/>
        <w:jc w:val="left"/>
        <w:sectPr>
          <w:pgSz w:w="11910" w:h="16840"/>
          <w:pgMar w:header="566" w:footer="978" w:top="1360" w:bottom="1160" w:left="1020" w:right="940"/>
        </w:sectPr>
      </w:pPr>
    </w:p>
    <w:p>
      <w:pPr>
        <w:pStyle w:val="BodyText"/>
        <w:spacing w:line="316" w:lineRule="auto" w:before="81"/>
        <w:ind w:right="110"/>
        <w:jc w:val="both"/>
      </w:pPr>
      <w:r>
        <w:rPr>
          <w:spacing w:val="-2"/>
        </w:rPr>
        <w:t>产或负债定价时所使用的假设。不可观察输入值，是指不能从市场数据中取得的输入值。该输入值根据可获得的市场参与者</w:t>
      </w:r>
      <w:r>
        <w:rPr>
          <w:spacing w:val="-63"/>
        </w:rPr>
        <w:t> </w:t>
      </w:r>
      <w:r>
        <w:rPr>
          <w:spacing w:val="-63"/>
        </w:rPr>
      </w:r>
      <w:r>
        <w:rPr/>
        <w:t>在对相关资产或负债定价时所使用假设的最佳信息取得。</w:t>
      </w:r>
    </w:p>
    <w:p>
      <w:pPr>
        <w:pStyle w:val="BodyText"/>
        <w:spacing w:line="316" w:lineRule="auto" w:before="19"/>
        <w:ind w:left="472" w:right="0"/>
        <w:jc w:val="left"/>
      </w:pPr>
      <w:r>
        <w:rPr/>
        <w:t>2）公允价值层次 </w:t>
      </w:r>
      <w:r>
        <w:rPr>
          <w:spacing w:val="-2"/>
        </w:rPr>
        <w:t>本公司将公允价值计量所使用的输入值划分为三个层次，并首先使用第一层次输入值，其次使用第二层次输入值，最后</w:t>
      </w:r>
    </w:p>
    <w:p>
      <w:pPr>
        <w:pStyle w:val="BodyText"/>
        <w:spacing w:line="316" w:lineRule="auto" w:before="19"/>
        <w:ind w:right="112"/>
        <w:jc w:val="both"/>
      </w:pPr>
      <w:r>
        <w:rPr>
          <w:spacing w:val="-2"/>
        </w:rPr>
        <w:t>使用第三层次输入值。第一层次输入值是在计量日能够取得的相同资产或负债在活跃市场上未经调整的报价。第二层次输入</w:t>
      </w:r>
      <w:r>
        <w:rPr>
          <w:spacing w:val="-64"/>
        </w:rPr>
        <w:t> </w:t>
      </w:r>
      <w:r>
        <w:rPr>
          <w:spacing w:val="-64"/>
        </w:rPr>
      </w:r>
      <w:r>
        <w:rPr/>
        <w:t>值是除第一层次输入值外相关资产或负债直接或间接可观察的输入值。第三层次输入值是相关资产或负债的不可观察输入</w:t>
      </w:r>
      <w:r>
        <w:rPr>
          <w:spacing w:val="-9"/>
        </w:rPr>
        <w:t> </w:t>
      </w:r>
      <w:r>
        <w:rPr>
          <w:spacing w:val="-9"/>
        </w:rPr>
      </w:r>
      <w:r>
        <w:rPr/>
        <w:t>值。</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96"/>
        <w:gridCol w:w="5872"/>
      </w:tblGrid>
      <w:tr>
        <w:trPr>
          <w:trHeight w:val="71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32"/>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万元以上应收账款，</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万元以上其他应收款确定为单项金额 重大。</w:t>
            </w:r>
          </w:p>
        </w:tc>
      </w:tr>
      <w:tr>
        <w:trPr>
          <w:trHeight w:val="1026"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对于单项金额重大的应收款项，单独进行减值测试。有客观证据表明其发 生了减值的，根据其未来现金流量现值低于其账面价值的差额，确认减值 损失，并据此计提相应的坏账准备。</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0"/>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0"/>
        <w:jc w:val="left"/>
      </w:pPr>
      <w:r>
        <w:rPr/>
        <w:t>组合中，采用余额百分比法计提坏账准备的：</w:t>
      </w:r>
    </w:p>
    <w:p>
      <w:pPr>
        <w:pStyle w:val="BodyText"/>
        <w:spacing w:line="340" w:lineRule="auto" w:before="115"/>
        <w:ind w:right="6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5"/>
        <w:rPr>
          <w:rFonts w:ascii="宋体" w:hAnsi="宋体" w:cs="宋体" w:eastAsia="宋体" w:hint="default"/>
          <w:b/>
          <w:bCs/>
          <w:sz w:val="25"/>
          <w:szCs w:val="25"/>
        </w:rPr>
      </w:pPr>
    </w:p>
    <w:p>
      <w:pPr>
        <w:spacing w:line="726" w:lineRule="exact"/>
        <w:ind w:left="10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4pt;height:36.35pt;mso-position-horizontal-relative:char;mso-position-vertical-relative:line" coordorigin="0,0" coordsize="9588,727">
            <v:group style="position:absolute;left:13;top:13;width:4779;height:709" coordorigin="13,13" coordsize="4779,709">
              <v:shape style="position:absolute;left:13;top:13;width:4779;height:709" coordorigin="13,13" coordsize="4779,709" path="m13,13l4792,13,4792,722,13,722,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722;width:9578;height:2" coordorigin="5,722" coordsize="9578,2">
              <v:shape style="position:absolute;left:5;top:722;width:9578;height:2" coordorigin="5,722" coordsize="9578,0" path="m5,722l9582,722e" filled="false" stroked="true" strokeweight=".48pt" strokecolor="#000000">
                <v:path arrowok="t"/>
              </v:shape>
            </v:group>
            <v:group style="position:absolute;left:10;top:5;width:2;height:712" coordorigin="10,5" coordsize="2,712">
              <v:shape style="position:absolute;left:10;top:5;width:2;height:712" coordorigin="10,5" coordsize="0,712" path="m10,5l10,717e" filled="false" stroked="true" strokeweight=".48pt" strokecolor="#000000">
                <v:path arrowok="t"/>
              </v:shape>
            </v:group>
            <v:group style="position:absolute;left:4794;top:5;width:2;height:712" coordorigin="4794,5" coordsize="2,712">
              <v:shape style="position:absolute;left:4794;top:5;width:2;height:712" coordorigin="4794,5" coordsize="0,712" path="m4794,5l4794,717e" filled="false" stroked="true" strokeweight=".48pt" strokecolor="#000000">
                <v:path arrowok="t"/>
              </v:shape>
            </v:group>
            <v:group style="position:absolute;left:9578;top:5;width:2;height:712" coordorigin="9578,5" coordsize="2,712">
              <v:shape style="position:absolute;left:9578;top:5;width:2;height:712" coordorigin="9578,5" coordsize="0,712" path="m9578,5l9578,717e" filled="false" stroked="true" strokeweight=".48pt" strokecolor="#000000">
                <v:path arrowok="t"/>
              </v:shape>
              <v:shape style="position:absolute;left:10;top:10;width:4784;height:712" type="#_x0000_t202" filled="false" stroked="false">
                <v:textbox inset="0,0,0,0">
                  <w:txbxContent>
                    <w:p>
                      <w:pPr>
                        <w:spacing w:line="240" w:lineRule="auto" w:before="2"/>
                        <w:rPr>
                          <w:rFonts w:ascii="宋体" w:hAnsi="宋体" w:cs="宋体" w:eastAsia="宋体" w:hint="default"/>
                          <w:b/>
                          <w:bCs/>
                          <w:sz w:val="16"/>
                          <w:szCs w:val="16"/>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4794;top:10;width:4784;height:712" type="#_x0000_t202" filled="false" stroked="false">
                <v:textbox inset="0,0,0,0">
                  <w:txbxContent>
                    <w:p>
                      <w:pPr>
                        <w:spacing w:line="316" w:lineRule="auto" w:before="55"/>
                        <w:ind w:left="26" w:right="75" w:firstLine="0"/>
                        <w:jc w:val="left"/>
                        <w:rPr>
                          <w:rFonts w:ascii="宋体" w:hAnsi="宋体" w:cs="宋体" w:eastAsia="宋体" w:hint="default"/>
                          <w:sz w:val="18"/>
                          <w:szCs w:val="18"/>
                        </w:rPr>
                      </w:pPr>
                      <w:r>
                        <w:rPr>
                          <w:rFonts w:ascii="宋体" w:hAnsi="宋体" w:cs="宋体" w:eastAsia="宋体" w:hint="default"/>
                          <w:sz w:val="18"/>
                          <w:szCs w:val="18"/>
                        </w:rPr>
                        <w:t>对单项金额不重大但已有客观证据表明其发生了减值的应收 款项，按账龄分析法计提的坏账准备不能反映实际情况。</w:t>
                      </w:r>
                    </w:p>
                  </w:txbxContent>
                </v:textbox>
                <w10:wrap type="none"/>
              </v:shape>
            </v:group>
          </v:group>
        </w:pict>
      </w:r>
      <w:r>
        <w:rPr>
          <w:rFonts w:ascii="宋体" w:hAnsi="宋体" w:cs="宋体" w:eastAsia="宋体" w:hint="default"/>
          <w:position w:val="-14"/>
          <w:sz w:val="20"/>
          <w:szCs w:val="20"/>
        </w:rPr>
      </w:r>
    </w:p>
    <w:p>
      <w:pPr>
        <w:spacing w:after="0" w:line="726" w:lineRule="exact"/>
        <w:rPr>
          <w:rFonts w:ascii="宋体" w:hAnsi="宋体" w:cs="宋体" w:eastAsia="宋体" w:hint="default"/>
          <w:sz w:val="20"/>
          <w:szCs w:val="20"/>
        </w:rPr>
        <w:sectPr>
          <w:pgSz w:w="11910" w:h="16840"/>
          <w:pgMar w:header="566" w:footer="978" w:top="1360" w:bottom="1160" w:left="1020" w:right="1020"/>
        </w:sectPr>
      </w:pPr>
    </w:p>
    <w:p>
      <w:pPr>
        <w:spacing w:line="240" w:lineRule="auto" w:before="12"/>
        <w:rPr>
          <w:rFonts w:ascii="宋体" w:hAnsi="宋体" w:cs="宋体" w:eastAsia="宋体" w:hint="default"/>
          <w:b/>
          <w:bCs/>
          <w:sz w:val="4"/>
          <w:szCs w:val="4"/>
        </w:rPr>
      </w:pPr>
    </w:p>
    <w:p>
      <w:pPr>
        <w:spacing w:line="1040" w:lineRule="exact"/>
        <w:ind w:left="104"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79.4pt;height:52.05pt;mso-position-horizontal-relative:char;mso-position-vertical-relative:line" coordorigin="0,0" coordsize="9588,1041">
            <v:group style="position:absolute;left:13;top:13;width:4779;height:1021" coordorigin="13,13" coordsize="4779,1021">
              <v:shape style="position:absolute;left:13;top:13;width:4779;height:1021" coordorigin="13,13" coordsize="4779,1021" path="m13,13l4792,13,4792,1034,13,1034,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1036;width:9578;height:2" coordorigin="5,1036" coordsize="9578,2">
              <v:shape style="position:absolute;left:5;top:1036;width:9578;height:2" coordorigin="5,1036" coordsize="9578,0" path="m5,1036l9582,1036e" filled="false" stroked="true" strokeweight=".48pt" strokecolor="#000000">
                <v:path arrowok="t"/>
              </v:shape>
            </v:group>
            <v:group style="position:absolute;left:10;top:5;width:2;height:1026" coordorigin="10,5" coordsize="2,1026">
              <v:shape style="position:absolute;left:10;top:5;width:2;height:1026" coordorigin="10,5" coordsize="0,1026" path="m10,5l10,1031e" filled="false" stroked="true" strokeweight=".48pt" strokecolor="#000000">
                <v:path arrowok="t"/>
              </v:shape>
            </v:group>
            <v:group style="position:absolute;left:4794;top:5;width:2;height:1026" coordorigin="4794,5" coordsize="2,1026">
              <v:shape style="position:absolute;left:4794;top:5;width:2;height:1026" coordorigin="4794,5" coordsize="0,1026" path="m4794,5l4794,1031e" filled="false" stroked="true" strokeweight=".48pt" strokecolor="#000000">
                <v:path arrowok="t"/>
              </v:shape>
            </v:group>
            <v:group style="position:absolute;left:9578;top:5;width:2;height:1026" coordorigin="9578,5" coordsize="2,1026">
              <v:shape style="position:absolute;left:9578;top:5;width:2;height:1026" coordorigin="9578,5" coordsize="0,1026" path="m9578,5l9578,1031e" filled="false" stroked="true" strokeweight=".48pt" strokecolor="#000000">
                <v:path arrowok="t"/>
              </v:shape>
              <v:shape style="position:absolute;left:10;top:10;width:4784;height:1026" type="#_x0000_t202" filled="false" stroked="false">
                <v:textbox inset="0,0,0,0">
                  <w:txbxContent>
                    <w:p>
                      <w:pPr>
                        <w:spacing w:line="240" w:lineRule="auto" w:before="0"/>
                        <w:rPr>
                          <w:rFonts w:ascii="宋体" w:hAnsi="宋体" w:cs="宋体" w:eastAsia="宋体" w:hint="default"/>
                          <w:b/>
                          <w:bCs/>
                          <w:sz w:val="18"/>
                          <w:szCs w:val="18"/>
                        </w:rPr>
                      </w:pPr>
                    </w:p>
                    <w:p>
                      <w:pPr>
                        <w:spacing w:before="131"/>
                        <w:ind w:left="27" w:right="0" w:firstLine="0"/>
                        <w:jc w:val="left"/>
                        <w:rPr>
                          <w:rFonts w:ascii="宋体" w:hAnsi="宋体" w:cs="宋体" w:eastAsia="宋体" w:hint="default"/>
                          <w:sz w:val="18"/>
                          <w:szCs w:val="18"/>
                        </w:rPr>
                      </w:pPr>
                      <w:r>
                        <w:rPr>
                          <w:rFonts w:ascii="宋体" w:hAnsi="宋体" w:cs="宋体" w:eastAsia="宋体" w:hint="default"/>
                          <w:sz w:val="18"/>
                          <w:szCs w:val="18"/>
                        </w:rPr>
                        <w:t>坏账准备的计提方法</w:t>
                      </w:r>
                    </w:p>
                  </w:txbxContent>
                </v:textbox>
                <w10:wrap type="none"/>
              </v:shape>
              <v:shape style="position:absolute;left:4794;top:10;width:4784;height:1026" type="#_x0000_t202" filled="false" stroked="false">
                <v:textbox inset="0,0,0,0">
                  <w:txbxContent>
                    <w:p>
                      <w:pPr>
                        <w:spacing w:line="316" w:lineRule="auto" w:before="54"/>
                        <w:ind w:left="26" w:right="75" w:firstLine="0"/>
                        <w:jc w:val="both"/>
                        <w:rPr>
                          <w:rFonts w:ascii="宋体" w:hAnsi="宋体" w:cs="宋体" w:eastAsia="宋体" w:hint="default"/>
                          <w:sz w:val="18"/>
                          <w:szCs w:val="18"/>
                        </w:rPr>
                      </w:pPr>
                      <w:r>
                        <w:rPr>
                          <w:rFonts w:ascii="宋体" w:hAnsi="宋体" w:cs="宋体" w:eastAsia="宋体" w:hint="default"/>
                          <w:sz w:val="18"/>
                          <w:szCs w:val="18"/>
                        </w:rPr>
                        <w:t>本公司单独进行减值测试，根据其未来现金流量现值低于其 账面价值的差额，确认减值损失，并据此计提相应的坏账准 备。</w:t>
                      </w:r>
                    </w:p>
                  </w:txbxContent>
                </v:textbox>
                <w10:wrap type="none"/>
              </v:shape>
            </v:group>
          </v:group>
        </w:pict>
      </w:r>
      <w:r>
        <w:rPr>
          <w:rFonts w:ascii="宋体" w:hAnsi="宋体" w:cs="宋体" w:eastAsia="宋体" w:hint="default"/>
          <w:position w:val="-20"/>
          <w:sz w:val="20"/>
          <w:szCs w:val="20"/>
        </w:rPr>
      </w:r>
    </w:p>
    <w:p>
      <w:pPr>
        <w:spacing w:line="240" w:lineRule="auto" w:before="5"/>
        <w:rPr>
          <w:rFonts w:ascii="宋体" w:hAnsi="宋体" w:cs="宋体" w:eastAsia="宋体" w:hint="default"/>
          <w:b/>
          <w:bCs/>
          <w:sz w:val="19"/>
          <w:szCs w:val="19"/>
        </w:rPr>
      </w:pPr>
    </w:p>
    <w:p>
      <w:pPr>
        <w:pStyle w:val="Heading3"/>
        <w:spacing w:line="240" w:lineRule="auto" w:before="34"/>
        <w:ind w:right="675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00" w:lineRule="auto" w:before="29"/>
        <w:ind w:left="472" w:right="94" w:hanging="360"/>
        <w:jc w:val="left"/>
      </w:pPr>
      <w:r>
        <w:rPr/>
        <w:t>（</w:t>
      </w:r>
      <w:r>
        <w:rPr>
          <w:rFonts w:ascii="Times New Roman" w:hAnsi="Times New Roman" w:cs="Times New Roman" w:eastAsia="Times New Roman" w:hint="default"/>
        </w:rPr>
        <w:t>1</w:t>
      </w:r>
      <w:r>
        <w:rPr/>
        <w:t>）存货的分类 </w:t>
      </w:r>
      <w:r>
        <w:rPr>
          <w:spacing w:val="-2"/>
        </w:rPr>
        <w:t>存货是指本公司在日常活动中持有以备出售的产成品或商品、处在生产过程中的在产品、在生产过程或提供劳务过程中</w:t>
      </w:r>
    </w:p>
    <w:p>
      <w:pPr>
        <w:pStyle w:val="BodyText"/>
        <w:spacing w:line="240" w:lineRule="auto" w:before="31"/>
        <w:ind w:right="94"/>
        <w:jc w:val="left"/>
      </w:pPr>
      <w:r>
        <w:rPr/>
        <w:t>耗用的材料和物料等，包括原材料、开发成本、开发产品、周转材料等。</w:t>
      </w:r>
    </w:p>
    <w:p>
      <w:pPr>
        <w:pStyle w:val="BodyText"/>
        <w:spacing w:line="300" w:lineRule="auto" w:before="76"/>
        <w:ind w:left="472" w:right="6214" w:hanging="360"/>
        <w:jc w:val="left"/>
      </w:pPr>
      <w:r>
        <w:rPr/>
        <w:t>（</w:t>
      </w:r>
      <w:r>
        <w:rPr>
          <w:rFonts w:ascii="Times New Roman" w:hAnsi="Times New Roman" w:cs="Times New Roman" w:eastAsia="Times New Roman" w:hint="default"/>
        </w:rPr>
        <w:t>2</w:t>
      </w:r>
      <w:r>
        <w:rPr/>
        <w:t>）发出存货的计价方法 本公司存货发出时采用个别计价法计价。</w:t>
      </w:r>
    </w:p>
    <w:p>
      <w:pPr>
        <w:pStyle w:val="BodyText"/>
        <w:spacing w:line="300" w:lineRule="auto" w:before="31"/>
        <w:ind w:left="472" w:right="2794" w:hanging="360"/>
        <w:jc w:val="left"/>
      </w:pPr>
      <w:r>
        <w:rPr/>
        <w:t>（</w:t>
      </w:r>
      <w:r>
        <w:rPr>
          <w:rFonts w:ascii="Times New Roman" w:hAnsi="Times New Roman" w:cs="Times New Roman" w:eastAsia="Times New Roman" w:hint="default"/>
        </w:rPr>
        <w:t>3</w:t>
      </w:r>
      <w:r>
        <w:rPr/>
        <w:t>）存货的盘存制度 本公司存货采用永续盘存制，每年至少盘点一次，盘盈及盘亏金额计入当年度损益。</w:t>
      </w:r>
    </w:p>
    <w:p>
      <w:pPr>
        <w:pStyle w:val="BodyText"/>
        <w:spacing w:line="312" w:lineRule="auto" w:before="31"/>
        <w:ind w:left="472" w:right="94" w:hanging="360"/>
        <w:jc w:val="left"/>
      </w:pPr>
      <w:r>
        <w:rPr/>
        <w:t>（</w:t>
      </w:r>
      <w:r>
        <w:rPr>
          <w:rFonts w:ascii="Times New Roman" w:hAnsi="Times New Roman" w:cs="Times New Roman" w:eastAsia="Times New Roman" w:hint="default"/>
        </w:rPr>
        <w:t>4</w:t>
      </w:r>
      <w:r>
        <w:rPr/>
        <w:t>）存货跌价准备的计提方法 资产负债表日按成本与可变现净值孰低计量，存货成本高于其可变现净值的，计提存货跌价准备，计入当期损益。 </w:t>
      </w:r>
      <w:r>
        <w:rPr>
          <w:spacing w:val="-4"/>
        </w:rPr>
        <w:t>在确定存货的可变现净值时，以取得的可靠证据为基础，并且考虑持有存货的目的、资产负债表日后事项的影响等因素。</w:t>
      </w:r>
      <w:r>
        <w:rPr/>
        <w:t> 1）开发产品和用于出售的材料等直接用于出售的存货，在正常生产经营过程中，以该存货的估计售价减去估计的销售</w:t>
      </w:r>
    </w:p>
    <w:p>
      <w:pPr>
        <w:pStyle w:val="BodyText"/>
        <w:spacing w:line="316" w:lineRule="auto" w:before="22"/>
        <w:ind w:right="192"/>
        <w:jc w:val="both"/>
      </w:pPr>
      <w:r>
        <w:rPr>
          <w:spacing w:val="-2"/>
        </w:rPr>
        <w:t>费用和相关税费后的金额确定其可变现净值。为执行销售合同或者劳务合同而持有的存货，以合同价格作为其可变现净值的</w:t>
      </w:r>
      <w:r>
        <w:rPr>
          <w:spacing w:val="-64"/>
        </w:rPr>
        <w:t> </w:t>
      </w:r>
      <w:r>
        <w:rPr>
          <w:spacing w:val="-64"/>
        </w:rPr>
      </w:r>
      <w:r>
        <w:rPr>
          <w:spacing w:val="-2"/>
        </w:rPr>
        <w:t>计量基础；如果持有存货的数量多于销售合同订购数量，超出部分的存货可变现净值以一般销售价格为计量基础。用于出售</w:t>
      </w:r>
      <w:r>
        <w:rPr>
          <w:spacing w:val="-65"/>
        </w:rPr>
        <w:t> </w:t>
      </w:r>
      <w:r>
        <w:rPr>
          <w:spacing w:val="-65"/>
        </w:rPr>
      </w:r>
      <w:r>
        <w:rPr/>
        <w:t>的材料等，以市场价格作为其可变现净值的计量基础。</w:t>
      </w:r>
    </w:p>
    <w:p>
      <w:pPr>
        <w:pStyle w:val="BodyText"/>
        <w:spacing w:line="316" w:lineRule="auto" w:before="19"/>
        <w:ind w:right="192" w:firstLine="360"/>
        <w:jc w:val="both"/>
      </w:pPr>
      <w:r>
        <w:rPr/>
        <w:t>2）需要经过加工的材料存货，在正常生产经营过程中，以所生产的开发产品的估计售价减去至完工时估计将要发生的 </w:t>
      </w:r>
      <w:r>
        <w:rPr>
          <w:spacing w:val="-2"/>
        </w:rPr>
        <w:t>成本、估计的销售费用和相关税费后的金额确定其可变现净值。如果用其生产的开发产品的可变现净值高于成本，则该材料</w:t>
      </w:r>
      <w:r>
        <w:rPr>
          <w:spacing w:val="-65"/>
        </w:rPr>
        <w:t> </w:t>
      </w:r>
      <w:r>
        <w:rPr>
          <w:spacing w:val="-65"/>
        </w:rPr>
      </w:r>
      <w:r>
        <w:rPr>
          <w:spacing w:val="-2"/>
        </w:rPr>
        <w:t>按成本计量；如果材料价格的下降表明开发产品的可变现净值低于成本，则该材料按可变现净值计量，按其差额计提存货跌</w:t>
      </w:r>
      <w:r>
        <w:rPr>
          <w:spacing w:val="-65"/>
        </w:rPr>
        <w:t> </w:t>
      </w:r>
      <w:r>
        <w:rPr>
          <w:spacing w:val="-65"/>
        </w:rPr>
      </w:r>
      <w:r>
        <w:rPr/>
        <w:t>价准备。</w:t>
      </w:r>
    </w:p>
    <w:p>
      <w:pPr>
        <w:pStyle w:val="BodyText"/>
        <w:spacing w:line="240" w:lineRule="auto" w:before="19"/>
        <w:ind w:left="472" w:right="94"/>
        <w:jc w:val="left"/>
      </w:pPr>
      <w:r>
        <w:rPr/>
        <w:t>3）存货跌价准备一般按单个存货项目计提；对于数量繁多、单价较低的存货，按存货类别计提。</w:t>
      </w:r>
    </w:p>
    <w:p>
      <w:pPr>
        <w:pStyle w:val="BodyText"/>
        <w:spacing w:line="316" w:lineRule="auto" w:before="76"/>
        <w:ind w:right="201" w:firstLine="360"/>
        <w:jc w:val="both"/>
      </w:pPr>
      <w:r>
        <w:rPr/>
        <w:t>4）资产负债表日如果以前减记存货价值的影响因素已经消失，则减记的金额予以恢复，并在原已计提的存货跌价准备 的金额内转回，转回的金额计入当期损益。</w:t>
      </w:r>
    </w:p>
    <w:p>
      <w:pPr>
        <w:pStyle w:val="BodyText"/>
        <w:spacing w:line="300" w:lineRule="auto" w:before="19"/>
        <w:ind w:left="472" w:right="5224" w:hanging="360"/>
        <w:jc w:val="left"/>
      </w:pPr>
      <w:r>
        <w:rPr/>
        <w:t>（</w:t>
      </w:r>
      <w:r>
        <w:rPr>
          <w:rFonts w:ascii="Times New Roman" w:hAnsi="Times New Roman" w:cs="Times New Roman" w:eastAsia="Times New Roman" w:hint="default"/>
        </w:rPr>
        <w:t>5</w:t>
      </w:r>
      <w:r>
        <w:rPr/>
        <w:t>）周转材料的摊销方法 1）低值易耗品摊销方法：在领用时采用一次转销法。</w:t>
      </w:r>
    </w:p>
    <w:p>
      <w:pPr>
        <w:pStyle w:val="BodyText"/>
        <w:spacing w:line="240" w:lineRule="auto" w:before="31"/>
        <w:ind w:left="472" w:right="94"/>
        <w:jc w:val="left"/>
      </w:pPr>
      <w:r>
        <w:rPr/>
        <w:t>2）包装物的摊销方法：在领用时采用一次转销法。</w:t>
      </w:r>
    </w:p>
    <w:p>
      <w:pPr>
        <w:spacing w:line="240" w:lineRule="auto" w:before="0"/>
        <w:rPr>
          <w:rFonts w:ascii="宋体" w:hAnsi="宋体" w:cs="宋体" w:eastAsia="宋体" w:hint="default"/>
          <w:sz w:val="18"/>
          <w:szCs w:val="18"/>
        </w:rPr>
      </w:pPr>
    </w:p>
    <w:p>
      <w:pPr>
        <w:pStyle w:val="Heading3"/>
        <w:spacing w:line="240" w:lineRule="auto" w:before="118"/>
        <w:ind w:right="6754"/>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472" w:right="3064" w:hanging="360"/>
        <w:jc w:val="left"/>
      </w:pPr>
      <w:r>
        <w:rPr/>
        <w:t>（</w:t>
      </w:r>
      <w:r>
        <w:rPr>
          <w:rFonts w:ascii="Times New Roman" w:hAnsi="Times New Roman" w:cs="Times New Roman" w:eastAsia="Times New Roman" w:hint="default"/>
        </w:rPr>
        <w:t>1</w:t>
      </w:r>
      <w:r>
        <w:rPr/>
        <w:t>）持有待售的非流动资产或处置组的分类 本公司将同时满足下列条件的非流动资产或处置组划分为持有待售类别： 1）根据类似交易中出售此类资产或处置组的惯例，在当前状况下即可立即出售；</w:t>
      </w:r>
    </w:p>
    <w:p>
      <w:pPr>
        <w:pStyle w:val="BodyText"/>
        <w:spacing w:line="316" w:lineRule="auto" w:before="24"/>
        <w:ind w:right="201" w:firstLine="360"/>
        <w:jc w:val="both"/>
      </w:pPr>
      <w:r>
        <w:rPr/>
        <w:t>2）出售极可能发生，即本公司已经就一项出售计划作出决议且获得确定的购买承诺，预计出售将在一年内完成。有关 规定要求本公司相关权力机构或者监管部门批准后方可出售的，已经获得批准。</w:t>
      </w:r>
    </w:p>
    <w:p>
      <w:pPr>
        <w:pStyle w:val="BodyText"/>
        <w:spacing w:line="316" w:lineRule="auto" w:before="19"/>
        <w:ind w:right="192" w:firstLine="360"/>
        <w:jc w:val="both"/>
      </w:pPr>
      <w:r>
        <w:rPr>
          <w:spacing w:val="-2"/>
        </w:rPr>
        <w:t>本公司专为转售而取得的非流动资产或处置组，在取得日满足“预计出售将在一年内完成”的规定条件，且短期（通常</w:t>
      </w:r>
      <w:r>
        <w:rPr/>
        <w:t> 为3个月）内很可能满足持有待售类别的其他划分条件的，本公司在取得日将其划分为持有待售类别。</w:t>
      </w:r>
    </w:p>
    <w:p>
      <w:pPr>
        <w:pStyle w:val="BodyText"/>
        <w:spacing w:line="316" w:lineRule="auto" w:before="19"/>
        <w:ind w:right="192" w:firstLine="360"/>
        <w:jc w:val="both"/>
      </w:pPr>
      <w:r>
        <w:rPr>
          <w:spacing w:val="-2"/>
        </w:rPr>
        <w:t>本公司因出售对子公司的投资等原因导致其丧失对子公司控制权的，无论出售后本公司是否保留部分权益性投资，在拟</w:t>
      </w:r>
      <w:r>
        <w:rPr/>
        <w:t> </w:t>
      </w:r>
      <w:r>
        <w:rPr>
          <w:spacing w:val="-2"/>
        </w:rPr>
        <w:t>出售的对子公司投资满足持有待售类别划分条件时，在母公司个别财务报表中将对子公司投资整体划分为持有待售类别，在</w:t>
      </w:r>
    </w:p>
    <w:p>
      <w:pPr>
        <w:spacing w:after="0" w:line="316" w:lineRule="auto"/>
        <w:jc w:val="both"/>
        <w:sectPr>
          <w:pgSz w:w="11910" w:h="16840"/>
          <w:pgMar w:header="566" w:footer="978" w:top="1360" w:bottom="1160" w:left="1020" w:right="940"/>
        </w:sectPr>
      </w:pPr>
    </w:p>
    <w:p>
      <w:pPr>
        <w:pStyle w:val="BodyText"/>
        <w:spacing w:line="240" w:lineRule="auto" w:before="81"/>
        <w:ind w:right="0"/>
        <w:jc w:val="left"/>
      </w:pPr>
      <w:r>
        <w:rPr/>
        <w:t>合并财务报表中将子公司所有资产和负债划分为持有待售类别。</w:t>
      </w:r>
    </w:p>
    <w:p>
      <w:pPr>
        <w:pStyle w:val="BodyText"/>
        <w:spacing w:line="300" w:lineRule="auto" w:before="76"/>
        <w:ind w:left="472" w:right="0" w:hanging="360"/>
        <w:jc w:val="left"/>
      </w:pPr>
      <w:r>
        <w:rPr/>
        <w:t>（</w:t>
      </w:r>
      <w:r>
        <w:rPr>
          <w:rFonts w:ascii="Times New Roman" w:hAnsi="Times New Roman" w:cs="Times New Roman" w:eastAsia="Times New Roman" w:hint="default"/>
        </w:rPr>
        <w:t>2</w:t>
      </w:r>
      <w:r>
        <w:rPr/>
        <w:t>）持有待售的非流动资产或处置组的计量 </w:t>
      </w:r>
      <w:r>
        <w:rPr>
          <w:spacing w:val="-2"/>
        </w:rPr>
        <w:t>采用公允价值模式进行后续计量的投资性房地产、采用公允价值减去出售费用后的净额计量的生物资产、职工薪酬形成</w:t>
      </w:r>
    </w:p>
    <w:p>
      <w:pPr>
        <w:pStyle w:val="BodyText"/>
        <w:spacing w:line="316" w:lineRule="auto" w:before="31"/>
        <w:ind w:right="112"/>
        <w:jc w:val="both"/>
      </w:pPr>
      <w:r>
        <w:rPr>
          <w:spacing w:val="-2"/>
        </w:rPr>
        <w:t>的资产、递延所得税资产、由金融工具相关会计准则规范的金融资产及由保险合同相关会计准则规范的保险合同所产生的权</w:t>
      </w:r>
      <w:r>
        <w:rPr>
          <w:spacing w:val="-64"/>
        </w:rPr>
        <w:t> </w:t>
      </w:r>
      <w:r>
        <w:rPr>
          <w:spacing w:val="-64"/>
        </w:rPr>
      </w:r>
      <w:r>
        <w:rPr/>
        <w:t>利的计量分别适用于其他相关会计准则。</w:t>
      </w:r>
    </w:p>
    <w:p>
      <w:pPr>
        <w:pStyle w:val="BodyText"/>
        <w:spacing w:line="316" w:lineRule="auto" w:before="19"/>
        <w:ind w:right="112" w:firstLine="360"/>
        <w:jc w:val="both"/>
      </w:pPr>
      <w:r>
        <w:rPr>
          <w:spacing w:val="-2"/>
        </w:rPr>
        <w:t>初始计量或在资产负债表日重新计量持有待售的非流动资产或处置组时，其账面价值高于公允价值减去出售费用后的净</w:t>
      </w:r>
      <w:r>
        <w:rPr/>
        <w:t> </w:t>
      </w:r>
      <w:r>
        <w:rPr>
          <w:spacing w:val="-2"/>
        </w:rPr>
        <w:t>额的，将账面价值减记至公允价值减去出售费用后的净额，减记的金额确认为资产减值损失，计入当期损益，同时计提持有</w:t>
      </w:r>
      <w:r>
        <w:rPr>
          <w:spacing w:val="-66"/>
        </w:rPr>
        <w:t> </w:t>
      </w:r>
      <w:r>
        <w:rPr>
          <w:spacing w:val="-66"/>
        </w:rPr>
      </w:r>
      <w:r>
        <w:rPr/>
        <w:t>待售资产减值准备。</w:t>
      </w:r>
    </w:p>
    <w:p>
      <w:pPr>
        <w:pStyle w:val="BodyText"/>
        <w:spacing w:line="316" w:lineRule="auto" w:before="19"/>
        <w:ind w:right="211" w:firstLine="360"/>
        <w:jc w:val="both"/>
      </w:pPr>
      <w:r>
        <w:rPr/>
        <w:t>非流动资产或处置组因不再满足持有待售类别的划分条件而不再继续划分为持有待售类别或非流动资产从持有待售的 处置组中移除时，按照以下两者孰低计量：</w:t>
      </w:r>
    </w:p>
    <w:p>
      <w:pPr>
        <w:pStyle w:val="BodyText"/>
        <w:spacing w:line="316" w:lineRule="auto" w:before="19"/>
        <w:ind w:right="121" w:firstLine="360"/>
        <w:jc w:val="both"/>
      </w:pPr>
      <w:r>
        <w:rPr/>
        <w:t>1）划分为持有待售类别前的账面价值，按照假定不划分为持有待售类别情况下本应确认的折旧、摊销或减值等进行调 整后的金额；</w:t>
      </w:r>
    </w:p>
    <w:p>
      <w:pPr>
        <w:pStyle w:val="BodyText"/>
        <w:spacing w:line="240" w:lineRule="auto" w:before="19"/>
        <w:ind w:left="472" w:right="0"/>
        <w:jc w:val="left"/>
      </w:pPr>
      <w:r>
        <w:rPr/>
        <w:t>2）可收回金额。</w:t>
      </w:r>
    </w:p>
    <w:p>
      <w:pPr>
        <w:pStyle w:val="BodyText"/>
        <w:spacing w:line="240" w:lineRule="auto" w:before="76"/>
        <w:ind w:right="0"/>
        <w:jc w:val="left"/>
      </w:pPr>
      <w:r>
        <w:rPr/>
        <w:t>（</w:t>
      </w:r>
      <w:r>
        <w:rPr>
          <w:rFonts w:ascii="Times New Roman" w:hAnsi="Times New Roman" w:cs="Times New Roman" w:eastAsia="Times New Roman" w:hint="default"/>
        </w:rPr>
        <w:t>3</w:t>
      </w:r>
      <w:r>
        <w:rPr/>
        <w:t>）列报</w:t>
      </w:r>
    </w:p>
    <w:p>
      <w:pPr>
        <w:pStyle w:val="BodyText"/>
        <w:spacing w:line="316" w:lineRule="auto" w:before="63"/>
        <w:ind w:right="112" w:firstLine="360"/>
        <w:jc w:val="both"/>
      </w:pPr>
      <w:r>
        <w:rPr>
          <w:spacing w:val="-2"/>
        </w:rPr>
        <w:t>本公司在资产负债表中区别于其他资产单独列示持有待售的非流动资产或持有待售的处置组中的资产，区别于其他负债</w:t>
      </w:r>
      <w:r>
        <w:rPr/>
        <w:t> </w:t>
      </w:r>
      <w:r>
        <w:rPr>
          <w:spacing w:val="-2"/>
        </w:rPr>
        <w:t>单独列示持有待售的处置组中的负债。持有待售的非流动资产或持有待售的处置组中的资产与持有待售的处置组中的负债不</w:t>
      </w:r>
      <w:r>
        <w:rPr>
          <w:spacing w:val="-64"/>
        </w:rPr>
        <w:t> </w:t>
      </w:r>
      <w:r>
        <w:rPr>
          <w:spacing w:val="-64"/>
        </w:rPr>
      </w:r>
      <w:r>
        <w:rPr/>
        <w:t>予相互抵销，分别作为流动资产和流动负债列示。</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 w:firstLine="360"/>
        <w:jc w:val="both"/>
      </w:pPr>
      <w:r>
        <w:rPr>
          <w:spacing w:val="-2"/>
        </w:rPr>
        <w:t>本公司长期股权投资包括对被投资单位实施控制、重大影响的权益性投资，以及对合营企业的权益性投资。本公司能够</w:t>
      </w:r>
      <w:r>
        <w:rPr/>
        <w:t> 对被投资单位施加重大影响的，为本公司的联营企业。</w:t>
      </w:r>
    </w:p>
    <w:p>
      <w:pPr>
        <w:pStyle w:val="BodyText"/>
        <w:spacing w:line="300" w:lineRule="auto" w:before="19"/>
        <w:ind w:left="472" w:right="0" w:hanging="360"/>
        <w:jc w:val="left"/>
      </w:pPr>
      <w:r>
        <w:rPr/>
        <w:t>（</w:t>
      </w:r>
      <w:r>
        <w:rPr>
          <w:rFonts w:ascii="Times New Roman" w:hAnsi="Times New Roman" w:cs="Times New Roman" w:eastAsia="Times New Roman" w:hint="default"/>
        </w:rPr>
        <w:t>1</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316" w:lineRule="auto" w:before="31"/>
        <w:ind w:right="112"/>
        <w:jc w:val="both"/>
      </w:pPr>
      <w:r>
        <w:rPr>
          <w:spacing w:val="-2"/>
        </w:rPr>
        <w:t>后才能决策。在判断是否存在共同控制时，首先判断所有参与方或参与方组合是否集体控制该安排，如果所有参与方或一组</w:t>
      </w:r>
      <w:r>
        <w:rPr>
          <w:spacing w:val="-65"/>
        </w:rPr>
        <w:t> </w:t>
      </w:r>
      <w:r>
        <w:rPr>
          <w:spacing w:val="-65"/>
        </w:rPr>
      </w:r>
      <w:r>
        <w:rPr>
          <w:spacing w:val="-2"/>
        </w:rPr>
        <w:t>参与方必须一致行动才能决定某项安排的相关活动，则认为所有参与方或一组参与方集体控制该安排。其次再判断该安排相</w:t>
      </w:r>
      <w:r>
        <w:rPr>
          <w:spacing w:val="-64"/>
        </w:rPr>
        <w:t> </w:t>
      </w:r>
      <w:r>
        <w:rPr>
          <w:spacing w:val="-64"/>
        </w:rPr>
      </w:r>
      <w:r>
        <w:rPr>
          <w:spacing w:val="-2"/>
        </w:rPr>
        <w:t>关活动的决策是否必须经过这些集体控制该安排的参与方一致同意。如果存在两个或两个以上的参与方组合能够集体控制某</w:t>
      </w:r>
      <w:r>
        <w:rPr>
          <w:spacing w:val="-64"/>
        </w:rPr>
        <w:t> </w:t>
      </w:r>
      <w:r>
        <w:rPr>
          <w:spacing w:val="-64"/>
        </w:rPr>
      </w:r>
      <w:r>
        <w:rPr/>
        <w:t>项安排的，不构成共同控制。判断是否存在共同控制时，不考虑享有的保护性权利。</w:t>
      </w:r>
    </w:p>
    <w:p>
      <w:pPr>
        <w:pStyle w:val="BodyText"/>
        <w:spacing w:line="316" w:lineRule="auto" w:before="19"/>
        <w:ind w:right="112"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16" w:lineRule="auto" w:before="19"/>
        <w:ind w:right="121" w:firstLine="360"/>
        <w:jc w:val="both"/>
      </w:pPr>
      <w:r>
        <w:rPr/>
        <w:t>当本公司直接或通过子公司间接拥有被投资单位20%（含20%）以上但低于50%的表决权股份时，一般认为对被投资单位 具有重大影响，除非有明确证据表明该种情况下不能参与被投资单位的生产经营决策，不形成重大影响。</w:t>
      </w:r>
    </w:p>
    <w:p>
      <w:pPr>
        <w:pStyle w:val="BodyText"/>
        <w:spacing w:line="300" w:lineRule="auto" w:before="19"/>
        <w:ind w:left="472" w:right="4064" w:hanging="360"/>
        <w:jc w:val="left"/>
      </w:pPr>
      <w:r>
        <w:rPr/>
        <w:t>（</w:t>
      </w:r>
      <w:r>
        <w:rPr>
          <w:rFonts w:ascii="Times New Roman" w:hAnsi="Times New Roman" w:cs="Times New Roman" w:eastAsia="Times New Roman" w:hint="default"/>
        </w:rPr>
        <w:t>2</w:t>
      </w:r>
      <w:r>
        <w:rPr/>
        <w:t>）初始投资成本确定 1）企业合并形成的长期股权投资，按照下列规定确定其投资成本：</w:t>
      </w:r>
    </w:p>
    <w:p>
      <w:pPr>
        <w:pStyle w:val="BodyText"/>
        <w:spacing w:line="316" w:lineRule="auto" w:before="31"/>
        <w:ind w:right="112" w:firstLine="360"/>
        <w:jc w:val="both"/>
      </w:pPr>
      <w:r>
        <w:rPr>
          <w:spacing w:val="-2"/>
        </w:rPr>
        <w:t>①同一控制下的企业合并，合并方以支付现金、转让非现金资产或承担债务方式作为合并对价的，在合并日按照被合并</w:t>
      </w:r>
      <w:r>
        <w:rPr/>
        <w:t> </w:t>
      </w:r>
      <w:r>
        <w:rPr>
          <w:spacing w:val="-2"/>
        </w:rPr>
        <w:t>方所有者权益在最终控制方合并财务报表中的账面价值的份额作为长期股权投资的初始投资成本。长期股权投资初始投资成</w:t>
      </w:r>
      <w:r>
        <w:rPr>
          <w:spacing w:val="-64"/>
        </w:rPr>
        <w:t> </w:t>
      </w:r>
      <w:r>
        <w:rPr>
          <w:spacing w:val="-64"/>
        </w:rPr>
      </w:r>
      <w:r>
        <w:rPr>
          <w:spacing w:val="-2"/>
        </w:rPr>
        <w:t>本与支付的现金、转让的非现金资产以及所承担债务账面价值之间的差额，调整资本公积；资本公积不足冲减的，调整留存</w:t>
      </w:r>
      <w:r>
        <w:rPr>
          <w:spacing w:val="-66"/>
        </w:rPr>
        <w:t> </w:t>
      </w:r>
      <w:r>
        <w:rPr>
          <w:spacing w:val="-66"/>
        </w:rPr>
      </w:r>
      <w:r>
        <w:rPr/>
        <w:t>收益。</w:t>
      </w:r>
    </w:p>
    <w:p>
      <w:pPr>
        <w:pStyle w:val="BodyText"/>
        <w:spacing w:line="316" w:lineRule="auto" w:before="19"/>
        <w:ind w:right="112" w:firstLine="360"/>
        <w:jc w:val="both"/>
      </w:pPr>
      <w:r>
        <w:rPr>
          <w:spacing w:val="-2"/>
        </w:rPr>
        <w:t>②同一控制下的企业合并，合并方以发行权益性证券作为合并对价的，在合并日按照被合并方所有者权益在最终控制方</w:t>
      </w:r>
      <w:r>
        <w:rPr/>
        <w:t> </w:t>
      </w:r>
      <w:r>
        <w:rPr>
          <w:spacing w:val="-2"/>
        </w:rPr>
        <w:t>合并财务报表中的账面价值的份额作为长期股权投资的初始投资成本。按照发行股份的面值总额作为股本，长期股权投资初</w:t>
      </w:r>
      <w:r>
        <w:rPr>
          <w:spacing w:val="-64"/>
        </w:rPr>
        <w:t> </w:t>
      </w:r>
      <w:r>
        <w:rPr>
          <w:spacing w:val="-64"/>
        </w:rPr>
      </w:r>
      <w:r>
        <w:rPr/>
        <w:t>始投资成本与所发行股份面值总额之间的差额，调整资本公积；资本公积不足冲减的，调整留存收益。</w:t>
      </w:r>
    </w:p>
    <w:p>
      <w:pPr>
        <w:pStyle w:val="BodyText"/>
        <w:spacing w:line="240" w:lineRule="auto" w:before="19"/>
        <w:ind w:left="472" w:right="0"/>
        <w:jc w:val="left"/>
      </w:pPr>
      <w:r>
        <w:rPr>
          <w:spacing w:val="-2"/>
        </w:rPr>
        <w:t>③非同一控制下的企业合并，以购买日为取得对被购买方的控制权而付出的资产、发生或承担的负债以及发行的权益性</w:t>
      </w:r>
    </w:p>
    <w:p>
      <w:pPr>
        <w:spacing w:after="0" w:line="240" w:lineRule="auto"/>
        <w:jc w:val="left"/>
        <w:sectPr>
          <w:pgSz w:w="11910" w:h="16840"/>
          <w:pgMar w:header="566" w:footer="978" w:top="1360" w:bottom="1160" w:left="1020" w:right="1020"/>
        </w:sectPr>
      </w:pPr>
    </w:p>
    <w:p>
      <w:pPr>
        <w:pStyle w:val="BodyText"/>
        <w:spacing w:line="316" w:lineRule="auto" w:before="81"/>
        <w:ind w:right="94"/>
        <w:jc w:val="left"/>
      </w:pPr>
      <w:r>
        <w:rPr>
          <w:spacing w:val="-2"/>
        </w:rPr>
        <w:t>证券的公允价值确定为合并成本作为长期股权投资的初始投资成本。合并方为企业合并发生的审计、法律服务、评估咨询等</w:t>
      </w:r>
      <w:r>
        <w:rPr>
          <w:spacing w:val="-65"/>
        </w:rPr>
        <w:t> </w:t>
      </w:r>
      <w:r>
        <w:rPr>
          <w:spacing w:val="-65"/>
        </w:rPr>
      </w:r>
      <w:r>
        <w:rPr/>
        <w:t>中介费用以及其他相关管理费用，于发生时计入当期损益。</w:t>
      </w:r>
    </w:p>
    <w:p>
      <w:pPr>
        <w:pStyle w:val="BodyText"/>
        <w:spacing w:line="240" w:lineRule="auto" w:before="19"/>
        <w:ind w:left="472" w:right="94"/>
        <w:jc w:val="left"/>
      </w:pPr>
      <w:r>
        <w:rPr/>
        <w:t>2）除企业合并形成的长期股权投资以外，其他方式取得的长期股权投资，按照下列规定确定其投资成本：</w:t>
      </w:r>
    </w:p>
    <w:p>
      <w:pPr>
        <w:pStyle w:val="BodyText"/>
        <w:spacing w:line="316" w:lineRule="auto" w:before="76"/>
        <w:ind w:right="192" w:firstLine="360"/>
        <w:jc w:val="both"/>
      </w:pPr>
      <w:r>
        <w:rPr>
          <w:spacing w:val="-2"/>
        </w:rPr>
        <w:t>①以支付现金取得的长期股权投资，按照实际支付的购买价款作为投资成本。初始投资成本包括与取得长期股权投资直</w:t>
      </w:r>
      <w:r>
        <w:rPr/>
        <w:t> 接相关的费用、税金及其他必要支出。</w:t>
      </w:r>
    </w:p>
    <w:p>
      <w:pPr>
        <w:pStyle w:val="BodyText"/>
        <w:spacing w:line="240" w:lineRule="auto" w:before="19"/>
        <w:ind w:left="472" w:right="94"/>
        <w:jc w:val="left"/>
      </w:pPr>
      <w:r>
        <w:rPr/>
        <w:t>②以发行权益性证券取得的长期股权投资，按照发行权益性证券的公允价值作为初始投资成本。</w:t>
      </w:r>
    </w:p>
    <w:p>
      <w:pPr>
        <w:pStyle w:val="BodyText"/>
        <w:spacing w:line="316" w:lineRule="auto" w:before="76"/>
        <w:ind w:right="192" w:firstLine="360"/>
        <w:jc w:val="both"/>
      </w:pPr>
      <w:r>
        <w:rPr>
          <w:spacing w:val="-2"/>
        </w:rPr>
        <w:t>③通过非货币性资产交换取得的长期股权投资，如果该项交换具有商业实质且换入资产或换出资产的公允价值能可靠计</w:t>
      </w:r>
      <w:r>
        <w:rPr/>
        <w:t> </w:t>
      </w:r>
      <w:r>
        <w:rPr>
          <w:spacing w:val="-2"/>
        </w:rPr>
        <w:t>量，则以换出资产的公允价值和相关税费作为初始投资成本，换出资产的公允价值与账面价值之间的差额计入当期损益；若</w:t>
      </w:r>
      <w:r>
        <w:rPr>
          <w:spacing w:val="-65"/>
        </w:rPr>
        <w:t> </w:t>
      </w:r>
      <w:r>
        <w:rPr>
          <w:spacing w:val="-65"/>
        </w:rPr>
      </w:r>
      <w:r>
        <w:rPr/>
        <w:t>非货币资产交换不同时具备上述两个条件，则按换出资产的账面价值和相关税费作为初始投资成本。</w:t>
      </w:r>
    </w:p>
    <w:p>
      <w:pPr>
        <w:pStyle w:val="BodyText"/>
        <w:spacing w:line="316" w:lineRule="auto" w:before="19"/>
        <w:ind w:right="192" w:firstLine="360"/>
        <w:jc w:val="both"/>
      </w:pPr>
      <w:r>
        <w:rPr>
          <w:spacing w:val="-2"/>
        </w:rPr>
        <w:t>④通过债务重组取得的长期股权投资，按取得的股权的公允价值作为初始投资成本，初始投资成本与债权账面价值之间</w:t>
      </w:r>
      <w:r>
        <w:rPr/>
        <w:t> 的差额计入当期损益。</w:t>
      </w:r>
    </w:p>
    <w:p>
      <w:pPr>
        <w:pStyle w:val="BodyText"/>
        <w:spacing w:line="300" w:lineRule="auto" w:before="19"/>
        <w:ind w:left="472" w:right="94" w:hanging="360"/>
        <w:jc w:val="left"/>
      </w:pPr>
      <w:r>
        <w:rPr/>
        <w:t>（</w:t>
      </w:r>
      <w:r>
        <w:rPr>
          <w:rFonts w:ascii="Times New Roman" w:hAnsi="Times New Roman" w:cs="Times New Roman" w:eastAsia="Times New Roman" w:hint="default"/>
        </w:rPr>
        <w:t>3</w:t>
      </w:r>
      <w:r>
        <w:rPr/>
        <w:t>）后续计量及损益确认方法 </w:t>
      </w:r>
      <w:r>
        <w:rPr>
          <w:spacing w:val="-2"/>
        </w:rPr>
        <w:t>本公司能够对被投资单位实施控制的长期股权投资采用成本法核算；对联营企业和合营企业的长期股权投资采用权益法</w:t>
      </w:r>
    </w:p>
    <w:p>
      <w:pPr>
        <w:pStyle w:val="BodyText"/>
        <w:spacing w:line="240" w:lineRule="auto" w:before="31"/>
        <w:ind w:right="6754"/>
        <w:jc w:val="left"/>
      </w:pPr>
      <w:r>
        <w:rPr/>
        <w:t>核算。</w:t>
      </w:r>
    </w:p>
    <w:p>
      <w:pPr>
        <w:pStyle w:val="BodyText"/>
        <w:spacing w:line="316" w:lineRule="auto" w:before="76"/>
        <w:ind w:left="472" w:right="94"/>
        <w:jc w:val="left"/>
      </w:pPr>
      <w:r>
        <w:rPr/>
        <w:t>1）成本法 </w:t>
      </w:r>
      <w:r>
        <w:rPr>
          <w:spacing w:val="-4"/>
        </w:rPr>
        <w:t>采用成本法核算的长期股权投资，追加或收回投资时调整长期股权投资的成本；被投资单位宣告分派的现金股利或利润，</w:t>
      </w:r>
    </w:p>
    <w:p>
      <w:pPr>
        <w:pStyle w:val="BodyText"/>
        <w:spacing w:line="316" w:lineRule="auto" w:before="19"/>
        <w:ind w:left="472" w:right="8014" w:hanging="360"/>
        <w:jc w:val="left"/>
      </w:pPr>
      <w:r>
        <w:rPr/>
        <w:t>确认为当期投资收益。 2）权益法</w:t>
      </w:r>
    </w:p>
    <w:p>
      <w:pPr>
        <w:pStyle w:val="BodyText"/>
        <w:spacing w:line="316" w:lineRule="auto" w:before="19"/>
        <w:ind w:left="472" w:right="94"/>
        <w:jc w:val="left"/>
      </w:pPr>
      <w:r>
        <w:rPr/>
        <w:t>按照权益法核算的长期股权投资，一般会计处理为： </w:t>
      </w:r>
      <w:r>
        <w:rPr>
          <w:spacing w:val="-2"/>
        </w:rPr>
        <w:t>本公司长期股权投资的投资成本大于投资时应享有被投资单位可辨认净资产公允价值份额的，不调整长期股权投资的初</w:t>
      </w:r>
    </w:p>
    <w:p>
      <w:pPr>
        <w:pStyle w:val="BodyText"/>
        <w:spacing w:line="316" w:lineRule="auto" w:before="19"/>
        <w:ind w:right="94"/>
        <w:jc w:val="left"/>
      </w:pPr>
      <w:r>
        <w:rPr>
          <w:spacing w:val="-2"/>
        </w:rPr>
        <w:t>始投资成本；长期股权投资的初始投资成本小于投资时应享有被投资单位可辨认净资产公允价值份额的，其差额计入当期损</w:t>
      </w:r>
      <w:r>
        <w:rPr>
          <w:spacing w:val="-64"/>
        </w:rPr>
        <w:t> </w:t>
      </w:r>
      <w:r>
        <w:rPr>
          <w:spacing w:val="-64"/>
        </w:rPr>
      </w:r>
      <w:r>
        <w:rPr/>
        <w:t>益，同时调整长期股权投资的成本。</w:t>
      </w:r>
    </w:p>
    <w:p>
      <w:pPr>
        <w:pStyle w:val="BodyText"/>
        <w:spacing w:line="316" w:lineRule="auto" w:before="19"/>
        <w:ind w:right="94" w:firstLine="360"/>
        <w:jc w:val="left"/>
      </w:pPr>
      <w:r>
        <w:rPr>
          <w:spacing w:val="-2"/>
        </w:rPr>
        <w:t>本公司按照应享有或应分担的被投资单位实现的净损益和其他综合收益的份额，分别确认投资收益和其他综合收益，同</w:t>
      </w:r>
      <w:r>
        <w:rPr/>
        <w:t> </w:t>
      </w:r>
      <w:r>
        <w:rPr>
          <w:spacing w:val="-2"/>
        </w:rPr>
        <w:t>时调整长期股权投资的账面价值；本公司按照被投资单位宣告分派的利润或现金股利计算应享有的部分，相应减少长期股权</w:t>
      </w:r>
      <w:r>
        <w:rPr>
          <w:spacing w:val="-64"/>
        </w:rPr>
        <w:t> </w:t>
      </w:r>
      <w:r>
        <w:rPr>
          <w:spacing w:val="-64"/>
        </w:rPr>
      </w:r>
      <w:r>
        <w:rPr>
          <w:spacing w:val="-2"/>
        </w:rPr>
        <w:t>投资的账面价值；被投资单位除净损益、其他综合收益和利润分配以外所有者权益的其他变动，调整长期股权投资的账面价</w:t>
      </w:r>
      <w:r>
        <w:rPr>
          <w:spacing w:val="-65"/>
        </w:rPr>
        <w:t> </w:t>
      </w:r>
      <w:r>
        <w:rPr>
          <w:spacing w:val="-65"/>
        </w:rPr>
      </w:r>
      <w:r>
        <w:rPr>
          <w:spacing w:val="-4"/>
        </w:rPr>
        <w:t>值并计入所有者权益。在确认应享有被投资单位净损益的份额时，以取得投资时被投资单位可辨认净资产的公允价值为基础，</w:t>
      </w:r>
      <w:r>
        <w:rPr>
          <w:spacing w:val="-41"/>
        </w:rPr>
        <w:t> </w:t>
      </w:r>
      <w:r>
        <w:rPr>
          <w:spacing w:val="-41"/>
        </w:rPr>
      </w:r>
      <w:r>
        <w:rPr>
          <w:spacing w:val="-2"/>
        </w:rPr>
        <w:t>对被投资单位的净利润进行调整后确认。被投资单位采用的会计政策及会计期间与本公司不一致的，应按照本公司的会计政</w:t>
      </w:r>
      <w:r>
        <w:rPr>
          <w:spacing w:val="-64"/>
        </w:rPr>
        <w:t> </w:t>
      </w:r>
      <w:r>
        <w:rPr>
          <w:spacing w:val="-64"/>
        </w:rPr>
      </w:r>
      <w:r>
        <w:rPr>
          <w:spacing w:val="-2"/>
        </w:rPr>
        <w:t>策及会计期间对被投资单位的财务报表进行调整，并据以确认投资收益和其他综合收益等。本公司与联营企业及合营企业之</w:t>
      </w:r>
      <w:r>
        <w:rPr>
          <w:spacing w:val="-64"/>
        </w:rPr>
        <w:t> </w:t>
      </w:r>
      <w:r>
        <w:rPr>
          <w:spacing w:val="-64"/>
        </w:rPr>
      </w:r>
      <w:r>
        <w:rPr>
          <w:spacing w:val="-2"/>
        </w:rPr>
        <w:t>间发生的未实现内部交易损益按照享有的比例计算归属于本公司的部分予以抵销，在此基础上确认投资损益。本公司与被投</w:t>
      </w:r>
      <w:r>
        <w:rPr>
          <w:spacing w:val="-64"/>
        </w:rPr>
        <w:t> </w:t>
      </w:r>
      <w:r>
        <w:rPr>
          <w:spacing w:val="-64"/>
        </w:rPr>
      </w:r>
      <w:r>
        <w:rPr/>
        <w:t>资单位发生的未实行内部交易损失属于资产减值损失的，应全额确认。</w:t>
      </w:r>
    </w:p>
    <w:p>
      <w:pPr>
        <w:pStyle w:val="BodyText"/>
        <w:spacing w:line="316" w:lineRule="auto" w:before="19"/>
        <w:ind w:right="192" w:firstLine="360"/>
        <w:jc w:val="both"/>
      </w:pPr>
      <w:r>
        <w:rPr>
          <w:spacing w:val="-2"/>
        </w:rPr>
        <w:t>因追加投资等原因能够对被投资单位施加重大影响或实施共同控制但不构成控制的，按照原持有的股权投资的公允价值</w:t>
      </w:r>
      <w:r>
        <w:rPr/>
        <w:t> </w:t>
      </w:r>
      <w:r>
        <w:rPr>
          <w:spacing w:val="-2"/>
        </w:rPr>
        <w:t>加上新增投资成本之和，作为改按权益法核算的初始投资成本。原持有的股权投资分类为可供出售金融资产的，其公允价值</w:t>
      </w:r>
      <w:r>
        <w:rPr>
          <w:spacing w:val="-65"/>
        </w:rPr>
        <w:t> </w:t>
      </w:r>
      <w:r>
        <w:rPr>
          <w:spacing w:val="-65"/>
        </w:rPr>
      </w:r>
      <w:r>
        <w:rPr/>
        <w:t>与账面价值之间的差额，以及原计入其他综合收益的累计公允价值变动应当转入改按权益法核算的当期损益。</w:t>
      </w:r>
    </w:p>
    <w:p>
      <w:pPr>
        <w:pStyle w:val="BodyText"/>
        <w:spacing w:line="316" w:lineRule="auto" w:before="19"/>
        <w:ind w:right="192" w:firstLine="360"/>
        <w:jc w:val="both"/>
      </w:pPr>
      <w:r>
        <w:rPr>
          <w:spacing w:val="-2"/>
        </w:rPr>
        <w:t>因处置部分股权投资等原因丧失了对被投资单位的共同控制或重大影响的，处置后的剩余股权改按其在丧失共同控制或</w:t>
      </w:r>
      <w:r>
        <w:rPr/>
        <w:t> </w:t>
      </w:r>
      <w:r>
        <w:rPr>
          <w:spacing w:val="-2"/>
        </w:rPr>
        <w:t>重大影响之日的公允价值与账面价值之间的差额计入当期损益。原股权投资因采用权益法核算而确认的其他综合收益，在终</w:t>
      </w:r>
      <w:r>
        <w:rPr>
          <w:spacing w:val="-64"/>
        </w:rPr>
        <w:t> </w:t>
      </w:r>
      <w:r>
        <w:rPr>
          <w:spacing w:val="-64"/>
        </w:rPr>
      </w:r>
      <w:r>
        <w:rPr/>
        <w:t>止采用权益法核算时采用与被投资单位直接处置相关资产或负债相同的基础进行会计处理。</w:t>
      </w:r>
    </w:p>
    <w:p>
      <w:pPr>
        <w:spacing w:line="240" w:lineRule="auto" w:before="6"/>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014"/>
        <w:jc w:val="left"/>
      </w:pPr>
      <w:r>
        <w:rPr/>
        <w:t>投资性房地产计量模式 成本法计量 折旧或摊销方法</w:t>
      </w:r>
    </w:p>
    <w:p>
      <w:pPr>
        <w:pStyle w:val="BodyText"/>
        <w:spacing w:line="240" w:lineRule="auto" w:before="29"/>
        <w:ind w:right="94"/>
        <w:jc w:val="left"/>
      </w:pPr>
      <w:r>
        <w:rPr/>
        <w:t>本公司对投资性房地产成本减累计减值及净残值后按直线法计算折旧或摊销。</w:t>
      </w:r>
    </w:p>
    <w:p>
      <w:pPr>
        <w:spacing w:after="0" w:line="240" w:lineRule="auto"/>
        <w:jc w:val="left"/>
        <w:sectPr>
          <w:pgSz w:w="11910" w:h="16840"/>
          <w:pgMar w:header="566" w:footer="978" w:top="1360" w:bottom="1160" w:left="1020" w:right="940"/>
        </w:sectPr>
      </w:pPr>
    </w:p>
    <w:p>
      <w:pPr>
        <w:pStyle w:val="Heading3"/>
        <w:spacing w:line="240" w:lineRule="auto" w:before="55"/>
        <w:ind w:right="675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固定资产是指为提供生产商品、提供劳务、出租或经营管理而持有的使用寿命超过一年的单位价值较高的有形资产。固</w:t>
      </w:r>
      <w:r>
        <w:rPr/>
        <w:t> 定资产在同时满足下列条件时，按取得时的实际成本予以确认：</w:t>
      </w:r>
    </w:p>
    <w:p>
      <w:pPr>
        <w:pStyle w:val="BodyText"/>
        <w:spacing w:line="240" w:lineRule="auto" w:before="19"/>
        <w:ind w:left="472" w:right="94"/>
        <w:jc w:val="left"/>
      </w:pPr>
      <w:r>
        <w:rPr>
          <w:rFonts w:ascii="Times New Roman" w:hAnsi="Times New Roman" w:cs="Times New Roman" w:eastAsia="Times New Roman" w:hint="default"/>
        </w:rPr>
        <w:t>1</w:t>
      </w:r>
      <w:r>
        <w:rPr/>
        <w:t>）与该固定资产有关的经济利益很可能流入企业。</w:t>
      </w:r>
    </w:p>
    <w:p>
      <w:pPr>
        <w:pStyle w:val="BodyText"/>
        <w:spacing w:line="300" w:lineRule="auto" w:before="63"/>
        <w:ind w:right="184" w:firstLine="360"/>
        <w:jc w:val="left"/>
      </w:pPr>
      <w:r>
        <w:rPr>
          <w:rFonts w:ascii="Times New Roman" w:hAnsi="Times New Roman" w:cs="Times New Roman" w:eastAsia="Times New Roman" w:hint="default"/>
        </w:rPr>
        <w:t>2</w:t>
      </w:r>
      <w:r>
        <w:rPr/>
        <w:t>）该固定资产的成本能够可靠地计量。固定资产发生的后续支出，符合固定资产确认条件的计入固定资产成本；不符 合固定资产确认条件的在发生时计入当期损益。</w:t>
      </w:r>
    </w:p>
    <w:p>
      <w:pPr>
        <w:spacing w:line="240" w:lineRule="auto" w:before="7"/>
        <w:rPr>
          <w:rFonts w:ascii="宋体" w:hAnsi="宋体" w:cs="宋体" w:eastAsia="宋体" w:hint="default"/>
          <w:sz w:val="23"/>
          <w:szCs w:val="23"/>
        </w:rPr>
      </w:pPr>
    </w:p>
    <w:p>
      <w:pPr>
        <w:pStyle w:val="Heading3"/>
        <w:spacing w:line="240" w:lineRule="auto"/>
        <w:ind w:right="675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2.71-2.375%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31.67-13.57%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19.00%-4.75%</w:t>
            </w:r>
          </w:p>
        </w:tc>
      </w:tr>
    </w:tbl>
    <w:p>
      <w:pPr>
        <w:pStyle w:val="BodyText"/>
        <w:spacing w:line="316" w:lineRule="auto" w:before="10"/>
        <w:ind w:right="192" w:firstLine="360"/>
        <w:jc w:val="both"/>
      </w:pPr>
      <w:r>
        <w:rPr>
          <w:spacing w:val="-2"/>
        </w:rPr>
        <w:t>本公司从固定资产达到预定可使用状态的次月起按年限平均法计提折旧，按固定资产的类别、估计的经济使用年限和预</w:t>
      </w:r>
      <w:r>
        <w:rPr/>
        <w:t> 计的净残值率分别确定折旧年限和年折旧率。</w:t>
      </w:r>
    </w:p>
    <w:p>
      <w:pPr>
        <w:pStyle w:val="BodyText"/>
        <w:spacing w:line="316" w:lineRule="auto" w:before="19"/>
        <w:ind w:left="472" w:right="94"/>
        <w:jc w:val="left"/>
      </w:pPr>
      <w:r>
        <w:rPr/>
        <w:t>对于已经计提减值准备的固定资产，在计提折旧时扣除已计提的固定资产减值准备。 </w:t>
      </w:r>
      <w:r>
        <w:rPr>
          <w:spacing w:val="-4"/>
        </w:rPr>
        <w:t>每年年度终了，公司对固定资产的使用寿命、预计净残值和折旧方法进行复核。使用寿命预计数与原先估计数有差异的，</w:t>
      </w:r>
    </w:p>
    <w:p>
      <w:pPr>
        <w:pStyle w:val="BodyText"/>
        <w:spacing w:line="240" w:lineRule="auto" w:before="19"/>
        <w:ind w:right="0"/>
        <w:jc w:val="both"/>
      </w:pPr>
      <w:r>
        <w:rPr/>
        <w:t>调整固定资产使用寿命。</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2" w:firstLine="360"/>
        <w:jc w:val="both"/>
      </w:pPr>
      <w:r>
        <w:rPr>
          <w:spacing w:val="-2"/>
        </w:rPr>
        <w:t>本公司在租入的固定资产实质上转移了与资产有关的全部风险和报酬时确认该项固定资产的租赁为融资租赁。融资租赁</w:t>
      </w:r>
      <w:r>
        <w:rPr/>
        <w:t> </w:t>
      </w:r>
      <w:r>
        <w:rPr>
          <w:spacing w:val="-2"/>
        </w:rPr>
        <w:t>取得的固定资产的成本，按租赁开始日租赁资产公允价值与最低租赁付款额现值两者中较低者确定。融资租入的固定资产采</w:t>
      </w:r>
      <w:r>
        <w:rPr>
          <w:spacing w:val="-64"/>
        </w:rPr>
        <w:t> </w:t>
      </w:r>
      <w:r>
        <w:rPr>
          <w:spacing w:val="-64"/>
        </w:rPr>
      </w:r>
      <w:r>
        <w:rPr>
          <w:spacing w:val="-2"/>
        </w:rPr>
        <w:t>用与自有固定资产相一致的折旧政策计提租赁资产折旧。能够合理确定租赁期届满时将会取得租赁资产所有权的，在租赁资</w:t>
      </w:r>
      <w:r>
        <w:rPr>
          <w:spacing w:val="-64"/>
        </w:rPr>
        <w:t> </w:t>
      </w:r>
      <w:r>
        <w:rPr>
          <w:spacing w:val="-64"/>
        </w:rPr>
      </w:r>
      <w:r>
        <w:rPr>
          <w:spacing w:val="-2"/>
        </w:rPr>
        <w:t>产使用年限内计提折旧；无法合理确定租赁期届满时能够取得租赁资产所有权的，在租赁期与租赁资产使用寿命两者中较短</w:t>
      </w:r>
      <w:r>
        <w:rPr>
          <w:spacing w:val="-64"/>
        </w:rPr>
        <w:t> </w:t>
      </w:r>
      <w:r>
        <w:rPr>
          <w:spacing w:val="-64"/>
        </w:rPr>
      </w:r>
      <w:r>
        <w:rPr/>
        <w:t>的期间内计提折旧。</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240" w:lineRule="auto" w:before="27"/>
        <w:ind w:right="0"/>
        <w:jc w:val="both"/>
      </w:pPr>
      <w:r>
        <w:rPr/>
        <w:t>（</w:t>
      </w:r>
      <w:r>
        <w:rPr>
          <w:rFonts w:ascii="Times New Roman" w:hAnsi="Times New Roman" w:cs="Times New Roman" w:eastAsia="Times New Roman" w:hint="default"/>
        </w:rPr>
        <w:t>1</w:t>
      </w:r>
      <w:r>
        <w:rPr/>
        <w:t>）在建工程以立项项目分类核算。</w:t>
      </w:r>
    </w:p>
    <w:p>
      <w:pPr>
        <w:pStyle w:val="BodyText"/>
        <w:spacing w:line="300" w:lineRule="auto" w:before="101"/>
        <w:ind w:left="472" w:right="94" w:hanging="360"/>
        <w:jc w:val="left"/>
      </w:pPr>
      <w:r>
        <w:rPr/>
        <w:t>（</w:t>
      </w:r>
      <w:r>
        <w:rPr>
          <w:rFonts w:ascii="Times New Roman" w:hAnsi="Times New Roman" w:cs="Times New Roman" w:eastAsia="Times New Roman" w:hint="default"/>
        </w:rPr>
        <w:t>2</w:t>
      </w:r>
      <w:r>
        <w:rPr/>
        <w:t>）在建工程结转为固定资产的标准和时点 </w:t>
      </w:r>
      <w:r>
        <w:rPr>
          <w:spacing w:val="-2"/>
        </w:rPr>
        <w:t>在建工程项目按建造该项资产达到预定可使用状态前所发生的全部支出，作为固定资产的入账价值。包括建筑费用、机</w:t>
      </w:r>
    </w:p>
    <w:p>
      <w:pPr>
        <w:pStyle w:val="BodyText"/>
        <w:spacing w:line="316" w:lineRule="auto" w:before="31"/>
        <w:ind w:right="192"/>
        <w:jc w:val="both"/>
      </w:pPr>
      <w:r>
        <w:rPr>
          <w:spacing w:val="-2"/>
        </w:rPr>
        <w:t>器设备原价、其他为使在建工程达到预定可使用状态所发生的必要支出以及在资产达到预定可使用状态之前为该项目专门借</w:t>
      </w:r>
      <w:r>
        <w:rPr>
          <w:spacing w:val="-64"/>
        </w:rPr>
        <w:t> </w:t>
      </w:r>
      <w:r>
        <w:rPr>
          <w:spacing w:val="-64"/>
        </w:rPr>
      </w:r>
      <w:r>
        <w:rPr>
          <w:spacing w:val="-2"/>
        </w:rPr>
        <w:t>款所发生的借款费用及占用的一般借款发生的借款费用。本公司在工程安装或建设完成达到预定可使用状态时将在建工程转</w:t>
      </w:r>
      <w:r>
        <w:rPr>
          <w:spacing w:val="-64"/>
        </w:rPr>
        <w:t> </w:t>
      </w:r>
      <w:r>
        <w:rPr>
          <w:spacing w:val="-64"/>
        </w:rPr>
      </w:r>
      <w:r>
        <w:rPr>
          <w:spacing w:val="-2"/>
        </w:rPr>
        <w:t>入固定资产。所建造的已达到预定可使用状态、但尚未办理竣工决算的固定资产，自达到预定可使用状态之日起，根据工程</w:t>
      </w:r>
      <w:r>
        <w:rPr>
          <w:spacing w:val="-66"/>
        </w:rPr>
        <w:t> </w:t>
      </w:r>
      <w:r>
        <w:rPr>
          <w:spacing w:val="-66"/>
        </w:rPr>
      </w:r>
      <w:r>
        <w:rPr>
          <w:spacing w:val="-2"/>
        </w:rPr>
        <w:t>预算、造价或者工程实际成本等，按估计的价值转入固定资产，并按本公司固定资产折旧政策计提固定资产的折旧，待办理</w:t>
      </w:r>
    </w:p>
    <w:p>
      <w:pPr>
        <w:spacing w:after="0" w:line="316" w:lineRule="auto"/>
        <w:jc w:val="both"/>
        <w:sectPr>
          <w:pgSz w:w="11910" w:h="16840"/>
          <w:pgMar w:header="566" w:footer="978" w:top="1360" w:bottom="1160" w:left="1020" w:right="940"/>
        </w:sectPr>
      </w:pPr>
    </w:p>
    <w:p>
      <w:pPr>
        <w:pStyle w:val="BodyText"/>
        <w:spacing w:line="240" w:lineRule="auto" w:before="81"/>
        <w:ind w:right="94"/>
        <w:jc w:val="left"/>
      </w:pPr>
      <w:r>
        <w:rPr/>
        <w:t>竣工决算后，再按实际成本调整原来的暂估价值，但不调整原已计提的折旧额。</w:t>
      </w:r>
    </w:p>
    <w:p>
      <w:pPr>
        <w:spacing w:line="240" w:lineRule="auto" w:before="11"/>
        <w:rPr>
          <w:rFonts w:ascii="宋体" w:hAnsi="宋体" w:cs="宋体" w:eastAsia="宋体" w:hint="default"/>
          <w:sz w:val="26"/>
          <w:szCs w:val="26"/>
        </w:rPr>
      </w:pPr>
    </w:p>
    <w:p>
      <w:pPr>
        <w:pStyle w:val="Heading3"/>
        <w:spacing w:line="240" w:lineRule="auto"/>
        <w:ind w:right="675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2" w:right="274" w:hanging="360"/>
        <w:jc w:val="left"/>
      </w:pPr>
      <w:r>
        <w:rPr/>
        <w:t>（</w:t>
      </w:r>
      <w:r>
        <w:rPr>
          <w:rFonts w:ascii="Times New Roman" w:hAnsi="Times New Roman" w:cs="Times New Roman" w:eastAsia="Times New Roman" w:hint="default"/>
        </w:rPr>
        <w:t>1</w:t>
      </w:r>
      <w:r>
        <w:rPr/>
        <w:t>）借款费用资本化的确认原则和资本化期间 本公司发生的可直接归属于符合资本化条件的资产的购建或生产的借款费用在同时满足下列条件时予以资本化计入相</w:t>
      </w:r>
    </w:p>
    <w:p>
      <w:pPr>
        <w:pStyle w:val="BodyText"/>
        <w:spacing w:line="240" w:lineRule="auto" w:before="31"/>
        <w:ind w:right="6754"/>
        <w:jc w:val="left"/>
      </w:pPr>
      <w:r>
        <w:rPr/>
        <w:t>关资产成本：</w:t>
      </w:r>
    </w:p>
    <w:p>
      <w:pPr>
        <w:pStyle w:val="BodyText"/>
        <w:spacing w:line="240" w:lineRule="auto" w:before="76"/>
        <w:ind w:left="472" w:right="6754"/>
        <w:jc w:val="left"/>
      </w:pPr>
      <w:r>
        <w:rPr/>
        <w:t>1）资产支出已经发生。</w:t>
      </w:r>
    </w:p>
    <w:p>
      <w:pPr>
        <w:pStyle w:val="BodyText"/>
        <w:spacing w:line="240" w:lineRule="auto" w:before="76"/>
        <w:ind w:left="472" w:right="6754"/>
        <w:jc w:val="left"/>
      </w:pPr>
      <w:r>
        <w:rPr/>
        <w:t>2）借款费用已经发生。</w:t>
      </w:r>
    </w:p>
    <w:p>
      <w:pPr>
        <w:pStyle w:val="BodyText"/>
        <w:spacing w:line="316" w:lineRule="auto" w:before="76"/>
        <w:ind w:left="472" w:right="94"/>
        <w:jc w:val="left"/>
      </w:pPr>
      <w:r>
        <w:rPr/>
        <w:t>3）为使资产达到预定可使用状态所必要的购建或者生产活动已经开始。 其他的借款利息、折价或溢价和汇兑差额，计入发生当期的损益。 </w:t>
      </w:r>
      <w:r>
        <w:rPr>
          <w:spacing w:val="-2"/>
        </w:rPr>
        <w:t>符合资本化条件的资产在购建或者生产过程中发生非正常中断，且中断时间连续超过3个月的，暂停借款费用的资本化。</w:t>
      </w:r>
      <w:r>
        <w:rPr>
          <w:spacing w:val="-65"/>
        </w:rPr>
        <w:t> </w:t>
      </w:r>
      <w:r>
        <w:rPr>
          <w:spacing w:val="-65"/>
        </w:rPr>
      </w:r>
      <w:r>
        <w:rPr>
          <w:spacing w:val="-2"/>
        </w:rPr>
        <w:t>当购建或者生产符合资本化条件的资产达到预定可使用或者可销售状态时，停止其借款费用的资本化；以后发生的借款</w:t>
      </w:r>
    </w:p>
    <w:p>
      <w:pPr>
        <w:pStyle w:val="BodyText"/>
        <w:spacing w:line="240" w:lineRule="auto" w:before="19"/>
        <w:ind w:right="6754"/>
        <w:jc w:val="left"/>
      </w:pPr>
      <w:r>
        <w:rPr/>
        <w:t>费用于发生当期确认为费用。</w:t>
      </w:r>
    </w:p>
    <w:p>
      <w:pPr>
        <w:pStyle w:val="BodyText"/>
        <w:spacing w:line="300" w:lineRule="auto" w:before="76"/>
        <w:ind w:left="472" w:right="94" w:hanging="360"/>
        <w:jc w:val="left"/>
      </w:pPr>
      <w:r>
        <w:rPr/>
        <w:t>（</w:t>
      </w:r>
      <w:r>
        <w:rPr>
          <w:rFonts w:ascii="Times New Roman" w:hAnsi="Times New Roman" w:cs="Times New Roman" w:eastAsia="Times New Roman" w:hint="default"/>
        </w:rPr>
        <w:t>2</w:t>
      </w:r>
      <w:r>
        <w:rPr/>
        <w:t>）借款费用资本化率以及资本化金额的计算方法 </w:t>
      </w:r>
      <w:r>
        <w:rPr>
          <w:spacing w:val="-2"/>
        </w:rPr>
        <w:t>为购建或者生产符合资本化条件的资产而借入专门借款的，以专门借款当期实际发生的利息费用，减去将尚未动用的借</w:t>
      </w:r>
    </w:p>
    <w:p>
      <w:pPr>
        <w:pStyle w:val="BodyText"/>
        <w:spacing w:line="316" w:lineRule="auto" w:before="31"/>
        <w:ind w:left="472" w:right="94" w:hanging="360"/>
        <w:jc w:val="left"/>
      </w:pPr>
      <w:r>
        <w:rPr/>
        <w:t>款资金存入银行取得的利息收入或者进行暂时性投资取得的投资收益后的金额，确定为专门借款利息费用的资本化金额。 </w:t>
      </w:r>
      <w:r>
        <w:rPr>
          <w:spacing w:val="-2"/>
        </w:rPr>
        <w:t>购建或者生产符合资本化条件的资产占用了一般借款的，一般借款应予资本化的利息金额按累计资产支出超过专门借款</w:t>
      </w:r>
    </w:p>
    <w:p>
      <w:pPr>
        <w:pStyle w:val="BodyText"/>
        <w:spacing w:line="316" w:lineRule="auto" w:before="19"/>
        <w:ind w:right="94"/>
        <w:jc w:val="left"/>
      </w:pPr>
      <w:r>
        <w:rPr>
          <w:spacing w:val="-2"/>
        </w:rPr>
        <w:t>部分的资产支出加权平均数乘以所占用一般借款的资本化率，计算确定一般借款应予资本化的利息金额。资本化率根据一般</w:t>
      </w:r>
      <w:r>
        <w:rPr>
          <w:spacing w:val="-64"/>
        </w:rPr>
        <w:t> </w:t>
      </w:r>
      <w:r>
        <w:rPr>
          <w:spacing w:val="-64"/>
        </w:rPr>
      </w:r>
      <w:r>
        <w:rPr/>
        <w:t>借款加权平均利率计算确定。</w:t>
      </w:r>
    </w:p>
    <w:p>
      <w:pPr>
        <w:spacing w:line="240" w:lineRule="auto" w:before="8"/>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6754"/>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4"/>
        <w:jc w:val="left"/>
      </w:pPr>
      <w:r>
        <w:rPr/>
        <w:t>无</w:t>
      </w:r>
    </w:p>
    <w:p>
      <w:pPr>
        <w:spacing w:line="240" w:lineRule="auto" w:before="11"/>
        <w:rPr>
          <w:rFonts w:ascii="宋体" w:hAnsi="宋体" w:cs="宋体" w:eastAsia="宋体" w:hint="default"/>
          <w:sz w:val="26"/>
          <w:szCs w:val="26"/>
        </w:rPr>
      </w:pPr>
    </w:p>
    <w:p>
      <w:pPr>
        <w:pStyle w:val="Heading3"/>
        <w:spacing w:line="240" w:lineRule="auto"/>
        <w:ind w:right="6754"/>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5"/>
        <w:ind w:left="472" w:right="7204"/>
        <w:jc w:val="left"/>
      </w:pPr>
      <w:r>
        <w:rPr/>
        <w:t>1）无形资产的计价方法 按取得时的实际成本入账。 2）无形资产使用寿命及摊销</w:t>
      </w:r>
    </w:p>
    <w:p>
      <w:pPr>
        <w:pStyle w:val="BodyText"/>
        <w:spacing w:line="240" w:lineRule="auto" w:before="19"/>
        <w:ind w:left="472" w:right="94"/>
        <w:jc w:val="left"/>
      </w:pPr>
      <w:r>
        <w:rPr/>
        <w:t>①使用寿命有限的无形资产的使用寿命估计情况：</w:t>
      </w:r>
    </w:p>
    <w:p>
      <w:pPr>
        <w:spacing w:line="240" w:lineRule="auto" w:before="1"/>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836"/>
        <w:gridCol w:w="1559"/>
        <w:gridCol w:w="4678"/>
      </w:tblGrid>
      <w:tr>
        <w:trPr>
          <w:trHeight w:val="467" w:hRule="exact"/>
        </w:trPr>
        <w:tc>
          <w:tcPr>
            <w:tcW w:w="2836"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4678"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46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法定使用年限</w:t>
            </w:r>
          </w:p>
        </w:tc>
      </w:tr>
      <w:tr>
        <w:trPr>
          <w:trHeight w:val="465"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bl>
    <w:p>
      <w:pPr>
        <w:spacing w:after="0" w:line="240" w:lineRule="auto"/>
        <w:jc w:val="left"/>
        <w:rPr>
          <w:rFonts w:ascii="宋体" w:hAnsi="宋体" w:cs="宋体" w:eastAsia="宋体" w:hint="default"/>
          <w:sz w:val="18"/>
          <w:szCs w:val="18"/>
        </w:rPr>
        <w:sectPr>
          <w:pgSz w:w="11910" w:h="16840"/>
          <w:pgMar w:header="566" w:footer="978" w:top="1360" w:bottom="1160" w:left="1020" w:right="940"/>
        </w:sectPr>
      </w:pPr>
    </w:p>
    <w:p>
      <w:pPr>
        <w:spacing w:line="240" w:lineRule="auto" w:before="4"/>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836"/>
        <w:gridCol w:w="1559"/>
        <w:gridCol w:w="4678"/>
      </w:tblGrid>
      <w:tr>
        <w:trPr>
          <w:trHeight w:val="46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bl>
    <w:p>
      <w:pPr>
        <w:pStyle w:val="BodyText"/>
        <w:spacing w:line="316" w:lineRule="auto" w:before="10"/>
        <w:ind w:right="94" w:firstLine="360"/>
        <w:jc w:val="left"/>
      </w:pPr>
      <w:r>
        <w:rPr>
          <w:spacing w:val="-2"/>
        </w:rPr>
        <w:t>每年年度终了，公司对使用寿命有限的无形资产的使用寿命及摊销方法进行复核。经复核，本期末无形资产的使用寿命</w:t>
      </w:r>
      <w:r>
        <w:rPr/>
        <w:t> 及摊销方法与以前估计未有不同。</w:t>
      </w:r>
    </w:p>
    <w:p>
      <w:pPr>
        <w:pStyle w:val="BodyText"/>
        <w:spacing w:line="316" w:lineRule="auto" w:before="19"/>
        <w:ind w:right="94" w:firstLine="360"/>
        <w:jc w:val="left"/>
      </w:pPr>
      <w:r>
        <w:rPr/>
        <w:t>②无法预见无形资产为企业带来经济利益期限的，视为使用寿命不确定的无形资产。对于使用寿命不确定的无形资产， </w:t>
      </w:r>
      <w:r>
        <w:rPr>
          <w:spacing w:val="-2"/>
        </w:rPr>
        <w:t>公司在每年年度终了对使用寿命不确定的无形资产的使用寿命进行复核，如果重新复核后仍为不确定的，于在资产负债表日</w:t>
      </w:r>
      <w:r>
        <w:rPr>
          <w:spacing w:val="-64"/>
        </w:rPr>
        <w:t> </w:t>
      </w:r>
      <w:r>
        <w:rPr>
          <w:spacing w:val="-64"/>
        </w:rPr>
      </w:r>
      <w:r>
        <w:rPr/>
        <w:t>进行减值测试。</w:t>
      </w:r>
    </w:p>
    <w:p>
      <w:pPr>
        <w:pStyle w:val="BodyText"/>
        <w:spacing w:line="316" w:lineRule="auto" w:before="19"/>
        <w:ind w:left="472" w:right="94"/>
        <w:jc w:val="left"/>
      </w:pPr>
      <w:r>
        <w:rPr/>
        <w:t>③无形资产的摊销 </w:t>
      </w:r>
      <w:r>
        <w:rPr>
          <w:spacing w:val="-2"/>
        </w:rPr>
        <w:t>对于使用寿命有限的无形资产，本公司在取得时判定其使用寿命，在使用寿命内采用直线法系统合理摊销，摊销金额按</w:t>
      </w:r>
    </w:p>
    <w:p>
      <w:pPr>
        <w:pStyle w:val="BodyText"/>
        <w:spacing w:line="316" w:lineRule="auto" w:before="19"/>
        <w:ind w:right="192"/>
        <w:jc w:val="both"/>
      </w:pPr>
      <w:r>
        <w:rPr>
          <w:spacing w:val="-2"/>
        </w:rPr>
        <w:t>受益项目计入当期损益。具体应摊销金额为其成本扣除预计残值后的金额。已计提减值准备的无形资产，还应扣除已计提的</w:t>
      </w:r>
      <w:r>
        <w:rPr>
          <w:spacing w:val="-65"/>
        </w:rPr>
        <w:t> </w:t>
      </w:r>
      <w:r>
        <w:rPr>
          <w:spacing w:val="-65"/>
        </w:rPr>
      </w:r>
      <w:r>
        <w:rPr>
          <w:spacing w:val="-2"/>
        </w:rPr>
        <w:t>无形资产减值准备累计金额，残值为零。但下列情况除外：有第三方承诺在无形资产使用寿命结束时购买该无形资产或可以</w:t>
      </w:r>
      <w:r>
        <w:rPr>
          <w:spacing w:val="-65"/>
        </w:rPr>
        <w:t> </w:t>
      </w:r>
      <w:r>
        <w:rPr>
          <w:spacing w:val="-65"/>
        </w:rPr>
      </w:r>
      <w:r>
        <w:rPr/>
        <w:t>根据活跃市场得到预计残值信息，并且该市场在无形资产使用寿命结束时很可能存在。</w:t>
      </w:r>
    </w:p>
    <w:p>
      <w:pPr>
        <w:pStyle w:val="BodyText"/>
        <w:spacing w:line="316" w:lineRule="auto" w:before="19"/>
        <w:ind w:right="94" w:firstLine="360"/>
        <w:jc w:val="left"/>
      </w:pPr>
      <w:r>
        <w:rPr>
          <w:spacing w:val="-2"/>
        </w:rPr>
        <w:t>对使用寿命不确定的无形资产，不予摊销。每年年度终了对使用寿命不确定的无形资产的使用寿命进行复核，如果有证</w:t>
      </w:r>
      <w:r>
        <w:rPr/>
        <w:t> 据表明无形资产的使用寿命是有限的，估计其使用寿命并在预计使用年限内系统合理摊销。</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94"/>
        <w:jc w:val="left"/>
      </w:pPr>
      <w:r>
        <w:rPr/>
        <w:t>1）划分内部研究开发项目的研究阶段和开发阶段具体标准</w:t>
      </w:r>
    </w:p>
    <w:p>
      <w:pPr>
        <w:pStyle w:val="BodyText"/>
        <w:spacing w:line="316" w:lineRule="auto" w:before="76"/>
        <w:ind w:right="94" w:firstLine="360"/>
        <w:jc w:val="left"/>
      </w:pPr>
      <w:r>
        <w:rPr>
          <w:spacing w:val="-2"/>
        </w:rPr>
        <w:t>①本公司将为进一步开发活动进行的有计划的调查、准备阶段作为研究阶段，该阶段具有计划性和探索性等特点，无形</w:t>
      </w:r>
      <w:r>
        <w:rPr/>
        <w:t> 资产研究阶段的支出在发生时计入当期损益。</w:t>
      </w:r>
    </w:p>
    <w:p>
      <w:pPr>
        <w:pStyle w:val="BodyText"/>
        <w:spacing w:line="316" w:lineRule="auto" w:before="19"/>
        <w:ind w:right="94" w:firstLine="360"/>
        <w:jc w:val="left"/>
      </w:pPr>
      <w:r>
        <w:rPr/>
        <w:t>②在本公司已完成研究阶段的工作后再进行的开发活动作为开发阶段。一般为项目立项申请经过研究阶段的研究分析， </w:t>
      </w:r>
      <w:r>
        <w:rPr>
          <w:spacing w:val="-2"/>
        </w:rPr>
        <w:t>评审形成立项报告后，研发项目组完成软件设计、代码编写、系统测试、通过内部的验收评审并完成了产品化需要的各类文</w:t>
      </w:r>
      <w:r>
        <w:rPr>
          <w:spacing w:val="-66"/>
        </w:rPr>
        <w:t> </w:t>
      </w:r>
      <w:r>
        <w:rPr>
          <w:spacing w:val="-66"/>
        </w:rPr>
      </w:r>
      <w:r>
        <w:rPr/>
        <w:t>档等工作，直至达到可使用或可销售状态。该阶段具有针对性和形成成果的可能性较大等特点。</w:t>
      </w:r>
    </w:p>
    <w:p>
      <w:pPr>
        <w:pStyle w:val="BodyText"/>
        <w:spacing w:line="316" w:lineRule="auto" w:before="19"/>
        <w:ind w:left="472" w:right="4594"/>
        <w:jc w:val="left"/>
      </w:pPr>
      <w:r>
        <w:rPr/>
        <w:t>2）开发阶段支出资本化的具体条件 开发阶段的支出同时满足下列条件时，才能确认为无形资产：</w:t>
      </w:r>
    </w:p>
    <w:p>
      <w:pPr>
        <w:pStyle w:val="BodyText"/>
        <w:spacing w:line="240" w:lineRule="auto" w:before="19"/>
        <w:ind w:left="472" w:right="94"/>
        <w:jc w:val="left"/>
      </w:pPr>
      <w:r>
        <w:rPr/>
        <w:t>①完成该无形资产以使其能够使用或出售在技术上具有可行性；</w:t>
      </w:r>
    </w:p>
    <w:p>
      <w:pPr>
        <w:pStyle w:val="BodyText"/>
        <w:spacing w:line="240" w:lineRule="auto" w:before="76"/>
        <w:ind w:left="472" w:right="94"/>
        <w:jc w:val="left"/>
      </w:pPr>
      <w:r>
        <w:rPr/>
        <w:t>②具有完成该无形资产并使用或出售的意图；</w:t>
      </w:r>
    </w:p>
    <w:p>
      <w:pPr>
        <w:pStyle w:val="BodyText"/>
        <w:spacing w:line="316" w:lineRule="auto" w:before="76"/>
        <w:ind w:right="94" w:firstLine="360"/>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472" w:right="94"/>
        <w:jc w:val="left"/>
      </w:pPr>
      <w:r>
        <w:rPr/>
        <w:t>④有足够的技术、财务资源和其他资源支持，以完成该无形资产的开发，并有能力使用或出售该无形资产；</w:t>
      </w:r>
    </w:p>
    <w:p>
      <w:pPr>
        <w:pStyle w:val="BodyText"/>
        <w:spacing w:line="240" w:lineRule="auto" w:before="76"/>
        <w:ind w:left="472" w:right="94"/>
        <w:jc w:val="left"/>
      </w:pPr>
      <w:r>
        <w:rPr/>
        <w:t>⑤归属于该无形资产开发阶段的支出能够可靠地计量。</w:t>
      </w:r>
    </w:p>
    <w:p>
      <w:pPr>
        <w:spacing w:line="240" w:lineRule="auto" w:before="11"/>
        <w:rPr>
          <w:rFonts w:ascii="宋体" w:hAnsi="宋体" w:cs="宋体" w:eastAsia="宋体" w:hint="default"/>
          <w:sz w:val="26"/>
          <w:szCs w:val="26"/>
        </w:rPr>
      </w:pPr>
    </w:p>
    <w:p>
      <w:pPr>
        <w:pStyle w:val="Heading3"/>
        <w:spacing w:line="240" w:lineRule="auto"/>
        <w:ind w:right="6754"/>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72" w:right="94" w:hanging="360"/>
        <w:jc w:val="left"/>
      </w:pPr>
      <w:r>
        <w:rPr/>
        <w:t>（</w:t>
      </w:r>
      <w:r>
        <w:rPr>
          <w:rFonts w:ascii="Times New Roman" w:hAnsi="Times New Roman" w:cs="Times New Roman" w:eastAsia="Times New Roman" w:hint="default"/>
        </w:rPr>
        <w:t>1</w:t>
      </w:r>
      <w:r>
        <w:rPr/>
        <w:t>）长期股权投资减值测试方法及会计处理方法 </w:t>
      </w:r>
      <w:r>
        <w:rPr>
          <w:spacing w:val="-2"/>
        </w:rPr>
        <w:t>本公司在资产负债表日对长期股权投资进行逐项检查，根据被投资单位经营政策、法律环境、市场需求、行业及盈利能</w:t>
      </w:r>
    </w:p>
    <w:p>
      <w:pPr>
        <w:pStyle w:val="BodyText"/>
        <w:spacing w:line="316" w:lineRule="auto" w:before="31"/>
        <w:ind w:right="192"/>
        <w:jc w:val="both"/>
      </w:pPr>
      <w:r>
        <w:rPr>
          <w:spacing w:val="-2"/>
        </w:rPr>
        <w:t>力等的各种变化判断长期股权投资是否存在减值迹象。当长期股权投资可收回金额低于账面价值时，将可收回金额低于长期</w:t>
      </w:r>
      <w:r>
        <w:rPr>
          <w:spacing w:val="-64"/>
        </w:rPr>
        <w:t> </w:t>
      </w:r>
      <w:r>
        <w:rPr>
          <w:spacing w:val="-64"/>
        </w:rPr>
      </w:r>
      <w:r>
        <w:rPr/>
        <w:t>股权投资账面价值的差额作为长期股权投资减值准备予以计提。资产减值损失一经确认，在以后会计期间不再转回。</w:t>
      </w:r>
    </w:p>
    <w:p>
      <w:pPr>
        <w:pStyle w:val="BodyText"/>
        <w:spacing w:line="300" w:lineRule="auto" w:before="19"/>
        <w:ind w:left="472" w:right="94" w:hanging="360"/>
        <w:jc w:val="left"/>
      </w:pPr>
      <w:r>
        <w:rPr/>
        <w:t>（</w:t>
      </w:r>
      <w:r>
        <w:rPr>
          <w:rFonts w:ascii="Times New Roman" w:hAnsi="Times New Roman" w:cs="Times New Roman" w:eastAsia="Times New Roman" w:hint="default"/>
        </w:rPr>
        <w:t>2</w:t>
      </w:r>
      <w:r>
        <w:rPr/>
        <w:t>）投资性房地产减值测试方法及会计处理方法 </w:t>
      </w:r>
      <w:r>
        <w:rPr>
          <w:spacing w:val="-2"/>
        </w:rPr>
        <w:t>资产负债表日按投资性房产的成本与可收回金额孰低计价，可收回金额低于成本的，按两者的差额计提减值准备。如果</w:t>
      </w:r>
    </w:p>
    <w:p>
      <w:pPr>
        <w:pStyle w:val="BodyText"/>
        <w:spacing w:line="240" w:lineRule="auto" w:before="31"/>
        <w:ind w:right="94"/>
        <w:jc w:val="left"/>
      </w:pPr>
      <w:r>
        <w:rPr/>
        <w:t>已经计提减值准备的投资性房地产的价值又得以恢复，前期已计提的减值准备不得转回。</w:t>
      </w:r>
    </w:p>
    <w:p>
      <w:pPr>
        <w:pStyle w:val="BodyText"/>
        <w:spacing w:line="300" w:lineRule="auto" w:before="76"/>
        <w:ind w:left="472" w:right="94" w:hanging="26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3</w:t>
      </w:r>
      <w:r>
        <w:rPr/>
        <w:t>）固定资产的减值测试方法及会计处理方法</w:t>
      </w:r>
      <w:r>
        <w:rPr>
          <w:w w:val="99"/>
        </w:rPr>
        <w:t> </w:t>
      </w:r>
      <w:r>
        <w:rPr>
          <w:spacing w:val="-2"/>
        </w:rPr>
        <w:t>本公司在资产负债表日对各项固定资产进行判断，当存在减值迹象，估计可收回金额低于其账面价值时，账面价值减记</w:t>
      </w:r>
    </w:p>
    <w:p>
      <w:pPr>
        <w:pStyle w:val="BodyText"/>
        <w:spacing w:line="316" w:lineRule="auto" w:before="31"/>
        <w:ind w:right="111"/>
        <w:jc w:val="both"/>
      </w:pPr>
      <w:r>
        <w:rPr/>
        <w:t>至可收回金额，减记的金额确认为资产减值损失，计入当期损益，同时计提相应的资产减值准备。资产减值损失一经确认， 在以后会计期间不再转回。当存在下列迹象的，按固定资产单项项目全额计提减值准备：</w:t>
      </w:r>
    </w:p>
    <w:p>
      <w:pPr>
        <w:spacing w:after="0" w:line="316" w:lineRule="auto"/>
        <w:jc w:val="both"/>
        <w:sectPr>
          <w:pgSz w:w="11910" w:h="16840"/>
          <w:pgMar w:header="566" w:footer="978" w:top="1360" w:bottom="1160" w:left="1020" w:right="940"/>
        </w:sectPr>
      </w:pPr>
    </w:p>
    <w:p>
      <w:pPr>
        <w:pStyle w:val="BodyText"/>
        <w:spacing w:line="240" w:lineRule="auto" w:before="81"/>
        <w:ind w:left="652" w:right="94"/>
        <w:jc w:val="left"/>
      </w:pPr>
      <w:r>
        <w:rPr/>
        <w:t>1）长期闲置不用，在可预见的未来不会再使用，且已无转让价值的固定资产。</w:t>
      </w:r>
    </w:p>
    <w:p>
      <w:pPr>
        <w:pStyle w:val="BodyText"/>
        <w:spacing w:line="240" w:lineRule="auto" w:before="76"/>
        <w:ind w:left="652" w:right="94"/>
        <w:jc w:val="left"/>
      </w:pPr>
      <w:r>
        <w:rPr/>
        <w:t>2）由于技术进步等原因，已不可使用的固定资产。</w:t>
      </w:r>
    </w:p>
    <w:p>
      <w:pPr>
        <w:pStyle w:val="BodyText"/>
        <w:spacing w:line="240" w:lineRule="auto" w:before="76"/>
        <w:ind w:left="652" w:right="94"/>
        <w:jc w:val="left"/>
      </w:pPr>
      <w:r>
        <w:rPr/>
        <w:t>3）虽然固定资产尚可使用，但使用后产生大量不合格品的固定资产。</w:t>
      </w:r>
    </w:p>
    <w:p>
      <w:pPr>
        <w:pStyle w:val="BodyText"/>
        <w:spacing w:line="240" w:lineRule="auto" w:before="76"/>
        <w:ind w:left="652" w:right="94"/>
        <w:jc w:val="left"/>
      </w:pPr>
      <w:r>
        <w:rPr/>
        <w:t>4）已遭毁损，以至于不再具有使用价值和转让价值的固定资产。</w:t>
      </w:r>
    </w:p>
    <w:p>
      <w:pPr>
        <w:pStyle w:val="BodyText"/>
        <w:spacing w:line="240" w:lineRule="auto" w:before="76"/>
        <w:ind w:left="652" w:right="94"/>
        <w:jc w:val="left"/>
      </w:pPr>
      <w:r>
        <w:rPr/>
        <w:t>5）其他实质上已经不能再给公司带来经济利益的固定资产。</w:t>
      </w:r>
    </w:p>
    <w:p>
      <w:pPr>
        <w:pStyle w:val="BodyText"/>
        <w:spacing w:line="300" w:lineRule="auto" w:before="76"/>
        <w:ind w:left="472" w:right="94" w:hanging="360"/>
        <w:jc w:val="left"/>
      </w:pPr>
      <w:r>
        <w:rPr/>
        <w:t>（</w:t>
      </w:r>
      <w:r>
        <w:rPr>
          <w:rFonts w:ascii="Times New Roman" w:hAnsi="Times New Roman" w:cs="Times New Roman" w:eastAsia="Times New Roman" w:hint="default"/>
        </w:rPr>
        <w:t>4</w:t>
      </w:r>
      <w:r>
        <w:rPr/>
        <w:t>）在建工程减值测试方法及会计处理方法 </w:t>
      </w:r>
      <w:r>
        <w:rPr>
          <w:spacing w:val="-2"/>
        </w:rPr>
        <w:t>本公司于资产负债表日对在建工程进行全面检查，如果有证据表明在建工程已经发生了减值，估计可收回金额低于其账</w:t>
      </w:r>
    </w:p>
    <w:p>
      <w:pPr>
        <w:pStyle w:val="BodyText"/>
        <w:spacing w:line="316" w:lineRule="auto" w:before="31"/>
        <w:ind w:right="94"/>
        <w:jc w:val="left"/>
      </w:pPr>
      <w:r>
        <w:rPr/>
        <w:t>面价值时，账面价值减记至可收回金额，减记的金额确认为资产减值损失，计入当期损益，同时计提相应的资产减值准备。 资产减值损失一经确认，在以后会计期间不再转回。存在下列一项或若干项情况的，对在建工程进行减值测试：</w:t>
      </w:r>
    </w:p>
    <w:p>
      <w:pPr>
        <w:pStyle w:val="BodyText"/>
        <w:spacing w:line="240" w:lineRule="auto" w:before="19"/>
        <w:ind w:left="472" w:right="94"/>
        <w:jc w:val="left"/>
      </w:pPr>
      <w:r>
        <w:rPr/>
        <w:t>1）长期停建并且预计在未来3年内不会重新开工的在建工程。</w:t>
      </w:r>
    </w:p>
    <w:p>
      <w:pPr>
        <w:pStyle w:val="BodyText"/>
        <w:spacing w:line="240" w:lineRule="auto" w:before="76"/>
        <w:ind w:left="472" w:right="94"/>
        <w:jc w:val="left"/>
      </w:pPr>
      <w:r>
        <w:rPr/>
        <w:t>2）所建项目无论在性能上，还是在技术上已经落后，并且给企业带来的经济利益具有很大的不确定性。</w:t>
      </w:r>
    </w:p>
    <w:p>
      <w:pPr>
        <w:pStyle w:val="BodyText"/>
        <w:spacing w:line="240" w:lineRule="auto" w:before="76"/>
        <w:ind w:left="472" w:right="94"/>
        <w:jc w:val="left"/>
      </w:pPr>
      <w:r>
        <w:rPr/>
        <w:t>3）其他足以证明在建工程已经发生减值的情形。</w:t>
      </w:r>
    </w:p>
    <w:p>
      <w:pPr>
        <w:pStyle w:val="BodyText"/>
        <w:spacing w:line="300" w:lineRule="auto" w:before="76"/>
        <w:ind w:left="472" w:right="94" w:hanging="360"/>
        <w:jc w:val="left"/>
      </w:pPr>
      <w:r>
        <w:rPr/>
        <w:t>（</w:t>
      </w:r>
      <w:r>
        <w:rPr>
          <w:rFonts w:ascii="Times New Roman" w:hAnsi="Times New Roman" w:cs="Times New Roman" w:eastAsia="Times New Roman" w:hint="default"/>
        </w:rPr>
        <w:t>5</w:t>
      </w:r>
      <w:r>
        <w:rPr/>
        <w:t>）无形资产减值测试方法及会计处理方法 当无形资产的可收回金额低于其账面价值时，将资产的账面价值减记至可收回金额，减记的金额确认为资产减值损失，</w:t>
      </w:r>
    </w:p>
    <w:p>
      <w:pPr>
        <w:pStyle w:val="BodyText"/>
        <w:spacing w:line="316" w:lineRule="auto" w:before="31"/>
        <w:ind w:right="94"/>
        <w:jc w:val="left"/>
      </w:pPr>
      <w:r>
        <w:rPr>
          <w:spacing w:val="-2"/>
        </w:rPr>
        <w:t>计入当期损益，同时计提相应的无形资产减值准备。无形资产减值损失一经确认，在以后会计期间不再转回。存在下列一项</w:t>
      </w:r>
      <w:r>
        <w:rPr>
          <w:spacing w:val="-66"/>
        </w:rPr>
        <w:t> </w:t>
      </w:r>
      <w:r>
        <w:rPr>
          <w:spacing w:val="-66"/>
        </w:rPr>
      </w:r>
      <w:r>
        <w:rPr/>
        <w:t>或多项以下情况的，对无形资产进行减值测试：</w:t>
      </w:r>
    </w:p>
    <w:p>
      <w:pPr>
        <w:pStyle w:val="BodyText"/>
        <w:spacing w:line="240" w:lineRule="auto" w:before="19"/>
        <w:ind w:left="472" w:right="94"/>
        <w:jc w:val="left"/>
      </w:pPr>
      <w:r>
        <w:rPr/>
        <w:t>1）该无形资产已被其他新技术等所替代，使其为企业创造经济利益的能力受到重大不利影响。</w:t>
      </w:r>
    </w:p>
    <w:p>
      <w:pPr>
        <w:pStyle w:val="BodyText"/>
        <w:spacing w:line="240" w:lineRule="auto" w:before="76"/>
        <w:ind w:left="472" w:right="94"/>
        <w:jc w:val="left"/>
      </w:pPr>
      <w:r>
        <w:rPr/>
        <w:t>2）该无形资产的市价在当期大幅下跌，并在剩余年限内可能不会回升。</w:t>
      </w:r>
    </w:p>
    <w:p>
      <w:pPr>
        <w:pStyle w:val="BodyText"/>
        <w:spacing w:line="240" w:lineRule="auto" w:before="76"/>
        <w:ind w:left="472" w:right="94"/>
        <w:jc w:val="left"/>
      </w:pPr>
      <w:r>
        <w:rPr/>
        <w:t>3）其他足以表明该无形资产的账面价值已超过可收回金额的情况。</w:t>
      </w:r>
    </w:p>
    <w:p>
      <w:pPr>
        <w:pStyle w:val="BodyText"/>
        <w:spacing w:line="300" w:lineRule="auto" w:before="76"/>
        <w:ind w:left="472" w:right="94" w:hanging="360"/>
        <w:jc w:val="left"/>
      </w:pPr>
      <w:r>
        <w:rPr/>
        <w:t>（</w:t>
      </w:r>
      <w:r>
        <w:rPr>
          <w:rFonts w:ascii="Times New Roman" w:hAnsi="Times New Roman" w:cs="Times New Roman" w:eastAsia="Times New Roman" w:hint="default"/>
        </w:rPr>
        <w:t>6</w:t>
      </w:r>
      <w:r>
        <w:rPr/>
        <w:t>）商誉减值测试 </w:t>
      </w:r>
      <w:r>
        <w:rPr>
          <w:spacing w:val="-2"/>
        </w:rPr>
        <w:t>企业合并形成的商誉，至少在每年年度终了进行减值测试。本公司在对包含商誉的相关资产组或者资产组组合进行减值</w:t>
      </w:r>
    </w:p>
    <w:p>
      <w:pPr>
        <w:pStyle w:val="BodyText"/>
        <w:spacing w:line="316" w:lineRule="auto" w:before="31"/>
        <w:ind w:left="472" w:right="94" w:hanging="360"/>
        <w:jc w:val="left"/>
      </w:pPr>
      <w:r>
        <w:rPr/>
        <w:t>测试时，如与商誉相关的资产组或者资产组组合存在减值迹象的，按以下步骤处理： </w:t>
      </w:r>
      <w:r>
        <w:rPr>
          <w:spacing w:val="-2"/>
        </w:rPr>
        <w:t>首先对不包含商誉的资产组或者资产组组合进行减值测试，计算可收回金额，并与相关资产账面价值比较，确认相应的</w:t>
      </w:r>
    </w:p>
    <w:p>
      <w:pPr>
        <w:pStyle w:val="BodyText"/>
        <w:spacing w:line="316" w:lineRule="auto" w:before="19"/>
        <w:ind w:right="192"/>
        <w:jc w:val="both"/>
      </w:pPr>
      <w:r>
        <w:rPr>
          <w:spacing w:val="-5"/>
        </w:rPr>
        <w:t>减值损失；然后再对包含商誉的资产组或者资产组这组合进行减值测试，比较这些相关资产组或者资产组组合的账面价值（包</w:t>
      </w:r>
      <w:r>
        <w:rPr>
          <w:spacing w:val="-78"/>
        </w:rPr>
        <w:t> </w:t>
      </w:r>
      <w:r>
        <w:rPr>
          <w:spacing w:val="-78"/>
        </w:rPr>
      </w:r>
      <w:r>
        <w:rPr>
          <w:spacing w:val="-2"/>
        </w:rPr>
        <w:t>括所分摊的商誉的账面价值部分）与其可收回金额，如相关资产组或者资产组组合的可收回金额低于其账面价值的，就其差</w:t>
      </w:r>
      <w:r>
        <w:rPr>
          <w:spacing w:val="-65"/>
        </w:rPr>
        <w:t> </w:t>
      </w:r>
      <w:r>
        <w:rPr>
          <w:spacing w:val="-65"/>
        </w:rPr>
      </w:r>
      <w:r>
        <w:rPr>
          <w:spacing w:val="-2"/>
        </w:rPr>
        <w:t>额确认减值损失。减值损失金额首先抵减分摊至资产组或者资产组组合中商誉的账面价值；再根据资产组或者资产组组合中</w:t>
      </w:r>
      <w:r>
        <w:rPr>
          <w:spacing w:val="-64"/>
        </w:rPr>
        <w:t> </w:t>
      </w:r>
      <w:r>
        <w:rPr>
          <w:spacing w:val="-64"/>
        </w:rPr>
      </w:r>
      <w:r>
        <w:rPr/>
        <w:t>除商誉之外的其他各项资产的账面价值所占比重，按比例抵减其他各项资产的账面价值。</w:t>
      </w:r>
    </w:p>
    <w:p>
      <w:pPr>
        <w:spacing w:line="240" w:lineRule="auto" w:before="6"/>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2" w:right="1714"/>
        <w:jc w:val="left"/>
      </w:pPr>
      <w:r>
        <w:rPr/>
        <w:t>长期待摊费用核算本公司已经发生但应由本期和以后各期负担的分摊期限在一年以上的各项费用。 本公司长期待摊费用在受益期内平均摊销。</w:t>
      </w:r>
    </w:p>
    <w:p>
      <w:pPr>
        <w:spacing w:line="240" w:lineRule="auto" w:before="8"/>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675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2" w:right="94"/>
        <w:jc w:val="left"/>
      </w:pPr>
      <w:r>
        <w:rPr/>
        <w:t>1）职工基本薪酬（工资、奖金、津贴、补贴） </w:t>
      </w:r>
      <w:r>
        <w:rPr>
          <w:spacing w:val="-2"/>
        </w:rPr>
        <w:t>本公司在职工为其提供服务的会计期间，将实际发生的短期薪酬确认为负债，并计入当期损益，其他会计准则要求或允</w:t>
      </w:r>
    </w:p>
    <w:p>
      <w:pPr>
        <w:pStyle w:val="BodyText"/>
        <w:spacing w:line="316" w:lineRule="auto" w:before="19"/>
        <w:ind w:left="472" w:right="7834" w:hanging="360"/>
        <w:jc w:val="left"/>
      </w:pPr>
      <w:r>
        <w:rPr/>
        <w:t>许计入资产成本的除外。 2）职工福利费</w:t>
      </w:r>
    </w:p>
    <w:p>
      <w:pPr>
        <w:pStyle w:val="BodyText"/>
        <w:spacing w:line="316" w:lineRule="auto" w:before="19"/>
        <w:ind w:right="94" w:firstLine="360"/>
        <w:jc w:val="left"/>
      </w:pPr>
      <w:r>
        <w:rPr>
          <w:spacing w:val="-4"/>
        </w:rPr>
        <w:t>本公司发生的职工福利费，在实际发生时根据实际发生额计入当期损益或相关资产成本。职工福利费为非货币性福利的，</w:t>
      </w:r>
      <w:r>
        <w:rPr/>
        <w:t> 按照公允价值计量。</w:t>
      </w:r>
    </w:p>
    <w:p>
      <w:pPr>
        <w:pStyle w:val="BodyText"/>
        <w:spacing w:line="316" w:lineRule="auto" w:before="19"/>
        <w:ind w:left="472" w:right="94"/>
        <w:jc w:val="left"/>
      </w:pPr>
      <w:r>
        <w:rPr/>
        <w:t>3）医疗保险费、工伤保险费、生育保险费等社会保险费和住房公积金，以及工会经费和职工教育经费 </w:t>
      </w:r>
      <w:r>
        <w:rPr>
          <w:spacing w:val="-2"/>
        </w:rPr>
        <w:t>本公司为职工缴纳的医疗保险费、工伤保险费、生育保险费等社会保险费和住房公积金，以及按规定提取的工会经费和</w:t>
      </w:r>
    </w:p>
    <w:p>
      <w:pPr>
        <w:spacing w:after="0" w:line="316" w:lineRule="auto"/>
        <w:jc w:val="left"/>
        <w:sectPr>
          <w:footerReference w:type="default" r:id="rId44"/>
          <w:pgSz w:w="11910" w:h="16840"/>
          <w:pgMar w:footer="978" w:header="566" w:top="1360" w:bottom="1160" w:left="1020" w:right="940"/>
          <w:pgNumType w:start="100"/>
        </w:sectPr>
      </w:pPr>
    </w:p>
    <w:p>
      <w:pPr>
        <w:pStyle w:val="BodyText"/>
        <w:spacing w:line="316" w:lineRule="auto" w:before="81"/>
        <w:ind w:right="0"/>
        <w:jc w:val="left"/>
      </w:pPr>
      <w:r>
        <w:rPr>
          <w:spacing w:val="-2"/>
        </w:rPr>
        <w:t>职工教育经费，在职工为其提供服务的会计期间，根据规定的计提基础和计提比例计算确定相应的职工薪酬金额，并确认相</w:t>
      </w:r>
      <w:r>
        <w:rPr>
          <w:spacing w:val="-65"/>
        </w:rPr>
        <w:t> </w:t>
      </w:r>
      <w:r>
        <w:rPr>
          <w:spacing w:val="-65"/>
        </w:rPr>
      </w:r>
      <w:r>
        <w:rPr/>
        <w:t>应负债，计入当期损益或相关资产成本。</w:t>
      </w:r>
    </w:p>
    <w:p>
      <w:pPr>
        <w:pStyle w:val="BodyText"/>
        <w:spacing w:line="316" w:lineRule="auto" w:before="19"/>
        <w:ind w:left="472" w:right="0"/>
        <w:jc w:val="left"/>
      </w:pPr>
      <w:r>
        <w:rPr/>
        <w:t>4）短期带薪缺勤 </w:t>
      </w:r>
      <w:r>
        <w:rPr>
          <w:spacing w:val="-2"/>
        </w:rPr>
        <w:t>本公司在职工提供服务从而增加了其未来享有的带薪缺勤权利时，确认与累积带薪缺勤相关的职工薪酬，并以累积未行</w:t>
      </w:r>
    </w:p>
    <w:p>
      <w:pPr>
        <w:pStyle w:val="BodyText"/>
        <w:spacing w:line="316" w:lineRule="auto" w:before="19"/>
        <w:ind w:left="472" w:right="554" w:hanging="360"/>
        <w:jc w:val="left"/>
      </w:pPr>
      <w:r>
        <w:rPr/>
        <w:t>使权利而增加的预期支付金额计量。本公司在职工实际发生缺勤的会计期间确认与非累积带薪缺勤相关的职工薪酬。 5）短期利润分享计划</w:t>
      </w:r>
    </w:p>
    <w:p>
      <w:pPr>
        <w:pStyle w:val="BodyText"/>
        <w:spacing w:line="240" w:lineRule="auto" w:before="19"/>
        <w:ind w:left="472" w:right="0"/>
        <w:jc w:val="left"/>
      </w:pPr>
      <w:r>
        <w:rPr/>
        <w:t>利润分享计划同时满足下列条件的，本公司确认相关的应付职工薪酬：</w:t>
      </w:r>
    </w:p>
    <w:p>
      <w:pPr>
        <w:pStyle w:val="BodyText"/>
        <w:spacing w:line="240" w:lineRule="auto" w:before="76"/>
        <w:ind w:left="472" w:right="0"/>
        <w:jc w:val="left"/>
      </w:pPr>
      <w:r>
        <w:rPr/>
        <w:t>①企业因过去事项导致现在具有支付职工薪酬的法定义务或推定义务。</w:t>
      </w:r>
    </w:p>
    <w:p>
      <w:pPr>
        <w:pStyle w:val="BodyText"/>
        <w:spacing w:line="240" w:lineRule="auto" w:before="76"/>
        <w:ind w:left="472" w:right="0"/>
        <w:jc w:val="left"/>
      </w:pPr>
      <w:r>
        <w:rPr/>
        <w:t>②因利润分享计划所产生的应付职工薪酬义务金额能够可靠估计。</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2" w:right="0"/>
        <w:jc w:val="left"/>
      </w:pPr>
      <w:r>
        <w:rPr/>
        <w:t>1）设定提存计划 </w:t>
      </w:r>
      <w:r>
        <w:rPr>
          <w:spacing w:val="-2"/>
        </w:rPr>
        <w:t>本公司在职工为其提供服务的会计期间，将根据设定提存计划计算的应缴存金额确认为负债，并计入当期损益或相关资</w:t>
      </w:r>
    </w:p>
    <w:p>
      <w:pPr>
        <w:pStyle w:val="BodyText"/>
        <w:spacing w:line="240" w:lineRule="auto" w:before="19"/>
        <w:ind w:right="0"/>
        <w:jc w:val="left"/>
      </w:pPr>
      <w:r>
        <w:rPr/>
        <w:t>产成本。</w:t>
      </w:r>
    </w:p>
    <w:p>
      <w:pPr>
        <w:pStyle w:val="BodyText"/>
        <w:spacing w:line="316" w:lineRule="auto" w:before="76"/>
        <w:ind w:right="112" w:firstLine="360"/>
        <w:jc w:val="both"/>
      </w:pPr>
      <w:r>
        <w:rPr>
          <w:spacing w:val="-2"/>
        </w:rPr>
        <w:t>根据设定提存计划，预期不会在职工提供相关服务的年度报告期结束后十二个月内支付全部应缴存金额的，本公司参照</w:t>
      </w:r>
      <w:r>
        <w:rPr/>
        <w:t> </w:t>
      </w:r>
      <w:r>
        <w:rPr>
          <w:spacing w:val="-2"/>
        </w:rPr>
        <w:t>相应的折现率（根据资产负债表日与设定受益计划义务期限和币种相匹配的国债或活跃市场上的高质量公司债券的市场收益</w:t>
      </w:r>
      <w:r>
        <w:rPr>
          <w:spacing w:val="-64"/>
        </w:rPr>
        <w:t> </w:t>
      </w:r>
      <w:r>
        <w:rPr>
          <w:spacing w:val="-64"/>
        </w:rPr>
      </w:r>
      <w:r>
        <w:rPr/>
        <w:t>率确定），将全部应缴存金额以折现后的金额计量应付职工薪酬。</w:t>
      </w:r>
    </w:p>
    <w:p>
      <w:pPr>
        <w:pStyle w:val="BodyText"/>
        <w:spacing w:line="240" w:lineRule="auto" w:before="19"/>
        <w:ind w:left="472" w:right="0"/>
        <w:jc w:val="left"/>
      </w:pPr>
      <w:r>
        <w:rPr/>
        <w:t>2）设定受益计划</w:t>
      </w:r>
    </w:p>
    <w:p>
      <w:pPr>
        <w:pStyle w:val="BodyText"/>
        <w:spacing w:line="316" w:lineRule="auto" w:before="76"/>
        <w:ind w:left="472" w:right="0"/>
        <w:jc w:val="left"/>
      </w:pPr>
      <w:r>
        <w:rPr/>
        <w:t>①确定设定受益计划义务的现值和当期服务成本 </w:t>
      </w:r>
      <w:r>
        <w:rPr>
          <w:spacing w:val="-2"/>
        </w:rPr>
        <w:t>根据预期累计福利单位法，采用无偏且相互一致的精算假设对有关人口统计变量和财务变量等做出估计，计量设定受益</w:t>
      </w:r>
    </w:p>
    <w:p>
      <w:pPr>
        <w:pStyle w:val="BodyText"/>
        <w:spacing w:line="316" w:lineRule="auto" w:before="19"/>
        <w:ind w:right="112"/>
        <w:jc w:val="both"/>
      </w:pPr>
      <w:r>
        <w:rPr>
          <w:spacing w:val="-2"/>
        </w:rPr>
        <w:t>计划所产生的义务，并确定相关义务的归属期间。本公司按照相应的折现率（根据资产负债表日与设定受益计划义务期限和</w:t>
      </w:r>
      <w:r>
        <w:rPr>
          <w:spacing w:val="-65"/>
        </w:rPr>
        <w:t> </w:t>
      </w:r>
      <w:r>
        <w:rPr>
          <w:spacing w:val="-65"/>
        </w:rPr>
      </w:r>
      <w:r>
        <w:rPr>
          <w:spacing w:val="-2"/>
        </w:rPr>
        <w:t>币种相匹配的国债或活跃市场上的高质量公司债券的市场收益率确定）将设定受益计划所产生的义务予以折现，以确定设定</w:t>
      </w:r>
      <w:r>
        <w:rPr>
          <w:spacing w:val="-64"/>
        </w:rPr>
        <w:t> </w:t>
      </w:r>
      <w:r>
        <w:rPr>
          <w:spacing w:val="-64"/>
        </w:rPr>
      </w:r>
      <w:r>
        <w:rPr/>
        <w:t>受益计划义务的现值和当期服务成本。</w:t>
      </w:r>
    </w:p>
    <w:p>
      <w:pPr>
        <w:pStyle w:val="BodyText"/>
        <w:spacing w:line="316" w:lineRule="auto" w:before="19"/>
        <w:ind w:left="472" w:right="0"/>
        <w:jc w:val="left"/>
      </w:pPr>
      <w:r>
        <w:rPr/>
        <w:t>②确认设定受益计划净负债或净资产 </w:t>
      </w:r>
      <w:r>
        <w:rPr>
          <w:spacing w:val="-2"/>
        </w:rPr>
        <w:t>设定受益计划存在资产的，本公司将设定受益计划义务现值减去设定受益计划资产公允价值所形成的赤字或盈余确认为</w:t>
      </w:r>
    </w:p>
    <w:p>
      <w:pPr>
        <w:pStyle w:val="BodyText"/>
        <w:spacing w:line="316" w:lineRule="auto" w:before="19"/>
        <w:ind w:left="472" w:right="734" w:hanging="360"/>
        <w:jc w:val="left"/>
      </w:pPr>
      <w:r>
        <w:rPr/>
        <w:t>一项设定受益计划净负债或净资产。 设定受益计划存在盈余的，本公司以设定受益计划的盈余和资产上限两项的孰低者计量设定受益计划净资产。</w:t>
      </w:r>
    </w:p>
    <w:p>
      <w:pPr>
        <w:pStyle w:val="BodyText"/>
        <w:spacing w:line="316" w:lineRule="auto" w:before="19"/>
        <w:ind w:left="472" w:right="0"/>
        <w:jc w:val="left"/>
      </w:pPr>
      <w:r>
        <w:rPr/>
        <w:t>③确定应计入资产成本或当期损益的金额 </w:t>
      </w:r>
      <w:r>
        <w:rPr>
          <w:spacing w:val="-2"/>
        </w:rPr>
        <w:t>服务成本，包括当期服务成本、过去服务成本和结算利得或损失。其中，除了其他会计准则要求或允许计入资产成本的</w:t>
      </w:r>
    </w:p>
    <w:p>
      <w:pPr>
        <w:pStyle w:val="BodyText"/>
        <w:spacing w:line="316" w:lineRule="auto" w:before="19"/>
        <w:ind w:left="472" w:right="0" w:hanging="360"/>
        <w:jc w:val="left"/>
      </w:pPr>
      <w:r>
        <w:rPr/>
        <w:t>当期服务成本之外，其他服务成本均计入当期损益。 </w:t>
      </w:r>
      <w:r>
        <w:rPr>
          <w:spacing w:val="-2"/>
        </w:rPr>
        <w:t>设定受益计划净负债或净资产的利息净额，包括计划资产的利息收益、设定受益计划义务的利息费用以及资产上限影响</w:t>
      </w:r>
    </w:p>
    <w:p>
      <w:pPr>
        <w:pStyle w:val="BodyText"/>
        <w:spacing w:line="240" w:lineRule="auto" w:before="19"/>
        <w:ind w:right="0"/>
        <w:jc w:val="left"/>
      </w:pPr>
      <w:r>
        <w:rPr/>
        <w:t>的利息，均计入当期损益。</w:t>
      </w:r>
    </w:p>
    <w:p>
      <w:pPr>
        <w:pStyle w:val="BodyText"/>
        <w:spacing w:line="316" w:lineRule="auto" w:before="76"/>
        <w:ind w:left="472" w:right="4514"/>
        <w:jc w:val="left"/>
      </w:pPr>
      <w:r>
        <w:rPr/>
        <w:t>④确定应计入其他综合收益的金额 重新计量设定受益计划净负债或净资产所产生的变动，包括：</w:t>
      </w:r>
    </w:p>
    <w:p>
      <w:pPr>
        <w:pStyle w:val="BodyText"/>
        <w:spacing w:line="240" w:lineRule="auto" w:before="19"/>
        <w:ind w:left="472" w:right="0"/>
        <w:jc w:val="left"/>
      </w:pPr>
      <w:r>
        <w:rPr/>
        <w:t>（a）精算利得或损失，即由于精算假设和经验调整导致之前所计量的设定受益计划义务现值的增加或减少。</w:t>
      </w:r>
    </w:p>
    <w:p>
      <w:pPr>
        <w:pStyle w:val="BodyText"/>
        <w:spacing w:line="240" w:lineRule="auto" w:before="76"/>
        <w:ind w:left="472" w:right="0"/>
        <w:jc w:val="left"/>
      </w:pPr>
      <w:r>
        <w:rPr/>
        <w:t>（b）计划资产回报，扣除包括在设定受益计划净负债或净资产的利息净额中的金额。</w:t>
      </w:r>
    </w:p>
    <w:p>
      <w:pPr>
        <w:pStyle w:val="BodyText"/>
        <w:spacing w:line="316" w:lineRule="auto" w:before="76"/>
        <w:ind w:left="472" w:right="104"/>
        <w:jc w:val="left"/>
      </w:pPr>
      <w:r>
        <w:rPr/>
        <w:t>（c）资产上限影响的变动，扣除包括在设定受益计划净负债或净资产的利息净额中的金额。 上述重新计量设定受益计划净负债或净资产所产生的变动直接计入其他综合收益,并且在后续会计期间不允许转回至损</w:t>
      </w:r>
    </w:p>
    <w:p>
      <w:pPr>
        <w:pStyle w:val="BodyText"/>
        <w:spacing w:line="240" w:lineRule="auto" w:before="19"/>
        <w:ind w:right="0"/>
        <w:jc w:val="left"/>
      </w:pPr>
      <w:r>
        <w:rPr/>
        <w:t>益，但本公司可以在权益范围内转移这些在其他综合收益中确认的金额。</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72" w:right="1094"/>
        <w:jc w:val="left"/>
      </w:pPr>
      <w:r>
        <w:rPr/>
        <w:t>本公司向职工提供辞退福利的，在下列两者孰早日确认辞退福利产生的职工薪酬负债，并计入当期损益： 1）企业不能单方面撤回因解除劳动关系计划或裁减建议所提供的辞退福利时。</w:t>
      </w:r>
    </w:p>
    <w:p>
      <w:pPr>
        <w:spacing w:after="0" w:line="316" w:lineRule="auto"/>
        <w:jc w:val="left"/>
        <w:sectPr>
          <w:footerReference w:type="default" r:id="rId45"/>
          <w:pgSz w:w="11910" w:h="16840"/>
          <w:pgMar w:footer="978" w:header="566" w:top="1360" w:bottom="1160" w:left="1020" w:right="1020"/>
          <w:pgNumType w:start="101"/>
        </w:sectPr>
      </w:pPr>
    </w:p>
    <w:p>
      <w:pPr>
        <w:pStyle w:val="BodyText"/>
        <w:spacing w:line="316" w:lineRule="auto" w:before="81"/>
        <w:ind w:left="472" w:right="0"/>
        <w:jc w:val="left"/>
      </w:pPr>
      <w:r>
        <w:rPr/>
        <w:t>2）企业确认与涉及支付辞退福利的重组相关的成本或费用时。 </w:t>
      </w:r>
      <w:r>
        <w:rPr>
          <w:spacing w:val="-2"/>
        </w:rPr>
        <w:t>辞退福利预期在年度报告期结束后十二个月内不能完全支付的，参照相应的折现率（根据资产负债表日与设定受益计划</w:t>
      </w:r>
    </w:p>
    <w:p>
      <w:pPr>
        <w:pStyle w:val="BodyText"/>
        <w:spacing w:line="316" w:lineRule="auto" w:before="19"/>
        <w:ind w:right="0"/>
        <w:jc w:val="left"/>
      </w:pPr>
      <w:r>
        <w:rPr>
          <w:spacing w:val="-2"/>
        </w:rPr>
        <w:t>义务期限和币种相匹配的国债或活跃市场上的高质量公司债券的市场收益率确定）将辞退福利金额予以折现，以折现后的金</w:t>
      </w:r>
      <w:r>
        <w:rPr>
          <w:spacing w:val="-64"/>
        </w:rPr>
        <w:t> </w:t>
      </w:r>
      <w:r>
        <w:rPr>
          <w:spacing w:val="-64"/>
        </w:rPr>
      </w:r>
      <w:r>
        <w:rPr/>
        <w:t>额计量应付职工薪酬。</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2" w:right="0"/>
        <w:jc w:val="left"/>
      </w:pPr>
      <w:r>
        <w:rPr/>
        <w:t>1）符合设定提存计划条件的 </w:t>
      </w:r>
      <w:r>
        <w:rPr>
          <w:spacing w:val="-2"/>
        </w:rPr>
        <w:t>本公司向职工提供的其他长期职工福利，符合设定提存计划条件的，将全部应缴存金额以折现后的金额计量应付职工薪</w:t>
      </w:r>
    </w:p>
    <w:p>
      <w:pPr>
        <w:pStyle w:val="BodyText"/>
        <w:spacing w:line="240" w:lineRule="auto" w:before="19"/>
        <w:ind w:right="0"/>
        <w:jc w:val="left"/>
      </w:pPr>
      <w:r>
        <w:rPr/>
        <w:t>酬。</w:t>
      </w:r>
    </w:p>
    <w:p>
      <w:pPr>
        <w:pStyle w:val="BodyText"/>
        <w:spacing w:line="316" w:lineRule="auto" w:before="76"/>
        <w:ind w:left="472" w:right="2714"/>
        <w:jc w:val="left"/>
      </w:pPr>
      <w:r>
        <w:rPr/>
        <w:t>2）符合设定受益计划条件的 在报告期末，本公司将其他长期职工福利产生的职工薪酬成本确认为下列组成部分：</w:t>
      </w:r>
    </w:p>
    <w:p>
      <w:pPr>
        <w:pStyle w:val="BodyText"/>
        <w:spacing w:line="240" w:lineRule="auto" w:before="19"/>
        <w:ind w:left="472" w:right="0"/>
        <w:jc w:val="left"/>
      </w:pPr>
      <w:r>
        <w:rPr/>
        <w:t>①服务成本。</w:t>
      </w:r>
    </w:p>
    <w:p>
      <w:pPr>
        <w:pStyle w:val="BodyText"/>
        <w:spacing w:line="240" w:lineRule="auto" w:before="76"/>
        <w:ind w:left="472" w:right="0"/>
        <w:jc w:val="left"/>
      </w:pPr>
      <w:r>
        <w:rPr/>
        <w:t>②其他长期职工福利净负债或净资产的利息净额。</w:t>
      </w:r>
    </w:p>
    <w:p>
      <w:pPr>
        <w:pStyle w:val="BodyText"/>
        <w:spacing w:line="316" w:lineRule="auto" w:before="76"/>
        <w:ind w:left="472" w:right="3614"/>
        <w:jc w:val="left"/>
      </w:pPr>
      <w:r>
        <w:rPr/>
        <w:t>③重新计量其他长期职工福利净负债或净资产所产生的变动。 为简化相关会计处理，上述项目的总净额计入当期损益或相关资产成本。</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472" w:right="3254" w:hanging="360"/>
        <w:jc w:val="left"/>
      </w:pPr>
      <w:r>
        <w:rPr/>
        <w:t>（</w:t>
      </w:r>
      <w:r>
        <w:rPr>
          <w:rFonts w:ascii="Times New Roman" w:hAnsi="Times New Roman" w:cs="Times New Roman" w:eastAsia="Times New Roman" w:hint="default"/>
        </w:rPr>
        <w:t>1</w:t>
      </w:r>
      <w:r>
        <w:rPr/>
        <w:t>）预计负债的确认标准 如果与或有事项相关的义务同时符合以下条件，本公司将其确认为预计负债： 1）该义务是本公司承担的现时义务。</w:t>
      </w:r>
    </w:p>
    <w:p>
      <w:pPr>
        <w:pStyle w:val="BodyText"/>
        <w:spacing w:line="240" w:lineRule="auto" w:before="24"/>
        <w:ind w:left="472" w:right="0"/>
        <w:jc w:val="left"/>
      </w:pPr>
      <w:r>
        <w:rPr/>
        <w:t>2）该义务的履行很可能导致经济利益流出本公司。</w:t>
      </w:r>
    </w:p>
    <w:p>
      <w:pPr>
        <w:pStyle w:val="BodyText"/>
        <w:spacing w:line="240" w:lineRule="auto" w:before="76"/>
        <w:ind w:left="472" w:right="0"/>
        <w:jc w:val="left"/>
      </w:pPr>
      <w:r>
        <w:rPr/>
        <w:t>3）该义务的金额能够可靠地计量。</w:t>
      </w:r>
    </w:p>
    <w:p>
      <w:pPr>
        <w:pStyle w:val="BodyText"/>
        <w:spacing w:line="300" w:lineRule="auto" w:before="76"/>
        <w:ind w:left="472" w:right="0" w:hanging="360"/>
        <w:jc w:val="left"/>
      </w:pPr>
      <w:r>
        <w:rPr/>
        <w:t>（</w:t>
      </w:r>
      <w:r>
        <w:rPr>
          <w:rFonts w:ascii="Times New Roman" w:hAnsi="Times New Roman" w:cs="Times New Roman" w:eastAsia="Times New Roman" w:hint="default"/>
        </w:rPr>
        <w:t>2</w:t>
      </w:r>
      <w:r>
        <w:rPr/>
        <w:t>）预计负债的计量方法 </w:t>
      </w:r>
      <w:r>
        <w:rPr>
          <w:spacing w:val="-2"/>
        </w:rPr>
        <w:t>预计负债按照履行相关现时义务所需支出的最佳估计数进行初始计量，并综合考虑与或有事项有关的风险、不确定性和</w:t>
      </w:r>
    </w:p>
    <w:p>
      <w:pPr>
        <w:pStyle w:val="BodyText"/>
        <w:spacing w:line="316" w:lineRule="auto" w:before="31"/>
        <w:ind w:right="0"/>
        <w:jc w:val="left"/>
      </w:pPr>
      <w:r>
        <w:rPr>
          <w:spacing w:val="-2"/>
        </w:rPr>
        <w:t>货币时间价值等因素。每个资产负债表日对预计负债的账面价值进行复核。有确凿证据表明该账面价值不能反映当前最佳估</w:t>
      </w:r>
      <w:r>
        <w:rPr>
          <w:spacing w:val="-64"/>
        </w:rPr>
        <w:t> </w:t>
      </w:r>
      <w:r>
        <w:rPr>
          <w:spacing w:val="-64"/>
        </w:rPr>
      </w:r>
      <w:r>
        <w:rPr/>
        <w:t>计数的，按照当前最佳估计数对该账面价值进行调整。</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72" w:right="3794" w:hanging="360"/>
        <w:jc w:val="left"/>
      </w:pPr>
      <w:r>
        <w:rPr/>
        <w:t>（</w:t>
      </w:r>
      <w:r>
        <w:rPr>
          <w:rFonts w:ascii="Times New Roman" w:hAnsi="Times New Roman" w:cs="Times New Roman" w:eastAsia="Times New Roman" w:hint="default"/>
        </w:rPr>
        <w:t>1</w:t>
      </w:r>
      <w:r>
        <w:rPr/>
        <w:t>）股份支付的种类 本公司股份支付包括以现金结算的股份支付和以权益结算的股份支付。</w:t>
      </w:r>
    </w:p>
    <w:p>
      <w:pPr>
        <w:pStyle w:val="BodyText"/>
        <w:spacing w:line="300" w:lineRule="auto" w:before="31"/>
        <w:ind w:left="472" w:right="104" w:hanging="360"/>
        <w:jc w:val="left"/>
      </w:pPr>
      <w:r>
        <w:rPr/>
        <w:t>（</w:t>
      </w:r>
      <w:r>
        <w:rPr>
          <w:rFonts w:ascii="Times New Roman" w:hAnsi="Times New Roman" w:cs="Times New Roman" w:eastAsia="Times New Roman" w:hint="default"/>
        </w:rPr>
        <w:t>2</w:t>
      </w:r>
      <w:r>
        <w:rPr/>
        <w:t>）权益工具公允价值的确定方法 1）对于授予职工的股份，其公允价值按公司股份的市场价格计量，同时考虑授予股份所依据的条款和条件（不包括市</w:t>
      </w:r>
    </w:p>
    <w:p>
      <w:pPr>
        <w:pStyle w:val="BodyText"/>
        <w:spacing w:line="316" w:lineRule="auto" w:before="31"/>
        <w:ind w:left="472" w:right="104" w:hanging="360"/>
        <w:jc w:val="left"/>
      </w:pPr>
      <w:r>
        <w:rPr/>
        <w:t>场条件之外的可行权条件）进行调整。 2）对于授予职工的股票期权，在许多情况下难以获得其市场价格。如果不存在条款和条件相似的交易期权，公司选择</w:t>
      </w:r>
    </w:p>
    <w:p>
      <w:pPr>
        <w:pStyle w:val="BodyText"/>
        <w:spacing w:line="240" w:lineRule="auto" w:before="19"/>
        <w:ind w:right="0"/>
        <w:jc w:val="left"/>
      </w:pPr>
      <w:r>
        <w:rPr/>
        <w:t>适用的期权定价模型估计所授予的期权的公允价值。</w:t>
      </w:r>
    </w:p>
    <w:p>
      <w:pPr>
        <w:pStyle w:val="BodyText"/>
        <w:spacing w:line="300" w:lineRule="auto" w:before="76"/>
        <w:ind w:left="472" w:right="0" w:hanging="360"/>
        <w:jc w:val="left"/>
      </w:pPr>
      <w:r>
        <w:rPr/>
        <w:t>（</w:t>
      </w:r>
      <w:r>
        <w:rPr>
          <w:rFonts w:ascii="Times New Roman" w:hAnsi="Times New Roman" w:cs="Times New Roman" w:eastAsia="Times New Roman" w:hint="default"/>
        </w:rPr>
        <w:t>3</w:t>
      </w:r>
      <w:r>
        <w:rPr/>
        <w:t>）确认可行权权益工具最佳估计的依据 </w:t>
      </w:r>
      <w:r>
        <w:rPr>
          <w:spacing w:val="-2"/>
        </w:rPr>
        <w:t>在等待期内每个资产负债表日，公司根据最新取得的可行权职工人数变动等后续信息作出最佳估计，修正预计可行权的</w:t>
      </w:r>
    </w:p>
    <w:p>
      <w:pPr>
        <w:pStyle w:val="BodyText"/>
        <w:spacing w:line="240" w:lineRule="auto" w:before="31"/>
        <w:ind w:right="0"/>
        <w:jc w:val="left"/>
      </w:pPr>
      <w:r>
        <w:rPr/>
        <w:t>权益工具数量，以作出可行权权益工具的最佳估计。</w:t>
      </w:r>
    </w:p>
    <w:p>
      <w:pPr>
        <w:pStyle w:val="BodyText"/>
        <w:spacing w:line="300" w:lineRule="auto" w:before="76"/>
        <w:ind w:left="472" w:right="104" w:hanging="360"/>
        <w:jc w:val="left"/>
      </w:pPr>
      <w:r>
        <w:rPr/>
        <w:t>（</w:t>
      </w:r>
      <w:r>
        <w:rPr>
          <w:rFonts w:ascii="Times New Roman" w:hAnsi="Times New Roman" w:cs="Times New Roman" w:eastAsia="Times New Roman" w:hint="default"/>
        </w:rPr>
        <w:t>4</w:t>
      </w:r>
      <w:r>
        <w:rPr/>
        <w:t>）股份支付计划实施的会计处理 1）授予后立即可行权的以现金结算的股份支付，在授予日以本公司承担负债的公允价值计入相关成本或费用，相应增</w:t>
      </w:r>
    </w:p>
    <w:p>
      <w:pPr>
        <w:pStyle w:val="BodyText"/>
        <w:spacing w:line="316" w:lineRule="auto" w:before="31"/>
        <w:ind w:left="472" w:right="104" w:hanging="360"/>
        <w:jc w:val="left"/>
      </w:pPr>
      <w:r>
        <w:rPr/>
        <w:t>加负债。并在结算前的每个资产负债表日和结算日对负债的公允价值重新计量，将其变动计入损益。 2）完成等待期内的服务或达到规定业绩条件以后才可行权的以现金结算的股份支付，在等待期内的每个资产负债表日</w:t>
      </w:r>
    </w:p>
    <w:p>
      <w:pPr>
        <w:spacing w:after="0" w:line="316" w:lineRule="auto"/>
        <w:jc w:val="left"/>
        <w:sectPr>
          <w:footerReference w:type="default" r:id="rId46"/>
          <w:pgSz w:w="11910" w:h="16840"/>
          <w:pgMar w:footer="978" w:header="566" w:top="1360" w:bottom="1160" w:left="1020" w:right="1020"/>
          <w:pgNumType w:start="102"/>
        </w:sectPr>
      </w:pPr>
    </w:p>
    <w:p>
      <w:pPr>
        <w:pStyle w:val="BodyText"/>
        <w:spacing w:line="316" w:lineRule="auto" w:before="81"/>
        <w:ind w:left="472" w:right="94" w:hanging="360"/>
        <w:jc w:val="left"/>
      </w:pPr>
      <w:r>
        <w:rPr/>
        <w:t>以对可行权情况的最佳估计为基础，按本公司承担负债的公允价值金额，将当期取得的服务计入成本或费用和相应的负债。 </w:t>
      </w:r>
      <w:r>
        <w:rPr>
          <w:spacing w:val="-2"/>
        </w:rPr>
        <w:t>3）授予后立即可行权的换取职工服务的以权益结算的股份支付，在授予日以权益工具的公允价值计入相关成本或费用，</w:t>
      </w:r>
    </w:p>
    <w:p>
      <w:pPr>
        <w:pStyle w:val="BodyText"/>
        <w:spacing w:line="316" w:lineRule="auto" w:before="19"/>
        <w:ind w:left="472" w:right="184" w:hanging="360"/>
        <w:jc w:val="left"/>
      </w:pPr>
      <w:r>
        <w:rPr/>
        <w:t>相应增加资本公积。 4）完成等待期内的服务或达到规定业绩条件以后才可行权换取职工服务的以权益结算的股份支付，在等待期内的每个</w:t>
      </w:r>
    </w:p>
    <w:p>
      <w:pPr>
        <w:pStyle w:val="BodyText"/>
        <w:spacing w:line="316" w:lineRule="auto" w:before="19"/>
        <w:ind w:right="94"/>
        <w:jc w:val="left"/>
      </w:pPr>
      <w:r>
        <w:rPr>
          <w:spacing w:val="-2"/>
        </w:rPr>
        <w:t>资产负债表日，以对可行权权益工具数量的最佳估计为基础，按权益工具授予日的公允价值，将当期取得的服务计入成本或</w:t>
      </w:r>
      <w:r>
        <w:rPr>
          <w:spacing w:val="-65"/>
        </w:rPr>
        <w:t> </w:t>
      </w:r>
      <w:r>
        <w:rPr>
          <w:spacing w:val="-65"/>
        </w:rPr>
      </w:r>
      <w:r>
        <w:rPr/>
        <w:t>费用和资本公积。</w:t>
      </w:r>
    </w:p>
    <w:p>
      <w:pPr>
        <w:pStyle w:val="BodyText"/>
        <w:spacing w:line="300" w:lineRule="auto" w:before="19"/>
        <w:ind w:left="472" w:right="94" w:hanging="360"/>
        <w:jc w:val="left"/>
      </w:pPr>
      <w:r>
        <w:rPr/>
        <w:t>（</w:t>
      </w:r>
      <w:r>
        <w:rPr>
          <w:rFonts w:ascii="Times New Roman" w:hAnsi="Times New Roman" w:cs="Times New Roman" w:eastAsia="Times New Roman" w:hint="default"/>
        </w:rPr>
        <w:t>5</w:t>
      </w:r>
      <w:r>
        <w:rPr/>
        <w:t>）股份支付计划修改的会计处理 </w:t>
      </w:r>
      <w:r>
        <w:rPr>
          <w:spacing w:val="-2"/>
        </w:rPr>
        <w:t>本公司对股份支付计划进行修改时，若修改增加了所授予权益工具的公允价值，按照权益工具公允价值的增加相应地确</w:t>
      </w:r>
    </w:p>
    <w:p>
      <w:pPr>
        <w:pStyle w:val="BodyText"/>
        <w:spacing w:line="316" w:lineRule="auto" w:before="31"/>
        <w:ind w:right="94"/>
        <w:jc w:val="left"/>
      </w:pPr>
      <w:r>
        <w:rPr/>
        <w:t>认取得服务的增加；若修改增加了所授予权益工具的数量，则将增加的权益工具的公允价值相应地确认为取得服务的增加。 </w:t>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1"/>
        </w:rPr>
        <w:t> </w:t>
      </w:r>
      <w:r>
        <w:rPr>
          <w:spacing w:val="-41"/>
        </w:rPr>
      </w:r>
      <w:r>
        <w:rPr/>
        <w:t>除非本公司取消了部分或全部已授予的权益工具。</w:t>
      </w:r>
    </w:p>
    <w:p>
      <w:pPr>
        <w:pStyle w:val="BodyText"/>
        <w:spacing w:line="309" w:lineRule="auto" w:before="19"/>
        <w:ind w:left="472" w:right="94" w:hanging="360"/>
        <w:jc w:val="left"/>
      </w:pPr>
      <w:r>
        <w:rPr>
          <w:rFonts w:ascii="Times New Roman" w:hAnsi="Times New Roman" w:cs="Times New Roman" w:eastAsia="Times New Roman" w:hint="default"/>
        </w:rPr>
        <w:t>( 6</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股份支付计划终止的会计处理</w:t>
      </w:r>
      <w:r>
        <w:rPr>
          <w:w w:val="99"/>
        </w:rPr>
        <w:t> </w:t>
      </w:r>
      <w:r>
        <w:rPr>
          <w:spacing w:val="-4"/>
        </w:rPr>
        <w:t>如果在等待期内取消了所授予的权益工具或结算了所授予的权益工具（因未满足可行权条件而被取消的除外），本公司：</w:t>
      </w:r>
      <w:r>
        <w:rPr>
          <w:w w:val="99"/>
        </w:rPr>
        <w:t> </w:t>
      </w:r>
      <w:r>
        <w:rPr/>
        <w:t>1）将取消或结算作为加速可行权处理，立即确认原本应在剩余等待期内确认的金额。</w:t>
      </w:r>
    </w:p>
    <w:p>
      <w:pPr>
        <w:pStyle w:val="BodyText"/>
        <w:spacing w:line="316" w:lineRule="auto" w:before="24"/>
        <w:ind w:right="184" w:firstLine="360"/>
        <w:jc w:val="left"/>
      </w:pPr>
      <w:r>
        <w:rPr/>
        <w:t>2）在取消或结算时支付给职工的所有款项均作为权益的回购处理，回购支付的金额高于该权益工具在回购日公允价值 的部分，计入当期费用。</w:t>
      </w:r>
    </w:p>
    <w:p>
      <w:pPr>
        <w:pStyle w:val="BodyText"/>
        <w:spacing w:line="316" w:lineRule="auto" w:before="19"/>
        <w:ind w:right="94" w:firstLine="360"/>
        <w:jc w:val="left"/>
      </w:pPr>
      <w:r>
        <w:rPr>
          <w:spacing w:val="-2"/>
        </w:rPr>
        <w:t>本公司如果回购其职工已可行权的权益工具，冲减企业的所有者权益；回购支付的款项高于该权益工具在回购日公允价</w:t>
      </w:r>
      <w:r>
        <w:rPr/>
        <w:t> 值的部分，计入当期损益。</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2" w:right="94" w:hanging="360"/>
        <w:jc w:val="left"/>
      </w:pPr>
      <w:r>
        <w:rPr/>
        <w:t>（</w:t>
      </w:r>
      <w:r>
        <w:rPr>
          <w:rFonts w:ascii="Times New Roman" w:hAnsi="Times New Roman" w:cs="Times New Roman" w:eastAsia="Times New Roman" w:hint="default"/>
        </w:rPr>
        <w:t>1</w:t>
      </w:r>
      <w:r>
        <w:rPr/>
        <w:t>）优先股、永续债等其他金融工具的分类依据 </w:t>
      </w:r>
      <w:r>
        <w:rPr>
          <w:spacing w:val="-2"/>
        </w:rPr>
        <w:t>本公司发行的优先股（或永续债，下同）划分为金融负债还是权益工具，则根据相关合同或协议中具体内容，按实质重</w:t>
      </w:r>
    </w:p>
    <w:p>
      <w:pPr>
        <w:pStyle w:val="BodyText"/>
        <w:spacing w:line="316" w:lineRule="auto" w:before="31"/>
        <w:ind w:left="472" w:right="7834" w:hanging="360"/>
        <w:jc w:val="left"/>
      </w:pPr>
      <w:r>
        <w:rPr/>
        <w:t>于形式的原则进行判断。 1）赎回选择权</w:t>
      </w:r>
    </w:p>
    <w:p>
      <w:pPr>
        <w:pStyle w:val="BodyText"/>
        <w:spacing w:line="316" w:lineRule="auto" w:before="19"/>
        <w:ind w:right="94" w:firstLine="360"/>
        <w:jc w:val="left"/>
      </w:pPr>
      <w:r>
        <w:rPr>
          <w:spacing w:val="-4"/>
        </w:rPr>
        <w:t>如果本公司所发行的优先股需要在某特定日期由本公司赎回，则该优先股属于金融负债；如果是购买方享有赎回选择权，</w:t>
      </w:r>
      <w:r>
        <w:rPr/>
        <w:t> </w:t>
      </w:r>
      <w:r>
        <w:rPr>
          <w:spacing w:val="-2"/>
        </w:rPr>
        <w:t>该优先股仍然属于金融负债，如果购买方放弃了选择权，则重分类为权益工具；如果赎回选择权属于本公司，那么该优先股</w:t>
      </w:r>
      <w:r>
        <w:rPr>
          <w:spacing w:val="-66"/>
        </w:rPr>
        <w:t> </w:t>
      </w:r>
      <w:r>
        <w:rPr>
          <w:spacing w:val="-66"/>
        </w:rPr>
      </w:r>
      <w:r>
        <w:rPr/>
        <w:t>属于权益工具，但本公司一旦选择赎回且将这种赎回选择予以公告，则将权益工具重分类为金融负债。</w:t>
      </w:r>
    </w:p>
    <w:p>
      <w:pPr>
        <w:pStyle w:val="BodyText"/>
        <w:spacing w:line="316" w:lineRule="auto" w:before="19"/>
        <w:ind w:left="472" w:right="94"/>
        <w:jc w:val="left"/>
      </w:pPr>
      <w:r>
        <w:rPr/>
        <w:t>2）股利发放 </w:t>
      </w:r>
      <w:r>
        <w:rPr>
          <w:spacing w:val="-2"/>
        </w:rPr>
        <w:t>如果是否发放现金股利完全取决于本公司的意愿，则该优先股划分权益工具；如果发放的现金股利是强制性的，且股利</w:t>
      </w:r>
    </w:p>
    <w:p>
      <w:pPr>
        <w:pStyle w:val="BodyText"/>
        <w:spacing w:line="316" w:lineRule="auto" w:before="19"/>
        <w:ind w:right="94"/>
        <w:jc w:val="left"/>
      </w:pPr>
      <w:r>
        <w:rPr>
          <w:spacing w:val="-2"/>
        </w:rPr>
        <w:t>发放率大于或等于同期市场利率的，则将优先股划分为金融负债，如果股利发放率低于市场利率的，则该优先股属于复合金</w:t>
      </w:r>
      <w:r>
        <w:rPr>
          <w:spacing w:val="-65"/>
        </w:rPr>
        <w:t> </w:t>
      </w:r>
      <w:r>
        <w:rPr>
          <w:spacing w:val="-65"/>
        </w:rPr>
      </w:r>
      <w:r>
        <w:rPr/>
        <w:t>融工具，需要对优先股进行分拆。</w:t>
      </w:r>
    </w:p>
    <w:p>
      <w:pPr>
        <w:pStyle w:val="BodyText"/>
        <w:spacing w:line="316" w:lineRule="auto" w:before="19"/>
        <w:ind w:left="472" w:right="94"/>
        <w:jc w:val="left"/>
      </w:pPr>
      <w:r>
        <w:rPr/>
        <w:t>3）转换为普通股 </w:t>
      </w:r>
      <w:r>
        <w:rPr>
          <w:spacing w:val="-2"/>
        </w:rPr>
        <w:t>本公司发行的优先股如果附加可转换为普通股条件的，优先股是划分为金融负债还是权益工具，则取决于未来转换为普</w:t>
      </w:r>
    </w:p>
    <w:p>
      <w:pPr>
        <w:pStyle w:val="BodyText"/>
        <w:spacing w:line="316" w:lineRule="auto" w:before="19"/>
        <w:ind w:right="94"/>
        <w:jc w:val="left"/>
      </w:pPr>
      <w:r>
        <w:rPr>
          <w:spacing w:val="-2"/>
        </w:rPr>
        <w:t>通股的数量是否固定：如果未来转换的普通股数量是非固定的，则发行的优先股属于金融负债；如果未来转换的普通股数量</w:t>
      </w:r>
      <w:r>
        <w:rPr>
          <w:spacing w:val="-65"/>
        </w:rPr>
        <w:t> </w:t>
      </w:r>
      <w:r>
        <w:rPr>
          <w:spacing w:val="-65"/>
        </w:rPr>
      </w:r>
      <w:r>
        <w:rPr/>
        <w:t>是固定的，则划分为权益工具。</w:t>
      </w:r>
    </w:p>
    <w:p>
      <w:pPr>
        <w:pStyle w:val="BodyText"/>
        <w:spacing w:line="300" w:lineRule="auto" w:before="19"/>
        <w:ind w:left="472" w:right="94" w:hanging="360"/>
        <w:jc w:val="left"/>
      </w:pPr>
      <w:r>
        <w:rPr/>
        <w:t>（</w:t>
      </w:r>
      <w:r>
        <w:rPr>
          <w:rFonts w:ascii="Times New Roman" w:hAnsi="Times New Roman" w:cs="Times New Roman" w:eastAsia="Times New Roman" w:hint="default"/>
        </w:rPr>
        <w:t>2</w:t>
      </w:r>
      <w:r>
        <w:rPr/>
        <w:t>）优先股、永续债等其他金融工具的会计处理方法 </w:t>
      </w:r>
      <w:r>
        <w:rPr>
          <w:spacing w:val="-2"/>
        </w:rPr>
        <w:t>本公司以所发行金融工具的分类为基础，确定该工具利息支出或股利分配等的会计处理。对于归类为权益工具的金融工</w:t>
      </w:r>
    </w:p>
    <w:p>
      <w:pPr>
        <w:pStyle w:val="BodyText"/>
        <w:spacing w:line="316" w:lineRule="auto" w:before="31"/>
        <w:ind w:right="192"/>
        <w:jc w:val="both"/>
      </w:pPr>
      <w:r>
        <w:rPr>
          <w:spacing w:val="-2"/>
        </w:rPr>
        <w:t>具，无论其名称中是否包含“债”，其利息支出或股利分配都作为本公司（发行企业）的利润分配，其回购、注销等作为权</w:t>
      </w:r>
      <w:r>
        <w:rPr>
          <w:spacing w:val="-66"/>
        </w:rPr>
        <w:t> </w:t>
      </w:r>
      <w:r>
        <w:rPr>
          <w:spacing w:val="-66"/>
        </w:rPr>
      </w:r>
      <w:r>
        <w:rPr>
          <w:spacing w:val="-2"/>
        </w:rPr>
        <w:t>益的变动处理；对于归类为金融负债的金融工具，无论其名称中是否包含“股”，其利息支出或股利分配原则上按照借款费</w:t>
      </w:r>
      <w:r>
        <w:rPr>
          <w:spacing w:val="-65"/>
        </w:rPr>
        <w:t> </w:t>
      </w:r>
      <w:r>
        <w:rPr>
          <w:spacing w:val="-65"/>
        </w:rPr>
      </w:r>
      <w:r>
        <w:rPr/>
        <w:t>用进行处理，其回购或赎回产生的利得或损失等计入当期损益。</w:t>
      </w:r>
    </w:p>
    <w:p>
      <w:pPr>
        <w:spacing w:after="0" w:line="316" w:lineRule="auto"/>
        <w:jc w:val="both"/>
        <w:sectPr>
          <w:pgSz w:w="11910" w:h="16840"/>
          <w:pgMar w:header="566" w:footer="978" w:top="1360" w:bottom="1160" w:left="1020" w:right="940"/>
        </w:sectPr>
      </w:pPr>
    </w:p>
    <w:p>
      <w:pPr>
        <w:pStyle w:val="Heading3"/>
        <w:spacing w:line="240" w:lineRule="auto" w:before="55"/>
        <w:ind w:right="6754"/>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5"/>
        <w:ind w:right="192" w:firstLine="360"/>
        <w:jc w:val="both"/>
      </w:pPr>
      <w:r>
        <w:rPr>
          <w:spacing w:val="-2"/>
        </w:rPr>
        <w:t>公司向客户提供的服务包括：健康数据服务、智能融合云服务。健康数据服务，主要是基于临床信息化细分产品和健康</w:t>
      </w:r>
      <w:r>
        <w:rPr/>
        <w:t> </w:t>
      </w:r>
      <w:r>
        <w:rPr>
          <w:spacing w:val="-2"/>
        </w:rPr>
        <w:t>大数据平台，为客户提供标准、高效的医疗信息化软件产品、系统集成和运维服务；智能融合云服务，主要是依托于智能融</w:t>
      </w:r>
      <w:r>
        <w:rPr>
          <w:spacing w:val="-65"/>
        </w:rPr>
        <w:t> </w:t>
      </w:r>
      <w:r>
        <w:rPr>
          <w:spacing w:val="-65"/>
        </w:rPr>
      </w:r>
      <w:r>
        <w:rPr/>
        <w:t>合云平台与大数据云中心服务，为面向互联网+时代的关键行业客户提供全方位的智能化的融合云解决方案和服务，涵盖了</w:t>
      </w:r>
      <w:r>
        <w:rPr/>
        <w:t> 系统集成、运行维护服务、软件及硬件销售、软件开发服务等业务。本公司对收入的具体确认原则如下：</w:t>
      </w:r>
    </w:p>
    <w:p>
      <w:pPr>
        <w:pStyle w:val="BodyText"/>
        <w:spacing w:line="300" w:lineRule="auto" w:before="19"/>
        <w:ind w:left="472" w:right="94" w:hanging="360"/>
        <w:jc w:val="left"/>
      </w:pPr>
      <w:r>
        <w:rPr/>
        <w:t>（</w:t>
      </w:r>
      <w:r>
        <w:rPr>
          <w:rFonts w:ascii="Times New Roman" w:hAnsi="Times New Roman" w:cs="Times New Roman" w:eastAsia="Times New Roman" w:hint="default"/>
        </w:rPr>
        <w:t>1</w:t>
      </w:r>
      <w:r>
        <w:rPr/>
        <w:t>）销售商品收入 </w:t>
      </w:r>
      <w:r>
        <w:rPr>
          <w:spacing w:val="-2"/>
        </w:rPr>
        <w:t>公司已将商品所有权上的主要风险和报酬转移给购货方；公司既没有保留通常与所有权相联系的继续管理权，也没有对</w:t>
      </w:r>
    </w:p>
    <w:p>
      <w:pPr>
        <w:pStyle w:val="BodyText"/>
        <w:spacing w:line="316" w:lineRule="auto" w:before="31"/>
        <w:ind w:right="94"/>
        <w:jc w:val="left"/>
      </w:pPr>
      <w:r>
        <w:rPr>
          <w:spacing w:val="-2"/>
        </w:rPr>
        <w:t>已售出的商品实施有效控制；收入的金额能够可靠地计量；相关的经济利益很可能流入公司；相关的已发生或将发生的成本</w:t>
      </w:r>
      <w:r>
        <w:rPr>
          <w:spacing w:val="-65"/>
        </w:rPr>
        <w:t> </w:t>
      </w:r>
      <w:r>
        <w:rPr>
          <w:spacing w:val="-65"/>
        </w:rPr>
      </w:r>
      <w:r>
        <w:rPr/>
        <w:t>能够可靠地计量时，确认为销售收入的实现。</w:t>
      </w:r>
    </w:p>
    <w:p>
      <w:pPr>
        <w:pStyle w:val="BodyText"/>
        <w:spacing w:line="316" w:lineRule="auto" w:before="19"/>
        <w:ind w:left="472" w:right="184"/>
        <w:jc w:val="left"/>
      </w:pPr>
      <w:r>
        <w:rPr/>
        <w:t>本公司商品销售主要包括产品化软件销售收入和系统集成收入，其收入的具体确认原则如下： 1）产品化软件销售收入是指本公司销售自主研发的软件产品收入。公司自主研发的软件产品是指具有较强的行业通用</w:t>
      </w:r>
    </w:p>
    <w:p>
      <w:pPr>
        <w:pStyle w:val="BodyText"/>
        <w:spacing w:line="316" w:lineRule="auto" w:before="19"/>
        <w:ind w:left="472" w:right="94" w:hanging="360"/>
        <w:jc w:val="left"/>
      </w:pPr>
      <w:r>
        <w:rPr/>
        <w:t>性，客户需求差异性较小，并且可以批量复制销售的应用软件。 对于产品化软件销售，本公司在按照合同约定内容向购买方移交，并完成安装、调试工作，取得了购买方安装确认单，</w:t>
      </w:r>
    </w:p>
    <w:p>
      <w:pPr>
        <w:pStyle w:val="BodyText"/>
        <w:spacing w:line="316" w:lineRule="auto" w:before="19"/>
        <w:ind w:left="472" w:right="184" w:hanging="360"/>
        <w:jc w:val="left"/>
      </w:pPr>
      <w:r>
        <w:rPr/>
        <w:t>并同时满足上述销售商品收入确认条件时确认软件产品销售收入。 2）系统集成收入是指公司为客户实施系统集成项目时，应客户要求代其外购硬件系统及相关第三方软件，并安装集成</w:t>
      </w:r>
    </w:p>
    <w:p>
      <w:pPr>
        <w:pStyle w:val="BodyText"/>
        <w:spacing w:line="316" w:lineRule="auto" w:before="19"/>
        <w:ind w:right="94"/>
        <w:jc w:val="left"/>
      </w:pPr>
      <w:r>
        <w:rPr>
          <w:spacing w:val="-2"/>
        </w:rPr>
        <w:t>所获得的收入。系统集成是根据客户的需求选择各种软硬件设备，经过集成设计、集成、安装调试等大量技术性工作使系统</w:t>
      </w:r>
      <w:r>
        <w:rPr>
          <w:spacing w:val="-66"/>
        </w:rPr>
        <w:t> </w:t>
      </w:r>
      <w:r>
        <w:rPr>
          <w:spacing w:val="-66"/>
        </w:rPr>
      </w:r>
      <w:r>
        <w:rPr/>
        <w:t>能够满足用户的实际需求。</w:t>
      </w:r>
    </w:p>
    <w:p>
      <w:pPr>
        <w:pStyle w:val="BodyText"/>
        <w:spacing w:line="316" w:lineRule="auto" w:before="19"/>
        <w:ind w:right="192" w:firstLine="360"/>
        <w:jc w:val="both"/>
      </w:pPr>
      <w:r>
        <w:rPr>
          <w:spacing w:val="-2"/>
        </w:rPr>
        <w:t>系统集成在按照合同约定内容向购买方移交了所提供的软件产品和软件开发相关的、以及代购硬件设备或第三方软件的</w:t>
      </w:r>
      <w:r>
        <w:rPr/>
        <w:t> 所有权，取得了购买方的验收单，并同时满足上述销售商品收入确认条件时确认系统集成收入。</w:t>
      </w:r>
    </w:p>
    <w:p>
      <w:pPr>
        <w:pStyle w:val="BodyText"/>
        <w:spacing w:line="300" w:lineRule="auto" w:before="19"/>
        <w:ind w:left="472" w:right="94" w:hanging="360"/>
        <w:jc w:val="left"/>
      </w:pPr>
      <w:r>
        <w:rPr>
          <w:rFonts w:ascii="Times New Roman" w:hAnsi="Times New Roman" w:cs="Times New Roman" w:eastAsia="Times New Roman" w:hint="default"/>
        </w:rPr>
        <w:t>( 2</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提供劳务收入</w:t>
      </w:r>
      <w:r>
        <w:rPr>
          <w:w w:val="99"/>
        </w:rPr>
        <w:t> </w:t>
      </w:r>
      <w:r>
        <w:rPr>
          <w:spacing w:val="-2"/>
        </w:rPr>
        <w:t>在资产负债表日提供劳务交易的结果能够可靠估计，采用完工百分比法确认提供劳务收入。提供劳务交易的结果能够可</w:t>
      </w:r>
    </w:p>
    <w:p>
      <w:pPr>
        <w:pStyle w:val="BodyText"/>
        <w:spacing w:line="316" w:lineRule="auto" w:before="31"/>
        <w:ind w:right="94"/>
        <w:jc w:val="left"/>
      </w:pPr>
      <w:r>
        <w:rPr>
          <w:spacing w:val="-2"/>
        </w:rPr>
        <w:t>靠估计，是指同时满足下列条件：收入的金额能够可靠地计量；相关的经济利益很可能流入企业；交易的完工进度能够可靠</w:t>
      </w:r>
      <w:r>
        <w:rPr>
          <w:spacing w:val="-66"/>
        </w:rPr>
        <w:t> </w:t>
      </w:r>
      <w:r>
        <w:rPr>
          <w:spacing w:val="-66"/>
        </w:rPr>
      </w:r>
      <w:r>
        <w:rPr/>
        <w:t>地确定；交易中已发生和将发生的成本能够可靠地计量时，确认为提供劳务收入的实现。</w:t>
      </w:r>
    </w:p>
    <w:p>
      <w:pPr>
        <w:pStyle w:val="BodyText"/>
        <w:spacing w:line="316" w:lineRule="auto" w:before="19"/>
        <w:ind w:left="472" w:right="184"/>
        <w:jc w:val="left"/>
      </w:pPr>
      <w:r>
        <w:rPr/>
        <w:t>本公司提供劳务主要包括定制化软件开发收入和技术服务收入，其收入的具体确认原则如下： 1）定制化软件开发收入是指公司接受客户委托，针对客户提出的软件需求进行研究开发所获得的收入。定制化软件一</w:t>
      </w:r>
    </w:p>
    <w:p>
      <w:pPr>
        <w:pStyle w:val="BodyText"/>
        <w:spacing w:line="316" w:lineRule="auto" w:before="19"/>
        <w:ind w:right="94"/>
        <w:jc w:val="left"/>
      </w:pPr>
      <w:r>
        <w:rPr>
          <w:spacing w:val="-2"/>
        </w:rPr>
        <w:t>般是公司基于自主研发的软件平台基础上，按照客户的特定需求，进行定制化开发而形成的应用软件。该类软件一般不具有</w:t>
      </w:r>
      <w:r>
        <w:rPr>
          <w:spacing w:val="-65"/>
        </w:rPr>
        <w:t> </w:t>
      </w:r>
      <w:r>
        <w:rPr>
          <w:spacing w:val="-65"/>
        </w:rPr>
      </w:r>
      <w:r>
        <w:rPr/>
        <w:t>通用性，该类业务实质上属于提供劳务。</w:t>
      </w:r>
    </w:p>
    <w:p>
      <w:pPr>
        <w:pStyle w:val="BodyText"/>
        <w:spacing w:line="316" w:lineRule="auto" w:before="19"/>
        <w:ind w:right="94" w:firstLine="360"/>
        <w:jc w:val="left"/>
      </w:pPr>
      <w:r>
        <w:rPr>
          <w:spacing w:val="-2"/>
        </w:rPr>
        <w:t>对于专业程度较高且能够取得客户确认的完工进度依据的定制化软件开发收入，提供定制软件劳务交易的结果在资产负</w:t>
      </w:r>
      <w:r>
        <w:rPr/>
        <w:t> </w:t>
      </w:r>
      <w:r>
        <w:rPr>
          <w:spacing w:val="-2"/>
        </w:rPr>
        <w:t>债表日能够可靠估计的，采用完工百分比法确认提供劳务的收入，并按已经发生的成本占估计总成本的比例确定提供劳务交</w:t>
      </w:r>
      <w:r>
        <w:rPr>
          <w:spacing w:val="-64"/>
        </w:rPr>
        <w:t> </w:t>
      </w:r>
      <w:r>
        <w:rPr>
          <w:spacing w:val="-64"/>
        </w:rPr>
      </w:r>
      <w:r>
        <w:rPr>
          <w:spacing w:val="-4"/>
        </w:rPr>
        <w:t>易的完工进度；提供定制软件劳务交易的结果在资产负债表日不能够可靠估计的，若已经发生的劳务成本预计能够得到补偿，</w:t>
      </w:r>
      <w:r>
        <w:rPr>
          <w:spacing w:val="-41"/>
        </w:rPr>
        <w:t> </w:t>
      </w:r>
      <w:r>
        <w:rPr>
          <w:spacing w:val="-41"/>
        </w:rPr>
      </w:r>
      <w:r>
        <w:rPr/>
        <w:t>按已经发生的劳务成本金额确认提供劳务收入，并按相同金额结转劳务成本；若已经发生的劳务成本预计不能够得到补偿， </w:t>
      </w:r>
      <w:r>
        <w:rPr>
          <w:spacing w:val="-2"/>
        </w:rPr>
        <w:t>将已经发生的劳务成本计入当期损益，不确认劳务收入。对于其他的定制化软件开发收入，本公司在按照合同约定内容实施</w:t>
      </w:r>
      <w:r>
        <w:rPr>
          <w:spacing w:val="-65"/>
        </w:rPr>
        <w:t> </w:t>
      </w:r>
      <w:r>
        <w:rPr>
          <w:spacing w:val="-65"/>
        </w:rPr>
      </w:r>
      <w:r>
        <w:rPr>
          <w:spacing w:val="-2"/>
        </w:rPr>
        <w:t>了开发工作，为购买方完成了安装、调试工作，取得购买方的验收，并同时满足上述提供劳务收入确认条件时确认定制化软</w:t>
      </w:r>
      <w:r>
        <w:rPr>
          <w:spacing w:val="-66"/>
        </w:rPr>
        <w:t> </w:t>
      </w:r>
      <w:r>
        <w:rPr>
          <w:spacing w:val="-66"/>
        </w:rPr>
      </w:r>
      <w:r>
        <w:rPr/>
        <w:t>件开发收入。</w:t>
      </w:r>
    </w:p>
    <w:p>
      <w:pPr>
        <w:pStyle w:val="BodyText"/>
        <w:spacing w:line="316" w:lineRule="auto" w:before="19"/>
        <w:ind w:right="201" w:firstLine="360"/>
        <w:jc w:val="both"/>
      </w:pPr>
      <w:r>
        <w:rPr/>
        <w:t>2）技术服务收入是指公司向客户提供专业的技术服务实现的收入。本公司的技术服务收入通常包含但不限于向客户提 供的与IT运维管理相关的技术支持、技术咨询、系统维护、运营管理等服务内容。</w:t>
      </w:r>
    </w:p>
    <w:p>
      <w:pPr>
        <w:pStyle w:val="BodyText"/>
        <w:spacing w:line="316" w:lineRule="auto" w:before="19"/>
        <w:ind w:right="192" w:firstLine="360"/>
        <w:jc w:val="both"/>
      </w:pPr>
      <w:r>
        <w:rPr>
          <w:spacing w:val="-2"/>
        </w:rPr>
        <w:t>对于按期提供劳务的技术服务，公司在按照合同约定内容提供了劳务，并满足上述提供劳务收入确认条件时按期确认技</w:t>
      </w:r>
      <w:r>
        <w:rPr/>
        <w:t> </w:t>
      </w:r>
      <w:r>
        <w:rPr>
          <w:spacing w:val="-2"/>
        </w:rPr>
        <w:t>术服务收入；对于按次提供劳务的技术服务，公司在劳务已经提供，并符合合同约定的服务条款，同时满足提供劳务收入确</w:t>
      </w:r>
      <w:r>
        <w:rPr>
          <w:spacing w:val="-66"/>
        </w:rPr>
        <w:t> </w:t>
      </w:r>
      <w:r>
        <w:rPr>
          <w:spacing w:val="-66"/>
        </w:rPr>
      </w:r>
      <w:r>
        <w:rPr/>
        <w:t>认条件时确认技术服务收入。</w:t>
      </w:r>
    </w:p>
    <w:p>
      <w:pPr>
        <w:pStyle w:val="BodyText"/>
        <w:spacing w:line="316" w:lineRule="auto" w:before="19"/>
        <w:ind w:right="192" w:firstLine="360"/>
        <w:jc w:val="both"/>
      </w:pPr>
      <w:r>
        <w:rPr>
          <w:spacing w:val="-2"/>
        </w:rPr>
        <w:t>合同中涉及两项以上业务，如合同中能明确区分各项业务合同金额时，按照上述业务收入确认原则分别确认收入；如合</w:t>
      </w:r>
      <w:r>
        <w:rPr/>
        <w:t> 同中未能明确区分各项业务金额时，按照合同主要业务归属收入确认原则确认收入。</w:t>
      </w:r>
    </w:p>
    <w:p>
      <w:pPr>
        <w:spacing w:after="0" w:line="316" w:lineRule="auto"/>
        <w:jc w:val="both"/>
        <w:sectPr>
          <w:pgSz w:w="11910" w:h="16840"/>
          <w:pgMar w:header="566" w:footer="978" w:top="1360" w:bottom="1160" w:left="1020" w:right="940"/>
        </w:sectPr>
      </w:pPr>
    </w:p>
    <w:p>
      <w:pPr>
        <w:pStyle w:val="BodyText"/>
        <w:spacing w:line="300" w:lineRule="auto" w:before="81"/>
        <w:ind w:left="472" w:right="634" w:hanging="360"/>
        <w:jc w:val="left"/>
      </w:pPr>
      <w:r>
        <w:rPr>
          <w:rFonts w:ascii="Times New Roman" w:hAnsi="Times New Roman" w:cs="Times New Roman" w:eastAsia="Times New Roman" w:hint="default"/>
        </w:rPr>
        <w:t>( 3</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让渡资产使用权</w:t>
      </w:r>
      <w:r>
        <w:rPr>
          <w:w w:val="99"/>
        </w:rPr>
        <w:t> </w:t>
      </w:r>
      <w:r>
        <w:rPr/>
        <w:t>本公司在与让渡资产使用权相关的经济利益能够流入和收入的金额能够可靠的计量时确认让渡资产使用权收入。</w:t>
      </w:r>
    </w:p>
    <w:p>
      <w:pPr>
        <w:spacing w:line="240" w:lineRule="auto" w:before="5"/>
        <w:rPr>
          <w:rFonts w:ascii="宋体" w:hAnsi="宋体" w:cs="宋体" w:eastAsia="宋体" w:hint="default"/>
          <w:sz w:val="23"/>
          <w:szCs w:val="23"/>
        </w:rPr>
      </w:pPr>
    </w:p>
    <w:p>
      <w:pPr>
        <w:pStyle w:val="Heading3"/>
        <w:spacing w:line="240" w:lineRule="auto"/>
        <w:ind w:right="6754"/>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360"/>
        <w:jc w:val="both"/>
      </w:pPr>
      <w:r>
        <w:rPr>
          <w:spacing w:val="-2"/>
        </w:rPr>
        <w:t>公司取得的、用于购建或以其他方式形成长期资产的政府补助划分为与资产相关的政府补助。与资产相关的政府补助确</w:t>
      </w:r>
      <w:r>
        <w:rPr/>
        <w:t> </w:t>
      </w:r>
      <w:r>
        <w:rPr>
          <w:spacing w:val="-2"/>
        </w:rPr>
        <w:t>认为递延收益，在相关资产使用期限内按照合理、系统的方法分期计入损益。按照名义金额计量的政府补助，直接计入当期</w:t>
      </w:r>
      <w:r>
        <w:rPr>
          <w:spacing w:val="-66"/>
        </w:rPr>
        <w:t> </w:t>
      </w:r>
      <w:r>
        <w:rPr>
          <w:spacing w:val="-66"/>
        </w:rPr>
      </w:r>
      <w:r>
        <w:rPr>
          <w:spacing w:val="-2"/>
        </w:rPr>
        <w:t>损益。相关资产在使用寿命结束前被出售、转让、报废或发生毁损的，将尚未分配的相关递延收益余额转入资产处置当期的</w:t>
      </w:r>
      <w:r>
        <w:rPr>
          <w:spacing w:val="-66"/>
        </w:rPr>
        <w:t> </w:t>
      </w:r>
      <w:r>
        <w:rPr>
          <w:spacing w:val="-66"/>
        </w:rPr>
      </w:r>
      <w:r>
        <w:rPr/>
        <w:t>损益。</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2" w:firstLine="360"/>
        <w:jc w:val="both"/>
      </w:pPr>
      <w:r>
        <w:rPr>
          <w:spacing w:val="-2"/>
        </w:rPr>
        <w:t>除与资产相关的政府补助之外的政府补助划分为与收益相关的政府补助。与收益相关的政府补助，分情况按照以下规定</w:t>
      </w:r>
      <w:r>
        <w:rPr/>
        <w:t> 进行会计处理：</w:t>
      </w:r>
    </w:p>
    <w:p>
      <w:pPr>
        <w:pStyle w:val="BodyText"/>
        <w:spacing w:line="316" w:lineRule="auto" w:before="19"/>
        <w:ind w:right="192" w:firstLine="360"/>
        <w:jc w:val="both"/>
      </w:pPr>
      <w:r>
        <w:rPr>
          <w:spacing w:val="-2"/>
        </w:rPr>
        <w:t>用于补偿本公司以后期间的相关成本费用或损失的，确认为递延收益，并在确认相关成本费用或损失的期间，计入当期</w:t>
      </w:r>
      <w:r>
        <w:rPr/>
        <w:t> 损益；</w:t>
      </w:r>
    </w:p>
    <w:p>
      <w:pPr>
        <w:pStyle w:val="BodyText"/>
        <w:spacing w:line="316" w:lineRule="auto" w:before="19"/>
        <w:ind w:left="472" w:right="94"/>
        <w:jc w:val="left"/>
      </w:pPr>
      <w:r>
        <w:rPr/>
        <w:t>用于补偿本公司已发生的相关成本费用或损失的，直接计入当期损益。 </w:t>
      </w:r>
      <w:r>
        <w:rPr>
          <w:spacing w:val="-2"/>
        </w:rPr>
        <w:t>对于同时包含与资产相关部分和与收益相关部分的政府补助，区分不同部分分别进行会计处理；难以区分的，整体归类</w:t>
      </w:r>
    </w:p>
    <w:p>
      <w:pPr>
        <w:pStyle w:val="BodyText"/>
        <w:spacing w:line="316" w:lineRule="auto" w:before="19"/>
        <w:ind w:left="472" w:right="94" w:hanging="360"/>
        <w:jc w:val="left"/>
      </w:pPr>
      <w:r>
        <w:rPr/>
        <w:t>为与收益相关的政府补助。 </w:t>
      </w:r>
      <w:r>
        <w:rPr>
          <w:spacing w:val="-2"/>
        </w:rPr>
        <w:t>与本公司日常活动相关的政府补助，按照经济业务实质，计入其他收益。与本公司日常活动无关的政府补助，计入营业</w:t>
      </w:r>
    </w:p>
    <w:p>
      <w:pPr>
        <w:pStyle w:val="BodyText"/>
        <w:spacing w:line="240" w:lineRule="auto" w:before="19"/>
        <w:ind w:right="6754"/>
        <w:jc w:val="left"/>
      </w:pPr>
      <w:r>
        <w:rPr/>
        <w:t>外收支。</w:t>
      </w:r>
    </w:p>
    <w:p>
      <w:pPr>
        <w:spacing w:line="240" w:lineRule="auto" w:before="11"/>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92" w:firstLine="360"/>
        <w:jc w:val="both"/>
      </w:pPr>
      <w:r>
        <w:rPr>
          <w:spacing w:val="-2"/>
        </w:rPr>
        <w:t>本公司通常根据资产与负债在资产负债表日的账面价值与计税基础之间的暂时性差异，采用资产负债表债务法将应纳税</w:t>
      </w:r>
      <w:r>
        <w:rPr/>
        <w:t> </w:t>
      </w:r>
      <w:r>
        <w:rPr>
          <w:spacing w:val="-2"/>
        </w:rPr>
        <w:t>暂时性差异或可抵扣暂时性差异对所得税的影响额确认和计量递延所得税负债或递延所得税资产。本公司不对递延所得税资</w:t>
      </w:r>
      <w:r>
        <w:rPr>
          <w:spacing w:val="-64"/>
        </w:rPr>
        <w:t> </w:t>
      </w:r>
      <w:r>
        <w:rPr>
          <w:spacing w:val="-64"/>
        </w:rPr>
      </w:r>
      <w:r>
        <w:rPr/>
        <w:t>产和递延所得税负债进行折现。</w:t>
      </w:r>
    </w:p>
    <w:p>
      <w:pPr>
        <w:pStyle w:val="BodyText"/>
        <w:spacing w:line="300" w:lineRule="auto" w:before="19"/>
        <w:ind w:left="472" w:right="94" w:hanging="360"/>
        <w:jc w:val="left"/>
      </w:pPr>
      <w:r>
        <w:rPr/>
        <w:t>（</w:t>
      </w:r>
      <w:r>
        <w:rPr>
          <w:rFonts w:ascii="Times New Roman" w:hAnsi="Times New Roman" w:cs="Times New Roman" w:eastAsia="Times New Roman" w:hint="default"/>
        </w:rPr>
        <w:t>1</w:t>
      </w:r>
      <w:r>
        <w:rPr/>
        <w:t>）递延所得税资产的确认 </w:t>
      </w:r>
      <w:r>
        <w:rPr>
          <w:spacing w:val="-4"/>
        </w:rPr>
        <w:t>对于可抵扣暂时性差异，其对所得税的影响额按预计转回期间的所得税税率计算，并将该影响额确认为递延所得税资产，</w:t>
      </w:r>
    </w:p>
    <w:p>
      <w:pPr>
        <w:pStyle w:val="BodyText"/>
        <w:spacing w:line="316" w:lineRule="auto" w:before="31"/>
        <w:ind w:left="472" w:right="274" w:hanging="360"/>
        <w:jc w:val="left"/>
      </w:pPr>
      <w:r>
        <w:rPr/>
        <w:t>但是以本公司很可能取得用来抵扣可抵扣暂时性差异、可抵扣亏损和税款抵减的未来应纳税所得额为限。 同时具有下列特征的交易或事项中因资产或负债的初始确认所产生的可抵扣暂时性差异对所得税的影响额不确认为递</w:t>
      </w:r>
    </w:p>
    <w:p>
      <w:pPr>
        <w:pStyle w:val="BodyText"/>
        <w:spacing w:line="316" w:lineRule="auto" w:before="19"/>
        <w:ind w:left="472" w:right="7204" w:hanging="360"/>
        <w:jc w:val="left"/>
      </w:pPr>
      <w:r>
        <w:rPr/>
        <w:t>延所得税资产： 1）该项交易不是企业合并；</w:t>
      </w:r>
    </w:p>
    <w:p>
      <w:pPr>
        <w:pStyle w:val="BodyText"/>
        <w:spacing w:line="316" w:lineRule="auto" w:before="19"/>
        <w:ind w:left="472" w:right="94"/>
        <w:jc w:val="left"/>
      </w:pPr>
      <w:r>
        <w:rPr/>
        <w:t>2）交易发生时既不影响会计利润也不影响应纳税所得额（或可抵扣亏损）。 </w:t>
      </w:r>
      <w:r>
        <w:rPr>
          <w:spacing w:val="-2"/>
        </w:rPr>
        <w:t>本公司对与子公司、联营公司及合营企业投资相关的可抵扣暂时性差异，同时满足下列两项条件的，其对所得税的影响</w:t>
      </w:r>
    </w:p>
    <w:p>
      <w:pPr>
        <w:pStyle w:val="BodyText"/>
        <w:spacing w:line="240" w:lineRule="auto" w:before="19"/>
        <w:ind w:right="6754"/>
        <w:jc w:val="left"/>
      </w:pPr>
      <w:r>
        <w:rPr/>
        <w:t>额（才能）确认为递延所得税资产：</w:t>
      </w:r>
    </w:p>
    <w:p>
      <w:pPr>
        <w:pStyle w:val="BodyText"/>
        <w:spacing w:line="240" w:lineRule="auto" w:before="76"/>
        <w:ind w:left="472" w:right="94"/>
        <w:jc w:val="left"/>
      </w:pPr>
      <w:r>
        <w:rPr/>
        <w:t>①暂时性差异在可预见的未来很可能转回；</w:t>
      </w:r>
    </w:p>
    <w:p>
      <w:pPr>
        <w:pStyle w:val="BodyText"/>
        <w:spacing w:line="316" w:lineRule="auto" w:before="76"/>
        <w:ind w:left="472" w:right="94"/>
        <w:jc w:val="left"/>
      </w:pPr>
      <w:r>
        <w:rPr/>
        <w:t>②未来很可能获得用来抵扣可抵扣暂时性差异的应纳税所得额； </w:t>
      </w:r>
      <w:r>
        <w:rPr>
          <w:spacing w:val="-2"/>
        </w:rPr>
        <w:t>资产负债表日，有确凿证据表明未来期间很可能获得足够的应纳税所得额用来抵扣可抵扣暂时性差异的，确认以前期间</w:t>
      </w:r>
    </w:p>
    <w:p>
      <w:pPr>
        <w:pStyle w:val="BodyText"/>
        <w:spacing w:line="316" w:lineRule="auto" w:before="19"/>
        <w:ind w:left="472" w:right="94" w:hanging="360"/>
        <w:jc w:val="left"/>
      </w:pPr>
      <w:r>
        <w:rPr/>
        <w:t>未确认的递延所得税资产。 </w:t>
      </w:r>
      <w:r>
        <w:rPr>
          <w:spacing w:val="-2"/>
        </w:rPr>
        <w:t>在资产负债表日，本公司对递延所得税资产的账面价值进行复核。如果未来期间很可能无法获得足够的应纳税所得额用</w:t>
      </w:r>
    </w:p>
    <w:p>
      <w:pPr>
        <w:pStyle w:val="BodyText"/>
        <w:spacing w:line="316" w:lineRule="auto" w:before="19"/>
        <w:ind w:right="94"/>
        <w:jc w:val="left"/>
      </w:pPr>
      <w:r>
        <w:rPr>
          <w:spacing w:val="-2"/>
        </w:rPr>
        <w:t>以抵扣递延所得税资产的利益，减记递延所得税资产的账面价值。在很可能获得足够的应纳税所得额时，减记的金额予以转</w:t>
      </w:r>
      <w:r>
        <w:rPr>
          <w:spacing w:val="-65"/>
        </w:rPr>
        <w:t> </w:t>
      </w:r>
      <w:r>
        <w:rPr>
          <w:spacing w:val="-65"/>
        </w:rPr>
      </w:r>
      <w:r>
        <w:rPr/>
        <w:t>回。</w:t>
      </w:r>
    </w:p>
    <w:p>
      <w:pPr>
        <w:spacing w:after="0" w:line="316" w:lineRule="auto"/>
        <w:jc w:val="left"/>
        <w:sectPr>
          <w:pgSz w:w="11910" w:h="16840"/>
          <w:pgMar w:header="566" w:footer="978" w:top="1360" w:bottom="1160" w:left="1020" w:right="940"/>
        </w:sectPr>
      </w:pPr>
    </w:p>
    <w:p>
      <w:pPr>
        <w:pStyle w:val="BodyText"/>
        <w:spacing w:line="300" w:lineRule="auto" w:before="81"/>
        <w:ind w:left="472" w:right="94" w:hanging="360"/>
        <w:jc w:val="left"/>
      </w:pPr>
      <w:r>
        <w:rPr/>
        <w:t>（</w:t>
      </w:r>
      <w:r>
        <w:rPr>
          <w:rFonts w:ascii="Times New Roman" w:hAnsi="Times New Roman" w:cs="Times New Roman" w:eastAsia="Times New Roman" w:hint="default"/>
        </w:rPr>
        <w:t>2</w:t>
      </w:r>
      <w:r>
        <w:rPr/>
        <w:t>）递延所得税负债的确认 </w:t>
      </w:r>
      <w:r>
        <w:rPr>
          <w:spacing w:val="-2"/>
        </w:rPr>
        <w:t>本公司所有应纳税暂时性差异均按预计转回期间的所得税税率计量对所得税的影响，并将该影响额确认为递延所得税负</w:t>
      </w:r>
    </w:p>
    <w:p>
      <w:pPr>
        <w:pStyle w:val="BodyText"/>
        <w:spacing w:line="316" w:lineRule="auto" w:before="31"/>
        <w:ind w:left="472" w:right="2164" w:hanging="360"/>
        <w:jc w:val="left"/>
      </w:pPr>
      <w:r>
        <w:rPr/>
        <w:t>债，但下列情况的除外： 1）因下列交易或事项中产生的应纳税暂时性差异对所得税的影响不确认为递延所得税负债：</w:t>
      </w:r>
    </w:p>
    <w:p>
      <w:pPr>
        <w:pStyle w:val="BodyText"/>
        <w:spacing w:line="240" w:lineRule="auto" w:before="19"/>
        <w:ind w:left="472" w:right="6754"/>
        <w:jc w:val="left"/>
      </w:pPr>
      <w:r>
        <w:rPr/>
        <w:t>①商誉的初始确认；</w:t>
      </w:r>
    </w:p>
    <w:p>
      <w:pPr>
        <w:pStyle w:val="BodyText"/>
        <w:spacing w:line="316" w:lineRule="auto" w:before="76"/>
        <w:ind w:right="94" w:firstLine="360"/>
        <w:jc w:val="left"/>
      </w:pPr>
      <w:r>
        <w:rPr>
          <w:spacing w:val="-2"/>
        </w:rPr>
        <w:t>②具有以下特征的交易中产生的资产或负债的初始确认：该交易不是企业合并，并且交易发生时既不影响会计利润也不</w:t>
      </w:r>
      <w:r>
        <w:rPr/>
        <w:t> 影响应纳税所得额或可抵扣亏损。</w:t>
      </w:r>
    </w:p>
    <w:p>
      <w:pPr>
        <w:pStyle w:val="BodyText"/>
        <w:spacing w:line="316" w:lineRule="auto" w:before="19"/>
        <w:ind w:right="184" w:firstLine="360"/>
        <w:jc w:val="left"/>
      </w:pPr>
      <w:r>
        <w:rPr/>
        <w:t>2）本公司对与子公司、合营企业及联营企业投资相关的应纳税暂时性差异，其对所得税的影响额一般确认为递延所得 税负债，但同时满足以下两项条件的除外：</w:t>
      </w:r>
    </w:p>
    <w:p>
      <w:pPr>
        <w:pStyle w:val="BodyText"/>
        <w:spacing w:line="240" w:lineRule="auto" w:before="19"/>
        <w:ind w:left="472" w:right="94"/>
        <w:jc w:val="left"/>
      </w:pPr>
      <w:r>
        <w:rPr/>
        <w:t>①本公司能够控制暂时性差异转回的时间；</w:t>
      </w:r>
    </w:p>
    <w:p>
      <w:pPr>
        <w:pStyle w:val="BodyText"/>
        <w:spacing w:line="240" w:lineRule="auto" w:before="76"/>
        <w:ind w:left="472" w:right="94"/>
        <w:jc w:val="left"/>
      </w:pPr>
      <w:r>
        <w:rPr/>
        <w:t>②该暂时性差异在可预见的未来很可能不会转回。</w:t>
      </w:r>
    </w:p>
    <w:p>
      <w:pPr>
        <w:pStyle w:val="BodyText"/>
        <w:spacing w:line="316" w:lineRule="auto" w:before="76"/>
        <w:ind w:left="472" w:right="5044" w:hanging="360"/>
        <w:jc w:val="left"/>
      </w:pPr>
      <w:r>
        <w:rPr/>
        <w:t>（3）特定交易或事项所涉及的递延所得税负债或资产的确认 1）与企业合并相关的递延所得税负债或资产</w:t>
      </w:r>
    </w:p>
    <w:p>
      <w:pPr>
        <w:pStyle w:val="BodyText"/>
        <w:spacing w:line="316" w:lineRule="auto" w:before="19"/>
        <w:ind w:right="274" w:firstLine="360"/>
        <w:jc w:val="left"/>
      </w:pPr>
      <w:r>
        <w:rPr/>
        <w:t>非同一控制下企业合并产生的应纳税暂时性差异或可抵扣暂时性差异，在确认递延所得税负债或递延所得税资产的同 时，相关的递延所得税费用（或收益），通常调整企业合并中所确认的商誉。</w:t>
      </w:r>
    </w:p>
    <w:p>
      <w:pPr>
        <w:pStyle w:val="BodyText"/>
        <w:spacing w:line="316" w:lineRule="auto" w:before="19"/>
        <w:ind w:left="472" w:right="94"/>
        <w:jc w:val="left"/>
      </w:pPr>
      <w:r>
        <w:rPr/>
        <w:t>2）直接计入所有者权益的项目 </w:t>
      </w:r>
      <w:r>
        <w:rPr>
          <w:spacing w:val="-2"/>
        </w:rPr>
        <w:t>与直接计入所有者权益的交易或者事项相关的当期所得税和递延所得税，计入所有者权益。暂时性差异对所得税的影响</w:t>
      </w:r>
    </w:p>
    <w:p>
      <w:pPr>
        <w:pStyle w:val="BodyText"/>
        <w:spacing w:line="316" w:lineRule="auto" w:before="19"/>
        <w:ind w:right="192"/>
        <w:jc w:val="both"/>
      </w:pPr>
      <w:r>
        <w:rPr>
          <w:spacing w:val="-2"/>
        </w:rPr>
        <w:t>计入所有者权益的交易或事项包括：可供出售金融资产公允价值变动等形成的其他综合收益、会计政策变更采用追溯调整法</w:t>
      </w:r>
      <w:r>
        <w:rPr>
          <w:spacing w:val="-64"/>
        </w:rPr>
        <w:t> </w:t>
      </w:r>
      <w:r>
        <w:rPr>
          <w:spacing w:val="-64"/>
        </w:rPr>
      </w:r>
      <w:r>
        <w:rPr>
          <w:spacing w:val="-2"/>
        </w:rPr>
        <w:t>或对前期（重要）会计差错更正差异追溯重述法调整期初留存收益、同时包含负债成份及权益成份的混合金融工具在初始确</w:t>
      </w:r>
      <w:r>
        <w:rPr>
          <w:spacing w:val="-65"/>
        </w:rPr>
        <w:t> </w:t>
      </w:r>
      <w:r>
        <w:rPr>
          <w:spacing w:val="-65"/>
        </w:rPr>
      </w:r>
      <w:r>
        <w:rPr/>
        <w:t>认时计入所有者权益等。</w:t>
      </w:r>
    </w:p>
    <w:p>
      <w:pPr>
        <w:pStyle w:val="BodyText"/>
        <w:spacing w:line="240" w:lineRule="auto" w:before="19"/>
        <w:ind w:left="472" w:right="6754"/>
        <w:jc w:val="left"/>
      </w:pPr>
      <w:r>
        <w:rPr/>
        <w:t>3）可弥补亏损和税款抵减</w:t>
      </w:r>
    </w:p>
    <w:p>
      <w:pPr>
        <w:pStyle w:val="BodyText"/>
        <w:spacing w:line="316" w:lineRule="auto" w:before="76"/>
        <w:ind w:left="472" w:right="94"/>
        <w:jc w:val="left"/>
      </w:pPr>
      <w:r>
        <w:rPr/>
        <w:t>①本公司自身经营产生的可弥补亏损以及税款抵减 </w:t>
      </w:r>
      <w:r>
        <w:rPr>
          <w:spacing w:val="-2"/>
        </w:rPr>
        <w:t>可抵扣亏损是指按照税法规定计算确定的准予用以后年度的应纳税所得额弥补的亏损。对于按照税法规定可以结转以后</w:t>
      </w:r>
    </w:p>
    <w:p>
      <w:pPr>
        <w:pStyle w:val="BodyText"/>
        <w:spacing w:line="316" w:lineRule="auto" w:before="19"/>
        <w:ind w:right="192"/>
        <w:jc w:val="both"/>
      </w:pPr>
      <w:r>
        <w:rPr>
          <w:spacing w:val="-2"/>
        </w:rPr>
        <w:t>年度的未弥补亏损（可抵扣亏损）和税款抵减，视同可抵扣暂时性差异处理。在预计可利用可弥补亏损或税款抵减的未来期</w:t>
      </w:r>
      <w:r>
        <w:rPr>
          <w:spacing w:val="-66"/>
        </w:rPr>
        <w:t> </w:t>
      </w:r>
      <w:r>
        <w:rPr>
          <w:spacing w:val="-66"/>
        </w:rPr>
      </w:r>
      <w:r>
        <w:rPr>
          <w:spacing w:val="-2"/>
        </w:rPr>
        <w:t>间内很可能取得足够的应纳税所得额时，以很可能取得的应纳税所得额为限，确认相应的递延所得税资产，同时减少当期利</w:t>
      </w:r>
      <w:r>
        <w:rPr>
          <w:spacing w:val="-65"/>
        </w:rPr>
        <w:t> </w:t>
      </w:r>
      <w:r>
        <w:rPr>
          <w:spacing w:val="-65"/>
        </w:rPr>
      </w:r>
      <w:r>
        <w:rPr/>
        <w:t>润表中的所得税费用。</w:t>
      </w:r>
    </w:p>
    <w:p>
      <w:pPr>
        <w:pStyle w:val="BodyText"/>
        <w:spacing w:line="316" w:lineRule="auto" w:before="19"/>
        <w:ind w:left="472" w:right="94"/>
        <w:jc w:val="left"/>
      </w:pPr>
      <w:r>
        <w:rPr/>
        <w:t>②因企业合并而形成的可弥补的被合并企业的未弥补亏损 在企业合并中，本公司取得被购买方的可抵扣暂时性差异，在购买日不符合递延所得税资产确认条件的，不予以确认。</w:t>
      </w:r>
    </w:p>
    <w:p>
      <w:pPr>
        <w:pStyle w:val="BodyText"/>
        <w:spacing w:line="316" w:lineRule="auto" w:before="19"/>
        <w:ind w:right="192"/>
        <w:jc w:val="both"/>
      </w:pPr>
      <w:r>
        <w:rPr>
          <w:spacing w:val="-2"/>
        </w:rPr>
        <w:t>购买日后12个月内，如取得新的或进一步的信息表明购买日的相关情况已经存在，预期被购买方在购买日可抵扣暂时性差异</w:t>
      </w:r>
      <w:r>
        <w:rPr>
          <w:spacing w:val="-63"/>
        </w:rPr>
        <w:t> </w:t>
      </w:r>
      <w:r>
        <w:rPr>
          <w:spacing w:val="-63"/>
        </w:rPr>
      </w:r>
      <w:r>
        <w:rPr>
          <w:spacing w:val="-2"/>
        </w:rPr>
        <w:t>带来的经济利益能够实现的，确认相关的递延所得税资产，同时减少商誉，商誉不足冲减的，差额部分确认为当期损益；除</w:t>
      </w:r>
      <w:r>
        <w:rPr>
          <w:spacing w:val="-65"/>
        </w:rPr>
        <w:t> </w:t>
      </w:r>
      <w:r>
        <w:rPr>
          <w:spacing w:val="-65"/>
        </w:rPr>
      </w:r>
      <w:r>
        <w:rPr/>
        <w:t>上述情况以外，确认与企业合并相关的递延所得税资产，计入当期损益。</w:t>
      </w:r>
    </w:p>
    <w:p>
      <w:pPr>
        <w:pStyle w:val="BodyText"/>
        <w:spacing w:line="316" w:lineRule="auto" w:before="19"/>
        <w:ind w:left="472" w:right="94"/>
        <w:jc w:val="left"/>
      </w:pPr>
      <w:r>
        <w:rPr/>
        <w:t>4）合并抵销形成的暂时性差异 </w:t>
      </w:r>
      <w:r>
        <w:rPr>
          <w:spacing w:val="-2"/>
        </w:rPr>
        <w:t>本公司在编制合并财务报表时，因抵销未实现内部销售损益导致合并资产负债表中资产、负债的账面价值与其在所属纳</w:t>
      </w:r>
    </w:p>
    <w:p>
      <w:pPr>
        <w:pStyle w:val="BodyText"/>
        <w:spacing w:line="316" w:lineRule="auto" w:before="19"/>
        <w:ind w:right="192"/>
        <w:jc w:val="both"/>
      </w:pPr>
      <w:r>
        <w:rPr>
          <w:spacing w:val="-2"/>
        </w:rPr>
        <w:t>税主体的计税基础之间产生暂时性差异的，在合并资产负债表中确认递延所得税资产或递延所得税负债，同时调整合并利润</w:t>
      </w:r>
      <w:r>
        <w:rPr>
          <w:spacing w:val="-64"/>
        </w:rPr>
        <w:t> </w:t>
      </w:r>
      <w:r>
        <w:rPr>
          <w:spacing w:val="-64"/>
        </w:rPr>
      </w:r>
      <w:r>
        <w:rPr/>
        <w:t>表中的所得税费用，但与直接计入所有者权益的交易或事项及企业合并相关的递延所得税除外。</w:t>
      </w:r>
    </w:p>
    <w:p>
      <w:pPr>
        <w:pStyle w:val="BodyText"/>
        <w:spacing w:line="316" w:lineRule="auto" w:before="19"/>
        <w:ind w:left="472" w:right="94"/>
        <w:jc w:val="left"/>
      </w:pPr>
      <w:r>
        <w:rPr/>
        <w:t>5）以权益结算的股份支付 </w:t>
      </w:r>
      <w:r>
        <w:rPr>
          <w:spacing w:val="-2"/>
        </w:rPr>
        <w:t>如果税法规定与股份支付相关的支出允许税前扣除，在按照会计准则规定确认成本费用的期间内，本公司根据会计期末</w:t>
      </w:r>
    </w:p>
    <w:p>
      <w:pPr>
        <w:pStyle w:val="BodyText"/>
        <w:spacing w:line="316" w:lineRule="auto" w:before="19"/>
        <w:ind w:right="192"/>
        <w:jc w:val="both"/>
      </w:pPr>
      <w:r>
        <w:rPr>
          <w:spacing w:val="-2"/>
        </w:rPr>
        <w:t>取得信息估计可税前扣除的金额计算确定其计税基础及由此产生的暂时性差异，符合确认条件的情况下确认相关的递延所得</w:t>
      </w:r>
      <w:r>
        <w:rPr>
          <w:spacing w:val="-64"/>
        </w:rPr>
        <w:t> </w:t>
      </w:r>
      <w:r>
        <w:rPr>
          <w:spacing w:val="-64"/>
        </w:rPr>
      </w:r>
      <w:r>
        <w:rPr>
          <w:spacing w:val="-2"/>
        </w:rPr>
        <w:t>税。其中预计未来期间可税前扣除的金额超过按照会计准则规定确认的与股份支付相关的成本费用，超过部分的所得税影响</w:t>
      </w:r>
      <w:r>
        <w:rPr>
          <w:spacing w:val="-64"/>
        </w:rPr>
        <w:t> </w:t>
      </w:r>
      <w:r>
        <w:rPr>
          <w:spacing w:val="-64"/>
        </w:rPr>
      </w:r>
      <w:r>
        <w:rPr/>
        <w:t>应直接计入所有者权益。</w:t>
      </w:r>
    </w:p>
    <w:p>
      <w:pPr>
        <w:spacing w:after="0" w:line="316" w:lineRule="auto"/>
        <w:jc w:val="both"/>
        <w:sectPr>
          <w:pgSz w:w="11910" w:h="16840"/>
          <w:pgMar w:header="566" w:footer="978" w:top="1360" w:bottom="1160" w:left="1020" w:right="940"/>
        </w:sectPr>
      </w:pPr>
    </w:p>
    <w:p>
      <w:pPr>
        <w:pStyle w:val="Heading3"/>
        <w:spacing w:line="240" w:lineRule="auto" w:before="55"/>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 w:firstLine="360"/>
        <w:jc w:val="both"/>
      </w:pPr>
      <w:r>
        <w:rPr/>
        <w:t>1）本公司作为经营租赁承租人时，将经营租赁的租金支出，在租赁期内各个期间按照直线法或根据租赁资产的使用量 </w:t>
      </w:r>
      <w:r>
        <w:rPr>
          <w:spacing w:val="-2"/>
        </w:rPr>
        <w:t>计入当期损益。出租人提供免租期的，本公司将租金总额在不扣除免租期的整个租赁期内，按直线法或其他合理的方法进行</w:t>
      </w:r>
      <w:r>
        <w:rPr>
          <w:spacing w:val="-65"/>
        </w:rPr>
        <w:t> </w:t>
      </w:r>
      <w:r>
        <w:rPr>
          <w:spacing w:val="-65"/>
        </w:rPr>
      </w:r>
      <w:r>
        <w:rPr>
          <w:spacing w:val="-2"/>
        </w:rPr>
        <w:t>分摊，免租期内确认租金费用及相应的负债。出租人承担了承租人某些费用的，本公司按该费用从租金费用总额中扣除后的</w:t>
      </w:r>
      <w:r>
        <w:rPr>
          <w:spacing w:val="-65"/>
        </w:rPr>
        <w:t> </w:t>
      </w:r>
      <w:r>
        <w:rPr>
          <w:spacing w:val="-65"/>
        </w:rPr>
      </w:r>
      <w:r>
        <w:rPr/>
        <w:t>租金费用余额在租赁期内进行分摊。</w:t>
      </w:r>
    </w:p>
    <w:p>
      <w:pPr>
        <w:pStyle w:val="BodyText"/>
        <w:spacing w:line="316" w:lineRule="auto" w:before="19"/>
        <w:ind w:left="472" w:right="104"/>
        <w:jc w:val="left"/>
      </w:pPr>
      <w:r>
        <w:rPr/>
        <w:t>初始直接费用，计入当期损益。如协议约定或有租金的在实际发生时计入当期损益。 2）本公司作为经营租赁出租人时，采用直线法将收到的租金在租赁期内确认为收益。出租人提供免租期的，出租人将</w:t>
      </w:r>
    </w:p>
    <w:p>
      <w:pPr>
        <w:pStyle w:val="BodyText"/>
        <w:spacing w:line="316" w:lineRule="auto" w:before="19"/>
        <w:ind w:right="0"/>
        <w:jc w:val="left"/>
      </w:pPr>
      <w:r>
        <w:rPr>
          <w:spacing w:val="-2"/>
        </w:rPr>
        <w:t>租金总额在不扣除免租期的整个租赁期内，按直线法或其他合理的方法进行分配，免租期内出租人也确认租金收入。承担了</w:t>
      </w:r>
      <w:r>
        <w:rPr>
          <w:spacing w:val="-65"/>
        </w:rPr>
        <w:t> </w:t>
      </w:r>
      <w:r>
        <w:rPr>
          <w:spacing w:val="-65"/>
        </w:rPr>
      </w:r>
      <w:r>
        <w:rPr/>
        <w:t>承租人某些费用的，本公司按该费用自租金收入总额中扣除后的租金收入余额在租赁期内进行分配。</w:t>
      </w:r>
    </w:p>
    <w:p>
      <w:pPr>
        <w:pStyle w:val="BodyText"/>
        <w:spacing w:line="316" w:lineRule="auto" w:before="19"/>
        <w:ind w:right="112" w:firstLine="360"/>
        <w:jc w:val="both"/>
      </w:pPr>
      <w:r>
        <w:rPr>
          <w:spacing w:val="-2"/>
        </w:rPr>
        <w:t>初始直接费用，计入当期损益。金额较大的予以资本化，在整个经营租赁期内按照与确认租金收入相同的基础分期计入</w:t>
      </w:r>
      <w:r>
        <w:rPr/>
        <w:t> 当期损益。如协议约定或有租金的在实际发生时计入当期收益。</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 w:firstLine="360"/>
        <w:jc w:val="both"/>
      </w:pPr>
      <w:r>
        <w:rPr/>
        <w:t>1）本公司作为融资租赁承租人时，在租赁期开始日，将租赁开始日租赁资产公允价值与最低租赁付款额现值两者中较 </w:t>
      </w:r>
      <w:r>
        <w:rPr>
          <w:spacing w:val="-2"/>
        </w:rPr>
        <w:t>低者作为租入资产的入账价值，将最低租赁付款额作为长期应付款的入账价值，其差额作为未确认融资费用。在租赁期内各</w:t>
      </w:r>
      <w:r>
        <w:rPr>
          <w:spacing w:val="-65"/>
        </w:rPr>
        <w:t> </w:t>
      </w:r>
      <w:r>
        <w:rPr>
          <w:spacing w:val="-65"/>
        </w:rPr>
      </w:r>
      <w:r>
        <w:rPr/>
        <w:t>个期间采用实际利率法进行分摊，确认为当期融资费用，计入财务费用。</w:t>
      </w:r>
    </w:p>
    <w:p>
      <w:pPr>
        <w:pStyle w:val="BodyText"/>
        <w:spacing w:line="316" w:lineRule="auto" w:before="19"/>
        <w:ind w:left="472" w:right="0"/>
        <w:jc w:val="left"/>
      </w:pPr>
      <w:r>
        <w:rPr/>
        <w:t>发生的初始直接费用，计入租入资产价值。 </w:t>
      </w:r>
      <w:r>
        <w:rPr>
          <w:spacing w:val="-2"/>
        </w:rPr>
        <w:t>在计提融资租赁资产折旧时，本公司采用与自有应折旧资产相一致的折旧政策，折旧期间以租赁合同而定。如果能够合</w:t>
      </w:r>
    </w:p>
    <w:p>
      <w:pPr>
        <w:pStyle w:val="BodyText"/>
        <w:spacing w:line="316" w:lineRule="auto" w:before="19"/>
        <w:ind w:right="0"/>
        <w:jc w:val="left"/>
      </w:pPr>
      <w:r>
        <w:rPr>
          <w:spacing w:val="-2"/>
        </w:rPr>
        <w:t>理确定租赁期届满时本公司将会取得租赁资产所有权，以租赁期开始日租赁资产的寿命作为折旧期间；如果无法合理确定租</w:t>
      </w:r>
      <w:r>
        <w:rPr>
          <w:spacing w:val="-64"/>
        </w:rPr>
        <w:t> </w:t>
      </w:r>
      <w:r>
        <w:rPr>
          <w:spacing w:val="-64"/>
        </w:rPr>
      </w:r>
      <w:r>
        <w:rPr/>
        <w:t>赁期届满后本公司是否能够取得租赁资产的所有权，以租赁期与租赁资产寿命两者中较短者作为折旧期间。</w:t>
      </w:r>
    </w:p>
    <w:p>
      <w:pPr>
        <w:pStyle w:val="BodyText"/>
        <w:spacing w:line="316" w:lineRule="auto" w:before="19"/>
        <w:ind w:right="112" w:firstLine="360"/>
        <w:jc w:val="both"/>
      </w:pPr>
      <w:r>
        <w:rPr/>
        <w:t>2）本公司作为融资租赁出租人时，于租赁期开始日将租赁开始日最低租赁应收款额与初始直接费用之和作为应收融资 </w:t>
      </w:r>
      <w:r>
        <w:rPr>
          <w:spacing w:val="-2"/>
        </w:rPr>
        <w:t>租赁款的入账价值，计入资产负债表的长期应收款，同时记录未担保余值；将最低租赁应收款额、初始直接费用及未担保余</w:t>
      </w:r>
      <w:r>
        <w:rPr>
          <w:spacing w:val="-66"/>
        </w:rPr>
        <w:t> </w:t>
      </w:r>
      <w:r>
        <w:rPr>
          <w:spacing w:val="-66"/>
        </w:rPr>
      </w:r>
      <w:r>
        <w:rPr/>
        <w:t>值之和与其现值之和的差额作为未实现融资收益，在租赁期内各个期间采用实际利率法确认为租赁收入。</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371"/>
        <w:gridCol w:w="1276"/>
        <w:gridCol w:w="922"/>
      </w:tblGrid>
      <w:tr>
        <w:trPr>
          <w:trHeight w:val="402" w:hRule="exact"/>
        </w:trPr>
        <w:tc>
          <w:tcPr>
            <w:tcW w:w="7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7" w:hRule="exact"/>
        </w:trPr>
        <w:tc>
          <w:tcPr>
            <w:tcW w:w="7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日财政部印发了《企业会计准则第</w:t>
            </w:r>
            <w:r>
              <w:rPr>
                <w:rFonts w:ascii="宋体" w:hAnsi="宋体" w:cs="宋体" w:eastAsia="宋体" w:hint="default"/>
                <w:spacing w:val="-45"/>
                <w:sz w:val="18"/>
                <w:szCs w:val="18"/>
              </w:rPr>
              <w:t> </w:t>
            </w:r>
            <w:r>
              <w:rPr>
                <w:rFonts w:ascii="宋体" w:hAnsi="宋体" w:cs="宋体" w:eastAsia="宋体" w:hint="default"/>
                <w:sz w:val="18"/>
                <w:szCs w:val="18"/>
              </w:rPr>
              <w:t>42</w:t>
            </w:r>
            <w:r>
              <w:rPr>
                <w:rFonts w:ascii="宋体" w:hAnsi="宋体" w:cs="宋体" w:eastAsia="宋体" w:hint="default"/>
                <w:spacing w:val="-46"/>
                <w:sz w:val="18"/>
                <w:szCs w:val="18"/>
              </w:rPr>
              <w:t> </w:t>
            </w:r>
            <w:r>
              <w:rPr>
                <w:rFonts w:ascii="宋体" w:hAnsi="宋体" w:cs="宋体" w:eastAsia="宋体" w:hint="default"/>
                <w:sz w:val="18"/>
                <w:szCs w:val="18"/>
              </w:rPr>
              <w:t>号——持有待售的非流动资产、处置组</w:t>
            </w: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922" w:type="dxa"/>
            <w:vMerge w:val="restart"/>
            <w:tcBorders>
              <w:top w:val="single" w:sz="4" w:space="0" w:color="000000"/>
              <w:left w:val="single" w:sz="4" w:space="0" w:color="000000"/>
              <w:right w:val="single" w:sz="4" w:space="0" w:color="000000"/>
            </w:tcBorders>
          </w:tcPr>
          <w:p>
            <w:pPr/>
          </w:p>
        </w:tc>
      </w:tr>
      <w:tr>
        <w:trPr>
          <w:trHeight w:val="312"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pacing w:val="-4"/>
                <w:sz w:val="18"/>
                <w:szCs w:val="18"/>
              </w:rPr>
              <w:t>和终止经营》，该准则自</w:t>
            </w:r>
            <w:r>
              <w:rPr>
                <w:rFonts w:ascii="宋体" w:hAnsi="宋体" w:cs="宋体" w:eastAsia="宋体" w:hint="default"/>
                <w:spacing w:val="-49"/>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50"/>
                <w:sz w:val="18"/>
                <w:szCs w:val="18"/>
              </w:rPr>
              <w:t> </w:t>
            </w:r>
            <w:r>
              <w:rPr>
                <w:rFonts w:ascii="宋体" w:hAnsi="宋体" w:cs="宋体" w:eastAsia="宋体" w:hint="default"/>
                <w:sz w:val="18"/>
                <w:szCs w:val="18"/>
              </w:rPr>
              <w:t>日起施行。对于该准则施行日存在的持有待售的非流</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已经本公司第</w:t>
            </w:r>
          </w:p>
        </w:tc>
        <w:tc>
          <w:tcPr>
            <w:tcW w:w="922" w:type="dxa"/>
            <w:vMerge/>
            <w:tcBorders>
              <w:left w:val="single" w:sz="4" w:space="0" w:color="000000"/>
              <w:right w:val="single" w:sz="4" w:space="0" w:color="000000"/>
            </w:tcBorders>
          </w:tcPr>
          <w:p>
            <w:pPr/>
          </w:p>
        </w:tc>
      </w:tr>
      <w:tr>
        <w:trPr>
          <w:trHeight w:val="312"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动资产、处置组和终止经营，采用未来适用法处理。2017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日，财政部发布了《企业</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三届董事会第</w:t>
            </w:r>
          </w:p>
        </w:tc>
        <w:tc>
          <w:tcPr>
            <w:tcW w:w="922" w:type="dxa"/>
            <w:vMerge/>
            <w:tcBorders>
              <w:left w:val="single" w:sz="4" w:space="0" w:color="000000"/>
              <w:right w:val="single" w:sz="4" w:space="0" w:color="000000"/>
            </w:tcBorders>
          </w:tcPr>
          <w:p>
            <w:pPr/>
          </w:p>
        </w:tc>
      </w:tr>
      <w:tr>
        <w:trPr>
          <w:trHeight w:val="312"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号——政府补助</w:t>
            </w:r>
            <w:r>
              <w:rPr>
                <w:rFonts w:ascii="宋体" w:hAnsi="宋体" w:cs="宋体" w:eastAsia="宋体" w:hint="default"/>
                <w:spacing w:val="-82"/>
                <w:sz w:val="18"/>
                <w:szCs w:val="18"/>
              </w:rPr>
              <w:t>》</w:t>
            </w:r>
            <w:r>
              <w:rPr>
                <w:rFonts w:ascii="宋体" w:hAnsi="宋体" w:cs="宋体" w:eastAsia="宋体" w:hint="default"/>
                <w:sz w:val="18"/>
                <w:szCs w:val="18"/>
              </w:rPr>
              <w:t>（修订</w:t>
            </w:r>
            <w:r>
              <w:rPr>
                <w:rFonts w:ascii="宋体" w:hAnsi="宋体" w:cs="宋体" w:eastAsia="宋体" w:hint="default"/>
                <w:spacing w:val="-39"/>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该准则自</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日起施行</w:t>
            </w:r>
            <w:r>
              <w:rPr>
                <w:rFonts w:ascii="宋体" w:hAnsi="宋体" w:cs="宋体" w:eastAsia="宋体" w:hint="default"/>
                <w:spacing w:val="-41"/>
                <w:sz w:val="18"/>
                <w:szCs w:val="18"/>
              </w:rPr>
              <w:t>。</w:t>
            </w:r>
            <w:r>
              <w:rPr>
                <w:rFonts w:ascii="宋体" w:hAnsi="宋体" w:cs="宋体" w:eastAsia="宋体" w:hint="default"/>
                <w:sz w:val="18"/>
                <w:szCs w:val="18"/>
              </w:rPr>
              <w:t>本公司对</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7</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六次会议、第三</w:t>
            </w:r>
          </w:p>
        </w:tc>
        <w:tc>
          <w:tcPr>
            <w:tcW w:w="922" w:type="dxa"/>
            <w:vMerge/>
            <w:tcBorders>
              <w:left w:val="single" w:sz="4" w:space="0" w:color="000000"/>
              <w:right w:val="single" w:sz="4" w:space="0" w:color="000000"/>
            </w:tcBorders>
          </w:tcPr>
          <w:p>
            <w:pPr/>
          </w:p>
        </w:tc>
      </w:tr>
      <w:tr>
        <w:trPr>
          <w:trHeight w:val="312"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22"/>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日存在的政府补助采用未来适用法处理，对</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日至本准则施行日之间新</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届董事会第十</w:t>
            </w:r>
          </w:p>
        </w:tc>
        <w:tc>
          <w:tcPr>
            <w:tcW w:w="922" w:type="dxa"/>
            <w:vMerge/>
            <w:tcBorders>
              <w:left w:val="single" w:sz="4" w:space="0" w:color="000000"/>
              <w:right w:val="single" w:sz="4" w:space="0" w:color="000000"/>
            </w:tcBorders>
          </w:tcPr>
          <w:p>
            <w:pPr/>
          </w:p>
        </w:tc>
      </w:tr>
      <w:tr>
        <w:trPr>
          <w:trHeight w:val="335" w:hRule="exact"/>
        </w:trPr>
        <w:tc>
          <w:tcPr>
            <w:tcW w:w="7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pacing w:val="-2"/>
                <w:sz w:val="18"/>
                <w:szCs w:val="18"/>
              </w:rPr>
              <w:t>增的政府补助根据本准则进行调整。财政部根据上述</w:t>
            </w:r>
            <w:r>
              <w:rPr>
                <w:rFonts w:ascii="宋体" w:hAnsi="宋体" w:cs="宋体" w:eastAsia="宋体" w:hint="default"/>
                <w:spacing w:val="-38"/>
                <w:sz w:val="18"/>
                <w:szCs w:val="18"/>
              </w:rPr>
              <w:t> </w:t>
            </w:r>
            <w:r>
              <w:rPr>
                <w:rFonts w:ascii="宋体" w:hAnsi="宋体" w:cs="宋体" w:eastAsia="宋体" w:hint="default"/>
                <w:sz w:val="18"/>
                <w:szCs w:val="18"/>
              </w:rPr>
              <w:t>2</w:t>
            </w:r>
            <w:r>
              <w:rPr>
                <w:rFonts w:ascii="宋体" w:hAnsi="宋体" w:cs="宋体" w:eastAsia="宋体" w:hint="default"/>
                <w:spacing w:val="-40"/>
                <w:sz w:val="18"/>
                <w:szCs w:val="18"/>
              </w:rPr>
              <w:t> </w:t>
            </w:r>
            <w:r>
              <w:rPr>
                <w:rFonts w:ascii="宋体" w:hAnsi="宋体" w:cs="宋体" w:eastAsia="宋体" w:hint="default"/>
                <w:spacing w:val="-2"/>
                <w:sz w:val="18"/>
                <w:szCs w:val="18"/>
              </w:rPr>
              <w:t>项会计准则的相关规定，对一般企业财</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一次会议审核</w:t>
            </w:r>
          </w:p>
        </w:tc>
        <w:tc>
          <w:tcPr>
            <w:tcW w:w="922" w:type="dxa"/>
            <w:vMerge/>
            <w:tcBorders>
              <w:left w:val="single" w:sz="4" w:space="0" w:color="000000"/>
              <w:bottom w:val="single" w:sz="4" w:space="0" w:color="000000"/>
              <w:right w:val="single" w:sz="4" w:space="0" w:color="000000"/>
            </w:tcBorders>
          </w:tcPr>
          <w:p>
            <w:pPr/>
          </w:p>
        </w:tc>
      </w:tr>
    </w:tbl>
    <w:p>
      <w:pPr>
        <w:spacing w:after="0"/>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7371"/>
        <w:gridCol w:w="1276"/>
        <w:gridCol w:w="922"/>
      </w:tblGrid>
      <w:tr>
        <w:trPr>
          <w:trHeight w:val="318" w:hRule="exact"/>
        </w:trPr>
        <w:tc>
          <w:tcPr>
            <w:tcW w:w="7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务报表格式进行了修订，并于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日发布了《关于修订印发一般企业财务报表格</w:t>
            </w: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批准</w:t>
            </w:r>
          </w:p>
        </w:tc>
        <w:tc>
          <w:tcPr>
            <w:tcW w:w="922" w:type="dxa"/>
            <w:vMerge w:val="restart"/>
            <w:tcBorders>
              <w:top w:val="single" w:sz="4" w:space="0" w:color="000000"/>
              <w:left w:val="single" w:sz="4" w:space="0" w:color="000000"/>
              <w:right w:val="single" w:sz="4" w:space="0" w:color="000000"/>
            </w:tcBorders>
          </w:tcPr>
          <w:p>
            <w:pPr/>
          </w:p>
        </w:tc>
      </w:tr>
      <w:tr>
        <w:trPr>
          <w:trHeight w:val="312"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式的通知》；资产负债表新增“持有待售资产”行项目、“持有待售负债”行项目，利润表新</w:t>
            </w:r>
          </w:p>
        </w:tc>
        <w:tc>
          <w:tcPr>
            <w:tcW w:w="1276"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增“资产处置收益”行项目、“其他收益”行项目、净利润项新增“（一）持续经营净利润”</w:t>
            </w:r>
          </w:p>
        </w:tc>
        <w:tc>
          <w:tcPr>
            <w:tcW w:w="1276"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和“（二）终止经营净利润”行项目。2018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日，财政部发布了《关于一般企业财务</w:t>
            </w:r>
          </w:p>
        </w:tc>
        <w:tc>
          <w:tcPr>
            <w:tcW w:w="1276"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报表格式有关问题的解读》，根据解读的相关规定：对于利润表新增的“资产处置收益”行项</w:t>
            </w:r>
          </w:p>
        </w:tc>
        <w:tc>
          <w:tcPr>
            <w:tcW w:w="1276"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目，本公司按照《企业会计准则第</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号——财务报表列报》等的相关规定，对可比期间的比</w:t>
            </w:r>
          </w:p>
        </w:tc>
        <w:tc>
          <w:tcPr>
            <w:tcW w:w="1276"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较数据按照《通知》进行调整。对于利润表新增的“其他收益”行项目，本公司按照《企业会</w:t>
            </w:r>
          </w:p>
        </w:tc>
        <w:tc>
          <w:tcPr>
            <w:tcW w:w="1276"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4"/>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pacing w:val="-5"/>
                <w:sz w:val="18"/>
                <w:szCs w:val="18"/>
              </w:rPr>
              <w:t>号——政府补助》的相关规定，对</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日存在的政府补助采用未来适用</w:t>
            </w:r>
          </w:p>
        </w:tc>
        <w:tc>
          <w:tcPr>
            <w:tcW w:w="1276"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356" w:hRule="exact"/>
        </w:trPr>
        <w:tc>
          <w:tcPr>
            <w:tcW w:w="7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法处理，无需对可比期间的比较数据进行调整。</w:t>
            </w:r>
          </w:p>
        </w:tc>
        <w:tc>
          <w:tcPr>
            <w:tcW w:w="1276" w:type="dxa"/>
            <w:tcBorders>
              <w:top w:val="nil" w:sz="6" w:space="0" w:color="auto"/>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bl>
    <w:p>
      <w:pPr>
        <w:pStyle w:val="BodyText"/>
        <w:spacing w:line="240" w:lineRule="auto" w:before="12"/>
        <w:ind w:left="472" w:right="0"/>
        <w:jc w:val="left"/>
      </w:pPr>
      <w:r>
        <w:rPr/>
        <w:t>由于“资产处置收益”项目的追溯调整，对2016年的报表项目影响如下：</w:t>
      </w:r>
    </w:p>
    <w:p>
      <w:pPr>
        <w:spacing w:line="240" w:lineRule="auto" w:before="13"/>
        <w:rPr>
          <w:rFonts w:ascii="宋体" w:hAnsi="宋体" w:cs="宋体" w:eastAsia="宋体" w:hint="default"/>
          <w:sz w:val="4"/>
          <w:szCs w:val="4"/>
        </w:rPr>
      </w:pPr>
    </w:p>
    <w:tbl>
      <w:tblPr>
        <w:tblW w:w="0" w:type="auto"/>
        <w:jc w:val="left"/>
        <w:tblInd w:w="248" w:type="dxa"/>
        <w:tblLayout w:type="fixed"/>
        <w:tblCellMar>
          <w:top w:w="0" w:type="dxa"/>
          <w:left w:w="0" w:type="dxa"/>
          <w:bottom w:w="0" w:type="dxa"/>
          <w:right w:w="0" w:type="dxa"/>
        </w:tblCellMar>
        <w:tblLook w:val="01E0"/>
      </w:tblPr>
      <w:tblGrid>
        <w:gridCol w:w="2926"/>
        <w:gridCol w:w="3037"/>
        <w:gridCol w:w="2684"/>
      </w:tblGrid>
      <w:tr>
        <w:trPr>
          <w:trHeight w:val="347" w:hRule="exact"/>
        </w:trPr>
        <w:tc>
          <w:tcPr>
            <w:tcW w:w="2926"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7"/>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037"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变更前</w:t>
            </w:r>
            <w:r>
              <w:rPr>
                <w:rFonts w:ascii="宋体" w:hAnsi="宋体" w:cs="宋体" w:eastAsia="宋体" w:hint="default"/>
                <w:sz w:val="18"/>
                <w:szCs w:val="18"/>
              </w:rPr>
            </w:r>
          </w:p>
        </w:tc>
        <w:tc>
          <w:tcPr>
            <w:tcW w:w="2684"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变更后</w:t>
            </w:r>
            <w:r>
              <w:rPr>
                <w:rFonts w:ascii="宋体" w:hAnsi="宋体" w:cs="宋体" w:eastAsia="宋体" w:hint="default"/>
                <w:sz w:val="18"/>
                <w:szCs w:val="18"/>
              </w:rPr>
            </w:r>
          </w:p>
        </w:tc>
      </w:tr>
      <w:tr>
        <w:trPr>
          <w:trHeight w:val="347" w:hRule="exact"/>
        </w:trPr>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3037"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129,474.26</w:t>
            </w:r>
          </w:p>
        </w:tc>
      </w:tr>
      <w:tr>
        <w:trPr>
          <w:trHeight w:val="347" w:hRule="exact"/>
        </w:trPr>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6,772,323.98</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6,641,604.11</w:t>
            </w:r>
          </w:p>
        </w:tc>
      </w:tr>
      <w:tr>
        <w:trPr>
          <w:trHeight w:val="347" w:hRule="exact"/>
        </w:trPr>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785,953.30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784,707.69</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860"/>
        <w:gridCol w:w="4519"/>
        <w:gridCol w:w="3190"/>
      </w:tblGrid>
      <w:tr>
        <w:trPr>
          <w:trHeight w:val="402"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2"/>
                <w:sz w:val="18"/>
                <w:szCs w:val="18"/>
              </w:rPr>
              <w:t>商品销售业务收入、应税劳务收入、安装工程收入、不动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产经营租赁服务收入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2"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租金收入及房产原值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52"/>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美国联邦及马萨诸塞州税赋</w:t>
            </w:r>
          </w:p>
        </w:tc>
      </w:tr>
    </w:tbl>
    <w:p>
      <w:pPr>
        <w:spacing w:after="0" w:line="240" w:lineRule="auto"/>
        <w:jc w:val="left"/>
        <w:rPr>
          <w:rFonts w:ascii="宋体" w:hAnsi="宋体" w:cs="宋体" w:eastAsia="宋体" w:hint="default"/>
          <w:sz w:val="18"/>
          <w:szCs w:val="18"/>
        </w:rPr>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苏州易健医疗信息技术有限公司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北京米东信息技术有限公司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西藏米健信息技术有限公司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上海米健健康科技有限公司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4"/>
        <w:rPr>
          <w:rFonts w:ascii="宋体" w:hAnsi="宋体" w:cs="宋体" w:eastAsia="宋体" w:hint="default"/>
          <w:sz w:val="19"/>
          <w:szCs w:val="19"/>
        </w:rPr>
      </w:pPr>
    </w:p>
    <w:p>
      <w:pPr>
        <w:pStyle w:val="Heading3"/>
        <w:spacing w:line="240" w:lineRule="auto" w:before="34"/>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0"/>
        <w:jc w:val="left"/>
      </w:pPr>
      <w:r>
        <w:rPr/>
        <w:t>1、根据《财政部</w:t>
      </w:r>
      <w:r>
        <w:rPr>
          <w:spacing w:val="-3"/>
        </w:rPr>
        <w:t> </w:t>
      </w:r>
      <w:r>
        <w:rPr/>
        <w:t>国家税务总局关于进一步鼓励软件产业和集成电路产业发展企业所得税政策的通知》（财税〔2012〕</w:t>
      </w:r>
    </w:p>
    <w:p>
      <w:pPr>
        <w:pStyle w:val="BodyText"/>
        <w:spacing w:line="316" w:lineRule="auto" w:before="76"/>
        <w:ind w:right="201"/>
        <w:jc w:val="both"/>
      </w:pPr>
      <w:r>
        <w:rPr/>
        <w:t>27号）的规定及《关于软件和集成电路产业企业所得税优惠政策有关问题的通知》（财税2016</w:t>
      </w:r>
      <w:r>
        <w:rPr>
          <w:spacing w:val="-2"/>
        </w:rPr>
        <w:t> </w:t>
      </w:r>
      <w:r>
        <w:rPr/>
        <w:t>49号）的规定，国家规划布</w:t>
      </w:r>
      <w:r>
        <w:rPr/>
        <w:t> 局内的重点软件企业和集成电路设计企业，如当年未享受免税优惠的，可减按10%的税率征收企业所得税。公司适用前述税 收优惠政策。</w:t>
      </w:r>
    </w:p>
    <w:p>
      <w:pPr>
        <w:pStyle w:val="BodyText"/>
        <w:spacing w:line="316" w:lineRule="auto" w:before="19"/>
        <w:ind w:right="94" w:firstLine="360"/>
        <w:jc w:val="left"/>
      </w:pPr>
      <w:r>
        <w:rPr>
          <w:spacing w:val="-2"/>
        </w:rPr>
        <w:t>2、根据《国务院关于印发进一步鼓励软件产业和集成电路产业发展若干政策的通知》（国发[2011]4号）的规定，对我</w:t>
      </w:r>
      <w:r>
        <w:rPr/>
        <w:t> </w:t>
      </w:r>
      <w:r>
        <w:rPr>
          <w:spacing w:val="-4"/>
        </w:rPr>
        <w:t>国境内新办集成电路设计企业和符合条件的软件企业，经认定后，自获利年度起，享受企业所得税‘两免三减半’优惠政策，</w:t>
      </w:r>
      <w:r>
        <w:rPr>
          <w:spacing w:val="-42"/>
        </w:rPr>
        <w:t> </w:t>
      </w:r>
      <w:r>
        <w:rPr>
          <w:spacing w:val="-42"/>
        </w:rPr>
      </w:r>
      <w:r>
        <w:rPr>
          <w:spacing w:val="-2"/>
        </w:rPr>
        <w:t>公司之子公司上海米健信息技术有限公司适用于前述优惠政策，即于2015年至2016年期间享受免征企业所得税优惠，于2017</w:t>
      </w:r>
      <w:r>
        <w:rPr>
          <w:spacing w:val="-56"/>
        </w:rPr>
        <w:t> </w:t>
      </w:r>
      <w:r>
        <w:rPr>
          <w:spacing w:val="-56"/>
        </w:rPr>
      </w:r>
      <w:r>
        <w:rPr/>
        <w:t>年至2019年期间享受减半征收企业所得税优惠。</w:t>
      </w:r>
    </w:p>
    <w:p>
      <w:pPr>
        <w:pStyle w:val="BodyText"/>
        <w:spacing w:line="316" w:lineRule="auto" w:before="19"/>
        <w:ind w:right="201" w:firstLine="360"/>
        <w:jc w:val="both"/>
      </w:pPr>
      <w:r>
        <w:rPr/>
        <w:t>3、根据财政部、国家税务总局财税[2016]36号《财政部国家税务总局关于全面推开营业税改征增值税试点的通知》之 附件3《营业税改征增值税试点过渡政策的规定》之规定，试点纳税人提供技术转让、技术开发和与之相关的技术咨询、技 术服务免征增值税，公司软件开发收入享受前述税收优惠政策。</w:t>
      </w:r>
    </w:p>
    <w:p>
      <w:pPr>
        <w:pStyle w:val="BodyText"/>
        <w:spacing w:line="316" w:lineRule="auto" w:before="19"/>
        <w:ind w:right="192" w:firstLine="360"/>
        <w:jc w:val="both"/>
      </w:pPr>
      <w:r>
        <w:rPr>
          <w:spacing w:val="-2"/>
        </w:rPr>
        <w:t>4、根据《国务院关于印发进一步鼓励软件产业和集成电路产业发展若干政策的通知》（国发[2011]4号）和《财政部国</w:t>
      </w:r>
      <w:r>
        <w:rPr/>
        <w:t> 家税务总局关于软件产品增值税政策的通知》（财税[2011]100号）的规定，增值税一般纳税人销售其自行开发生产的软件 产品，按17%税率征收增值税后，对其增值税实际税负超过3%的部分实行即征即退政策。</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171,086.86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183,560.42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183,319,359.62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255,854,951.23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3,795,502.19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10,488,926.24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187,285,948.67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266,527,437.89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3,375,261.98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678,761.94</w:t>
            </w:r>
          </w:p>
        </w:tc>
      </w:tr>
    </w:tbl>
    <w:p>
      <w:pPr>
        <w:pStyle w:val="BodyText"/>
        <w:spacing w:line="338" w:lineRule="auto" w:before="51"/>
        <w:ind w:right="94"/>
        <w:jc w:val="left"/>
      </w:pPr>
      <w:r>
        <w:rPr/>
        <w:t>其他说明： </w:t>
      </w:r>
      <w:r>
        <w:rPr>
          <w:spacing w:val="-2"/>
        </w:rPr>
        <w:t>本项目其他货币资金期末余额主要为票据保证金存款及保函保证金存款，除前述资金外，本公司无其他因抵押或冻结等对使</w:t>
      </w:r>
      <w:r>
        <w:rPr>
          <w:spacing w:val="-64"/>
        </w:rPr>
        <w:t> </w:t>
      </w:r>
      <w:r>
        <w:rPr>
          <w:spacing w:val="-64"/>
        </w:rPr>
      </w:r>
      <w:r>
        <w:rPr/>
        <w:t>用有限制、有潜在回收风险的款项。</w:t>
      </w:r>
    </w:p>
    <w:p>
      <w:pPr>
        <w:spacing w:after="0" w:line="338" w:lineRule="auto"/>
        <w:jc w:val="left"/>
        <w:sectPr>
          <w:pgSz w:w="11910" w:h="16840"/>
          <w:pgMar w:header="566" w:footer="978" w:top="1360" w:bottom="1160" w:left="1020" w:right="940"/>
        </w:sectPr>
      </w:pPr>
    </w:p>
    <w:p>
      <w:pPr>
        <w:pStyle w:val="Heading3"/>
        <w:spacing w:line="240" w:lineRule="auto" w:before="55"/>
        <w:ind w:left="1112" w:right="646"/>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646"/>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646"/>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12" w:right="6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112" w:right="646"/>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12" w:right="646"/>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6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8,656,350.00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278,005.00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8,656,350.00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278,005.00</w:t>
            </w:r>
          </w:p>
        </w:tc>
      </w:tr>
    </w:tbl>
    <w:p>
      <w:pPr>
        <w:spacing w:line="240" w:lineRule="auto" w:before="5"/>
        <w:rPr>
          <w:rFonts w:ascii="宋体" w:hAnsi="宋体" w:cs="宋体" w:eastAsia="宋体" w:hint="default"/>
          <w:sz w:val="19"/>
          <w:szCs w:val="19"/>
        </w:rPr>
      </w:pPr>
    </w:p>
    <w:p>
      <w:pPr>
        <w:pStyle w:val="Heading3"/>
        <w:spacing w:line="240" w:lineRule="auto" w:before="34"/>
        <w:ind w:left="1112" w:right="646"/>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12" w:right="646"/>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646"/>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6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3,833,695.45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3,833,695.45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left="1112" w:right="646"/>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12" w:right="9334"/>
        <w:jc w:val="left"/>
      </w:pPr>
      <w:r>
        <w:rPr/>
        <w:t>无 其他说明：</w:t>
      </w:r>
    </w:p>
    <w:p>
      <w:pPr>
        <w:pStyle w:val="BodyText"/>
        <w:spacing w:line="340" w:lineRule="auto" w:before="25"/>
        <w:ind w:left="1112" w:right="646"/>
        <w:jc w:val="left"/>
      </w:pPr>
      <w:r>
        <w:rPr/>
        <w:t>本项目期末余额较期初余额增加</w:t>
      </w:r>
      <w:r>
        <w:rPr>
          <w:spacing w:val="-48"/>
        </w:rPr>
        <w:t> </w:t>
      </w:r>
      <w:r>
        <w:rPr>
          <w:rFonts w:ascii="Times New Roman" w:hAnsi="Times New Roman" w:cs="Times New Roman" w:eastAsia="Times New Roman" w:hint="default"/>
        </w:rPr>
        <w:t>8,378,345.00</w:t>
      </w:r>
      <w:r>
        <w:rPr>
          <w:rFonts w:ascii="Times New Roman" w:hAnsi="Times New Roman" w:cs="Times New Roman" w:eastAsia="Times New Roman" w:hint="default"/>
          <w:spacing w:val="-4"/>
        </w:rPr>
        <w:t> </w:t>
      </w:r>
      <w:r>
        <w:rPr/>
        <w:t>元，增幅</w:t>
      </w:r>
      <w:r>
        <w:rPr>
          <w:spacing w:val="-50"/>
        </w:rPr>
        <w:t> </w:t>
      </w:r>
      <w:r>
        <w:rPr>
          <w:rFonts w:ascii="Times New Roman" w:hAnsi="Times New Roman" w:cs="Times New Roman" w:eastAsia="Times New Roman" w:hint="default"/>
        </w:rPr>
        <w:t>3,013.74%</w:t>
      </w:r>
      <w:r>
        <w:rPr/>
        <w:t>，主要系公司本报告期银行承兑汇票尚未到承兑期所致。 期末公司无因已到期未承兑而转入应收账款的票据。</w:t>
      </w:r>
    </w:p>
    <w:p>
      <w:pPr>
        <w:spacing w:line="240" w:lineRule="auto" w:before="3"/>
        <w:rPr>
          <w:rFonts w:ascii="宋体" w:hAnsi="宋体" w:cs="宋体" w:eastAsia="宋体" w:hint="default"/>
          <w:sz w:val="21"/>
          <w:szCs w:val="21"/>
        </w:rPr>
      </w:pPr>
    </w:p>
    <w:p>
      <w:pPr>
        <w:pStyle w:val="Heading3"/>
        <w:spacing w:line="240" w:lineRule="auto"/>
        <w:ind w:left="1112" w:right="646"/>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12" w:right="646"/>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6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076"/>
        <w:gridCol w:w="1656"/>
        <w:gridCol w:w="1800"/>
        <w:gridCol w:w="1032"/>
        <w:gridCol w:w="1812"/>
        <w:gridCol w:w="1692"/>
        <w:gridCol w:w="1068"/>
      </w:tblGrid>
      <w:tr>
        <w:trPr>
          <w:trHeight w:val="402" w:hRule="exact"/>
        </w:trPr>
        <w:tc>
          <w:tcPr>
            <w:tcW w:w="20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2076" w:type="dxa"/>
            <w:vMerge/>
            <w:tcBorders>
              <w:left w:val="single" w:sz="4" w:space="0" w:color="000000"/>
              <w:bottom w:val="single" w:sz="4" w:space="0" w:color="000000"/>
              <w:right w:val="single" w:sz="4" w:space="0" w:color="000000"/>
            </w:tcBorders>
            <w:shd w:val="clear" w:color="auto" w:fill="D2D2D2"/>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footerReference w:type="default" r:id="rId47"/>
          <w:pgSz w:w="11910" w:h="16840"/>
          <w:pgMar w:footer="978" w:header="566" w:top="1360" w:bottom="1160" w:left="20" w:right="520"/>
          <w:pgNumType w:start="110"/>
        </w:sectPr>
      </w:pPr>
    </w:p>
    <w:p>
      <w:pPr>
        <w:spacing w:line="240" w:lineRule="auto" w:before="4"/>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076"/>
        <w:gridCol w:w="1032"/>
        <w:gridCol w:w="624"/>
        <w:gridCol w:w="1056"/>
        <w:gridCol w:w="744"/>
        <w:gridCol w:w="1032"/>
        <w:gridCol w:w="1188"/>
        <w:gridCol w:w="624"/>
        <w:gridCol w:w="972"/>
        <w:gridCol w:w="720"/>
        <w:gridCol w:w="1068"/>
      </w:tblGrid>
      <w:tr>
        <w:trPr>
          <w:trHeight w:val="714"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2" w:right="95" w:hanging="106"/>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0" w:right="83" w:hanging="106"/>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坏账准备的应收账款</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0" w:right="0"/>
              <w:jc w:val="center"/>
              <w:rPr>
                <w:rFonts w:ascii="Times New Roman" w:hAnsi="Times New Roman" w:cs="Times New Roman" w:eastAsia="Times New Roman" w:hint="default"/>
                <w:sz w:val="15"/>
                <w:szCs w:val="15"/>
              </w:rPr>
            </w:pPr>
            <w:r>
              <w:rPr>
                <w:rFonts w:ascii="Times New Roman"/>
                <w:sz w:val="15"/>
              </w:rPr>
              <w:t>507,641,541.97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55,958,072.10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2"/>
                <w:sz w:val="15"/>
              </w:rPr>
              <w:t>11.02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0" w:right="0"/>
              <w:jc w:val="center"/>
              <w:rPr>
                <w:rFonts w:ascii="Times New Roman" w:hAnsi="Times New Roman" w:cs="Times New Roman" w:eastAsia="Times New Roman" w:hint="default"/>
                <w:sz w:val="15"/>
                <w:szCs w:val="15"/>
              </w:rPr>
            </w:pPr>
            <w:r>
              <w:rPr>
                <w:rFonts w:ascii="Times New Roman"/>
                <w:sz w:val="15"/>
              </w:rPr>
              <w:t>451,683,469.87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503,050,195.13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3" w:right="0"/>
              <w:jc w:val="center"/>
              <w:rPr>
                <w:rFonts w:ascii="Times New Roman" w:hAnsi="Times New Roman" w:cs="Times New Roman" w:eastAsia="Times New Roman" w:hint="default"/>
                <w:sz w:val="15"/>
                <w:szCs w:val="15"/>
              </w:rPr>
            </w:pPr>
            <w:r>
              <w:rPr>
                <w:rFonts w:ascii="Times New Roman"/>
                <w:sz w:val="15"/>
              </w:rPr>
              <w:t>100.00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51,659,876.84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w w:val="95"/>
                <w:sz w:val="15"/>
              </w:rPr>
              <w:t>10.27</w:t>
            </w:r>
            <w:r>
              <w:rPr>
                <w:rFonts w:ascii="Times New Roman"/>
                <w:sz w:val="15"/>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451,390,318.29</w:t>
            </w:r>
          </w:p>
        </w:tc>
      </w:tr>
      <w:tr>
        <w:trPr>
          <w:trHeight w:val="714"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1"/>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提坏账准备的应收账款</w:t>
            </w:r>
          </w:p>
        </w:tc>
        <w:tc>
          <w:tcPr>
            <w:tcW w:w="103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1,205.10</w:t>
            </w:r>
          </w:p>
        </w:tc>
        <w:tc>
          <w:tcPr>
            <w:tcW w:w="62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1,205.10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100.00</w:t>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0" w:right="0"/>
              <w:jc w:val="center"/>
              <w:rPr>
                <w:rFonts w:ascii="Times New Roman" w:hAnsi="Times New Roman" w:cs="Times New Roman" w:eastAsia="Times New Roman" w:hint="default"/>
                <w:sz w:val="15"/>
                <w:szCs w:val="15"/>
              </w:rPr>
            </w:pPr>
            <w:r>
              <w:rPr>
                <w:rFonts w:ascii="Times New Roman"/>
                <w:sz w:val="15"/>
              </w:rPr>
              <w:t>507,641,541.97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5"/>
                <w:szCs w:val="15"/>
              </w:rPr>
            </w:pPr>
            <w:r>
              <w:rPr>
                <w:rFonts w:ascii="Times New Roman"/>
                <w:spacing w:val="-1"/>
                <w:sz w:val="15"/>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55,958,072.10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2"/>
                <w:sz w:val="15"/>
              </w:rPr>
              <w:t>11.02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0" w:right="0"/>
              <w:jc w:val="center"/>
              <w:rPr>
                <w:rFonts w:ascii="Times New Roman" w:hAnsi="Times New Roman" w:cs="Times New Roman" w:eastAsia="Times New Roman" w:hint="default"/>
                <w:sz w:val="15"/>
                <w:szCs w:val="15"/>
              </w:rPr>
            </w:pPr>
            <w:r>
              <w:rPr>
                <w:rFonts w:ascii="Times New Roman"/>
                <w:sz w:val="15"/>
              </w:rPr>
              <w:t>451,683,469.87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503,051,400.23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53" w:right="0"/>
              <w:jc w:val="center"/>
              <w:rPr>
                <w:rFonts w:ascii="Times New Roman" w:hAnsi="Times New Roman" w:cs="Times New Roman" w:eastAsia="Times New Roman" w:hint="default"/>
                <w:sz w:val="15"/>
                <w:szCs w:val="15"/>
              </w:rPr>
            </w:pPr>
            <w:r>
              <w:rPr>
                <w:rFonts w:ascii="Times New Roman"/>
                <w:sz w:val="15"/>
              </w:rPr>
              <w:t>100.00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51,661,081.94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5"/>
                <w:szCs w:val="15"/>
              </w:rPr>
            </w:pPr>
            <w:r>
              <w:rPr>
                <w:rFonts w:ascii="Times New Roman"/>
                <w:spacing w:val="-1"/>
                <w:sz w:val="15"/>
              </w:rPr>
              <w:t>10.27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451,390,318.29</w:t>
            </w:r>
          </w:p>
        </w:tc>
      </w:tr>
    </w:tbl>
    <w:p>
      <w:pPr>
        <w:spacing w:after="0" w:line="240" w:lineRule="auto"/>
        <w:jc w:val="right"/>
        <w:rPr>
          <w:rFonts w:ascii="Times New Roman" w:hAnsi="Times New Roman" w:cs="Times New Roman" w:eastAsia="Times New Roman" w:hint="default"/>
          <w:sz w:val="15"/>
          <w:szCs w:val="15"/>
        </w:rPr>
        <w:sectPr>
          <w:pgSz w:w="11910" w:h="16840"/>
          <w:pgMar w:header="566" w:footer="978" w:top="1360" w:bottom="1160" w:left="20" w:right="520"/>
        </w:sectPr>
      </w:pPr>
    </w:p>
    <w:p>
      <w:pPr>
        <w:pStyle w:val="BodyText"/>
        <w:spacing w:line="240" w:lineRule="auto" w:before="50"/>
        <w:ind w:left="1112" w:right="-20"/>
        <w:jc w:val="left"/>
      </w:pPr>
      <w:r>
        <w:rPr/>
        <w:t>期末单项金额重大并单项计提坏账准备的应收账款：</w:t>
      </w:r>
    </w:p>
    <w:p>
      <w:pPr>
        <w:pStyle w:val="BodyText"/>
        <w:spacing w:line="340" w:lineRule="auto" w:before="117"/>
        <w:ind w:left="111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39"/>
        <w:ind w:left="11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2" w:right="0"/>
        <w:jc w:val="left"/>
      </w:pPr>
      <w:r>
        <w:rPr/>
        <w:t>单位：</w:t>
      </w:r>
      <w:r>
        <w:rPr>
          <w:spacing w:val="-2"/>
        </w:rPr>
        <w:t> </w:t>
      </w:r>
      <w:r>
        <w:rPr/>
        <w:t>元</w:t>
      </w:r>
    </w:p>
    <w:p>
      <w:pPr>
        <w:spacing w:after="0" w:line="240" w:lineRule="auto"/>
        <w:jc w:val="left"/>
        <w:sectPr>
          <w:type w:val="continuous"/>
          <w:pgSz w:w="11910" w:h="16840"/>
          <w:pgMar w:top="1440" w:bottom="1160" w:left="20" w:right="520"/>
          <w:cols w:num="2" w:equalWidth="0">
            <w:col w:w="5253" w:space="3576"/>
            <w:col w:w="2541"/>
          </w:cols>
        </w:sectPr>
      </w:pPr>
    </w:p>
    <w:p>
      <w:pPr>
        <w:spacing w:line="240" w:lineRule="auto" w:before="1"/>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248,928,543.63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4,978,570.84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248,928,543.63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4,978,570.84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158,989,215.09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7,949,460.74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55,724,243.85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16,717,273.18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31,383,134.50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15,691,567.25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9,976,023.90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7,980,819.09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2,640,381.00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2,640,381.00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507,641,541.97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55,958,072.10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11.02%</w:t>
            </w:r>
          </w:p>
        </w:tc>
      </w:tr>
    </w:tbl>
    <w:p>
      <w:pPr>
        <w:pStyle w:val="BodyText"/>
        <w:spacing w:line="360" w:lineRule="auto" w:before="50"/>
        <w:ind w:left="1112" w:right="8254"/>
        <w:jc w:val="left"/>
      </w:pPr>
      <w:r>
        <w:rPr/>
        <w:t>确定该组合依据的说明： 无</w:t>
      </w:r>
    </w:p>
    <w:p>
      <w:pPr>
        <w:pStyle w:val="BodyText"/>
        <w:spacing w:line="240" w:lineRule="auto" w:before="25"/>
        <w:ind w:left="1112" w:right="646"/>
        <w:jc w:val="left"/>
      </w:pPr>
      <w:r>
        <w:rPr/>
        <w:t>组合中，采用余额百分比法计提坏账准备的应收账款：</w:t>
      </w:r>
    </w:p>
    <w:p>
      <w:pPr>
        <w:pStyle w:val="BodyText"/>
        <w:spacing w:line="348" w:lineRule="auto" w:before="117"/>
        <w:ind w:left="1112" w:right="6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 无</w:t>
      </w:r>
    </w:p>
    <w:p>
      <w:pPr>
        <w:spacing w:line="240" w:lineRule="auto" w:before="11"/>
        <w:rPr>
          <w:rFonts w:ascii="宋体" w:hAnsi="宋体" w:cs="宋体" w:eastAsia="宋体" w:hint="default"/>
          <w:sz w:val="20"/>
          <w:szCs w:val="20"/>
        </w:rPr>
      </w:pPr>
    </w:p>
    <w:p>
      <w:pPr>
        <w:pStyle w:val="Heading3"/>
        <w:spacing w:line="240" w:lineRule="auto"/>
        <w:ind w:left="1112" w:right="64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646"/>
        <w:jc w:val="left"/>
      </w:pPr>
      <w:r>
        <w:rPr/>
        <w:t>本期计提坏账准备金额</w:t>
      </w:r>
      <w:r>
        <w:rPr>
          <w:spacing w:val="-47"/>
        </w:rPr>
        <w:t> </w:t>
      </w:r>
      <w:r>
        <w:rPr>
          <w:rFonts w:ascii="Times New Roman" w:hAnsi="Times New Roman" w:cs="Times New Roman" w:eastAsia="Times New Roman" w:hint="default"/>
        </w:rPr>
        <w:t>4,296,990.16</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10"/>
        <w:rPr>
          <w:rFonts w:ascii="宋体" w:hAnsi="宋体" w:cs="宋体" w:eastAsia="宋体" w:hint="default"/>
          <w:sz w:val="25"/>
          <w:szCs w:val="25"/>
        </w:rPr>
      </w:pPr>
    </w:p>
    <w:p>
      <w:pPr>
        <w:pStyle w:val="Heading3"/>
        <w:spacing w:line="240" w:lineRule="auto"/>
        <w:ind w:left="1112" w:right="646"/>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61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4" w:lineRule="exact"/>
        <w:ind w:left="1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75pt;mso-position-horizontal-relative:char;mso-position-vertical-relative:line" coordorigin="0,0" coordsize="9588,415">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4794;top:5;width:2;height:400" coordorigin="4794,5" coordsize="2,400">
              <v:shape style="position:absolute;left:4794;top:5;width:2;height:400" coordorigin="4794,5" coordsize="0,400" path="m4794,5l4794,405e" filled="false" stroked="true" strokeweight=".48pt" strokecolor="#000000">
                <v:path arrowok="t"/>
              </v:shape>
            </v:group>
            <v:group style="position:absolute;left:9578;top:5;width:2;height:400" coordorigin="9578,5" coordsize="2,400">
              <v:shape style="position:absolute;left:9578;top:5;width:2;height:400" coordorigin="9578,5" coordsize="0,400" path="m9578,5l9578,405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0"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type w:val="continuous"/>
          <w:pgSz w:w="11910" w:h="16840"/>
          <w:pgMar w:top="1440" w:bottom="1160" w:left="20" w:right="520"/>
        </w:sectPr>
      </w:pPr>
    </w:p>
    <w:p>
      <w:pPr>
        <w:spacing w:line="240" w:lineRule="auto" w:before="12"/>
        <w:rPr>
          <w:rFonts w:ascii="宋体" w:hAnsi="宋体" w:cs="宋体" w:eastAsia="宋体" w:hint="default"/>
          <w:sz w:val="4"/>
          <w:szCs w:val="4"/>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实际核销的应收账款</w:t>
                      </w:r>
                    </w:p>
                  </w:txbxContent>
                </v:textbox>
                <w10:wrap type="none"/>
              </v:shape>
              <v:shape style="position:absolute;left:4794;top:10;width:4784;height:402" type="#_x0000_t202" filled="false" stroked="false">
                <v:textbox inset="0,0,0,0">
                  <w:txbxContent>
                    <w:p>
                      <w:pPr>
                        <w:spacing w:before="97"/>
                        <w:ind w:left="0" w:right="26" w:firstLine="0"/>
                        <w:jc w:val="right"/>
                        <w:rPr>
                          <w:rFonts w:ascii="Times New Roman" w:hAnsi="Times New Roman" w:cs="Times New Roman" w:eastAsia="Times New Roman" w:hint="default"/>
                          <w:sz w:val="18"/>
                          <w:szCs w:val="18"/>
                        </w:rPr>
                      </w:pPr>
                      <w:r>
                        <w:rPr>
                          <w:rFonts w:ascii="Times New Roman"/>
                          <w:spacing w:val="-1"/>
                          <w:sz w:val="18"/>
                        </w:rPr>
                        <w:t>1,205.10</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674"/>
        <w:jc w:val="left"/>
      </w:pPr>
      <w:r>
        <w:rPr/>
        <w:t>公司是否需要遵守特殊行业的披露要求 否</w:t>
      </w:r>
    </w:p>
    <w:tbl>
      <w:tblPr>
        <w:tblW w:w="0" w:type="auto"/>
        <w:jc w:val="left"/>
        <w:tblInd w:w="106" w:type="dxa"/>
        <w:tblLayout w:type="fixed"/>
        <w:tblCellMar>
          <w:top w:w="0" w:type="dxa"/>
          <w:left w:w="0" w:type="dxa"/>
          <w:bottom w:w="0" w:type="dxa"/>
          <w:right w:w="0" w:type="dxa"/>
        </w:tblCellMar>
        <w:tblLook w:val="01E0"/>
      </w:tblPr>
      <w:tblGrid>
        <w:gridCol w:w="3510"/>
        <w:gridCol w:w="1561"/>
        <w:gridCol w:w="2080"/>
        <w:gridCol w:w="1966"/>
      </w:tblGrid>
      <w:tr>
        <w:trPr>
          <w:trHeight w:val="659" w:hRule="exact"/>
        </w:trPr>
        <w:tc>
          <w:tcPr>
            <w:tcW w:w="3510"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61"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080"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316" w:lineRule="auto" w:before="20"/>
              <w:ind w:left="344" w:right="216" w:hanging="12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占应收账款期末余额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66"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沈阳市皇姑区教育局</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65,398,015.00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12.88</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11,254,164.25</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中国银行股份有限公司鞍山分行</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26,980,200.00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5.31</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1,349,010.00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沈阳市苏家屯区教育局</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24,841,662.00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4.89</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667,192.65</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中兴（沈阳）金融科技有限公司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13,205,066.00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2.60</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264,101.32</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国网辽宁省电力有限公司信息通信分公司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11,993,816.98</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239,876.34</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b/>
                <w:spacing w:val="-1"/>
                <w:sz w:val="18"/>
              </w:rPr>
              <w:t>142,418,759.98</w:t>
            </w:r>
            <w:r>
              <w:rPr>
                <w:rFonts w:ascii="Times New Roman"/>
                <w:spacing w:val="-1"/>
                <w:sz w:val="18"/>
              </w:rPr>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z w:val="18"/>
              </w:rPr>
              <w:t>28.04</w:t>
            </w:r>
            <w:r>
              <w:rPr>
                <w:rFonts w:ascii="Times New Roman"/>
                <w:sz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pacing w:val="-1"/>
                <w:sz w:val="18"/>
              </w:rPr>
              <w:t>13,774,344.56</w:t>
            </w:r>
            <w:r>
              <w:rPr>
                <w:rFonts w:ascii="Times New Roman"/>
                <w:spacing w:val="-1"/>
                <w:sz w:val="18"/>
              </w:rPr>
            </w:r>
          </w:p>
        </w:tc>
      </w:tr>
    </w:tbl>
    <w:p>
      <w:pPr>
        <w:spacing w:line="240" w:lineRule="auto" w:before="10"/>
        <w:rPr>
          <w:rFonts w:ascii="宋体" w:hAnsi="宋体" w:cs="宋体" w:eastAsia="宋体" w:hint="default"/>
          <w:sz w:val="20"/>
          <w:szCs w:val="20"/>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2,170,249.62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6,246,649.48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16,401.72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1,009,015.18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981,500.00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3,168,151.34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7,255,664.66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122"/>
        <w:gridCol w:w="2011"/>
        <w:gridCol w:w="1389"/>
        <w:gridCol w:w="2125"/>
      </w:tblGrid>
      <w:tr>
        <w:trPr>
          <w:trHeight w:val="347" w:hRule="exact"/>
        </w:trPr>
        <w:tc>
          <w:tcPr>
            <w:tcW w:w="312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011"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left="63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89"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left="505"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125"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347"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上海虹桥国际医疗旅游服务有限公司</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980,000.00</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7"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1"/>
              <w:jc w:val="right"/>
              <w:rPr>
                <w:rFonts w:ascii="Times New Roman" w:hAnsi="Times New Roman" w:cs="Times New Roman" w:eastAsia="Times New Roman" w:hint="default"/>
                <w:sz w:val="18"/>
                <w:szCs w:val="18"/>
              </w:rPr>
            </w:pPr>
            <w:r>
              <w:rPr>
                <w:rFonts w:ascii="Times New Roman"/>
                <w:b/>
                <w:spacing w:val="-1"/>
                <w:sz w:val="18"/>
              </w:rPr>
              <w:t>980,000.00</w:t>
            </w:r>
            <w:r>
              <w:rPr>
                <w:rFonts w:ascii="Times New Roman"/>
                <w:spacing w:val="-1"/>
                <w:sz w:val="18"/>
              </w:rPr>
            </w:r>
          </w:p>
        </w:tc>
        <w:tc>
          <w:tcPr>
            <w:tcW w:w="1389"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566" w:footer="978" w:top="1360" w:bottom="1160" w:left="1020" w:right="1020"/>
        </w:sectPr>
      </w:pPr>
    </w:p>
    <w:p>
      <w:pPr>
        <w:pStyle w:val="Heading3"/>
        <w:spacing w:line="240" w:lineRule="auto" w:before="55"/>
        <w:ind w:left="1092" w:right="1774"/>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6" w:type="dxa"/>
        <w:tblLayout w:type="fixed"/>
        <w:tblCellMar>
          <w:top w:w="0" w:type="dxa"/>
          <w:left w:w="0" w:type="dxa"/>
          <w:bottom w:w="0" w:type="dxa"/>
          <w:right w:w="0" w:type="dxa"/>
        </w:tblCellMar>
        <w:tblLook w:val="01E0"/>
      </w:tblPr>
      <w:tblGrid>
        <w:gridCol w:w="3168"/>
        <w:gridCol w:w="2316"/>
        <w:gridCol w:w="3270"/>
      </w:tblGrid>
      <w:tr>
        <w:trPr>
          <w:trHeight w:val="347" w:hRule="exact"/>
        </w:trPr>
        <w:tc>
          <w:tcPr>
            <w:tcW w:w="3168"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16"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70"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0"/>
              <w:ind w:left="12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占预付账款期末余额合计数的比例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上海虹桥国际医疗旅游服务有限公司</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980,000.00</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30.93</w:t>
            </w:r>
          </w:p>
        </w:tc>
      </w:tr>
      <w:tr>
        <w:trPr>
          <w:trHeight w:val="34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辽宁润泽信息系统集成有限公司</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370,621.30</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11.70</w:t>
            </w:r>
          </w:p>
        </w:tc>
      </w:tr>
      <w:tr>
        <w:trPr>
          <w:trHeight w:val="34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沈阳经济技术开发区热电有限公司</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254,457.43</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8.03</w:t>
            </w:r>
          </w:p>
        </w:tc>
      </w:tr>
      <w:tr>
        <w:trPr>
          <w:trHeight w:val="34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前锦网络信息技术（上海）有限公司</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216,815.16</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6.84</w:t>
            </w:r>
          </w:p>
        </w:tc>
      </w:tr>
      <w:tr>
        <w:trPr>
          <w:trHeight w:val="34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西藏蓝宇网络科技有限公司</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210,000.00</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6.63</w:t>
            </w:r>
          </w:p>
        </w:tc>
      </w:tr>
      <w:tr>
        <w:trPr>
          <w:trHeight w:val="34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b/>
                <w:spacing w:val="-1"/>
                <w:sz w:val="18"/>
              </w:rPr>
              <w:t>2,031,893.89</w:t>
            </w:r>
            <w:r>
              <w:rPr>
                <w:rFonts w:ascii="Times New Roman"/>
                <w:spacing w:val="-1"/>
                <w:sz w:val="18"/>
              </w:rPr>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z w:val="18"/>
              </w:rPr>
              <w:t>64.13</w:t>
            </w:r>
            <w:r>
              <w:rPr>
                <w:rFonts w:ascii="Times New Roman"/>
                <w:sz w:val="18"/>
              </w:rPr>
            </w:r>
          </w:p>
        </w:tc>
      </w:tr>
    </w:tbl>
    <w:p>
      <w:pPr>
        <w:pStyle w:val="BodyText"/>
        <w:spacing w:line="316" w:lineRule="auto" w:before="10"/>
        <w:ind w:left="1092" w:right="1774"/>
        <w:jc w:val="left"/>
      </w:pPr>
      <w:r>
        <w:rPr/>
        <w:t>其他说明： 本项目期末余额较期初余额减少4,087,513.32元，减幅56.34%，主要系公司本报告期预付采购款减少所致。</w:t>
      </w:r>
    </w:p>
    <w:p>
      <w:pPr>
        <w:spacing w:line="240" w:lineRule="auto" w:before="8"/>
        <w:rPr>
          <w:rFonts w:ascii="宋体" w:hAnsi="宋体" w:cs="宋体" w:eastAsia="宋体" w:hint="default"/>
          <w:sz w:val="22"/>
          <w:szCs w:val="22"/>
        </w:rPr>
      </w:pPr>
    </w:p>
    <w:p>
      <w:pPr>
        <w:pStyle w:val="Heading3"/>
        <w:spacing w:line="240" w:lineRule="auto"/>
        <w:ind w:left="1092" w:right="1774"/>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092" w:right="1774"/>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92" w:right="177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092" w:right="1774"/>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92" w:right="177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092" w:right="1774"/>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092" w:right="1774"/>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092" w:right="1774"/>
        <w:jc w:val="left"/>
      </w:pPr>
      <w:r>
        <w:rPr/>
        <w:t>无</w:t>
      </w:r>
    </w:p>
    <w:p>
      <w:pPr>
        <w:spacing w:line="240" w:lineRule="auto" w:before="11"/>
        <w:rPr>
          <w:rFonts w:ascii="宋体" w:hAnsi="宋体" w:cs="宋体" w:eastAsia="宋体" w:hint="default"/>
          <w:sz w:val="26"/>
          <w:szCs w:val="26"/>
        </w:rPr>
      </w:pPr>
    </w:p>
    <w:p>
      <w:pPr>
        <w:pStyle w:val="Heading3"/>
        <w:spacing w:line="240" w:lineRule="auto"/>
        <w:ind w:left="1092" w:right="1774"/>
        <w:jc w:val="left"/>
        <w:rPr>
          <w:b w:val="0"/>
          <w:bCs w:val="0"/>
        </w:rPr>
      </w:pPr>
      <w:r>
        <w:rPr/>
        <w:t>（</w:t>
      </w:r>
      <w:r>
        <w:rPr>
          <w:rFonts w:ascii="Times New Roman" w:hAnsi="Times New Roman" w:cs="Times New Roman" w:eastAsia="Times New Roman" w:hint="default"/>
        </w:rPr>
        <w:t>2</w:t>
      </w:r>
      <w:r>
        <w:rPr/>
        <w:t>）重要的账龄超过</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92" w:right="1774"/>
        <w:jc w:val="left"/>
      </w:pPr>
      <w:r>
        <w:rPr/>
        <w:t>无</w:t>
      </w:r>
    </w:p>
    <w:p>
      <w:pPr>
        <w:spacing w:line="240" w:lineRule="auto" w:before="11"/>
        <w:rPr>
          <w:rFonts w:ascii="宋体" w:hAnsi="宋体" w:cs="宋体" w:eastAsia="宋体" w:hint="default"/>
          <w:sz w:val="26"/>
          <w:szCs w:val="26"/>
        </w:rPr>
      </w:pPr>
    </w:p>
    <w:p>
      <w:pPr>
        <w:pStyle w:val="Heading3"/>
        <w:spacing w:line="240" w:lineRule="auto"/>
        <w:ind w:left="1092" w:right="1774"/>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092" w:right="1774"/>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6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100"/>
        <w:gridCol w:w="1068"/>
        <w:gridCol w:w="792"/>
        <w:gridCol w:w="1104"/>
        <w:gridCol w:w="792"/>
        <w:gridCol w:w="1020"/>
        <w:gridCol w:w="1068"/>
        <w:gridCol w:w="576"/>
        <w:gridCol w:w="984"/>
        <w:gridCol w:w="636"/>
        <w:gridCol w:w="972"/>
      </w:tblGrid>
      <w:tr>
        <w:trPr>
          <w:trHeight w:val="402" w:hRule="exact"/>
        </w:trPr>
        <w:tc>
          <w:tcPr>
            <w:tcW w:w="2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77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00" w:type="dxa"/>
            <w:vMerge/>
            <w:tcBorders>
              <w:left w:val="single" w:sz="4" w:space="0" w:color="000000"/>
              <w:right w:val="single" w:sz="4" w:space="0" w:color="000000"/>
            </w:tcBorders>
            <w:shd w:val="clear" w:color="auto" w:fill="D2D2D2"/>
          </w:tcPr>
          <w:p>
            <w:pP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100"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6" w:right="119" w:hanging="106"/>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p>
        </w:tc>
        <w:tc>
          <w:tcPr>
            <w:tcW w:w="1020"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7" w:right="42" w:hanging="106"/>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p>
        </w:tc>
        <w:tc>
          <w:tcPr>
            <w:tcW w:w="972" w:type="dxa"/>
            <w:vMerge/>
            <w:tcBorders>
              <w:left w:val="single" w:sz="4" w:space="0" w:color="000000"/>
              <w:bottom w:val="single" w:sz="4" w:space="0" w:color="000000"/>
              <w:right w:val="single" w:sz="4" w:space="0" w:color="000000"/>
            </w:tcBorders>
            <w:shd w:val="clear" w:color="auto" w:fill="D2D2D2"/>
          </w:tcPr>
          <w:p>
            <w:pPr/>
          </w:p>
        </w:tc>
      </w:tr>
      <w:tr>
        <w:trPr>
          <w:trHeight w:val="712"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48" w:right="0"/>
              <w:jc w:val="left"/>
              <w:rPr>
                <w:rFonts w:ascii="Times New Roman" w:hAnsi="Times New Roman" w:cs="Times New Roman" w:eastAsia="Times New Roman" w:hint="default"/>
                <w:sz w:val="15"/>
                <w:szCs w:val="15"/>
              </w:rPr>
            </w:pPr>
            <w:r>
              <w:rPr>
                <w:rFonts w:ascii="Times New Roman"/>
                <w:sz w:val="15"/>
              </w:rPr>
              <w:t>9,625,580.96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46" w:right="0"/>
              <w:jc w:val="left"/>
              <w:rPr>
                <w:rFonts w:ascii="Times New Roman" w:hAnsi="Times New Roman" w:cs="Times New Roman" w:eastAsia="Times New Roman" w:hint="default"/>
                <w:sz w:val="15"/>
                <w:szCs w:val="15"/>
              </w:rPr>
            </w:pPr>
            <w:r>
              <w:rPr>
                <w:rFonts w:ascii="Times New Roman"/>
                <w:sz w:val="15"/>
              </w:rPr>
              <w:t>100.00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84" w:right="0"/>
              <w:jc w:val="left"/>
              <w:rPr>
                <w:rFonts w:ascii="Times New Roman" w:hAnsi="Times New Roman" w:cs="Times New Roman" w:eastAsia="Times New Roman" w:hint="default"/>
                <w:sz w:val="15"/>
                <w:szCs w:val="15"/>
              </w:rPr>
            </w:pPr>
            <w:r>
              <w:rPr>
                <w:rFonts w:ascii="Times New Roman"/>
                <w:sz w:val="15"/>
              </w:rPr>
              <w:t>2,590,195.61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21" w:right="0"/>
              <w:jc w:val="left"/>
              <w:rPr>
                <w:rFonts w:ascii="Times New Roman" w:hAnsi="Times New Roman" w:cs="Times New Roman" w:eastAsia="Times New Roman" w:hint="default"/>
                <w:sz w:val="15"/>
                <w:szCs w:val="15"/>
              </w:rPr>
            </w:pPr>
            <w:r>
              <w:rPr>
                <w:rFonts w:ascii="Times New Roman"/>
                <w:sz w:val="15"/>
              </w:rPr>
              <w:t>26.91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00" w:right="0"/>
              <w:jc w:val="left"/>
              <w:rPr>
                <w:rFonts w:ascii="Times New Roman" w:hAnsi="Times New Roman" w:cs="Times New Roman" w:eastAsia="Times New Roman" w:hint="default"/>
                <w:sz w:val="15"/>
                <w:szCs w:val="15"/>
              </w:rPr>
            </w:pPr>
            <w:r>
              <w:rPr>
                <w:rFonts w:ascii="Times New Roman"/>
                <w:sz w:val="15"/>
              </w:rPr>
              <w:t>7,035,385.35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81" w:right="0"/>
              <w:jc w:val="left"/>
              <w:rPr>
                <w:rFonts w:ascii="Times New Roman" w:hAnsi="Times New Roman" w:cs="Times New Roman" w:eastAsia="Times New Roman" w:hint="default"/>
                <w:sz w:val="15"/>
                <w:szCs w:val="15"/>
              </w:rPr>
            </w:pPr>
            <w:r>
              <w:rPr>
                <w:rFonts w:ascii="Times New Roman"/>
                <w:sz w:val="15"/>
              </w:rPr>
              <w:t>11,450,578.05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64" w:right="0"/>
              <w:jc w:val="left"/>
              <w:rPr>
                <w:rFonts w:ascii="Times New Roman" w:hAnsi="Times New Roman" w:cs="Times New Roman" w:eastAsia="Times New Roman" w:hint="default"/>
                <w:sz w:val="15"/>
                <w:szCs w:val="15"/>
              </w:rPr>
            </w:pPr>
            <w:r>
              <w:rPr>
                <w:rFonts w:ascii="Times New Roman"/>
                <w:sz w:val="15"/>
              </w:rPr>
              <w:t>2,351,143.96</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65" w:right="0"/>
              <w:jc w:val="left"/>
              <w:rPr>
                <w:rFonts w:ascii="Times New Roman" w:hAnsi="Times New Roman" w:cs="Times New Roman" w:eastAsia="Times New Roman" w:hint="default"/>
                <w:sz w:val="15"/>
                <w:szCs w:val="15"/>
              </w:rPr>
            </w:pPr>
            <w:r>
              <w:rPr>
                <w:rFonts w:ascii="Times New Roman"/>
                <w:sz w:val="15"/>
              </w:rPr>
              <w:t>20.53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2" w:right="0"/>
              <w:jc w:val="left"/>
              <w:rPr>
                <w:rFonts w:ascii="Times New Roman" w:hAnsi="Times New Roman" w:cs="Times New Roman" w:eastAsia="Times New Roman" w:hint="default"/>
                <w:sz w:val="15"/>
                <w:szCs w:val="15"/>
              </w:rPr>
            </w:pPr>
            <w:r>
              <w:rPr>
                <w:rFonts w:ascii="Times New Roman"/>
                <w:sz w:val="15"/>
              </w:rPr>
              <w:t>9,099,434.09</w:t>
            </w:r>
          </w:p>
        </w:tc>
      </w:tr>
    </w:tbl>
    <w:p>
      <w:pPr>
        <w:spacing w:after="0" w:line="240" w:lineRule="auto"/>
        <w:jc w:val="left"/>
        <w:rPr>
          <w:rFonts w:ascii="Times New Roman" w:hAnsi="Times New Roman" w:cs="Times New Roman" w:eastAsia="Times New Roman" w:hint="default"/>
          <w:sz w:val="15"/>
          <w:szCs w:val="15"/>
        </w:rPr>
        <w:sectPr>
          <w:pgSz w:w="11910" w:h="16840"/>
          <w:pgMar w:header="566" w:footer="978" w:top="1360" w:bottom="1160" w:left="40" w:right="520"/>
        </w:sectPr>
      </w:pPr>
    </w:p>
    <w:p>
      <w:pPr>
        <w:spacing w:line="240" w:lineRule="auto" w:before="4"/>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100"/>
        <w:gridCol w:w="1068"/>
        <w:gridCol w:w="792"/>
        <w:gridCol w:w="1104"/>
        <w:gridCol w:w="792"/>
        <w:gridCol w:w="1020"/>
        <w:gridCol w:w="1068"/>
        <w:gridCol w:w="576"/>
        <w:gridCol w:w="984"/>
        <w:gridCol w:w="636"/>
        <w:gridCol w:w="972"/>
      </w:tblGrid>
      <w:tr>
        <w:trPr>
          <w:trHeight w:val="402"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48" w:right="0"/>
              <w:jc w:val="left"/>
              <w:rPr>
                <w:rFonts w:ascii="Times New Roman" w:hAnsi="Times New Roman" w:cs="Times New Roman" w:eastAsia="Times New Roman" w:hint="default"/>
                <w:sz w:val="15"/>
                <w:szCs w:val="15"/>
              </w:rPr>
            </w:pPr>
            <w:r>
              <w:rPr>
                <w:rFonts w:ascii="Times New Roman"/>
                <w:sz w:val="15"/>
              </w:rPr>
              <w:t>9,625,580.96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46" w:right="0"/>
              <w:jc w:val="left"/>
              <w:rPr>
                <w:rFonts w:ascii="Times New Roman" w:hAnsi="Times New Roman" w:cs="Times New Roman" w:eastAsia="Times New Roman" w:hint="default"/>
                <w:sz w:val="15"/>
                <w:szCs w:val="15"/>
              </w:rPr>
            </w:pPr>
            <w:r>
              <w:rPr>
                <w:rFonts w:ascii="Times New Roman"/>
                <w:sz w:val="15"/>
              </w:rPr>
              <w:t>100.00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84" w:right="0"/>
              <w:jc w:val="left"/>
              <w:rPr>
                <w:rFonts w:ascii="Times New Roman" w:hAnsi="Times New Roman" w:cs="Times New Roman" w:eastAsia="Times New Roman" w:hint="default"/>
                <w:sz w:val="15"/>
                <w:szCs w:val="15"/>
              </w:rPr>
            </w:pPr>
            <w:r>
              <w:rPr>
                <w:rFonts w:ascii="Times New Roman"/>
                <w:sz w:val="15"/>
              </w:rPr>
              <w:t>2,590,195.61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21" w:right="0"/>
              <w:jc w:val="left"/>
              <w:rPr>
                <w:rFonts w:ascii="Times New Roman" w:hAnsi="Times New Roman" w:cs="Times New Roman" w:eastAsia="Times New Roman" w:hint="default"/>
                <w:sz w:val="15"/>
                <w:szCs w:val="15"/>
              </w:rPr>
            </w:pPr>
            <w:r>
              <w:rPr>
                <w:rFonts w:ascii="Times New Roman"/>
                <w:sz w:val="15"/>
              </w:rPr>
              <w:t>26.91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00" w:right="0"/>
              <w:jc w:val="left"/>
              <w:rPr>
                <w:rFonts w:ascii="Times New Roman" w:hAnsi="Times New Roman" w:cs="Times New Roman" w:eastAsia="Times New Roman" w:hint="default"/>
                <w:sz w:val="15"/>
                <w:szCs w:val="15"/>
              </w:rPr>
            </w:pPr>
            <w:r>
              <w:rPr>
                <w:rFonts w:ascii="Times New Roman"/>
                <w:sz w:val="15"/>
              </w:rPr>
              <w:t>7,035,385.35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81" w:right="0"/>
              <w:jc w:val="left"/>
              <w:rPr>
                <w:rFonts w:ascii="Times New Roman" w:hAnsi="Times New Roman" w:cs="Times New Roman" w:eastAsia="Times New Roman" w:hint="default"/>
                <w:sz w:val="15"/>
                <w:szCs w:val="15"/>
              </w:rPr>
            </w:pPr>
            <w:r>
              <w:rPr>
                <w:rFonts w:ascii="Times New Roman"/>
                <w:sz w:val="15"/>
              </w:rPr>
              <w:t>11,450,578.05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0" w:right="0"/>
              <w:jc w:val="left"/>
              <w:rPr>
                <w:rFonts w:ascii="Times New Roman" w:hAnsi="Times New Roman" w:cs="Times New Roman" w:eastAsia="Times New Roman" w:hint="default"/>
                <w:sz w:val="15"/>
                <w:szCs w:val="15"/>
              </w:rPr>
            </w:pPr>
            <w:r>
              <w:rPr>
                <w:rFonts w:ascii="Times New Roman"/>
                <w:sz w:val="15"/>
              </w:rPr>
              <w:t>100.00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4" w:right="0"/>
              <w:jc w:val="left"/>
              <w:rPr>
                <w:rFonts w:ascii="Times New Roman" w:hAnsi="Times New Roman" w:cs="Times New Roman" w:eastAsia="Times New Roman" w:hint="default"/>
                <w:sz w:val="15"/>
                <w:szCs w:val="15"/>
              </w:rPr>
            </w:pPr>
            <w:r>
              <w:rPr>
                <w:rFonts w:ascii="Times New Roman"/>
                <w:sz w:val="15"/>
              </w:rPr>
              <w:t>2,351,143.96</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65" w:right="0"/>
              <w:jc w:val="left"/>
              <w:rPr>
                <w:rFonts w:ascii="Times New Roman" w:hAnsi="Times New Roman" w:cs="Times New Roman" w:eastAsia="Times New Roman" w:hint="default"/>
                <w:sz w:val="15"/>
                <w:szCs w:val="15"/>
              </w:rPr>
            </w:pPr>
            <w:r>
              <w:rPr>
                <w:rFonts w:ascii="Times New Roman"/>
                <w:sz w:val="15"/>
              </w:rPr>
              <w:t>20.53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2" w:right="0"/>
              <w:jc w:val="left"/>
              <w:rPr>
                <w:rFonts w:ascii="Times New Roman" w:hAnsi="Times New Roman" w:cs="Times New Roman" w:eastAsia="Times New Roman" w:hint="default"/>
                <w:sz w:val="15"/>
                <w:szCs w:val="15"/>
              </w:rPr>
            </w:pPr>
            <w:r>
              <w:rPr>
                <w:rFonts w:ascii="Times New Roman"/>
                <w:sz w:val="15"/>
              </w:rPr>
              <w:t>9,099,434.09</w:t>
            </w:r>
          </w:p>
        </w:tc>
      </w:tr>
    </w:tbl>
    <w:p>
      <w:pPr>
        <w:spacing w:after="0" w:line="240" w:lineRule="auto"/>
        <w:jc w:val="left"/>
        <w:rPr>
          <w:rFonts w:ascii="Times New Roman" w:hAnsi="Times New Roman" w:cs="Times New Roman" w:eastAsia="Times New Roman" w:hint="default"/>
          <w:sz w:val="15"/>
          <w:szCs w:val="15"/>
        </w:rPr>
        <w:sectPr>
          <w:pgSz w:w="11910" w:h="16840"/>
          <w:pgMar w:header="566" w:footer="978" w:top="1360" w:bottom="1160" w:left="40" w:right="520"/>
        </w:sectPr>
      </w:pPr>
    </w:p>
    <w:p>
      <w:pPr>
        <w:pStyle w:val="BodyText"/>
        <w:spacing w:line="240" w:lineRule="auto" w:before="51"/>
        <w:ind w:left="1092" w:right="-20"/>
        <w:jc w:val="left"/>
      </w:pPr>
      <w:r>
        <w:rPr/>
        <w:t>期末单项金额重大并单项计提坏账准备的其他应收款：</w:t>
      </w:r>
    </w:p>
    <w:p>
      <w:pPr>
        <w:pStyle w:val="BodyText"/>
        <w:spacing w:line="338" w:lineRule="auto" w:before="117"/>
        <w:ind w:left="109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组合中，按账龄分析法计提坏账准备的其他应收款：</w:t>
      </w:r>
    </w:p>
    <w:p>
      <w:pPr>
        <w:pStyle w:val="BodyText"/>
        <w:spacing w:line="240" w:lineRule="auto" w:before="43"/>
        <w:ind w:left="109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092" w:right="0"/>
        <w:jc w:val="left"/>
      </w:pPr>
      <w:r>
        <w:rPr/>
        <w:t>单位：</w:t>
      </w:r>
      <w:r>
        <w:rPr>
          <w:spacing w:val="-2"/>
        </w:rPr>
        <w:t> </w:t>
      </w:r>
      <w:r>
        <w:rPr/>
        <w:t>元</w:t>
      </w:r>
    </w:p>
    <w:p>
      <w:pPr>
        <w:spacing w:after="0" w:line="240" w:lineRule="auto"/>
        <w:jc w:val="left"/>
        <w:sectPr>
          <w:type w:val="continuous"/>
          <w:pgSz w:w="11910" w:h="16840"/>
          <w:pgMar w:top="1440" w:bottom="1160" w:left="40" w:right="520"/>
          <w:cols w:num="2" w:equalWidth="0">
            <w:col w:w="5413" w:space="3416"/>
            <w:col w:w="2521"/>
          </w:cols>
        </w:sectPr>
      </w:pPr>
    </w:p>
    <w:p>
      <w:pPr>
        <w:spacing w:line="240" w:lineRule="auto" w:before="0"/>
        <w:rPr>
          <w:rFonts w:ascii="宋体" w:hAnsi="宋体" w:cs="宋体" w:eastAsia="宋体" w:hint="default"/>
          <w:sz w:val="8"/>
          <w:szCs w:val="8"/>
        </w:rPr>
      </w:pPr>
    </w:p>
    <w:tbl>
      <w:tblPr>
        <w:tblW w:w="0" w:type="auto"/>
        <w:jc w:val="left"/>
        <w:tblInd w:w="108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4,714,538.75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94,290.77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4,714,538.75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94,290.77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1,797,215.69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89,860.78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436,846.00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131,053.80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803,980.52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401,990.26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9,625,580.96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2,590,195.61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26.91%</w:t>
            </w:r>
          </w:p>
        </w:tc>
      </w:tr>
    </w:tbl>
    <w:p>
      <w:pPr>
        <w:pStyle w:val="BodyText"/>
        <w:spacing w:line="357" w:lineRule="auto" w:before="52"/>
        <w:ind w:left="1092" w:right="8254"/>
        <w:jc w:val="left"/>
      </w:pPr>
      <w:r>
        <w:rPr/>
        <w:t>确定该组合依据的说明： 无</w:t>
      </w:r>
    </w:p>
    <w:p>
      <w:pPr>
        <w:pStyle w:val="BodyText"/>
        <w:spacing w:line="240" w:lineRule="auto" w:before="29"/>
        <w:ind w:left="1092" w:right="1774"/>
        <w:jc w:val="left"/>
      </w:pPr>
      <w:r>
        <w:rPr/>
        <w:t>组合中，采用余额百分比法计提坏账准备的其他应收款：</w:t>
      </w:r>
    </w:p>
    <w:p>
      <w:pPr>
        <w:pStyle w:val="BodyText"/>
        <w:spacing w:line="338" w:lineRule="auto" w:before="117"/>
        <w:ind w:left="1092" w:right="60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43"/>
        <w:ind w:left="1092" w:right="1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092" w:right="177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092" w:right="1774"/>
        <w:jc w:val="left"/>
      </w:pPr>
      <w:r>
        <w:rPr/>
        <w:t>本期计提坏账准备金额</w:t>
      </w:r>
      <w:r>
        <w:rPr>
          <w:spacing w:val="-47"/>
        </w:rPr>
        <w:t> </w:t>
      </w:r>
      <w:r>
        <w:rPr>
          <w:rFonts w:ascii="Times New Roman" w:hAnsi="Times New Roman" w:cs="Times New Roman" w:eastAsia="Times New Roman" w:hint="default"/>
        </w:rPr>
        <w:t>239,051.65</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13"/>
        <w:rPr>
          <w:rFonts w:ascii="宋体" w:hAnsi="宋体" w:cs="宋体" w:eastAsia="宋体" w:hint="default"/>
          <w:sz w:val="25"/>
          <w:szCs w:val="25"/>
        </w:rPr>
      </w:pPr>
    </w:p>
    <w:p>
      <w:pPr>
        <w:pStyle w:val="Heading3"/>
        <w:spacing w:line="240" w:lineRule="auto"/>
        <w:ind w:left="1092" w:right="1774"/>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092" w:right="1774"/>
        <w:jc w:val="left"/>
      </w:pPr>
      <w:r>
        <w:rPr/>
        <w:t>无</w:t>
      </w:r>
    </w:p>
    <w:p>
      <w:pPr>
        <w:spacing w:line="240" w:lineRule="auto" w:before="11"/>
        <w:rPr>
          <w:rFonts w:ascii="宋体" w:hAnsi="宋体" w:cs="宋体" w:eastAsia="宋体" w:hint="default"/>
          <w:sz w:val="26"/>
          <w:szCs w:val="26"/>
        </w:rPr>
      </w:pPr>
    </w:p>
    <w:p>
      <w:pPr>
        <w:pStyle w:val="Heading3"/>
        <w:spacing w:line="240" w:lineRule="auto"/>
        <w:ind w:left="1092" w:right="1774"/>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6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8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545,020.12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1,054,375.12</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保证金、抵押金等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7,246,806.04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8,646,601.11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440" w:bottom="1160" w:left="40" w:right="5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代垫及代付款项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1,833,020.80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1,748,867.82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9,625,580.96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11,450,578.05</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12"/>
        <w:gridCol w:w="1248"/>
        <w:gridCol w:w="1236"/>
        <w:gridCol w:w="880"/>
        <w:gridCol w:w="1595"/>
        <w:gridCol w:w="1595"/>
      </w:tblGrid>
      <w:tr>
        <w:trPr>
          <w:trHeight w:val="714"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辽宁东方瑞德建筑装饰工程有限公司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垫付款</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辽宁轨道交通职业学院</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670,000.00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670,000.00</w:t>
            </w:r>
          </w:p>
        </w:tc>
      </w:tr>
      <w:tr>
        <w:trPr>
          <w:trHeight w:val="402" w:hRule="exact"/>
        </w:trPr>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北京合创医信科技有限公司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608,475.00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304,237.50</w:t>
            </w:r>
          </w:p>
        </w:tc>
      </w:tr>
      <w:tr>
        <w:trPr>
          <w:trHeight w:val="402" w:hRule="exact"/>
        </w:trPr>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西安交通大学第一附属医院</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10"/>
                <w:sz w:val="18"/>
                <w:szCs w:val="18"/>
              </w:rPr>
              <w:t>保证金、抵押金</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594,000.00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29,700.00</w:t>
            </w:r>
          </w:p>
        </w:tc>
      </w:tr>
      <w:tr>
        <w:trPr>
          <w:trHeight w:val="402" w:hRule="exact"/>
        </w:trPr>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沈阳市苏家屯区公共资源交易中心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380,000.00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7,600.00</w:t>
            </w:r>
          </w:p>
        </w:tc>
      </w:tr>
      <w:tr>
        <w:trPr>
          <w:trHeight w:val="402"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3,452,475.00</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2,211,537.50</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494"/>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6,207,909.60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6,207,909.60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5,685,450.77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5,685,450.77</w:t>
            </w:r>
          </w:p>
        </w:tc>
      </w:tr>
      <w:tr>
        <w:trPr>
          <w:trHeight w:val="4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5,310.07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12,391.16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12,391.16</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25,552,953.26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25,552,953.26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38,826,557.49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38,826,557.49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31,766,172.93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31,766,172.93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44,524,399.42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44,524,399.42</w:t>
            </w:r>
          </w:p>
        </w:tc>
      </w:tr>
    </w:tbl>
    <w:p>
      <w:pPr>
        <w:pStyle w:val="BodyText"/>
        <w:spacing w:line="340" w:lineRule="auto" w:before="50"/>
        <w:ind w:right="1455"/>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1"/>
        <w:ind w:right="55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73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本公司期末各项存货均不存在减值因素，故未计提存货跌价准备。</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本公司期末存货余额中无借款费用资本化金额。</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834"/>
        <w:jc w:val="left"/>
      </w:pPr>
      <w:r>
        <w:rPr/>
        <w:t>无 其他说明：</w:t>
      </w:r>
    </w:p>
    <w:p>
      <w:pPr>
        <w:pStyle w:val="BodyText"/>
        <w:spacing w:line="240" w:lineRule="auto" w:before="25"/>
        <w:ind w:right="0"/>
        <w:jc w:val="left"/>
      </w:pPr>
      <w:r>
        <w:rPr/>
        <w:t>本公司期末存货无抵押、质押等情况。</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2,294,811.90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2,170,511.96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2,294,811.90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2,170,511.96</w:t>
            </w:r>
          </w:p>
        </w:tc>
      </w:tr>
    </w:tbl>
    <w:p>
      <w:pPr>
        <w:spacing w:line="240" w:lineRule="auto" w:before="8"/>
        <w:rPr>
          <w:rFonts w:ascii="宋体" w:hAnsi="宋体" w:cs="宋体" w:eastAsia="宋体" w:hint="default"/>
          <w:sz w:val="6"/>
          <w:szCs w:val="6"/>
        </w:rPr>
      </w:pPr>
    </w:p>
    <w:p>
      <w:pPr>
        <w:pStyle w:val="BodyText"/>
        <w:spacing w:line="439" w:lineRule="auto" w:before="44"/>
        <w:ind w:right="4694"/>
        <w:jc w:val="left"/>
      </w:pPr>
      <w:r>
        <w:rPr/>
        <w:t>其他说明： 本项目期末余额均系一年内到期的应收分期收款销售商品款项。</w:t>
      </w:r>
    </w:p>
    <w:p>
      <w:pPr>
        <w:spacing w:line="240" w:lineRule="auto" w:before="8"/>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留抵税额及预缴税款等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2,938,880.98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3,894,820.42</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4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2,938,880.98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3,894,820.42</w:t>
            </w:r>
          </w:p>
        </w:tc>
      </w:tr>
    </w:tbl>
    <w:p>
      <w:pPr>
        <w:spacing w:line="240" w:lineRule="auto" w:before="4"/>
        <w:rPr>
          <w:rFonts w:ascii="宋体" w:hAnsi="宋体" w:cs="宋体" w:eastAsia="宋体" w:hint="default"/>
          <w:sz w:val="19"/>
          <w:szCs w:val="19"/>
        </w:rPr>
      </w:pPr>
    </w:p>
    <w:p>
      <w:pPr>
        <w:pStyle w:val="Heading3"/>
        <w:spacing w:line="240" w:lineRule="auto" w:before="34"/>
        <w:ind w:left="452"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452"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47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44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center"/>
              <w:rPr>
                <w:rFonts w:ascii="Times New Roman" w:hAnsi="Times New Roman" w:cs="Times New Roman" w:eastAsia="Times New Roman" w:hint="default"/>
                <w:sz w:val="18"/>
                <w:szCs w:val="18"/>
              </w:rPr>
            </w:pPr>
            <w:r>
              <w:rPr>
                <w:rFonts w:ascii="Times New Roman"/>
                <w:sz w:val="18"/>
              </w:rPr>
              <w:t>23,010,000.00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center"/>
              <w:rPr>
                <w:rFonts w:ascii="Times New Roman" w:hAnsi="Times New Roman" w:cs="Times New Roman" w:eastAsia="Times New Roman" w:hint="default"/>
                <w:sz w:val="18"/>
                <w:szCs w:val="18"/>
              </w:rPr>
            </w:pPr>
            <w:r>
              <w:rPr>
                <w:rFonts w:ascii="Times New Roman"/>
                <w:sz w:val="18"/>
              </w:rPr>
              <w:t>23,010,000.00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17,010,000.00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0" w:right="0"/>
              <w:jc w:val="left"/>
              <w:rPr>
                <w:rFonts w:ascii="Times New Roman" w:hAnsi="Times New Roman" w:cs="Times New Roman" w:eastAsia="Times New Roman" w:hint="default"/>
                <w:sz w:val="18"/>
                <w:szCs w:val="18"/>
              </w:rPr>
            </w:pPr>
            <w:r>
              <w:rPr>
                <w:rFonts w:ascii="Times New Roman"/>
                <w:sz w:val="18"/>
              </w:rPr>
              <w:t>17,010,000.00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23,010,000.00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center"/>
              <w:rPr>
                <w:rFonts w:ascii="Times New Roman" w:hAnsi="Times New Roman" w:cs="Times New Roman" w:eastAsia="Times New Roman" w:hint="default"/>
                <w:sz w:val="18"/>
                <w:szCs w:val="18"/>
              </w:rPr>
            </w:pPr>
            <w:r>
              <w:rPr>
                <w:rFonts w:ascii="Times New Roman"/>
                <w:sz w:val="18"/>
              </w:rPr>
              <w:t>23,010,000.00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17,010,000.00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center"/>
              <w:rPr>
                <w:rFonts w:ascii="Times New Roman" w:hAnsi="Times New Roman" w:cs="Times New Roman" w:eastAsia="Times New Roman" w:hint="default"/>
                <w:sz w:val="18"/>
                <w:szCs w:val="18"/>
              </w:rPr>
            </w:pPr>
            <w:r>
              <w:rPr>
                <w:rFonts w:ascii="Times New Roman"/>
                <w:sz w:val="18"/>
              </w:rPr>
              <w:t>23,010,000.00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center"/>
              <w:rPr>
                <w:rFonts w:ascii="Times New Roman" w:hAnsi="Times New Roman" w:cs="Times New Roman" w:eastAsia="Times New Roman" w:hint="default"/>
                <w:sz w:val="18"/>
                <w:szCs w:val="18"/>
              </w:rPr>
            </w:pPr>
            <w:r>
              <w:rPr>
                <w:rFonts w:ascii="Times New Roman"/>
                <w:sz w:val="18"/>
              </w:rPr>
              <w:t>23,010,000.00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17,010,000.00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0" w:right="0"/>
              <w:jc w:val="left"/>
              <w:rPr>
                <w:rFonts w:ascii="Times New Roman" w:hAnsi="Times New Roman" w:cs="Times New Roman" w:eastAsia="Times New Roman" w:hint="default"/>
                <w:sz w:val="18"/>
                <w:szCs w:val="18"/>
              </w:rPr>
            </w:pPr>
            <w:r>
              <w:rPr>
                <w:rFonts w:ascii="Times New Roman"/>
                <w:sz w:val="18"/>
              </w:rPr>
              <w:t>17,010,000.00</w:t>
            </w:r>
          </w:p>
        </w:tc>
      </w:tr>
    </w:tbl>
    <w:p>
      <w:pPr>
        <w:spacing w:line="240" w:lineRule="auto" w:before="3"/>
        <w:rPr>
          <w:rFonts w:ascii="宋体" w:hAnsi="宋体" w:cs="宋体" w:eastAsia="宋体" w:hint="default"/>
          <w:sz w:val="19"/>
          <w:szCs w:val="19"/>
        </w:rPr>
      </w:pPr>
    </w:p>
    <w:p>
      <w:pPr>
        <w:pStyle w:val="Heading3"/>
        <w:spacing w:line="240" w:lineRule="auto" w:before="34"/>
        <w:ind w:left="452"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52"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452"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47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846"/>
        <w:gridCol w:w="1190"/>
        <w:gridCol w:w="1134"/>
        <w:gridCol w:w="851"/>
        <w:gridCol w:w="1134"/>
        <w:gridCol w:w="772"/>
        <w:gridCol w:w="546"/>
        <w:gridCol w:w="525"/>
        <w:gridCol w:w="593"/>
        <w:gridCol w:w="870"/>
        <w:gridCol w:w="870"/>
      </w:tblGrid>
      <w:tr>
        <w:trPr>
          <w:trHeight w:val="402" w:hRule="exact"/>
        </w:trPr>
        <w:tc>
          <w:tcPr>
            <w:tcW w:w="18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3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70"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4"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8" w:right="8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5"/>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18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沈阳荣科融拓健康数</w:t>
            </w:r>
          </w:p>
        </w:tc>
        <w:tc>
          <w:tcPr>
            <w:tcW w:w="119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72"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525" w:type="dxa"/>
            <w:vMerge w:val="restart"/>
            <w:tcBorders>
              <w:top w:val="single" w:sz="4" w:space="0" w:color="000000"/>
              <w:left w:val="single" w:sz="4" w:space="0" w:color="000000"/>
              <w:right w:val="single" w:sz="4" w:space="0" w:color="000000"/>
            </w:tcBorders>
          </w:tcPr>
          <w:p>
            <w:pPr/>
          </w:p>
        </w:tc>
        <w:tc>
          <w:tcPr>
            <w:tcW w:w="593"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7" w:hRule="exact"/>
        </w:trPr>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据产业股权投资合伙</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99" w:right="0"/>
              <w:jc w:val="center"/>
              <w:rPr>
                <w:rFonts w:ascii="Times New Roman" w:hAnsi="Times New Roman" w:cs="Times New Roman" w:eastAsia="Times New Roman" w:hint="default"/>
                <w:sz w:val="18"/>
                <w:szCs w:val="18"/>
              </w:rPr>
            </w:pPr>
            <w:r>
              <w:rPr>
                <w:rFonts w:ascii="Times New Roman"/>
                <w:sz w:val="18"/>
              </w:rPr>
              <w:t>17,010,000.00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56" w:right="0"/>
              <w:jc w:val="left"/>
              <w:rPr>
                <w:rFonts w:ascii="Times New Roman" w:hAnsi="Times New Roman" w:cs="Times New Roman" w:eastAsia="Times New Roman" w:hint="default"/>
                <w:sz w:val="18"/>
                <w:szCs w:val="18"/>
              </w:rPr>
            </w:pPr>
            <w:r>
              <w:rPr>
                <w:rFonts w:ascii="Times New Roman"/>
                <w:sz w:val="18"/>
              </w:rPr>
              <w:t>6,000,000.00</w:t>
            </w:r>
          </w:p>
        </w:tc>
        <w:tc>
          <w:tcPr>
            <w:tcW w:w="851"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center"/>
              <w:rPr>
                <w:rFonts w:ascii="Times New Roman" w:hAnsi="Times New Roman" w:cs="Times New Roman" w:eastAsia="Times New Roman" w:hint="default"/>
                <w:sz w:val="18"/>
                <w:szCs w:val="18"/>
              </w:rPr>
            </w:pPr>
            <w:r>
              <w:rPr>
                <w:rFonts w:ascii="Times New Roman"/>
                <w:sz w:val="18"/>
              </w:rPr>
              <w:t>23,010,000.00</w:t>
            </w:r>
          </w:p>
        </w:tc>
        <w:tc>
          <w:tcPr>
            <w:tcW w:w="772"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25" w:type="dxa"/>
            <w:vMerge/>
            <w:tcBorders>
              <w:left w:val="single" w:sz="4" w:space="0" w:color="000000"/>
              <w:right w:val="single" w:sz="4" w:space="0" w:color="000000"/>
            </w:tcBorders>
          </w:tcPr>
          <w:p>
            <w:pPr/>
          </w:p>
        </w:tc>
        <w:tc>
          <w:tcPr>
            <w:tcW w:w="593"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82" w:right="0"/>
              <w:jc w:val="left"/>
              <w:rPr>
                <w:rFonts w:ascii="Times New Roman" w:hAnsi="Times New Roman" w:cs="Times New Roman" w:eastAsia="Times New Roman" w:hint="default"/>
                <w:sz w:val="18"/>
                <w:szCs w:val="18"/>
              </w:rPr>
            </w:pPr>
            <w:r>
              <w:rPr>
                <w:rFonts w:ascii="Times New Roman"/>
                <w:sz w:val="18"/>
              </w:rPr>
              <w:t>10.00%</w:t>
            </w:r>
          </w:p>
        </w:tc>
        <w:tc>
          <w:tcPr>
            <w:tcW w:w="870" w:type="dxa"/>
            <w:vMerge/>
            <w:tcBorders>
              <w:left w:val="single" w:sz="4" w:space="0" w:color="000000"/>
              <w:right w:val="single" w:sz="4" w:space="0" w:color="000000"/>
            </w:tcBorders>
          </w:tcPr>
          <w:p>
            <w:pPr/>
          </w:p>
        </w:tc>
      </w:tr>
      <w:tr>
        <w:trPr>
          <w:trHeight w:val="352" w:hRule="exact"/>
        </w:trPr>
        <w:tc>
          <w:tcPr>
            <w:tcW w:w="18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119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72"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525" w:type="dxa"/>
            <w:vMerge/>
            <w:tcBorders>
              <w:left w:val="single" w:sz="4" w:space="0" w:color="000000"/>
              <w:bottom w:val="single" w:sz="4" w:space="0" w:color="000000"/>
              <w:right w:val="single" w:sz="4" w:space="0" w:color="000000"/>
            </w:tcBorders>
          </w:tcPr>
          <w:p>
            <w:pPr/>
          </w:p>
        </w:tc>
        <w:tc>
          <w:tcPr>
            <w:tcW w:w="593"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17,010,000.00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6,000,000.00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23,010,000.00</w:t>
            </w:r>
          </w:p>
        </w:tc>
        <w:tc>
          <w:tcPr>
            <w:tcW w:w="772"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25"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left="452" w:right="0"/>
        <w:jc w:val="both"/>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2"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18"/>
        <w:ind w:left="452" w:right="0"/>
        <w:jc w:val="both"/>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452" w:right="9374"/>
        <w:jc w:val="left"/>
      </w:pPr>
      <w:r>
        <w:rPr/>
        <w:t>无 其他说明</w:t>
      </w:r>
    </w:p>
    <w:p>
      <w:pPr>
        <w:pStyle w:val="BodyText"/>
        <w:spacing w:line="300" w:lineRule="auto" w:before="27"/>
        <w:ind w:left="452" w:right="472"/>
        <w:jc w:val="both"/>
      </w:pPr>
      <w:r>
        <w:rPr>
          <w:rFonts w:ascii="Times New Roman" w:hAnsi="Times New Roman" w:cs="Times New Roman" w:eastAsia="Times New Roman" w:hint="default"/>
          <w:spacing w:val="-2"/>
        </w:rPr>
        <w:t>2016</w:t>
      </w:r>
      <w:r>
        <w:rPr>
          <w:spacing w:val="-2"/>
        </w:rPr>
        <w:t>年，公司与北京融拓创新投资管理有限公司共同投资设立沈阳荣科融拓健康数据产业股权投资合伙企业（有限合伙），</w:t>
      </w:r>
      <w:r>
        <w:rPr>
          <w:spacing w:val="-63"/>
        </w:rPr>
        <w:t> </w:t>
      </w:r>
      <w:r>
        <w:rPr>
          <w:spacing w:val="-63"/>
        </w:rPr>
      </w:r>
      <w:r>
        <w:rPr/>
        <w:t>产业基金注册资本</w:t>
      </w:r>
      <w:r>
        <w:rPr>
          <w:rFonts w:ascii="Times New Roman" w:hAnsi="Times New Roman" w:cs="Times New Roman" w:eastAsia="Times New Roman" w:hint="default"/>
        </w:rPr>
        <w:t>50,000.00</w:t>
      </w:r>
      <w:r>
        <w:rPr/>
        <w:t>万元，公司作为有限合伙人认缴出资</w:t>
      </w:r>
      <w:r>
        <w:rPr>
          <w:rFonts w:ascii="Times New Roman" w:hAnsi="Times New Roman" w:cs="Times New Roman" w:eastAsia="Times New Roman" w:hint="default"/>
        </w:rPr>
        <w:t>5,000.00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日止，本公司已实缴出资 </w:t>
      </w:r>
      <w:r>
        <w:rPr>
          <w:rFonts w:ascii="Times New Roman" w:hAnsi="Times New Roman" w:cs="Times New Roman" w:eastAsia="Times New Roman" w:hint="default"/>
        </w:rPr>
        <w:t>2,301.00</w:t>
      </w:r>
      <w:r>
        <w:rPr/>
        <w:t>万元。</w:t>
      </w:r>
    </w:p>
    <w:p>
      <w:pPr>
        <w:spacing w:after="0" w:line="300" w:lineRule="auto"/>
        <w:jc w:val="both"/>
        <w:sectPr>
          <w:pgSz w:w="11910" w:h="16840"/>
          <w:pgMar w:header="566" w:footer="978" w:top="1360" w:bottom="1160" w:left="680" w:right="660"/>
        </w:sectPr>
      </w:pPr>
    </w:p>
    <w:p>
      <w:pPr>
        <w:pStyle w:val="Heading3"/>
        <w:spacing w:line="240" w:lineRule="auto" w:before="55"/>
        <w:ind w:left="372"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72"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7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372"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72"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372"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72"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372"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72"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655"/>
        <w:gridCol w:w="1167"/>
        <w:gridCol w:w="1167"/>
        <w:gridCol w:w="1167"/>
        <w:gridCol w:w="1167"/>
        <w:gridCol w:w="1168"/>
        <w:gridCol w:w="1165"/>
        <w:gridCol w:w="1165"/>
      </w:tblGrid>
      <w:tr>
        <w:trPr>
          <w:trHeight w:val="402" w:hRule="exact"/>
        </w:trPr>
        <w:tc>
          <w:tcPr>
            <w:tcW w:w="16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655"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 w:right="0"/>
              <w:jc w:val="left"/>
              <w:rPr>
                <w:rFonts w:ascii="Times New Roman" w:hAnsi="Times New Roman" w:cs="Times New Roman" w:eastAsia="Times New Roman" w:hint="default"/>
                <w:sz w:val="18"/>
                <w:szCs w:val="18"/>
              </w:rPr>
            </w:pPr>
            <w:r>
              <w:rPr>
                <w:rFonts w:ascii="Times New Roman"/>
                <w:sz w:val="18"/>
              </w:rPr>
              <w:t>6,625,099.43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132,501.98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6,492,597.45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0" w:right="0"/>
              <w:jc w:val="left"/>
              <w:rPr>
                <w:rFonts w:ascii="Times New Roman" w:hAnsi="Times New Roman" w:cs="Times New Roman" w:eastAsia="Times New Roman" w:hint="default"/>
                <w:sz w:val="18"/>
                <w:szCs w:val="18"/>
              </w:rPr>
            </w:pPr>
            <w:r>
              <w:rPr>
                <w:rFonts w:ascii="Times New Roman"/>
                <w:sz w:val="18"/>
              </w:rPr>
              <w:t>8,198,387.78</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163,967.76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7" w:right="0"/>
              <w:jc w:val="left"/>
              <w:rPr>
                <w:rFonts w:ascii="Times New Roman" w:hAnsi="Times New Roman" w:cs="Times New Roman" w:eastAsia="Times New Roman" w:hint="default"/>
                <w:sz w:val="18"/>
                <w:szCs w:val="18"/>
              </w:rPr>
            </w:pPr>
            <w:r>
              <w:rPr>
                <w:rFonts w:ascii="Times New Roman"/>
                <w:sz w:val="18"/>
              </w:rPr>
              <w:t>8,034,420.02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6,625,099.43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132,501.98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6,492,597.45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8,198,387.78</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163,967.76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8,034,420.02</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4"/>
        <w:ind w:left="372"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7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372"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72"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372"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7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372"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72" w:right="0"/>
        <w:jc w:val="left"/>
      </w:pPr>
      <w:r>
        <w:rPr/>
        <w:t>无</w:t>
      </w:r>
    </w:p>
    <w:p>
      <w:pPr>
        <w:spacing w:after="0" w:line="240" w:lineRule="auto"/>
        <w:jc w:val="left"/>
        <w:sectPr>
          <w:pgSz w:w="11910" w:h="16840"/>
          <w:pgMar w:header="566" w:footer="978" w:top="1360" w:bottom="1160" w:left="760" w:right="1020"/>
        </w:sectPr>
      </w:pPr>
    </w:p>
    <w:p>
      <w:pPr>
        <w:pStyle w:val="Heading3"/>
        <w:spacing w:line="240" w:lineRule="auto" w:before="55"/>
        <w:ind w:left="932"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932"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183"/>
        <w:gridCol w:w="1367"/>
        <w:gridCol w:w="1367"/>
        <w:gridCol w:w="1367"/>
        <w:gridCol w:w="1367"/>
        <w:gridCol w:w="1367"/>
        <w:gridCol w:w="1367"/>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46,735,486.41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1,443,965.83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45,375,414.37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4,963,447.14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5,289,064.29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103,807,378.04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44,581,802.12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42,022,596.02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4,585,230.37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91,189,628.51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651,908.52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208,163.76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860,072.28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44,581,802.12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41,370,687.50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4,377,066.61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90,329,556.23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837,850.33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845,850.33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837,850.33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845,850.33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91,317,288.53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1,443,965.83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86,560,160.06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4,963,447.14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9,866,294.66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194,151,156.22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4,765,468.27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667,975.01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20,034,748.56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3,351,430.76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2,155,730.22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30,975,352.82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2,027,724.68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136,887.96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8,083,761.63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644,805.76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1,186,032.88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12,079,212.91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2,027,724.68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136,887.96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8,083,761.63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644,805.76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1,186,032.88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12,079,212.91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785,501.33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789,925.33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785,501.33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789,925.33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6,793,192.95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804,862.97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27,333,008.86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3,996,236.52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3,337,339.10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42,264,640.40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84,524,095.58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639,102.86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59,227,151.20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967,210.62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6,528,955.56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151,886,515.82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41,970,018.14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775,990.82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25,340,665.81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1,612,016.38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3,133,334.07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72,832,025.22</w:t>
            </w:r>
          </w:p>
        </w:tc>
      </w:tr>
    </w:tbl>
    <w:p>
      <w:pPr>
        <w:spacing w:line="240" w:lineRule="auto" w:before="2"/>
        <w:rPr>
          <w:rFonts w:ascii="宋体" w:hAnsi="宋体" w:cs="宋体" w:eastAsia="宋体" w:hint="default"/>
          <w:sz w:val="19"/>
          <w:szCs w:val="19"/>
        </w:rPr>
      </w:pPr>
    </w:p>
    <w:p>
      <w:pPr>
        <w:pStyle w:val="Heading3"/>
        <w:spacing w:line="240" w:lineRule="auto" w:before="34"/>
        <w:ind w:left="932"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932" w:right="0"/>
        <w:jc w:val="left"/>
      </w:pPr>
      <w:r>
        <w:rPr/>
        <w:t>无</w:t>
      </w:r>
    </w:p>
    <w:p>
      <w:pPr>
        <w:spacing w:after="0" w:line="240" w:lineRule="auto"/>
        <w:jc w:val="left"/>
        <w:sectPr>
          <w:pgSz w:w="11910" w:h="16840"/>
          <w:pgMar w:header="566" w:footer="978" w:top="1360" w:bottom="1160" w:left="200" w:right="1020"/>
        </w:sectPr>
      </w:pPr>
    </w:p>
    <w:p>
      <w:pPr>
        <w:pStyle w:val="Heading3"/>
        <w:spacing w:line="240" w:lineRule="auto" w:before="55"/>
        <w:ind w:left="1052" w:right="4034"/>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52" w:right="40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052" w:right="4034"/>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052" w:right="40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052" w:right="4034"/>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5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4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新园区门卫房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831,273.62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尚未办理完毕</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831,273.62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0"/>
        <w:ind w:left="1052" w:right="4034"/>
        <w:jc w:val="left"/>
      </w:pPr>
      <w:r>
        <w:rPr/>
        <w:t>其他说明： 本公司期末固定资产均在正常使用中，不存在减值因素，故未计提减值准备。 公司期末固定资产不存在抵押、担保情况。</w:t>
      </w:r>
    </w:p>
    <w:p>
      <w:pPr>
        <w:pStyle w:val="BodyText"/>
        <w:spacing w:line="300" w:lineRule="auto" w:before="29"/>
        <w:ind w:left="1052" w:right="526"/>
        <w:jc w:val="left"/>
      </w:pPr>
      <w:r>
        <w:rPr/>
        <w:t>本项目期末原值较期初原值增加</w:t>
      </w:r>
      <w:r>
        <w:rPr>
          <w:spacing w:val="-50"/>
        </w:rPr>
        <w:t> </w:t>
      </w:r>
      <w:r>
        <w:rPr>
          <w:rFonts w:ascii="Times New Roman" w:hAnsi="Times New Roman" w:cs="Times New Roman" w:eastAsia="Times New Roman" w:hint="default"/>
        </w:rPr>
        <w:t>90,343,778.18</w:t>
      </w:r>
      <w:r>
        <w:rPr>
          <w:rFonts w:ascii="Times New Roman" w:hAnsi="Times New Roman" w:cs="Times New Roman" w:eastAsia="Times New Roman" w:hint="default"/>
          <w:spacing w:val="-6"/>
        </w:rPr>
        <w:t> </w:t>
      </w:r>
      <w:r>
        <w:rPr/>
        <w:t>元，增幅</w:t>
      </w:r>
      <w:r>
        <w:rPr>
          <w:spacing w:val="-51"/>
        </w:rPr>
        <w:t> </w:t>
      </w:r>
      <w:r>
        <w:rPr>
          <w:rFonts w:ascii="Times New Roman" w:hAnsi="Times New Roman" w:cs="Times New Roman" w:eastAsia="Times New Roman" w:hint="default"/>
        </w:rPr>
        <w:t>87.03%</w:t>
      </w:r>
      <w:r>
        <w:rPr/>
        <w:t>，主要系公司建设项目达到预定可使用状态由在建工程转入 固定资产所致。</w:t>
      </w:r>
    </w:p>
    <w:p>
      <w:pPr>
        <w:spacing w:line="240" w:lineRule="auto" w:before="5"/>
        <w:rPr>
          <w:rFonts w:ascii="宋体" w:hAnsi="宋体" w:cs="宋体" w:eastAsia="宋体" w:hint="default"/>
          <w:sz w:val="23"/>
          <w:szCs w:val="23"/>
        </w:rPr>
      </w:pPr>
    </w:p>
    <w:p>
      <w:pPr>
        <w:pStyle w:val="Heading3"/>
        <w:spacing w:line="240" w:lineRule="auto"/>
        <w:ind w:left="1052" w:right="4034"/>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052" w:right="4034"/>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5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92"/>
        <w:gridCol w:w="984"/>
        <w:gridCol w:w="1008"/>
        <w:gridCol w:w="886"/>
        <w:gridCol w:w="1367"/>
        <w:gridCol w:w="1367"/>
        <w:gridCol w:w="1367"/>
      </w:tblGrid>
      <w:tr>
        <w:trPr>
          <w:trHeight w:val="402" w:hRule="exact"/>
        </w:trPr>
        <w:tc>
          <w:tcPr>
            <w:tcW w:w="3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492" w:type="dxa"/>
            <w:vMerge/>
            <w:tcBorders>
              <w:left w:val="single" w:sz="4" w:space="0" w:color="000000"/>
              <w:bottom w:val="single" w:sz="4" w:space="0" w:color="000000"/>
              <w:right w:val="single" w:sz="4" w:space="0" w:color="000000"/>
            </w:tcBorders>
            <w:shd w:val="clear" w:color="auto" w:fill="D2D2D2"/>
          </w:tcPr>
          <w:p>
            <w:pP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研发中心及综合办公楼建设项目</w:t>
            </w:r>
          </w:p>
        </w:tc>
        <w:tc>
          <w:tcPr>
            <w:tcW w:w="98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8" w:right="0"/>
              <w:jc w:val="left"/>
              <w:rPr>
                <w:rFonts w:ascii="Times New Roman" w:hAnsi="Times New Roman" w:cs="Times New Roman" w:eastAsia="Times New Roman" w:hint="default"/>
                <w:sz w:val="18"/>
                <w:szCs w:val="18"/>
              </w:rPr>
            </w:pPr>
            <w:r>
              <w:rPr>
                <w:rFonts w:ascii="Times New Roman"/>
                <w:sz w:val="18"/>
              </w:rPr>
              <w:t>43,154,750.63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8" w:right="0"/>
              <w:jc w:val="left"/>
              <w:rPr>
                <w:rFonts w:ascii="Times New Roman" w:hAnsi="Times New Roman" w:cs="Times New Roman" w:eastAsia="Times New Roman" w:hint="default"/>
                <w:sz w:val="18"/>
                <w:szCs w:val="18"/>
              </w:rPr>
            </w:pPr>
            <w:r>
              <w:rPr>
                <w:rFonts w:ascii="Times New Roman"/>
                <w:sz w:val="18"/>
              </w:rPr>
              <w:t>43,154,750.63</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基于大数据应用的医疗卫生云平台</w:t>
            </w:r>
          </w:p>
        </w:tc>
        <w:tc>
          <w:tcPr>
            <w:tcW w:w="98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14,707,236.79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14,707,236.79</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8" w:right="0"/>
              <w:jc w:val="left"/>
              <w:rPr>
                <w:rFonts w:ascii="Times New Roman" w:hAnsi="Times New Roman" w:cs="Times New Roman" w:eastAsia="Times New Roman" w:hint="default"/>
                <w:sz w:val="18"/>
                <w:szCs w:val="18"/>
              </w:rPr>
            </w:pPr>
            <w:r>
              <w:rPr>
                <w:rFonts w:ascii="Times New Roman"/>
                <w:sz w:val="18"/>
              </w:rPr>
              <w:t>57,861,987.42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8" w:right="0"/>
              <w:jc w:val="left"/>
              <w:rPr>
                <w:rFonts w:ascii="Times New Roman" w:hAnsi="Times New Roman" w:cs="Times New Roman" w:eastAsia="Times New Roman" w:hint="default"/>
                <w:sz w:val="18"/>
                <w:szCs w:val="18"/>
              </w:rPr>
            </w:pPr>
            <w:r>
              <w:rPr>
                <w:rFonts w:ascii="Times New Roman"/>
                <w:sz w:val="18"/>
              </w:rPr>
              <w:t>57,861,987.42</w:t>
            </w:r>
          </w:p>
        </w:tc>
      </w:tr>
    </w:tbl>
    <w:p>
      <w:pPr>
        <w:spacing w:line="240" w:lineRule="auto" w:before="3"/>
        <w:rPr>
          <w:rFonts w:ascii="宋体" w:hAnsi="宋体" w:cs="宋体" w:eastAsia="宋体" w:hint="default"/>
          <w:sz w:val="19"/>
          <w:szCs w:val="19"/>
        </w:rPr>
      </w:pPr>
    </w:p>
    <w:p>
      <w:pPr>
        <w:pStyle w:val="Heading3"/>
        <w:spacing w:line="240" w:lineRule="auto" w:before="34"/>
        <w:ind w:left="1052" w:right="4034"/>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5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70"/>
        <w:gridCol w:w="1204"/>
        <w:gridCol w:w="1168"/>
        <w:gridCol w:w="1156"/>
        <w:gridCol w:w="1112"/>
        <w:gridCol w:w="425"/>
        <w:gridCol w:w="567"/>
        <w:gridCol w:w="709"/>
        <w:gridCol w:w="567"/>
        <w:gridCol w:w="708"/>
        <w:gridCol w:w="657"/>
        <w:gridCol w:w="602"/>
        <w:gridCol w:w="859"/>
      </w:tblGrid>
      <w:tr>
        <w:trPr>
          <w:trHeight w:val="1338" w:hRule="exact"/>
        </w:trPr>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0"/>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1" w:right="98"/>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7"/>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7"/>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8" w:right="79"/>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6"/>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2"/>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 w:right="23"/>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357" w:hRule="exact"/>
        </w:trPr>
        <w:tc>
          <w:tcPr>
            <w:tcW w:w="12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研发中心及综</w:t>
            </w:r>
          </w:p>
        </w:tc>
        <w:tc>
          <w:tcPr>
            <w:tcW w:w="1204" w:type="dxa"/>
            <w:tcBorders>
              <w:top w:val="single" w:sz="4" w:space="0" w:color="000000"/>
              <w:left w:val="single" w:sz="4" w:space="0" w:color="000000"/>
              <w:bottom w:val="nil" w:sz="6" w:space="0" w:color="auto"/>
              <w:right w:val="single" w:sz="4" w:space="0" w:color="000000"/>
            </w:tcBorders>
          </w:tcPr>
          <w:p>
            <w:pPr/>
          </w:p>
        </w:tc>
        <w:tc>
          <w:tcPr>
            <w:tcW w:w="1168"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112" w:type="dxa"/>
            <w:tcBorders>
              <w:top w:val="single" w:sz="4" w:space="0" w:color="000000"/>
              <w:left w:val="single" w:sz="4" w:space="0" w:color="000000"/>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657"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合办公楼建设</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11" w:right="0"/>
              <w:jc w:val="center"/>
              <w:rPr>
                <w:rFonts w:ascii="Times New Roman" w:hAnsi="Times New Roman" w:cs="Times New Roman" w:eastAsia="Times New Roman" w:hint="default"/>
                <w:sz w:val="18"/>
                <w:szCs w:val="18"/>
              </w:rPr>
            </w:pPr>
            <w:r>
              <w:rPr>
                <w:rFonts w:ascii="Times New Roman"/>
                <w:sz w:val="18"/>
              </w:rPr>
              <w:t>87,580,000.00</w:t>
            </w:r>
          </w:p>
        </w:tc>
        <w:tc>
          <w:tcPr>
            <w:tcW w:w="11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7" w:right="0"/>
              <w:jc w:val="center"/>
              <w:rPr>
                <w:rFonts w:ascii="Times New Roman" w:hAnsi="Times New Roman" w:cs="Times New Roman" w:eastAsia="Times New Roman" w:hint="default"/>
                <w:sz w:val="18"/>
                <w:szCs w:val="18"/>
              </w:rPr>
            </w:pPr>
            <w:r>
              <w:rPr>
                <w:rFonts w:ascii="Times New Roman"/>
                <w:sz w:val="18"/>
              </w:rPr>
              <w:t>43,154,750.63</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8,144,619.78</w:t>
            </w:r>
          </w:p>
        </w:tc>
        <w:tc>
          <w:tcPr>
            <w:tcW w:w="1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3" w:right="0"/>
              <w:jc w:val="left"/>
              <w:rPr>
                <w:rFonts w:ascii="Times New Roman" w:hAnsi="Times New Roman" w:cs="Times New Roman" w:eastAsia="Times New Roman" w:hint="default"/>
                <w:sz w:val="18"/>
                <w:szCs w:val="18"/>
              </w:rPr>
            </w:pPr>
            <w:r>
              <w:rPr>
                <w:rFonts w:ascii="Times New Roman"/>
                <w:sz w:val="18"/>
              </w:rPr>
              <w:t>51,299,370.41</w:t>
            </w:r>
          </w:p>
        </w:tc>
        <w:tc>
          <w:tcPr>
            <w:tcW w:w="425"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1" w:right="0"/>
              <w:jc w:val="left"/>
              <w:rPr>
                <w:rFonts w:ascii="Times New Roman" w:hAnsi="Times New Roman" w:cs="Times New Roman" w:eastAsia="Times New Roman" w:hint="default"/>
                <w:sz w:val="18"/>
                <w:szCs w:val="18"/>
              </w:rPr>
            </w:pPr>
            <w:r>
              <w:rPr>
                <w:rFonts w:ascii="Times New Roman"/>
                <w:sz w:val="18"/>
              </w:rPr>
              <w:t>78.90%</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100%</w:t>
            </w:r>
          </w:p>
        </w:tc>
        <w:tc>
          <w:tcPr>
            <w:tcW w:w="708" w:type="dxa"/>
            <w:vMerge/>
            <w:tcBorders>
              <w:left w:val="single" w:sz="4" w:space="0" w:color="000000"/>
              <w:right w:val="single" w:sz="4" w:space="0" w:color="000000"/>
            </w:tcBorders>
          </w:tcPr>
          <w:p>
            <w:pPr/>
          </w:p>
        </w:tc>
        <w:tc>
          <w:tcPr>
            <w:tcW w:w="657"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募股资金</w:t>
            </w:r>
          </w:p>
        </w:tc>
      </w:tr>
      <w:tr>
        <w:trPr>
          <w:trHeight w:val="352" w:hRule="exact"/>
        </w:trPr>
        <w:tc>
          <w:tcPr>
            <w:tcW w:w="12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04"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657"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48"/>
          <w:pgSz w:w="11910" w:h="16840"/>
          <w:pgMar w:footer="978" w:header="566" w:top="1360" w:bottom="1160" w:left="80" w:right="600"/>
          <w:pgNumType w:start="120"/>
        </w:sectPr>
      </w:pPr>
    </w:p>
    <w:p>
      <w:pPr>
        <w:spacing w:line="240" w:lineRule="auto" w:before="4"/>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270"/>
        <w:gridCol w:w="1204"/>
        <w:gridCol w:w="1168"/>
        <w:gridCol w:w="1156"/>
        <w:gridCol w:w="1112"/>
        <w:gridCol w:w="425"/>
        <w:gridCol w:w="567"/>
        <w:gridCol w:w="709"/>
        <w:gridCol w:w="567"/>
        <w:gridCol w:w="708"/>
        <w:gridCol w:w="657"/>
        <w:gridCol w:w="602"/>
        <w:gridCol w:w="859"/>
      </w:tblGrid>
      <w:tr>
        <w:trPr>
          <w:trHeight w:val="356" w:hRule="exact"/>
        </w:trPr>
        <w:tc>
          <w:tcPr>
            <w:tcW w:w="12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基于大数据应</w:t>
            </w:r>
          </w:p>
        </w:tc>
        <w:tc>
          <w:tcPr>
            <w:tcW w:w="1204" w:type="dxa"/>
            <w:tcBorders>
              <w:top w:val="single" w:sz="4" w:space="0" w:color="000000"/>
              <w:left w:val="single" w:sz="4" w:space="0" w:color="000000"/>
              <w:bottom w:val="nil" w:sz="6" w:space="0" w:color="auto"/>
              <w:right w:val="single" w:sz="4" w:space="0" w:color="000000"/>
            </w:tcBorders>
          </w:tcPr>
          <w:p>
            <w:pPr/>
          </w:p>
        </w:tc>
        <w:tc>
          <w:tcPr>
            <w:tcW w:w="1168"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1112" w:type="dxa"/>
            <w:tcBorders>
              <w:top w:val="single" w:sz="4" w:space="0" w:color="000000"/>
              <w:left w:val="single" w:sz="4" w:space="0" w:color="000000"/>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657"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用的医疗卫生</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57,540,900.00</w:t>
            </w:r>
          </w:p>
        </w:tc>
        <w:tc>
          <w:tcPr>
            <w:tcW w:w="116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14,707,236.79</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24,322,949.03</w:t>
            </w:r>
          </w:p>
        </w:tc>
        <w:tc>
          <w:tcPr>
            <w:tcW w:w="1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39,030,185.82</w:t>
            </w:r>
          </w:p>
        </w:tc>
        <w:tc>
          <w:tcPr>
            <w:tcW w:w="425"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99" w:right="0"/>
              <w:jc w:val="center"/>
              <w:rPr>
                <w:rFonts w:ascii="Times New Roman" w:hAnsi="Times New Roman" w:cs="Times New Roman" w:eastAsia="Times New Roman" w:hint="default"/>
                <w:sz w:val="18"/>
                <w:szCs w:val="18"/>
              </w:rPr>
            </w:pPr>
            <w:r>
              <w:rPr>
                <w:rFonts w:ascii="Times New Roman"/>
                <w:sz w:val="18"/>
              </w:rPr>
              <w:t>73.65%</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100%</w:t>
            </w:r>
          </w:p>
        </w:tc>
        <w:tc>
          <w:tcPr>
            <w:tcW w:w="708" w:type="dxa"/>
            <w:vMerge/>
            <w:tcBorders>
              <w:left w:val="single" w:sz="4" w:space="0" w:color="000000"/>
              <w:right w:val="single" w:sz="4" w:space="0" w:color="000000"/>
            </w:tcBorders>
          </w:tcPr>
          <w:p>
            <w:pPr/>
          </w:p>
        </w:tc>
        <w:tc>
          <w:tcPr>
            <w:tcW w:w="657"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募股资金</w:t>
            </w:r>
          </w:p>
        </w:tc>
      </w:tr>
      <w:tr>
        <w:trPr>
          <w:trHeight w:val="353" w:hRule="exact"/>
        </w:trPr>
        <w:tc>
          <w:tcPr>
            <w:tcW w:w="12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云平台</w:t>
            </w:r>
          </w:p>
        </w:tc>
        <w:tc>
          <w:tcPr>
            <w:tcW w:w="1204"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657"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145,120,900.00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57,861,987.42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32,467,568.81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90,329,556.23</w:t>
            </w: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4"/>
        <w:ind w:left="1052" w:right="461"/>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52" w:right="461"/>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052" w:right="461"/>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52" w:right="461"/>
        <w:jc w:val="left"/>
      </w:pPr>
      <w:r>
        <w:rPr/>
        <w:t>无</w:t>
      </w:r>
    </w:p>
    <w:p>
      <w:pPr>
        <w:spacing w:line="240" w:lineRule="auto" w:before="11"/>
        <w:rPr>
          <w:rFonts w:ascii="宋体" w:hAnsi="宋体" w:cs="宋体" w:eastAsia="宋体" w:hint="default"/>
          <w:sz w:val="26"/>
          <w:szCs w:val="26"/>
        </w:rPr>
      </w:pPr>
    </w:p>
    <w:p>
      <w:pPr>
        <w:pStyle w:val="Heading3"/>
        <w:spacing w:line="240" w:lineRule="auto"/>
        <w:ind w:left="1052" w:right="461"/>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52" w:right="461"/>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052" w:right="461"/>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052" w:right="461"/>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052" w:right="4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052" w:right="461"/>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52" w:right="4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052" w:right="461"/>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52" w:right="4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052" w:right="461"/>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052" w:right="461"/>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052" w:right="461"/>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left="1052" w:right="4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3"/>
        <w:ind w:left="0" w:right="59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567" w:type="dxa"/>
        <w:tblLayout w:type="fixed"/>
        <w:tblCellMar>
          <w:top w:w="0" w:type="dxa"/>
          <w:left w:w="0" w:type="dxa"/>
          <w:bottom w:w="0" w:type="dxa"/>
          <w:right w:w="0" w:type="dxa"/>
        </w:tblCellMar>
        <w:tblLook w:val="01E0"/>
      </w:tblPr>
      <w:tblGrid>
        <w:gridCol w:w="2399"/>
        <w:gridCol w:w="1367"/>
        <w:gridCol w:w="1367"/>
        <w:gridCol w:w="1367"/>
        <w:gridCol w:w="1367"/>
        <w:gridCol w:w="1367"/>
        <w:gridCol w:w="1367"/>
      </w:tblGrid>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14,040,000.00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6,644,809.16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7,019,073.51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1,988,200.00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29,692,082.67</w:t>
            </w:r>
          </w:p>
        </w:tc>
      </w:tr>
      <w:tr>
        <w:trPr>
          <w:trHeight w:val="400"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7,023,420.13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7,023,420.13</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80" w:right="540"/>
        </w:sectPr>
      </w:pPr>
    </w:p>
    <w:tbl>
      <w:tblPr>
        <w:tblW w:w="0" w:type="auto"/>
        <w:jc w:val="left"/>
        <w:tblInd w:w="107" w:type="dxa"/>
        <w:tblLayout w:type="fixed"/>
        <w:tblCellMar>
          <w:top w:w="0" w:type="dxa"/>
          <w:left w:w="0" w:type="dxa"/>
          <w:bottom w:w="0" w:type="dxa"/>
          <w:right w:w="0" w:type="dxa"/>
        </w:tblCellMar>
        <w:tblLook w:val="01E0"/>
      </w:tblPr>
      <w:tblGrid>
        <w:gridCol w:w="2399"/>
        <w:gridCol w:w="1367"/>
        <w:gridCol w:w="1367"/>
        <w:gridCol w:w="1367"/>
        <w:gridCol w:w="1367"/>
        <w:gridCol w:w="1367"/>
        <w:gridCol w:w="1367"/>
      </w:tblGrid>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7,023,420.13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7,023,420.13</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121,855.06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121,855.06</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13,546,374.23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7,019,073.51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1,988,200.00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36,593,647.74</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831,315.69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699,826.62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1,760,608.07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257,729.63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3,549,480.01</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369,473.64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1,826,791.25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701,907.00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220,911.11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3,119,083.00</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369,473.64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1,826,791.25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701,907.00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2"/>
                <w:sz w:val="18"/>
              </w:rPr>
              <w:t>220,911.11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3,119,083.00</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1,200,789.33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2,526,617.87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2,462,515.07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478,640.74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6,668,563.01</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12,839,210.67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11,019,756.36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4,556,558.44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1,509,559.26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29,925,084.73</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13,208,684.31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5,944,982.54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5,258,465.44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1,730,470.37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26,142,602.66</w:t>
            </w:r>
          </w:p>
        </w:tc>
      </w:tr>
    </w:tbl>
    <w:p>
      <w:pPr>
        <w:spacing w:line="240" w:lineRule="auto" w:before="6"/>
        <w:rPr>
          <w:rFonts w:ascii="宋体" w:hAnsi="宋体" w:cs="宋体" w:eastAsia="宋体" w:hint="default"/>
          <w:sz w:val="6"/>
          <w:szCs w:val="6"/>
        </w:rPr>
      </w:pPr>
    </w:p>
    <w:p>
      <w:pPr>
        <w:pStyle w:val="BodyText"/>
        <w:spacing w:line="240" w:lineRule="auto" w:before="44"/>
        <w:ind w:left="592" w:right="3561"/>
        <w:jc w:val="left"/>
      </w:pPr>
      <w:r>
        <w:rPr/>
        <w:t>本期末通过公司内部研发形成的无形资产占无形资产余额的比例</w:t>
      </w:r>
      <w:r>
        <w:rPr>
          <w:spacing w:val="-49"/>
        </w:rPr>
        <w:t> </w:t>
      </w:r>
      <w:r>
        <w:rPr>
          <w:rFonts w:ascii="Times New Roman" w:hAnsi="Times New Roman" w:cs="Times New Roman" w:eastAsia="Times New Roman" w:hint="default"/>
        </w:rPr>
        <w:t>19.19%</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592" w:right="3561"/>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92" w:right="9314"/>
        <w:jc w:val="left"/>
      </w:pPr>
      <w:r>
        <w:rPr/>
        <w:t>无 其他说明：</w:t>
      </w:r>
    </w:p>
    <w:p>
      <w:pPr>
        <w:pStyle w:val="BodyText"/>
        <w:spacing w:line="350" w:lineRule="auto" w:before="25"/>
        <w:ind w:left="592" w:right="3561"/>
        <w:jc w:val="left"/>
      </w:pPr>
      <w:r>
        <w:rPr/>
        <w:t>项目账面原值本期减少金额</w:t>
      </w:r>
      <w:r>
        <w:rPr>
          <w:spacing w:val="-48"/>
        </w:rPr>
        <w:t> </w:t>
      </w:r>
      <w:r>
        <w:rPr>
          <w:rFonts w:ascii="Times New Roman" w:hAnsi="Times New Roman" w:cs="Times New Roman" w:eastAsia="Times New Roman" w:hint="default"/>
        </w:rPr>
        <w:t>121,855.06</w:t>
      </w:r>
      <w:r>
        <w:rPr>
          <w:rFonts w:ascii="Times New Roman" w:hAnsi="Times New Roman" w:cs="Times New Roman" w:eastAsia="Times New Roman" w:hint="default"/>
          <w:spacing w:val="-4"/>
        </w:rPr>
        <w:t> </w:t>
      </w:r>
      <w:r>
        <w:rPr/>
        <w:t>元为合并境外子公司外币报表折算影响金额。 本公司期末无形资产均在正常使用中，不存在减值因素，故未计提减值准备。 本公司期末无形资产不存在抵押、质押等所有权受到限制的情况。</w:t>
      </w:r>
    </w:p>
    <w:p>
      <w:pPr>
        <w:spacing w:line="240" w:lineRule="auto" w:before="6"/>
        <w:rPr>
          <w:rFonts w:ascii="宋体" w:hAnsi="宋体" w:cs="宋体" w:eastAsia="宋体" w:hint="default"/>
          <w:sz w:val="20"/>
          <w:szCs w:val="20"/>
        </w:rPr>
      </w:pPr>
    </w:p>
    <w:p>
      <w:pPr>
        <w:pStyle w:val="Heading3"/>
        <w:spacing w:line="240" w:lineRule="auto"/>
        <w:ind w:left="592" w:right="3561"/>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77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664" w:type="dxa"/>
        <w:tblLayout w:type="fixed"/>
        <w:tblCellMar>
          <w:top w:w="0" w:type="dxa"/>
          <w:left w:w="0" w:type="dxa"/>
          <w:bottom w:w="0" w:type="dxa"/>
          <w:right w:w="0" w:type="dxa"/>
        </w:tblCellMar>
        <w:tblLook w:val="01E0"/>
      </w:tblPr>
      <w:tblGrid>
        <w:gridCol w:w="2047"/>
        <w:gridCol w:w="1139"/>
        <w:gridCol w:w="1984"/>
        <w:gridCol w:w="3255"/>
        <w:gridCol w:w="1063"/>
      </w:tblGrid>
      <w:tr>
        <w:trPr>
          <w:trHeight w:val="481" w:hRule="exact"/>
        </w:trPr>
        <w:tc>
          <w:tcPr>
            <w:tcW w:w="204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92"/>
              <w:ind w:left="2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9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566" w:footer="978" w:top="1440" w:bottom="1160" w:left="540" w:right="540"/>
        </w:sectPr>
      </w:pPr>
    </w:p>
    <w:p>
      <w:pPr>
        <w:spacing w:line="240" w:lineRule="auto" w:before="3"/>
        <w:rPr>
          <w:rFonts w:ascii="宋体" w:hAnsi="宋体" w:cs="宋体" w:eastAsia="宋体" w:hint="default"/>
          <w:sz w:val="5"/>
          <w:szCs w:val="5"/>
        </w:rPr>
      </w:pPr>
    </w:p>
    <w:tbl>
      <w:tblPr>
        <w:tblW w:w="0" w:type="auto"/>
        <w:jc w:val="left"/>
        <w:tblInd w:w="884" w:type="dxa"/>
        <w:tblLayout w:type="fixed"/>
        <w:tblCellMar>
          <w:top w:w="0" w:type="dxa"/>
          <w:left w:w="0" w:type="dxa"/>
          <w:bottom w:w="0" w:type="dxa"/>
          <w:right w:w="0" w:type="dxa"/>
        </w:tblCellMar>
        <w:tblLook w:val="01E0"/>
      </w:tblPr>
      <w:tblGrid>
        <w:gridCol w:w="2047"/>
        <w:gridCol w:w="1139"/>
        <w:gridCol w:w="1275"/>
        <w:gridCol w:w="709"/>
        <w:gridCol w:w="1418"/>
        <w:gridCol w:w="1218"/>
        <w:gridCol w:w="619"/>
        <w:gridCol w:w="1063"/>
      </w:tblGrid>
      <w:tr>
        <w:trPr>
          <w:trHeight w:val="485" w:hRule="exact"/>
        </w:trPr>
        <w:tc>
          <w:tcPr>
            <w:tcW w:w="20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9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74"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6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6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急诊医疗信息系统</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1,349,664.00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3,200,992.65</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1,288,836.09</w:t>
            </w:r>
          </w:p>
        </w:tc>
        <w:tc>
          <w:tcPr>
            <w:tcW w:w="121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3,261,820.56</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重症医学临床信息系统</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2,458,696.40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2,550,867.96</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3,822,990.66</w:t>
            </w:r>
          </w:p>
        </w:tc>
        <w:tc>
          <w:tcPr>
            <w:tcW w:w="121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1,186,573.70</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手术室麻醉临床信息系统</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1,318,446.07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593,147.31</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1,911,593.38</w:t>
            </w:r>
          </w:p>
        </w:tc>
        <w:tc>
          <w:tcPr>
            <w:tcW w:w="121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日间手术临床信息系统</w:t>
            </w:r>
          </w:p>
        </w:tc>
        <w:tc>
          <w:tcPr>
            <w:tcW w:w="113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523,598.89</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523,598.89</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医疗协同平台</w:t>
            </w:r>
          </w:p>
        </w:tc>
        <w:tc>
          <w:tcPr>
            <w:tcW w:w="113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198,490.10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198,490.10</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急救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p>
        </w:tc>
        <w:tc>
          <w:tcPr>
            <w:tcW w:w="113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819,704.52</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819,704.52</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5,126,806.47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7,886,801.43</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7,023,420.13</w:t>
            </w:r>
          </w:p>
        </w:tc>
        <w:tc>
          <w:tcPr>
            <w:tcW w:w="121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5,990,187.77</w:t>
            </w:r>
          </w:p>
        </w:tc>
      </w:tr>
    </w:tbl>
    <w:p>
      <w:pPr>
        <w:pStyle w:val="BodyText"/>
        <w:spacing w:line="240" w:lineRule="auto" w:before="52"/>
        <w:ind w:left="812" w:right="0"/>
        <w:jc w:val="left"/>
      </w:pPr>
      <w:r>
        <w:rPr/>
        <w:t>其他说明</w:t>
      </w:r>
    </w:p>
    <w:p>
      <w:pPr>
        <w:spacing w:line="240" w:lineRule="auto" w:before="0"/>
        <w:rPr>
          <w:rFonts w:ascii="宋体" w:hAnsi="宋体" w:cs="宋体" w:eastAsia="宋体" w:hint="default"/>
          <w:sz w:val="8"/>
          <w:szCs w:val="8"/>
        </w:rPr>
      </w:pPr>
    </w:p>
    <w:tbl>
      <w:tblPr>
        <w:tblW w:w="0" w:type="auto"/>
        <w:jc w:val="left"/>
        <w:tblInd w:w="806" w:type="dxa"/>
        <w:tblLayout w:type="fixed"/>
        <w:tblCellMar>
          <w:top w:w="0" w:type="dxa"/>
          <w:left w:w="0" w:type="dxa"/>
          <w:bottom w:w="0" w:type="dxa"/>
          <w:right w:w="0" w:type="dxa"/>
        </w:tblCellMar>
        <w:tblLook w:val="01E0"/>
      </w:tblPr>
      <w:tblGrid>
        <w:gridCol w:w="2529"/>
        <w:gridCol w:w="1663"/>
        <w:gridCol w:w="2022"/>
        <w:gridCol w:w="3370"/>
      </w:tblGrid>
      <w:tr>
        <w:trPr>
          <w:trHeight w:val="347" w:hRule="exact"/>
        </w:trPr>
        <w:tc>
          <w:tcPr>
            <w:tcW w:w="2529"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3"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2"/>
              <w:ind w:left="3" w:right="0"/>
              <w:jc w:val="center"/>
              <w:rPr>
                <w:rFonts w:ascii="宋体" w:hAnsi="宋体" w:cs="宋体" w:eastAsia="宋体" w:hint="default"/>
                <w:sz w:val="18"/>
                <w:szCs w:val="18"/>
              </w:rPr>
            </w:pPr>
            <w:r>
              <w:rPr>
                <w:rFonts w:ascii="宋体" w:hAnsi="宋体" w:cs="宋体" w:eastAsia="宋体" w:hint="default"/>
                <w:b/>
                <w:bCs/>
                <w:sz w:val="18"/>
                <w:szCs w:val="18"/>
              </w:rPr>
              <w:t>资本化开始时点</w:t>
            </w:r>
            <w:r>
              <w:rPr>
                <w:rFonts w:ascii="宋体" w:hAnsi="宋体" w:cs="宋体" w:eastAsia="宋体" w:hint="default"/>
                <w:sz w:val="18"/>
                <w:szCs w:val="18"/>
              </w:rPr>
            </w:r>
          </w:p>
        </w:tc>
        <w:tc>
          <w:tcPr>
            <w:tcW w:w="202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b/>
                <w:bCs/>
                <w:sz w:val="18"/>
                <w:szCs w:val="18"/>
              </w:rPr>
              <w:t>截至期末的研发进度</w:t>
            </w:r>
            <w:r>
              <w:rPr>
                <w:rFonts w:ascii="宋体" w:hAnsi="宋体" w:cs="宋体" w:eastAsia="宋体" w:hint="default"/>
                <w:sz w:val="18"/>
                <w:szCs w:val="18"/>
              </w:rPr>
            </w:r>
          </w:p>
        </w:tc>
        <w:tc>
          <w:tcPr>
            <w:tcW w:w="3370"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2"/>
              <w:ind w:left="3" w:right="0"/>
              <w:jc w:val="center"/>
              <w:rPr>
                <w:rFonts w:ascii="宋体" w:hAnsi="宋体" w:cs="宋体" w:eastAsia="宋体" w:hint="default"/>
                <w:sz w:val="18"/>
                <w:szCs w:val="18"/>
              </w:rPr>
            </w:pPr>
            <w:r>
              <w:rPr>
                <w:rFonts w:ascii="宋体" w:hAnsi="宋体" w:cs="宋体" w:eastAsia="宋体" w:hint="default"/>
                <w:b/>
                <w:bCs/>
                <w:sz w:val="18"/>
                <w:szCs w:val="18"/>
              </w:rPr>
              <w:t>资本化具体依据</w:t>
            </w:r>
            <w:r>
              <w:rPr>
                <w:rFonts w:ascii="宋体" w:hAnsi="宋体" w:cs="宋体" w:eastAsia="宋体" w:hint="default"/>
                <w:sz w:val="18"/>
                <w:szCs w:val="18"/>
              </w:rPr>
            </w:r>
          </w:p>
        </w:tc>
      </w:tr>
      <w:tr>
        <w:trPr>
          <w:trHeight w:val="347" w:hRule="exact"/>
        </w:trPr>
        <w:tc>
          <w:tcPr>
            <w:tcW w:w="2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急诊医疗信息系统</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2016/11/1</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33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pacing w:val="-4"/>
                <w:sz w:val="18"/>
                <w:szCs w:val="18"/>
              </w:rPr>
              <w:t>评审形成立项报告后，研发项目组完成软件</w:t>
            </w:r>
          </w:p>
        </w:tc>
      </w:tr>
      <w:tr>
        <w:trPr>
          <w:trHeight w:val="347" w:hRule="exact"/>
        </w:trPr>
        <w:tc>
          <w:tcPr>
            <w:tcW w:w="2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重症医学临床信息系统</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2017/8/10</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3370"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pacing w:val="-4"/>
                <w:sz w:val="18"/>
                <w:szCs w:val="18"/>
              </w:rPr>
              <w:t>设计、代码编写、系统测试、通过内部的验</w:t>
            </w:r>
          </w:p>
        </w:tc>
      </w:tr>
      <w:tr>
        <w:trPr>
          <w:trHeight w:val="259" w:hRule="exact"/>
        </w:trPr>
        <w:tc>
          <w:tcPr>
            <w:tcW w:w="2529" w:type="dxa"/>
            <w:vMerge w:val="restart"/>
            <w:tcBorders>
              <w:top w:val="single" w:sz="6" w:space="0" w:color="000000"/>
              <w:left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医疗协同平台</w:t>
            </w:r>
          </w:p>
        </w:tc>
        <w:tc>
          <w:tcPr>
            <w:tcW w:w="1663" w:type="dxa"/>
            <w:vMerge w:val="restart"/>
            <w:tcBorders>
              <w:top w:val="single" w:sz="6" w:space="0" w:color="000000"/>
              <w:left w:val="single" w:sz="6" w:space="0" w:color="000000"/>
              <w:right w:val="single" w:sz="6" w:space="0" w:color="000000"/>
            </w:tcBorders>
          </w:tcPr>
          <w:p>
            <w:pPr>
              <w:pStyle w:val="TableParagraph"/>
              <w:spacing w:line="240" w:lineRule="auto" w:before="62"/>
              <w:ind w:left="503" w:right="0"/>
              <w:jc w:val="left"/>
              <w:rPr>
                <w:rFonts w:ascii="Times New Roman" w:hAnsi="Times New Roman" w:cs="Times New Roman" w:eastAsia="Times New Roman" w:hint="default"/>
                <w:sz w:val="18"/>
                <w:szCs w:val="18"/>
              </w:rPr>
            </w:pPr>
            <w:r>
              <w:rPr>
                <w:rFonts w:ascii="Times New Roman"/>
                <w:sz w:val="18"/>
              </w:rPr>
              <w:t>2017/1/1</w:t>
            </w:r>
          </w:p>
        </w:tc>
        <w:tc>
          <w:tcPr>
            <w:tcW w:w="2022" w:type="dxa"/>
            <w:vMerge w:val="restart"/>
            <w:tcBorders>
              <w:top w:val="single" w:sz="6" w:space="0" w:color="000000"/>
              <w:left w:val="single" w:sz="6" w:space="0" w:color="000000"/>
              <w:right w:val="single" w:sz="6" w:space="0" w:color="000000"/>
            </w:tcBorders>
          </w:tcPr>
          <w:p>
            <w:pPr>
              <w:pStyle w:val="TableParagraph"/>
              <w:spacing w:line="240" w:lineRule="auto" w:before="20"/>
              <w:ind w:left="373" w:right="0"/>
              <w:jc w:val="left"/>
              <w:rPr>
                <w:rFonts w:ascii="宋体" w:hAnsi="宋体" w:cs="宋体" w:eastAsia="宋体" w:hint="default"/>
                <w:sz w:val="18"/>
                <w:szCs w:val="18"/>
              </w:rPr>
            </w:pPr>
            <w:r>
              <w:rPr>
                <w:rFonts w:ascii="宋体" w:hAnsi="宋体" w:cs="宋体" w:eastAsia="宋体" w:hint="default"/>
                <w:sz w:val="18"/>
                <w:szCs w:val="18"/>
              </w:rPr>
              <w:t>阶段性研发初期</w:t>
            </w:r>
          </w:p>
        </w:tc>
        <w:tc>
          <w:tcPr>
            <w:tcW w:w="3370" w:type="dxa"/>
            <w:tcBorders>
              <w:top w:val="nil" w:sz="6" w:space="0" w:color="auto"/>
              <w:left w:val="single" w:sz="6" w:space="0" w:color="000000"/>
              <w:bottom w:val="nil" w:sz="6" w:space="0" w:color="auto"/>
              <w:right w:val="single" w:sz="6" w:space="0" w:color="000000"/>
            </w:tcBorders>
          </w:tcPr>
          <w:p>
            <w:pPr>
              <w:pStyle w:val="TableParagraph"/>
              <w:spacing w:line="193" w:lineRule="exact"/>
              <w:ind w:left="1" w:right="0"/>
              <w:jc w:val="center"/>
              <w:rPr>
                <w:rFonts w:ascii="宋体" w:hAnsi="宋体" w:cs="宋体" w:eastAsia="宋体" w:hint="default"/>
                <w:sz w:val="18"/>
                <w:szCs w:val="18"/>
              </w:rPr>
            </w:pPr>
            <w:r>
              <w:rPr>
                <w:rFonts w:ascii="宋体" w:hAnsi="宋体" w:cs="宋体" w:eastAsia="宋体" w:hint="default"/>
                <w:spacing w:val="5"/>
                <w:sz w:val="18"/>
                <w:szCs w:val="18"/>
              </w:rPr>
              <w:t>收评审并完成了产品化需要的各类文档等</w:t>
            </w:r>
          </w:p>
        </w:tc>
      </w:tr>
      <w:tr>
        <w:trPr>
          <w:trHeight w:val="88" w:hRule="exact"/>
        </w:trPr>
        <w:tc>
          <w:tcPr>
            <w:tcW w:w="2529" w:type="dxa"/>
            <w:vMerge/>
            <w:tcBorders>
              <w:left w:val="single" w:sz="6" w:space="0" w:color="000000"/>
              <w:bottom w:val="single" w:sz="6" w:space="0" w:color="000000"/>
              <w:right w:val="single" w:sz="6" w:space="0" w:color="000000"/>
            </w:tcBorders>
          </w:tcPr>
          <w:p>
            <w:pPr/>
          </w:p>
        </w:tc>
        <w:tc>
          <w:tcPr>
            <w:tcW w:w="1663" w:type="dxa"/>
            <w:vMerge/>
            <w:tcBorders>
              <w:left w:val="single" w:sz="6" w:space="0" w:color="000000"/>
              <w:bottom w:val="single" w:sz="6" w:space="0" w:color="000000"/>
              <w:right w:val="single" w:sz="6" w:space="0" w:color="000000"/>
            </w:tcBorders>
          </w:tcPr>
          <w:p>
            <w:pPr/>
          </w:p>
        </w:tc>
        <w:tc>
          <w:tcPr>
            <w:tcW w:w="2022" w:type="dxa"/>
            <w:vMerge/>
            <w:tcBorders>
              <w:left w:val="single" w:sz="6" w:space="0" w:color="000000"/>
              <w:bottom w:val="single" w:sz="6" w:space="0" w:color="000000"/>
              <w:right w:val="single" w:sz="6" w:space="0" w:color="000000"/>
            </w:tcBorders>
          </w:tcPr>
          <w:p>
            <w:pPr/>
          </w:p>
        </w:tc>
        <w:tc>
          <w:tcPr>
            <w:tcW w:w="3370" w:type="dxa"/>
            <w:vMerge w:val="restart"/>
            <w:tcBorders>
              <w:top w:val="nil" w:sz="6" w:space="0" w:color="auto"/>
              <w:left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工作，可以达到可使用或可销售状态。</w:t>
            </w:r>
          </w:p>
        </w:tc>
      </w:tr>
      <w:tr>
        <w:trPr>
          <w:trHeight w:val="347" w:hRule="exact"/>
        </w:trPr>
        <w:tc>
          <w:tcPr>
            <w:tcW w:w="2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日间手术临床信息系统</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2017/7/10</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3370" w:type="dxa"/>
            <w:vMerge/>
            <w:tcBorders>
              <w:left w:val="single" w:sz="6" w:space="0" w:color="000000"/>
              <w:bottom w:val="nil" w:sz="6" w:space="0" w:color="auto"/>
              <w:right w:val="single" w:sz="6" w:space="0" w:color="000000"/>
            </w:tcBorders>
          </w:tcPr>
          <w:p>
            <w:pPr/>
          </w:p>
        </w:tc>
      </w:tr>
      <w:tr>
        <w:trPr>
          <w:trHeight w:val="347" w:hRule="exact"/>
        </w:trPr>
        <w:tc>
          <w:tcPr>
            <w:tcW w:w="2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急救</w:t>
            </w:r>
            <w:r>
              <w:rPr>
                <w:rFonts w:ascii="Times New Roman" w:hAnsi="Times New Roman" w:cs="Times New Roman" w:eastAsia="Times New Roman" w:hint="default"/>
                <w:sz w:val="18"/>
                <w:szCs w:val="18"/>
              </w:rPr>
              <w:t>APP</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2017/3/20</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阶段性研发初期</w:t>
            </w:r>
          </w:p>
        </w:tc>
        <w:tc>
          <w:tcPr>
            <w:tcW w:w="337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left="812"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812"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951" w:type="dxa"/>
        <w:tblLayout w:type="fixed"/>
        <w:tblCellMar>
          <w:top w:w="0" w:type="dxa"/>
          <w:left w:w="0" w:type="dxa"/>
          <w:bottom w:w="0" w:type="dxa"/>
          <w:right w:w="0" w:type="dxa"/>
        </w:tblCellMar>
        <w:tblLook w:val="01E0"/>
      </w:tblPr>
      <w:tblGrid>
        <w:gridCol w:w="2410"/>
        <w:gridCol w:w="1276"/>
        <w:gridCol w:w="1417"/>
        <w:gridCol w:w="992"/>
        <w:gridCol w:w="993"/>
        <w:gridCol w:w="992"/>
        <w:gridCol w:w="1347"/>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94"/>
              <w:ind w:left="1020" w:right="28"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27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vMerge/>
            <w:tcBorders>
              <w:left w:val="single" w:sz="4" w:space="0" w:color="000000"/>
              <w:bottom w:val="single" w:sz="4" w:space="0" w:color="000000"/>
              <w:right w:val="single" w:sz="4" w:space="0" w:color="000000"/>
            </w:tcBorders>
            <w:shd w:val="clear" w:color="auto" w:fill="D9D9D9"/>
          </w:tcPr>
          <w:p>
            <w:pPr/>
          </w:p>
        </w:tc>
        <w:tc>
          <w:tcPr>
            <w:tcW w:w="1276" w:type="dxa"/>
            <w:vMerge/>
            <w:tcBorders>
              <w:left w:val="single" w:sz="4" w:space="0" w:color="000000"/>
              <w:bottom w:val="single" w:sz="4" w:space="0" w:color="000000"/>
              <w:right w:val="single" w:sz="4" w:space="0" w:color="000000"/>
            </w:tcBorders>
            <w:shd w:val="clear" w:color="auto" w:fill="D9D9D9"/>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73"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1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8,616,399.34</w:t>
            </w: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8,616,399.34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126,125,037.69</w:t>
            </w: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126,125,037.69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134,741,437.03</w:t>
            </w: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134,741,437.03</w:t>
            </w:r>
          </w:p>
        </w:tc>
      </w:tr>
    </w:tbl>
    <w:p>
      <w:pPr>
        <w:spacing w:line="240" w:lineRule="auto" w:before="4"/>
        <w:rPr>
          <w:rFonts w:ascii="宋体" w:hAnsi="宋体" w:cs="宋体" w:eastAsia="宋体" w:hint="default"/>
          <w:sz w:val="19"/>
          <w:szCs w:val="19"/>
        </w:rPr>
      </w:pPr>
    </w:p>
    <w:p>
      <w:pPr>
        <w:pStyle w:val="Heading3"/>
        <w:spacing w:line="240" w:lineRule="auto" w:before="34"/>
        <w:ind w:left="812"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075"/>
        <w:gridCol w:w="1367"/>
        <w:gridCol w:w="1367"/>
        <w:gridCol w:w="1367"/>
        <w:gridCol w:w="1367"/>
        <w:gridCol w:w="1367"/>
        <w:gridCol w:w="1367"/>
      </w:tblGrid>
      <w:tr>
        <w:trPr>
          <w:trHeight w:val="402" w:hRule="exact"/>
        </w:trPr>
        <w:tc>
          <w:tcPr>
            <w:tcW w:w="2075"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95"/>
              <w:ind w:left="673" w:right="41" w:hanging="632"/>
              <w:jc w:val="left"/>
              <w:rPr>
                <w:rFonts w:ascii="宋体" w:hAnsi="宋体" w:cs="宋体" w:eastAsia="宋体" w:hint="default"/>
                <w:sz w:val="18"/>
                <w:szCs w:val="18"/>
              </w:rPr>
            </w:pPr>
            <w:r>
              <w:rPr>
                <w:rFonts w:ascii="宋体" w:hAnsi="宋体" w:cs="宋体" w:eastAsia="宋体" w:hint="default"/>
                <w:sz w:val="18"/>
                <w:szCs w:val="18"/>
              </w:rPr>
              <w:t>被投资单位名称或形成商 誉的事项</w:t>
            </w:r>
          </w:p>
        </w:tc>
        <w:tc>
          <w:tcPr>
            <w:tcW w:w="136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075" w:type="dxa"/>
            <w:vMerge/>
            <w:tcBorders>
              <w:left w:val="single" w:sz="4" w:space="0" w:color="000000"/>
              <w:bottom w:val="single" w:sz="4" w:space="0" w:color="000000"/>
              <w:right w:val="single" w:sz="4" w:space="0" w:color="000000"/>
            </w:tcBorders>
            <w:shd w:val="clear" w:color="auto" w:fill="D9D9D9"/>
          </w:tcPr>
          <w:p>
            <w:pPr/>
          </w:p>
        </w:tc>
        <w:tc>
          <w:tcPr>
            <w:tcW w:w="1367" w:type="dxa"/>
            <w:vMerge/>
            <w:tcBorders>
              <w:left w:val="single" w:sz="4" w:space="0" w:color="000000"/>
              <w:bottom w:val="single" w:sz="4" w:space="0" w:color="000000"/>
              <w:right w:val="single" w:sz="4" w:space="0" w:color="000000"/>
            </w:tcBorders>
            <w:shd w:val="clear" w:color="auto" w:fill="D9D9D9"/>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1,309,768.25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1,309,768.25</w:t>
            </w:r>
          </w:p>
        </w:tc>
      </w:tr>
      <w:tr>
        <w:trPr>
          <w:trHeight w:val="402" w:hRule="exact"/>
        </w:trPr>
        <w:tc>
          <w:tcPr>
            <w:tcW w:w="20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1,309,768.25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1,309,768.25</w:t>
            </w:r>
          </w:p>
        </w:tc>
      </w:tr>
    </w:tbl>
    <w:p>
      <w:pPr>
        <w:pStyle w:val="BodyText"/>
        <w:spacing w:line="360" w:lineRule="auto" w:before="49"/>
        <w:ind w:left="1172" w:right="0" w:hanging="360"/>
        <w:jc w:val="left"/>
      </w:pPr>
      <w:r>
        <w:rPr/>
        <w:t>说明商誉减值测试过程、参数及商誉减值损失的确认方法： </w:t>
      </w:r>
      <w:r>
        <w:rPr>
          <w:spacing w:val="-2"/>
        </w:rPr>
        <w:t>本公司将被投资单位享云科技公司、上海米健信息技术有限公司分别视为一个整体资产组，将其可辨认净资产价值分摊</w:t>
      </w:r>
    </w:p>
    <w:p>
      <w:pPr>
        <w:pStyle w:val="BodyText"/>
        <w:spacing w:line="222" w:lineRule="exact"/>
        <w:ind w:left="812" w:right="0"/>
        <w:jc w:val="left"/>
      </w:pPr>
      <w:r>
        <w:rPr>
          <w:spacing w:val="-2"/>
        </w:rPr>
        <w:t>商誉价值之后，与估计的被投资单位未来预期收益的现值进行比较，高于预期未来收益的现值的部分计提减值准备，被投资</w:t>
      </w:r>
    </w:p>
    <w:p>
      <w:pPr>
        <w:pStyle w:val="BodyText"/>
        <w:spacing w:line="240" w:lineRule="auto" w:before="76"/>
        <w:ind w:left="812" w:right="0"/>
        <w:jc w:val="left"/>
      </w:pPr>
      <w:r>
        <w:rPr>
          <w:spacing w:val="2"/>
        </w:rPr>
        <w:t>单位其预计未来收益的现值分别根据公司批准的五年期现金流量预测为基础，现金流量预测使用的折现率分别为</w:t>
      </w:r>
      <w:r>
        <w:rPr>
          <w:rFonts w:ascii="Times New Roman" w:hAnsi="Times New Roman" w:cs="Times New Roman" w:eastAsia="Times New Roman" w:hint="default"/>
          <w:spacing w:val="2"/>
        </w:rPr>
        <w:t>10.5%</w:t>
      </w:r>
      <w:r>
        <w:rPr>
          <w:spacing w:val="2"/>
        </w:rPr>
        <w:t>、</w:t>
      </w:r>
    </w:p>
    <w:p>
      <w:pPr>
        <w:spacing w:after="0" w:line="240" w:lineRule="auto"/>
        <w:jc w:val="left"/>
        <w:sectPr>
          <w:pgSz w:w="11910" w:h="16840"/>
          <w:pgMar w:header="566" w:footer="978" w:top="1360" w:bottom="1160" w:left="320" w:right="1020"/>
        </w:sectPr>
      </w:pPr>
    </w:p>
    <w:p>
      <w:pPr>
        <w:pStyle w:val="BodyText"/>
        <w:spacing w:line="309" w:lineRule="auto" w:before="81"/>
        <w:ind w:left="772" w:right="344" w:hanging="360"/>
        <w:jc w:val="left"/>
      </w:pPr>
      <w:r>
        <w:rPr>
          <w:rFonts w:ascii="Times New Roman" w:hAnsi="Times New Roman" w:cs="Times New Roman" w:eastAsia="Times New Roman" w:hint="default"/>
        </w:rPr>
        <w:t>13%</w:t>
      </w:r>
      <w:r>
        <w:rPr/>
        <w:t>，预测期以后的现金流量根据相应增长率推断得出，该增长率和其他软件和信息技术服务业总体长期平均增长率相当。 减值测试中采用的其他关键数据包括：收入、成本及其他相关费用。 </w:t>
      </w:r>
      <w:r>
        <w:rPr>
          <w:spacing w:val="-2"/>
        </w:rPr>
        <w:t>公司根据历史经验及对市场发展的预测确定上述关键数据。公司采用的折现率是反映当前市场货币时间价值和相关资产</w:t>
      </w:r>
    </w:p>
    <w:p>
      <w:pPr>
        <w:pStyle w:val="BodyText"/>
        <w:spacing w:line="316" w:lineRule="auto" w:before="24"/>
        <w:ind w:left="772" w:right="1574" w:hanging="360"/>
        <w:jc w:val="left"/>
      </w:pPr>
      <w:r>
        <w:rPr/>
        <w:t>组特定风险的税前利率。 经过减值测试，被投资单位资产组的未来预期收益的现值高于其账面价值，故无需计提商誉减值准备。</w:t>
      </w:r>
    </w:p>
    <w:p>
      <w:pPr>
        <w:spacing w:line="240" w:lineRule="auto" w:before="6"/>
        <w:rPr>
          <w:rFonts w:ascii="宋体" w:hAnsi="宋体" w:cs="宋体" w:eastAsia="宋体" w:hint="default"/>
          <w:sz w:val="22"/>
          <w:szCs w:val="22"/>
        </w:rPr>
      </w:pPr>
    </w:p>
    <w:p>
      <w:pPr>
        <w:pStyle w:val="Heading3"/>
        <w:spacing w:line="240" w:lineRule="auto"/>
        <w:ind w:left="412" w:right="344"/>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4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4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租赁资产装修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7,791.70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20,258.30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信息公告费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212,264.18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188,679.20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23,584.98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212,264.18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196,470.90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43,843.28</w:t>
            </w:r>
          </w:p>
        </w:tc>
      </w:tr>
    </w:tbl>
    <w:p>
      <w:pPr>
        <w:spacing w:line="240" w:lineRule="auto" w:before="3"/>
        <w:rPr>
          <w:rFonts w:ascii="宋体" w:hAnsi="宋体" w:cs="宋体" w:eastAsia="宋体" w:hint="default"/>
          <w:sz w:val="19"/>
          <w:szCs w:val="19"/>
        </w:rPr>
      </w:pPr>
    </w:p>
    <w:p>
      <w:pPr>
        <w:pStyle w:val="Heading3"/>
        <w:spacing w:line="240" w:lineRule="auto" w:before="34"/>
        <w:ind w:left="412" w:right="344"/>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12" w:right="344"/>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4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4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58,646,536.08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6,050,683.42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54,200,570.42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5,472,005.84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2,692,443.72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514,195.89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191,386.41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19,138.64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6,949,740.24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694,974.01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1,472,500.00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782,500.00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无形资产累计摊销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774,085.60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96,760.70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82,962,805.64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8,829,114.02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61,391,956.83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6,273,644.48</w:t>
            </w:r>
          </w:p>
        </w:tc>
      </w:tr>
    </w:tbl>
    <w:p>
      <w:pPr>
        <w:spacing w:line="240" w:lineRule="auto" w:before="3"/>
        <w:rPr>
          <w:rFonts w:ascii="宋体" w:hAnsi="宋体" w:cs="宋体" w:eastAsia="宋体" w:hint="default"/>
          <w:sz w:val="19"/>
          <w:szCs w:val="19"/>
        </w:rPr>
      </w:pPr>
    </w:p>
    <w:p>
      <w:pPr>
        <w:pStyle w:val="Heading3"/>
        <w:spacing w:line="240" w:lineRule="auto" w:before="34"/>
        <w:ind w:left="412" w:right="344"/>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4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584"/>
        <w:gridCol w:w="1916"/>
        <w:gridCol w:w="1914"/>
        <w:gridCol w:w="1914"/>
        <w:gridCol w:w="1914"/>
      </w:tblGrid>
      <w:tr>
        <w:trPr>
          <w:trHeight w:val="402" w:hRule="exact"/>
        </w:trPr>
        <w:tc>
          <w:tcPr>
            <w:tcW w:w="2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584"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未实现固定资产处置损益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1,691,604.48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422,901.12</w:t>
            </w:r>
          </w:p>
        </w:tc>
      </w:tr>
      <w:tr>
        <w:trPr>
          <w:trHeight w:val="357" w:hRule="exact"/>
        </w:trPr>
        <w:tc>
          <w:tcPr>
            <w:tcW w:w="2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非同一控制企业合并确认的被收</w:t>
            </w:r>
          </w:p>
        </w:tc>
        <w:tc>
          <w:tcPr>
            <w:tcW w:w="1916"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购方可辨认净资产公允价值与账</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2,238,182.55</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335,727.38</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2,737,713.73</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410,657.06</w:t>
            </w:r>
          </w:p>
        </w:tc>
      </w:tr>
      <w:tr>
        <w:trPr>
          <w:trHeight w:val="353" w:hRule="exact"/>
        </w:trPr>
        <w:tc>
          <w:tcPr>
            <w:tcW w:w="2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面价值之间的差额</w:t>
            </w:r>
          </w:p>
        </w:tc>
        <w:tc>
          <w:tcPr>
            <w:tcW w:w="1916"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2,238,182.55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335,727.38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4,429,318.21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833,558.18</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720" w:right="720"/>
        </w:sectPr>
      </w:pPr>
    </w:p>
    <w:p>
      <w:pPr>
        <w:pStyle w:val="Heading3"/>
        <w:spacing w:line="240" w:lineRule="auto" w:before="5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8,829,114.02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6,273,644.48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335,727.38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833,558.18</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15,110,132.55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12,666,181.74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15,110,132.55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12,666,181.74</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224,156.11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512,035.70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512,035.70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1,657,047.56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1,657,047.56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1,880,470.43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1,880,470.43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2021</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8,392,471.94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8,392,471.94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2,668,106.92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15,110,132.55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12,666,181.74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pStyle w:val="BodyText"/>
        <w:spacing w:line="300" w:lineRule="auto" w:before="117"/>
        <w:ind w:right="0"/>
        <w:jc w:val="left"/>
      </w:pPr>
      <w:r>
        <w:rPr/>
        <w:t>本公司递延所得税资产期末余额较期初余额增加</w:t>
      </w:r>
      <w:r>
        <w:rPr>
          <w:rFonts w:ascii="Times New Roman" w:hAnsi="Times New Roman" w:cs="Times New Roman" w:eastAsia="Times New Roman" w:hint="default"/>
        </w:rPr>
        <w:t>2,555,469.54</w:t>
      </w:r>
      <w:r>
        <w:rPr/>
        <w:t>元，增幅</w:t>
      </w:r>
      <w:r>
        <w:rPr>
          <w:rFonts w:ascii="Times New Roman" w:hAnsi="Times New Roman" w:cs="Times New Roman" w:eastAsia="Times New Roman" w:hint="default"/>
        </w:rPr>
        <w:t>40.73%</w:t>
      </w:r>
      <w:r>
        <w:rPr/>
        <w:t>，主要系公司未弥补亏损及政府补助增加相应</w:t>
      </w:r>
      <w:r>
        <w:rPr>
          <w:spacing w:val="-65"/>
        </w:rPr>
        <w:t> </w:t>
      </w:r>
      <w:r>
        <w:rPr>
          <w:spacing w:val="-65"/>
        </w:rPr>
      </w:r>
      <w:r>
        <w:rPr/>
        <w:t>确认递延所得税资产增加所致。</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after="0" w:line="240" w:lineRule="auto"/>
        <w:jc w:val="right"/>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12,699,404.25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17,689,404.25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短期借款分类的说明：</w:t>
      </w:r>
    </w:p>
    <w:p>
      <w:pPr>
        <w:pStyle w:val="BodyText"/>
        <w:spacing w:line="240" w:lineRule="auto" w:before="117"/>
        <w:ind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）公司与上海浦东发展银行股份有限公司沈阳分行（以下简称浦发银行）签订应收账款最高额质押合同，以其在</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5</w:t>
      </w:r>
    </w:p>
    <w:p>
      <w:pPr>
        <w:pStyle w:val="BodyText"/>
        <w:spacing w:line="240" w:lineRule="auto" w:before="63"/>
        <w:ind w:right="0"/>
        <w:jc w:val="left"/>
        <w:rPr>
          <w:rFonts w:ascii="Times New Roman" w:hAnsi="Times New Roman" w:cs="Times New Roman" w:eastAsia="Times New Roman" w:hint="default"/>
        </w:rPr>
      </w:pP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日的期间内发生的（包括已发生和将发生的）所有应收账款为公司与浦发银行在</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5</w:t>
      </w:r>
    </w:p>
    <w:p>
      <w:pPr>
        <w:pStyle w:val="BodyText"/>
        <w:spacing w:line="240" w:lineRule="auto" w:before="63"/>
        <w:ind w:right="0"/>
        <w:jc w:val="left"/>
        <w:rPr>
          <w:rFonts w:ascii="Times New Roman" w:hAnsi="Times New Roman" w:cs="Times New Roman" w:eastAsia="Times New Roman" w:hint="default"/>
        </w:rPr>
      </w:pP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日期间内办理的各类融资业务提供最高额不超过人民币</w:t>
      </w:r>
      <w:r>
        <w:rPr>
          <w:spacing w:val="-46"/>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2"/>
        </w:rPr>
        <w:t> </w:t>
      </w:r>
      <w:r>
        <w:rPr/>
        <w:t>万元的质押担保，截至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p>
    <w:p>
      <w:pPr>
        <w:pStyle w:val="BodyText"/>
        <w:spacing w:line="319" w:lineRule="auto" w:before="63"/>
        <w:ind w:right="104"/>
        <w:jc w:val="left"/>
        <w:rPr>
          <w:rFonts w:ascii="Times New Roman" w:hAnsi="Times New Roman" w:cs="Times New Roman" w:eastAsia="Times New Roman" w:hint="default"/>
        </w:rPr>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日止，借款余额为</w:t>
      </w:r>
      <w:r>
        <w:rPr>
          <w:spacing w:val="-46"/>
        </w:rPr>
        <w:t> </w:t>
      </w:r>
      <w:r>
        <w:rPr>
          <w:rFonts w:ascii="Times New Roman" w:hAnsi="Times New Roman" w:cs="Times New Roman" w:eastAsia="Times New Roman" w:hint="default"/>
        </w:rPr>
        <w:t>12,699,404.25</w:t>
      </w:r>
      <w:r>
        <w:rPr>
          <w:rFonts w:ascii="Times New Roman" w:hAnsi="Times New Roman" w:cs="Times New Roman" w:eastAsia="Times New Roman" w:hint="default"/>
          <w:spacing w:val="-2"/>
        </w:rPr>
        <w:t> </w:t>
      </w:r>
      <w:r>
        <w:rPr/>
        <w:t>元。 </w:t>
      </w:r>
      <w:r>
        <w:rPr>
          <w:rFonts w:ascii="Times New Roman" w:hAnsi="Times New Roman" w:cs="Times New Roman" w:eastAsia="Times New Roman" w:hint="default"/>
        </w:rPr>
        <w:t>2</w:t>
      </w:r>
      <w:r>
        <w:rPr/>
        <w:t>）公司与中国工商银行股份有限公司上海市杨浦支行（以下简称工商银行）签订最高额保证合同，为公司之子公司上海米 健信息技术有限公司在自</w:t>
      </w:r>
      <w:r>
        <w:rPr>
          <w:spacing w:val="-6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1"/>
        </w:rPr>
        <w:t> </w:t>
      </w: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21"/>
        </w:rPr>
        <w:t> </w:t>
      </w:r>
      <w:r>
        <w:rPr/>
        <w:t>月</w:t>
      </w:r>
      <w:r>
        <w:rPr>
          <w:spacing w:val="-65"/>
        </w:rPr>
        <w:t> </w:t>
      </w:r>
      <w:r>
        <w:rPr>
          <w:rFonts w:ascii="Times New Roman" w:hAnsi="Times New Roman" w:cs="Times New Roman" w:eastAsia="Times New Roman" w:hint="default"/>
        </w:rPr>
        <w:t>29</w:t>
      </w:r>
      <w:r>
        <w:rPr>
          <w:rFonts w:ascii="Times New Roman" w:hAnsi="Times New Roman" w:cs="Times New Roman" w:eastAsia="Times New Roman" w:hint="default"/>
          <w:spacing w:val="-21"/>
        </w:rPr>
        <w:t> </w:t>
      </w:r>
      <w:r>
        <w:rPr/>
        <w:t>日至</w:t>
      </w:r>
      <w:r>
        <w:rPr>
          <w:spacing w:val="-6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21"/>
        </w:rPr>
        <w:t> </w:t>
      </w:r>
      <w:r>
        <w:rPr/>
        <w:t>月</w:t>
      </w:r>
      <w:r>
        <w:rPr>
          <w:spacing w:val="-67"/>
        </w:rPr>
        <w:t> </w:t>
      </w:r>
      <w:r>
        <w:rPr>
          <w:rFonts w:ascii="Times New Roman" w:hAnsi="Times New Roman" w:cs="Times New Roman" w:eastAsia="Times New Roman" w:hint="default"/>
        </w:rPr>
        <w:t>28</w:t>
      </w:r>
      <w:r>
        <w:rPr>
          <w:rFonts w:ascii="Times New Roman" w:hAnsi="Times New Roman" w:cs="Times New Roman" w:eastAsia="Times New Roman" w:hint="default"/>
          <w:spacing w:val="-21"/>
        </w:rPr>
        <w:t> </w:t>
      </w:r>
      <w:r>
        <w:rPr/>
        <w:t>日止的期间发生的各类融资业务提供最高额不超过人民币</w:t>
      </w:r>
      <w:r>
        <w:rPr>
          <w:spacing w:val="-67"/>
        </w:rPr>
        <w:t> </w:t>
      </w:r>
      <w:r>
        <w:rPr>
          <w:rFonts w:ascii="Times New Roman" w:hAnsi="Times New Roman" w:cs="Times New Roman" w:eastAsia="Times New Roman" w:hint="default"/>
        </w:rPr>
        <w:t>720.00</w:t>
      </w:r>
    </w:p>
    <w:p>
      <w:pPr>
        <w:pStyle w:val="BodyText"/>
        <w:spacing w:line="246" w:lineRule="exact"/>
        <w:ind w:right="0"/>
        <w:jc w:val="left"/>
      </w:pPr>
      <w:r>
        <w:rPr/>
        <w:t>万元连带责任保证。截至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日止，借款余额为</w:t>
      </w:r>
      <w:r>
        <w:rPr>
          <w:spacing w:val="-46"/>
        </w:rPr>
        <w:t> </w:t>
      </w:r>
      <w:r>
        <w:rPr>
          <w:rFonts w:ascii="Times New Roman" w:hAnsi="Times New Roman" w:cs="Times New Roman" w:eastAsia="Times New Roman" w:hint="default"/>
        </w:rPr>
        <w:t>4,990,000.00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5,451,589.00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31,583,436.50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5,451,589.00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31,583,436.50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购买材料、接受劳务及服务应付款项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127,724,490.58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137,145,656.91</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购买工程设备款项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2,227,684.47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641,247.00</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4" w:right="0"/>
              <w:jc w:val="left"/>
              <w:rPr>
                <w:rFonts w:ascii="Times New Roman" w:hAnsi="Times New Roman" w:cs="Times New Roman" w:eastAsia="Times New Roman" w:hint="default"/>
                <w:sz w:val="18"/>
                <w:szCs w:val="18"/>
              </w:rPr>
            </w:pPr>
            <w:r>
              <w:rPr>
                <w:rFonts w:ascii="Times New Roman"/>
                <w:sz w:val="18"/>
              </w:rPr>
              <w:t>129,952,175.05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137,786,903.91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铁岭佰润电子科技有限公司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3,068,555.04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沈阳茂捷科技有限公司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1,907,898.00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沈阳睿力达科技有限公司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1,386,627.10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6,363,080.14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2"/>
              <w:jc w:val="left"/>
              <w:rPr>
                <w:rFonts w:ascii="宋体" w:hAnsi="宋体" w:cs="宋体" w:eastAsia="宋体" w:hint="default"/>
                <w:sz w:val="18"/>
                <w:szCs w:val="18"/>
              </w:rPr>
            </w:pPr>
            <w:r>
              <w:rPr>
                <w:rFonts w:ascii="宋体" w:hAnsi="宋体" w:cs="宋体" w:eastAsia="宋体" w:hint="default"/>
                <w:sz w:val="18"/>
                <w:szCs w:val="18"/>
              </w:rPr>
              <w:t>软件开发、产品化软件销售及系统集成 项目预收款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9,519,771.50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8,092,109.68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9,519,771.50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8,092,109.68</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24"/>
        <w:gridCol w:w="1644"/>
        <w:gridCol w:w="1752"/>
        <w:gridCol w:w="1836"/>
        <w:gridCol w:w="1914"/>
      </w:tblGrid>
      <w:tr>
        <w:trPr>
          <w:trHeight w:val="402"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5,514,792.18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86,869,872.16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86,481,234.86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5,903,429.48</w:t>
            </w:r>
          </w:p>
        </w:tc>
      </w:tr>
      <w:tr>
        <w:trPr>
          <w:trHeight w:val="402"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设定提存计划</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255,140.62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8,692,034.97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8,558,944.12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388,231.47</w:t>
            </w:r>
          </w:p>
        </w:tc>
      </w:tr>
      <w:tr>
        <w:trPr>
          <w:trHeight w:val="402"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472,363.62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472,363.62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5,769,932.80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96,034,270.75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95,512,542.60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6,291,660.95</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p>
      <w:pPr>
        <w:pStyle w:val="Heading3"/>
        <w:spacing w:line="240" w:lineRule="auto" w:before="5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16"/>
        <w:gridCol w:w="1812"/>
        <w:gridCol w:w="1788"/>
        <w:gridCol w:w="1740"/>
        <w:gridCol w:w="1914"/>
      </w:tblGrid>
      <w:tr>
        <w:trPr>
          <w:trHeight w:val="402" w:hRule="exact"/>
        </w:trPr>
        <w:tc>
          <w:tcPr>
            <w:tcW w:w="2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5,275,897.75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74,875,604.69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74,619,861.50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5,531,640.94</w:t>
            </w:r>
          </w:p>
        </w:tc>
      </w:tr>
      <w:tr>
        <w:trPr>
          <w:trHeight w:val="402" w:hRule="exact"/>
        </w:trPr>
        <w:tc>
          <w:tcPr>
            <w:tcW w:w="2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12"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1,324,248.70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1,324,248.70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141,328.43</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4,442,955.31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4,376,795.24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207,488.50</w:t>
            </w:r>
          </w:p>
        </w:tc>
      </w:tr>
      <w:tr>
        <w:trPr>
          <w:trHeight w:val="402" w:hRule="exact"/>
        </w:trPr>
        <w:tc>
          <w:tcPr>
            <w:tcW w:w="2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125,519.12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3,794,264.53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3,736,771.41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183,012.24</w:t>
            </w:r>
          </w:p>
        </w:tc>
      </w:tr>
      <w:tr>
        <w:trPr>
          <w:trHeight w:val="402" w:hRule="exact"/>
        </w:trPr>
        <w:tc>
          <w:tcPr>
            <w:tcW w:w="2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4,603.76</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394,334.99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391,545.40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7,393.35</w:t>
            </w:r>
          </w:p>
        </w:tc>
      </w:tr>
      <w:tr>
        <w:trPr>
          <w:trHeight w:val="402" w:hRule="exact"/>
        </w:trPr>
        <w:tc>
          <w:tcPr>
            <w:tcW w:w="2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11,205.55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254,355.79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248,478.43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17,082.91</w:t>
            </w:r>
          </w:p>
        </w:tc>
      </w:tr>
      <w:tr>
        <w:trPr>
          <w:trHeight w:val="402" w:hRule="exact"/>
        </w:trPr>
        <w:tc>
          <w:tcPr>
            <w:tcW w:w="2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97,566.00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5,105,606.69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5,038,872.65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164,300.04</w:t>
            </w:r>
          </w:p>
        </w:tc>
      </w:tr>
      <w:tr>
        <w:trPr>
          <w:trHeight w:val="402" w:hRule="exact"/>
        </w:trPr>
        <w:tc>
          <w:tcPr>
            <w:tcW w:w="2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12"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1,121,456.77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1,121,456.77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5,514,792.18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86,869,872.16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86,481,234.86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5,903,429.48</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244,277.46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8,417,847.16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8,285,588.00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376,536.62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10,863.16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274,187.81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273,356.12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11,694.85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255,140.62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8,692,034.97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8,558,944.12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388,231.47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9,319,282.57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8,724,287.49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533,690.15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207,771.55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536,873.78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608,233.96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277,728.31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281,156.03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184,950.52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187,235.64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66,233.24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71,464.11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103,698.92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231,883.55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11,022,457.49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10,312,032.33</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566" w:footer="978" w:top="1360" w:bottom="1160" w:left="1020" w:right="1020"/>
        </w:sectPr>
      </w:pPr>
    </w:p>
    <w:p>
      <w:pPr>
        <w:pStyle w:val="Heading3"/>
        <w:spacing w:line="240" w:lineRule="auto" w:before="55"/>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137,048.00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51,502.77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3,658,381.22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4,578,533.85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64,095,429.22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4,930,036.62</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834"/>
        <w:jc w:val="left"/>
      </w:pPr>
      <w:r>
        <w:rPr/>
        <w:t>无 其他说明：</w:t>
      </w:r>
    </w:p>
    <w:p>
      <w:pPr>
        <w:pStyle w:val="BodyText"/>
        <w:spacing w:line="300" w:lineRule="auto" w:before="29"/>
        <w:ind w:right="179"/>
        <w:jc w:val="left"/>
      </w:pPr>
      <w:r>
        <w:rPr/>
        <w:t>本项目期末余额较期初余额增加</w:t>
      </w:r>
      <w:r>
        <w:rPr>
          <w:spacing w:val="-48"/>
        </w:rPr>
        <w:t> </w:t>
      </w:r>
      <w:r>
        <w:rPr>
          <w:rFonts w:ascii="Times New Roman" w:hAnsi="Times New Roman" w:cs="Times New Roman" w:eastAsia="Times New Roman" w:hint="default"/>
        </w:rPr>
        <w:t>59,165,392.60</w:t>
      </w:r>
      <w:r>
        <w:rPr>
          <w:rFonts w:ascii="Times New Roman" w:hAnsi="Times New Roman" w:cs="Times New Roman" w:eastAsia="Times New Roman" w:hint="default"/>
          <w:spacing w:val="-4"/>
        </w:rPr>
        <w:t> </w:t>
      </w:r>
      <w:r>
        <w:rPr/>
        <w:t>元，增幅</w:t>
      </w:r>
      <w:r>
        <w:rPr>
          <w:spacing w:val="-48"/>
        </w:rPr>
        <w:t> </w:t>
      </w:r>
      <w:r>
        <w:rPr>
          <w:rFonts w:ascii="Times New Roman" w:hAnsi="Times New Roman" w:cs="Times New Roman" w:eastAsia="Times New Roman" w:hint="default"/>
        </w:rPr>
        <w:t>1,200.10%</w:t>
      </w:r>
      <w:r>
        <w:rPr/>
        <w:t>，主要系本期收购上海米健信息技术有限公司</w:t>
      </w:r>
      <w:r>
        <w:rPr>
          <w:spacing w:val="-50"/>
        </w:rPr>
        <w:t> </w:t>
      </w:r>
      <w:r>
        <w:rPr>
          <w:rFonts w:ascii="Times New Roman" w:hAnsi="Times New Roman" w:cs="Times New Roman" w:eastAsia="Times New Roman" w:hint="default"/>
        </w:rPr>
        <w:t>49.00%</w:t>
      </w:r>
      <w:r>
        <w:rPr/>
        <w:t>股 权转让款部分未到支付期所致。</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17,588,500.00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17,588,500.00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0"/>
        <w:ind w:right="7934"/>
        <w:jc w:val="left"/>
      </w:pPr>
      <w:r>
        <w:rPr/>
        <w:t>其他说明： 一年内到期的长期借款</w:t>
      </w:r>
    </w:p>
    <w:tbl>
      <w:tblPr>
        <w:tblW w:w="0" w:type="auto"/>
        <w:jc w:val="left"/>
        <w:tblInd w:w="104" w:type="dxa"/>
        <w:tblLayout w:type="fixed"/>
        <w:tblCellMar>
          <w:top w:w="0" w:type="dxa"/>
          <w:left w:w="0" w:type="dxa"/>
          <w:bottom w:w="0" w:type="dxa"/>
          <w:right w:w="0" w:type="dxa"/>
        </w:tblCellMar>
        <w:tblLook w:val="01E0"/>
      </w:tblPr>
      <w:tblGrid>
        <w:gridCol w:w="4000"/>
        <w:gridCol w:w="2460"/>
        <w:gridCol w:w="1840"/>
      </w:tblGrid>
      <w:tr>
        <w:trPr>
          <w:trHeight w:val="322" w:hRule="exact"/>
        </w:trPr>
        <w:tc>
          <w:tcPr>
            <w:tcW w:w="4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812"/>
              <w:jc w:val="right"/>
              <w:rPr>
                <w:rFonts w:ascii="宋体" w:hAnsi="宋体" w:cs="宋体" w:eastAsia="宋体" w:hint="default"/>
                <w:sz w:val="18"/>
                <w:szCs w:val="18"/>
              </w:rPr>
            </w:pPr>
            <w:r>
              <w:rPr>
                <w:rFonts w:ascii="宋体" w:hAnsi="宋体" w:cs="宋体" w:eastAsia="宋体" w:hint="default"/>
                <w:sz w:val="18"/>
                <w:szCs w:val="18"/>
              </w:rPr>
              <w:t>项目</w:t>
            </w:r>
          </w:p>
        </w:tc>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5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17,588,500.00</w:t>
            </w:r>
          </w:p>
        </w:tc>
        <w:tc>
          <w:tcPr>
            <w:tcW w:w="18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12"/>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b/>
                <w:spacing w:val="-1"/>
                <w:sz w:val="18"/>
              </w:rPr>
              <w:t>17,588,500.00</w:t>
            </w:r>
            <w:r>
              <w:rPr>
                <w:rFonts w:ascii="Times New Roman"/>
                <w:spacing w:val="-1"/>
                <w:sz w:val="18"/>
              </w:rPr>
            </w:r>
          </w:p>
        </w:tc>
        <w:tc>
          <w:tcPr>
            <w:tcW w:w="18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8"/>
        <w:ind w:right="0"/>
        <w:jc w:val="left"/>
      </w:pPr>
      <w:r>
        <w:rPr/>
        <w:t>本项目期末余额中无逾期未偿还的借款。</w:t>
      </w:r>
    </w:p>
    <w:p>
      <w:pPr>
        <w:spacing w:after="0" w:line="240" w:lineRule="auto"/>
        <w:jc w:val="left"/>
        <w:sectPr>
          <w:pgSz w:w="11910" w:h="16840"/>
          <w:pgMar w:header="566" w:footer="978" w:top="1360" w:bottom="1160" w:left="1020" w:right="1020"/>
        </w:sectPr>
      </w:pPr>
    </w:p>
    <w:p>
      <w:pPr>
        <w:pStyle w:val="Heading3"/>
        <w:spacing w:line="240" w:lineRule="auto" w:before="55"/>
        <w:ind w:left="132"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政府补助（与收益相关）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4,600,000.00</w:t>
            </w:r>
          </w:p>
        </w:tc>
      </w:tr>
    </w:tbl>
    <w:p>
      <w:pPr>
        <w:pStyle w:val="BodyText"/>
        <w:spacing w:line="240" w:lineRule="auto" w:before="51"/>
        <w:ind w:left="132" w:right="0"/>
        <w:jc w:val="left"/>
      </w:pPr>
      <w:r>
        <w:rPr/>
        <w:t>其他说明：</w:t>
      </w:r>
    </w:p>
    <w:p>
      <w:pPr>
        <w:spacing w:line="240" w:lineRule="auto" w:before="1"/>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194"/>
        <w:gridCol w:w="1161"/>
        <w:gridCol w:w="1011"/>
        <w:gridCol w:w="1161"/>
        <w:gridCol w:w="1161"/>
        <w:gridCol w:w="1161"/>
        <w:gridCol w:w="1671"/>
      </w:tblGrid>
      <w:tr>
        <w:trPr>
          <w:trHeight w:val="634" w:hRule="exact"/>
        </w:trPr>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141" w:right="138"/>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1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126" w:right="123"/>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45"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116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02"/>
              <w:jc w:val="both"/>
              <w:rPr>
                <w:rFonts w:ascii="宋体" w:hAnsi="宋体" w:cs="宋体" w:eastAsia="宋体" w:hint="default"/>
                <w:sz w:val="18"/>
                <w:szCs w:val="18"/>
              </w:rPr>
            </w:pPr>
            <w:r>
              <w:rPr>
                <w:rFonts w:ascii="宋体" w:hAnsi="宋体" w:cs="宋体" w:eastAsia="宋体" w:hint="default"/>
                <w:spacing w:val="17"/>
                <w:sz w:val="18"/>
                <w:szCs w:val="18"/>
              </w:rPr>
              <w:t>面向公共安全领域的智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sz w:val="18"/>
                <w:szCs w:val="18"/>
              </w:rPr>
              <w:t>能视频监控产品的技术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攻关</w:t>
            </w:r>
          </w:p>
        </w:tc>
        <w:tc>
          <w:tcPr>
            <w:tcW w:w="116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right"/>
              <w:rPr>
                <w:rFonts w:ascii="Times New Roman" w:hAnsi="Times New Roman" w:cs="Times New Roman" w:eastAsia="Times New Roman" w:hint="default"/>
                <w:sz w:val="18"/>
                <w:szCs w:val="18"/>
              </w:rPr>
            </w:pPr>
            <w:r>
              <w:rPr>
                <w:rFonts w:ascii="Times New Roman"/>
                <w:spacing w:val="-1"/>
                <w:sz w:val="18"/>
              </w:rPr>
              <w:t>500,000.00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500,000.00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沈</w:t>
            </w:r>
            <w:r>
              <w:rPr>
                <w:rFonts w:ascii="宋体" w:hAnsi="宋体" w:cs="宋体" w:eastAsia="宋体" w:hint="default"/>
                <w:spacing w:val="-51"/>
                <w:sz w:val="18"/>
                <w:szCs w:val="18"/>
              </w:rPr>
              <w:t> </w:t>
            </w:r>
            <w:r>
              <w:rPr>
                <w:rFonts w:ascii="宋体" w:hAnsi="宋体" w:cs="宋体" w:eastAsia="宋体" w:hint="default"/>
                <w:sz w:val="18"/>
                <w:szCs w:val="18"/>
              </w:rPr>
              <w:t>财</w:t>
            </w:r>
            <w:r>
              <w:rPr>
                <w:rFonts w:ascii="宋体" w:hAnsi="宋体" w:cs="宋体" w:eastAsia="宋体" w:hint="default"/>
                <w:spacing w:val="-48"/>
                <w:sz w:val="18"/>
                <w:szCs w:val="18"/>
              </w:rPr>
              <w:t> </w:t>
            </w:r>
            <w:r>
              <w:rPr>
                <w:rFonts w:ascii="宋体" w:hAnsi="宋体" w:cs="宋体" w:eastAsia="宋体" w:hint="default"/>
                <w:sz w:val="18"/>
                <w:szCs w:val="18"/>
              </w:rPr>
              <w:t>指</w:t>
            </w:r>
            <w:r>
              <w:rPr>
                <w:rFonts w:ascii="宋体" w:hAnsi="宋体" w:cs="宋体" w:eastAsia="宋体" w:hint="default"/>
                <w:spacing w:val="-51"/>
                <w:sz w:val="18"/>
                <w:szCs w:val="18"/>
              </w:rPr>
              <w:t> </w:t>
            </w:r>
            <w:r>
              <w:rPr>
                <w:rFonts w:ascii="宋体" w:hAnsi="宋体" w:cs="宋体" w:eastAsia="宋体" w:hint="default"/>
                <w:sz w:val="18"/>
                <w:szCs w:val="18"/>
              </w:rPr>
              <w:t>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946"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2"/>
              <w:ind w:left="102" w:right="100"/>
              <w:jc w:val="both"/>
              <w:rPr>
                <w:rFonts w:ascii="宋体" w:hAnsi="宋体" w:cs="宋体" w:eastAsia="宋体" w:hint="default"/>
                <w:sz w:val="18"/>
                <w:szCs w:val="18"/>
              </w:rPr>
            </w:pPr>
            <w:r>
              <w:rPr>
                <w:rFonts w:ascii="宋体" w:hAnsi="宋体" w:cs="宋体" w:eastAsia="宋体" w:hint="default"/>
                <w:spacing w:val="17"/>
                <w:sz w:val="18"/>
                <w:szCs w:val="18"/>
              </w:rPr>
              <w:t>构建智慧医疗信息服务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平台及移动医疗旅游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大数据系统项目</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1,400,000.00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1,400,000.00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2,800,000.00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528" w:val="left" w:leader="none"/>
                <w:tab w:pos="953" w:val="left" w:leader="none"/>
                <w:tab w:pos="1378" w:val="left" w:leader="none"/>
              </w:tabs>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沪</w:t>
              <w:tab/>
              <w:t>经</w:t>
              <w:tab/>
              <w:t>信</w:t>
              <w:tab/>
              <w:t>推</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[2014]851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63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02"/>
              <w:jc w:val="left"/>
              <w:rPr>
                <w:rFonts w:ascii="宋体" w:hAnsi="宋体" w:cs="宋体" w:eastAsia="宋体" w:hint="default"/>
                <w:sz w:val="18"/>
                <w:szCs w:val="18"/>
              </w:rPr>
            </w:pPr>
            <w:r>
              <w:rPr>
                <w:rFonts w:ascii="宋体" w:hAnsi="宋体" w:cs="宋体" w:eastAsia="宋体" w:hint="default"/>
                <w:spacing w:val="17"/>
                <w:sz w:val="18"/>
                <w:szCs w:val="18"/>
              </w:rPr>
              <w:t>军民融合的综合健康服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务平台研发及应用示范</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2,200,000.00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tabs>
                <w:tab w:pos="528" w:val="left" w:leader="none"/>
                <w:tab w:pos="953" w:val="left" w:leader="none"/>
                <w:tab w:pos="1378" w:val="left" w:leader="none"/>
              </w:tabs>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国</w:t>
              <w:tab/>
              <w:t>科</w:t>
              <w:tab/>
              <w:t>发</w:t>
              <w:tab/>
              <w:t>资</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[2015]304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63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02"/>
              <w:jc w:val="left"/>
              <w:rPr>
                <w:rFonts w:ascii="宋体" w:hAnsi="宋体" w:cs="宋体" w:eastAsia="宋体" w:hint="default"/>
                <w:sz w:val="18"/>
                <w:szCs w:val="18"/>
              </w:rPr>
            </w:pPr>
            <w:r>
              <w:rPr>
                <w:rFonts w:ascii="宋体" w:hAnsi="宋体" w:cs="宋体" w:eastAsia="宋体" w:hint="default"/>
                <w:spacing w:val="17"/>
                <w:sz w:val="18"/>
                <w:szCs w:val="18"/>
              </w:rPr>
              <w:t>基于大数据应用综合健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康服务平台研发及应用</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116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tabs>
                <w:tab w:pos="528" w:val="left" w:leader="none"/>
                <w:tab w:pos="953" w:val="left" w:leader="none"/>
                <w:tab w:pos="1378" w:val="left" w:leader="none"/>
              </w:tabs>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沈</w:t>
              <w:tab/>
              <w:t>财</w:t>
              <w:tab/>
              <w:t>指</w:t>
              <w:tab/>
              <w:t>企</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63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02"/>
              <w:jc w:val="left"/>
              <w:rPr>
                <w:rFonts w:ascii="宋体" w:hAnsi="宋体" w:cs="宋体" w:eastAsia="宋体" w:hint="default"/>
                <w:sz w:val="18"/>
                <w:szCs w:val="18"/>
              </w:rPr>
            </w:pPr>
            <w:r>
              <w:rPr>
                <w:rFonts w:ascii="宋体" w:hAnsi="宋体" w:cs="宋体" w:eastAsia="宋体" w:hint="default"/>
                <w:spacing w:val="17"/>
                <w:sz w:val="18"/>
                <w:szCs w:val="18"/>
              </w:rPr>
              <w:t>基于云计算的互联网医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疗服务平台</w:t>
            </w:r>
          </w:p>
        </w:tc>
        <w:tc>
          <w:tcPr>
            <w:tcW w:w="116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1,900,000.00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1,900,000.00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沪 发 改 服  </w:t>
            </w:r>
            <w:r>
              <w:rPr>
                <w:rFonts w:ascii="宋体" w:hAnsi="宋体" w:cs="宋体" w:eastAsia="宋体" w:hint="default"/>
                <w:spacing w:val="13"/>
                <w:sz w:val="18"/>
                <w:szCs w:val="18"/>
              </w:rPr>
              <w:t> </w:t>
            </w:r>
            <w:r>
              <w:rPr>
                <w:rFonts w:ascii="宋体" w:hAnsi="宋体" w:cs="宋体" w:eastAsia="宋体" w:hint="default"/>
                <w:sz w:val="18"/>
                <w:szCs w:val="18"/>
              </w:rPr>
              <w:t>务</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45"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b/>
                <w:sz w:val="18"/>
              </w:rPr>
              <w:t>4,600,000.00</w:t>
            </w:r>
            <w:r>
              <w:rPr>
                <w:rFonts w:ascii="Times New Roman"/>
                <w:sz w:val="18"/>
              </w:rPr>
            </w:r>
          </w:p>
        </w:tc>
        <w:tc>
          <w:tcPr>
            <w:tcW w:w="1011"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b/>
                <w:sz w:val="18"/>
              </w:rPr>
              <w:t>1,000,000.00</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18"/>
                <w:szCs w:val="18"/>
              </w:rPr>
            </w:pPr>
            <w:r>
              <w:rPr>
                <w:rFonts w:ascii="Times New Roman"/>
                <w:b/>
                <w:spacing w:val="-1"/>
                <w:sz w:val="18"/>
              </w:rPr>
              <w:t>3,800,000.00</w:t>
            </w:r>
            <w:r>
              <w:rPr>
                <w:rFonts w:ascii="Times New Roman"/>
                <w:spacing w:val="-1"/>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18"/>
                <w:szCs w:val="18"/>
              </w:rPr>
            </w:pPr>
            <w:r>
              <w:rPr>
                <w:rFonts w:ascii="Times New Roman"/>
                <w:b/>
                <w:spacing w:val="-1"/>
                <w:sz w:val="18"/>
              </w:rPr>
              <w:t>7,400,000.00</w:t>
            </w:r>
            <w:r>
              <w:rPr>
                <w:rFonts w:ascii="Times New Roman"/>
                <w:spacing w:val="-1"/>
                <w:sz w:val="18"/>
              </w:rPr>
            </w:r>
          </w:p>
        </w:tc>
        <w:tc>
          <w:tcPr>
            <w:tcW w:w="16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50"/>
        <w:ind w:left="132" w:right="191"/>
        <w:jc w:val="left"/>
      </w:pPr>
      <w:r>
        <w:rPr/>
        <w:t>本项目期末余额较期初余额增加</w:t>
      </w:r>
      <w:r>
        <w:rPr>
          <w:spacing w:val="-48"/>
        </w:rPr>
        <w:t> </w:t>
      </w:r>
      <w:r>
        <w:rPr>
          <w:rFonts w:ascii="Times New Roman" w:hAnsi="Times New Roman" w:cs="Times New Roman" w:eastAsia="Times New Roman" w:hint="default"/>
        </w:rPr>
        <w:t>2,800,000.00</w:t>
      </w:r>
      <w:r>
        <w:rPr>
          <w:rFonts w:ascii="Times New Roman" w:hAnsi="Times New Roman" w:cs="Times New Roman" w:eastAsia="Times New Roman" w:hint="default"/>
          <w:spacing w:val="-4"/>
        </w:rPr>
        <w:t> </w:t>
      </w:r>
      <w:r>
        <w:rPr/>
        <w:t>元，增幅</w:t>
      </w:r>
      <w:r>
        <w:rPr>
          <w:spacing w:val="-50"/>
        </w:rPr>
        <w:t> </w:t>
      </w:r>
      <w:r>
        <w:rPr>
          <w:rFonts w:ascii="Times New Roman" w:hAnsi="Times New Roman" w:cs="Times New Roman" w:eastAsia="Times New Roman" w:hint="default"/>
        </w:rPr>
        <w:t>60.87%</w:t>
      </w:r>
      <w:r>
        <w:rPr/>
        <w:t>，主要系面向公共安全领域的智能视频监控产品的技术攻关 及基于云计算的互联网医疗服务平台政府补助转入所致。</w:t>
      </w:r>
    </w:p>
    <w:p>
      <w:pPr>
        <w:spacing w:line="240" w:lineRule="auto" w:before="7"/>
        <w:rPr>
          <w:rFonts w:ascii="宋体" w:hAnsi="宋体" w:cs="宋体" w:eastAsia="宋体" w:hint="default"/>
          <w:sz w:val="23"/>
          <w:szCs w:val="23"/>
        </w:rPr>
      </w:pPr>
    </w:p>
    <w:p>
      <w:pPr>
        <w:pStyle w:val="Heading3"/>
        <w:spacing w:line="240" w:lineRule="auto"/>
        <w:ind w:left="132"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67,539,500.00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67,539,500.00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2" w:lineRule="auto" w:before="49"/>
        <w:ind w:left="132" w:right="6796"/>
        <w:jc w:val="left"/>
        <w:rPr>
          <w:rFonts w:ascii="Times New Roman" w:hAnsi="Times New Roman" w:cs="Times New Roman" w:eastAsia="Times New Roman" w:hint="default"/>
        </w:rPr>
      </w:pPr>
      <w:r>
        <w:rPr/>
        <w:t>长期借款分类的说明： 详见第五节、十九、</w:t>
      </w:r>
      <w:r>
        <w:rPr>
          <w:rFonts w:ascii="Times New Roman" w:hAnsi="Times New Roman" w:cs="Times New Roman" w:eastAsia="Times New Roman" w:hint="default"/>
        </w:rPr>
        <w:t>1</w:t>
      </w:r>
      <w:r>
        <w:rPr/>
        <w:t>。 其他说明，包括利率区间： 借款利率为定价基准利率加上</w:t>
      </w:r>
      <w:r>
        <w:rPr>
          <w:spacing w:val="-47"/>
        </w:rPr>
        <w:t> </w:t>
      </w:r>
      <w:r>
        <w:rPr>
          <w:rFonts w:ascii="Times New Roman" w:hAnsi="Times New Roman" w:cs="Times New Roman" w:eastAsia="Times New Roman" w:hint="default"/>
        </w:rPr>
        <w:t>1.875%</w:t>
      </w:r>
    </w:p>
    <w:p>
      <w:pPr>
        <w:spacing w:after="0" w:line="352" w:lineRule="auto"/>
        <w:jc w:val="left"/>
        <w:rPr>
          <w:rFonts w:ascii="Times New Roman" w:hAnsi="Times New Roman" w:cs="Times New Roman" w:eastAsia="Times New Roman" w:hint="default"/>
        </w:rPr>
        <w:sectPr>
          <w:footerReference w:type="default" r:id="rId49"/>
          <w:pgSz w:w="11910" w:h="16840"/>
          <w:pgMar w:footer="978" w:header="566" w:top="1360" w:bottom="1160" w:left="1000" w:right="1020"/>
          <w:pgNumType w:start="130"/>
        </w:sectPr>
      </w:pPr>
    </w:p>
    <w:p>
      <w:pPr>
        <w:pStyle w:val="Heading3"/>
        <w:spacing w:line="240" w:lineRule="auto" w:before="55"/>
        <w:ind w:left="1112" w:right="7234"/>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2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7234"/>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12" w:right="72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7234"/>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12" w:right="7234"/>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2" w:right="72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7234"/>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2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7234"/>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2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7234"/>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2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7234"/>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57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项目未到验收期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12" w:right="7234"/>
        <w:jc w:val="left"/>
      </w:pPr>
      <w:r>
        <w:rPr/>
        <w:t>涉及政府补助的项目：</w:t>
      </w:r>
    </w:p>
    <w:p>
      <w:pPr>
        <w:pStyle w:val="BodyText"/>
        <w:spacing w:line="240" w:lineRule="auto" w:before="115"/>
        <w:ind w:left="0" w:right="57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071"/>
        <w:gridCol w:w="1065"/>
        <w:gridCol w:w="1063"/>
        <w:gridCol w:w="1201"/>
        <w:gridCol w:w="1212"/>
        <w:gridCol w:w="1020"/>
        <w:gridCol w:w="1068"/>
        <w:gridCol w:w="1116"/>
        <w:gridCol w:w="1284"/>
      </w:tblGrid>
      <w:tr>
        <w:trPr>
          <w:trHeight w:val="714" w:hRule="exact"/>
        </w:trPr>
        <w:tc>
          <w:tcPr>
            <w:tcW w:w="2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6" w:right="54" w:hanging="92"/>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1" w:right="59"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77" w:right="71" w:hanging="20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714"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6"/>
              <w:jc w:val="left"/>
              <w:rPr>
                <w:rFonts w:ascii="宋体" w:hAnsi="宋体" w:cs="宋体" w:eastAsia="宋体" w:hint="default"/>
                <w:sz w:val="18"/>
                <w:szCs w:val="18"/>
              </w:rPr>
            </w:pPr>
            <w:r>
              <w:rPr>
                <w:rFonts w:ascii="宋体" w:hAnsi="宋体" w:cs="宋体" w:eastAsia="宋体" w:hint="default"/>
                <w:sz w:val="18"/>
                <w:szCs w:val="18"/>
              </w:rPr>
              <w:t>面向公共安全领域的智能 视频监控产品的技术攻关</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基于云计算的互联网医疗 服务平台</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构建智慧医疗信息服务平 台及移动医疗旅游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大</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566" w:footer="978" w:top="1360" w:bottom="1160" w:left="20" w:right="560"/>
        </w:sectPr>
      </w:pPr>
    </w:p>
    <w:p>
      <w:pPr>
        <w:spacing w:line="240" w:lineRule="auto" w:before="4"/>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071"/>
        <w:gridCol w:w="1065"/>
        <w:gridCol w:w="1063"/>
        <w:gridCol w:w="1201"/>
        <w:gridCol w:w="1212"/>
        <w:gridCol w:w="1020"/>
        <w:gridCol w:w="1068"/>
        <w:gridCol w:w="1116"/>
        <w:gridCol w:w="1284"/>
      </w:tblGrid>
      <w:tr>
        <w:trPr>
          <w:trHeight w:val="36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数据系统</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6"/>
              <w:jc w:val="left"/>
              <w:rPr>
                <w:rFonts w:ascii="宋体" w:hAnsi="宋体" w:cs="宋体" w:eastAsia="宋体" w:hint="default"/>
                <w:sz w:val="18"/>
                <w:szCs w:val="18"/>
              </w:rPr>
            </w:pPr>
            <w:r>
              <w:rPr>
                <w:rFonts w:ascii="宋体" w:hAnsi="宋体" w:cs="宋体" w:eastAsia="宋体" w:hint="default"/>
                <w:sz w:val="18"/>
                <w:szCs w:val="18"/>
              </w:rPr>
              <w:t>基于大数据应用的医疗卫 生服务云平台建设</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7,900,000.00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3,800,000.00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7,900,000.00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3,800,000.00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7,900,000.00</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left="1112" w:right="7234"/>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2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7234"/>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572"/>
        <w:jc w:val="right"/>
      </w:pPr>
      <w:r>
        <w:rPr/>
        <w:t>单位：元</w:t>
      </w:r>
    </w:p>
    <w:p>
      <w:pPr>
        <w:spacing w:line="240" w:lineRule="auto" w:before="3"/>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321,429,652.00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321,429,652.00</w:t>
            </w:r>
          </w:p>
        </w:tc>
      </w:tr>
    </w:tbl>
    <w:p>
      <w:pPr>
        <w:pStyle w:val="BodyText"/>
        <w:spacing w:line="240" w:lineRule="auto" w:before="49"/>
        <w:ind w:left="1112" w:right="7234"/>
        <w:jc w:val="left"/>
      </w:pPr>
      <w:r>
        <w:rPr/>
        <w:t>其他说明：</w:t>
      </w:r>
    </w:p>
    <w:p>
      <w:pPr>
        <w:pStyle w:val="BodyText"/>
        <w:spacing w:line="240" w:lineRule="auto" w:before="117"/>
        <w:ind w:left="1472" w:right="494"/>
        <w:jc w:val="left"/>
      </w:pPr>
      <w:r>
        <w:rPr/>
        <w:t>（</w:t>
      </w:r>
      <w:r>
        <w:rPr>
          <w:rFonts w:ascii="Times New Roman" w:hAnsi="Times New Roman" w:cs="Times New Roman" w:eastAsia="Times New Roman" w:hint="default"/>
        </w:rPr>
        <w:t>1</w:t>
      </w:r>
      <w:r>
        <w:rPr/>
        <w:t>）付艳杰将其持有的公司有限售条件流通股</w:t>
      </w:r>
      <w:r>
        <w:rPr>
          <w:spacing w:val="-47"/>
        </w:rPr>
        <w:t> </w:t>
      </w:r>
      <w:r>
        <w:rPr>
          <w:rFonts w:ascii="Times New Roman" w:hAnsi="Times New Roman" w:cs="Times New Roman" w:eastAsia="Times New Roman" w:hint="default"/>
        </w:rPr>
        <w:t>12,674,270</w:t>
      </w:r>
      <w:r>
        <w:rPr>
          <w:rFonts w:ascii="Times New Roman" w:hAnsi="Times New Roman" w:cs="Times New Roman" w:eastAsia="Times New Roman" w:hint="default"/>
          <w:spacing w:val="-3"/>
        </w:rPr>
        <w:t> </w:t>
      </w:r>
      <w:r>
        <w:rPr/>
        <w:t>股与中信证券股份有限公司进行股票质押式回购交易，质押</w:t>
      </w:r>
    </w:p>
    <w:p>
      <w:pPr>
        <w:pStyle w:val="BodyText"/>
        <w:spacing w:line="240" w:lineRule="auto" w:before="63"/>
        <w:ind w:left="1112" w:right="0"/>
        <w:jc w:val="left"/>
      </w:pPr>
      <w:r>
        <w:rPr/>
        <w:t>期限为</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个月</w:t>
      </w:r>
      <w:r>
        <w:rPr>
          <w:spacing w:val="-82"/>
        </w:rPr>
        <w:t>；</w:t>
      </w:r>
      <w:r>
        <w:rPr/>
        <w:t>崔万涛将其持有的公司有限售条件流通股</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7</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股与中信证券股份有限公司进行股票质押式回购交易，</w:t>
      </w:r>
    </w:p>
    <w:p>
      <w:pPr>
        <w:pStyle w:val="BodyText"/>
        <w:spacing w:line="240" w:lineRule="auto" w:before="63"/>
        <w:ind w:left="1112" w:right="584"/>
        <w:jc w:val="left"/>
      </w:pPr>
      <w:r>
        <w:rPr/>
        <w:t>质押期限为</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个月。相关股权质押登记手续已于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103"/>
        <w:ind w:left="1472" w:right="494"/>
        <w:jc w:val="left"/>
      </w:pPr>
      <w:r>
        <w:rPr>
          <w:spacing w:val="-2"/>
        </w:rPr>
        <w:t>（</w:t>
      </w:r>
      <w:r>
        <w:rPr>
          <w:rFonts w:ascii="Times New Roman" w:hAnsi="Times New Roman" w:cs="Times New Roman" w:eastAsia="Times New Roman" w:hint="default"/>
          <w:spacing w:val="-2"/>
        </w:rPr>
        <w:t>2</w:t>
      </w:r>
      <w:r>
        <w:rPr>
          <w:spacing w:val="-2"/>
        </w:rPr>
        <w:t>）崔万涛将其持有的公司有限售条件流通股</w:t>
      </w:r>
      <w:r>
        <w:rPr/>
        <w:t> </w:t>
      </w:r>
      <w:r>
        <w:rPr>
          <w:rFonts w:ascii="Times New Roman" w:hAnsi="Times New Roman" w:cs="Times New Roman" w:eastAsia="Times New Roman" w:hint="default"/>
          <w:spacing w:val="-1"/>
        </w:rPr>
        <w:t>3,275,000</w:t>
      </w:r>
      <w:r>
        <w:rPr>
          <w:rFonts w:ascii="Times New Roman" w:hAnsi="Times New Roman" w:cs="Times New Roman" w:eastAsia="Times New Roman" w:hint="default"/>
          <w:spacing w:val="-26"/>
        </w:rPr>
        <w:t> </w:t>
      </w:r>
      <w:r>
        <w:rPr>
          <w:spacing w:val="-2"/>
        </w:rPr>
        <w:t>股与中山证券有限责任公司进行股票质押式回购交易，质押期</w:t>
      </w:r>
    </w:p>
    <w:p>
      <w:pPr>
        <w:pStyle w:val="BodyText"/>
        <w:spacing w:line="240" w:lineRule="auto" w:before="63"/>
        <w:ind w:left="1112" w:right="584"/>
        <w:jc w:val="left"/>
      </w:pPr>
      <w:r>
        <w:rPr/>
        <w:t>限为</w:t>
      </w:r>
      <w:r>
        <w:rPr>
          <w:spacing w:val="-45"/>
        </w:rPr>
        <w:t> </w:t>
      </w:r>
      <w:r>
        <w:rPr>
          <w:rFonts w:ascii="Times New Roman" w:hAnsi="Times New Roman" w:cs="Times New Roman" w:eastAsia="Times New Roman" w:hint="default"/>
        </w:rPr>
        <w:t>360</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日通过中国证券登记结算有限公司深圳分公司办理。</w:t>
      </w:r>
    </w:p>
    <w:p>
      <w:pPr>
        <w:pStyle w:val="BodyText"/>
        <w:spacing w:line="240" w:lineRule="auto" w:before="101"/>
        <w:ind w:left="1472" w:right="0"/>
        <w:jc w:val="left"/>
      </w:pPr>
      <w:r>
        <w:rPr/>
        <w:t>崔万涛将前述有限售条件股份</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股与中山证券办理了股份质押延期业务</w:t>
      </w:r>
      <w:r>
        <w:rPr>
          <w:spacing w:val="-82"/>
        </w:rPr>
        <w:t>，</w:t>
      </w:r>
      <w:r>
        <w:rPr/>
        <w:t>回购交易日延期至</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w:t>
      </w:r>
    </w:p>
    <w:p>
      <w:pPr>
        <w:pStyle w:val="BodyText"/>
        <w:spacing w:line="240" w:lineRule="auto" w:before="63"/>
        <w:ind w:left="1112" w:right="494"/>
        <w:jc w:val="left"/>
      </w:pPr>
      <w:r>
        <w:rPr/>
        <w:t>因质押股份市值的减少，崔万涛以其持有的公司有限售条件股份</w:t>
      </w:r>
      <w:r>
        <w:rPr>
          <w:spacing w:val="-66"/>
        </w:rPr>
        <w:t> </w:t>
      </w:r>
      <w:r>
        <w:rPr>
          <w:rFonts w:ascii="Times New Roman" w:hAnsi="Times New Roman" w:cs="Times New Roman" w:eastAsia="Times New Roman" w:hint="default"/>
        </w:rPr>
        <w:t>885,000</w:t>
      </w:r>
      <w:r>
        <w:rPr>
          <w:rFonts w:ascii="Times New Roman" w:hAnsi="Times New Roman" w:cs="Times New Roman" w:eastAsia="Times New Roman" w:hint="default"/>
          <w:spacing w:val="-21"/>
        </w:rPr>
        <w:t> </w:t>
      </w:r>
      <w:r>
        <w:rPr/>
        <w:t>股与中山证券办理了补充质押。相关股权质押登记</w:t>
      </w:r>
    </w:p>
    <w:p>
      <w:pPr>
        <w:pStyle w:val="BodyText"/>
        <w:spacing w:line="240" w:lineRule="auto" w:before="63"/>
        <w:ind w:left="1112" w:right="584"/>
        <w:jc w:val="left"/>
      </w:pPr>
      <w:r>
        <w:rPr/>
        <w:t>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日通过中国证券登记结算有限公司深圳分公司办理。</w:t>
      </w:r>
    </w:p>
    <w:p>
      <w:pPr>
        <w:pStyle w:val="BodyText"/>
        <w:spacing w:line="240" w:lineRule="auto" w:before="103"/>
        <w:ind w:left="1472" w:right="494"/>
        <w:jc w:val="left"/>
      </w:pPr>
      <w:r>
        <w:rPr/>
        <w:t>（</w:t>
      </w:r>
      <w:r>
        <w:rPr>
          <w:rFonts w:ascii="Times New Roman" w:hAnsi="Times New Roman" w:cs="Times New Roman" w:eastAsia="Times New Roman" w:hint="default"/>
        </w:rPr>
        <w:t>3</w:t>
      </w:r>
      <w:r>
        <w:rPr/>
        <w:t>）崔万涛将其持有的公司有限售条件流通股</w:t>
      </w:r>
      <w:r>
        <w:rPr>
          <w:spacing w:val="-47"/>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3"/>
        </w:rPr>
        <w:t> </w:t>
      </w:r>
      <w:r>
        <w:rPr/>
        <w:t>股与中山证券有限责任公司进行股票质押式回购交易，质押</w:t>
      </w:r>
    </w:p>
    <w:p>
      <w:pPr>
        <w:pStyle w:val="BodyText"/>
        <w:spacing w:line="240" w:lineRule="auto" w:before="63"/>
        <w:ind w:left="1112" w:right="584"/>
        <w:jc w:val="left"/>
      </w:pPr>
      <w:r>
        <w:rPr/>
        <w:t>期限为</w:t>
      </w:r>
      <w:r>
        <w:rPr>
          <w:spacing w:val="-46"/>
        </w:rPr>
        <w:t> </w:t>
      </w:r>
      <w:r>
        <w:rPr>
          <w:rFonts w:ascii="Times New Roman" w:hAnsi="Times New Roman" w:cs="Times New Roman" w:eastAsia="Times New Roman" w:hint="default"/>
        </w:rPr>
        <w:t>360</w:t>
      </w:r>
      <w:r>
        <w:rPr>
          <w:rFonts w:ascii="Times New Roman" w:hAnsi="Times New Roman" w:cs="Times New Roman" w:eastAsia="Times New Roman" w:hint="default"/>
          <w:spacing w:val="-2"/>
        </w:rPr>
        <w:t> </w:t>
      </w:r>
      <w:r>
        <w:rPr/>
        <w:t>天。相关股权质押登记手续已于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日通过中国证券登记结算有限公司深圳分公司办理。</w:t>
      </w:r>
    </w:p>
    <w:p>
      <w:pPr>
        <w:pStyle w:val="BodyText"/>
        <w:spacing w:line="240" w:lineRule="auto" w:before="103"/>
        <w:ind w:left="1472" w:right="0"/>
        <w:jc w:val="left"/>
      </w:pPr>
      <w:r>
        <w:rPr/>
        <w:t>因质押股份市值的减少</w:t>
      </w:r>
      <w:r>
        <w:rPr>
          <w:spacing w:val="-82"/>
        </w:rPr>
        <w:t>，</w:t>
      </w:r>
      <w:r>
        <w:rPr/>
        <w:t>崔万涛将其持有的公司有限售条件流通股</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股与中山证券有限责任公司办理补充质押，</w:t>
      </w:r>
    </w:p>
    <w:p>
      <w:pPr>
        <w:pStyle w:val="BodyText"/>
        <w:spacing w:line="240" w:lineRule="auto" w:before="63"/>
        <w:ind w:left="1112" w:right="584"/>
        <w:jc w:val="left"/>
      </w:pPr>
      <w:r>
        <w:rPr/>
        <w:t>质押期限为</w:t>
      </w:r>
      <w:r>
        <w:rPr>
          <w:spacing w:val="-45"/>
        </w:rPr>
        <w:t> </w:t>
      </w:r>
      <w:r>
        <w:rPr>
          <w:rFonts w:ascii="Times New Roman" w:hAnsi="Times New Roman" w:cs="Times New Roman" w:eastAsia="Times New Roman" w:hint="default"/>
        </w:rPr>
        <w:t>215</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日通过中国证券登记结算有限公司深圳分公司办理。</w:t>
      </w:r>
    </w:p>
    <w:p>
      <w:pPr>
        <w:pStyle w:val="BodyText"/>
        <w:spacing w:line="240" w:lineRule="auto" w:before="101"/>
        <w:ind w:left="1472" w:right="0"/>
        <w:jc w:val="left"/>
      </w:pPr>
      <w:r>
        <w:rPr/>
        <w:t>因质押股份市值的减少</w:t>
      </w:r>
      <w:r>
        <w:rPr>
          <w:spacing w:val="-82"/>
        </w:rPr>
        <w:t>，</w:t>
      </w:r>
      <w:r>
        <w:rPr/>
        <w:t>崔万涛将其持有的公司有限售条件流通股</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股与中山证券有限责任公司办理补充质押，</w:t>
      </w:r>
    </w:p>
    <w:p>
      <w:pPr>
        <w:pStyle w:val="BodyText"/>
        <w:spacing w:line="240" w:lineRule="auto" w:before="63"/>
        <w:ind w:left="1112" w:right="584"/>
        <w:jc w:val="left"/>
      </w:pPr>
      <w:r>
        <w:rPr/>
        <w:t>质押期限为</w:t>
      </w:r>
      <w:r>
        <w:rPr>
          <w:spacing w:val="-45"/>
        </w:rPr>
        <w:t> </w:t>
      </w:r>
      <w:r>
        <w:rPr>
          <w:rFonts w:ascii="Times New Roman" w:hAnsi="Times New Roman" w:cs="Times New Roman" w:eastAsia="Times New Roman" w:hint="default"/>
        </w:rPr>
        <w:t>379</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103"/>
        <w:ind w:left="1472" w:right="494"/>
        <w:jc w:val="left"/>
      </w:pPr>
      <w:r>
        <w:rPr/>
        <w:t>崔万涛将前述有限售条件股份与中山证券办理了股份质押延期业务，回购交易日延期至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日，同时，因</w:t>
      </w:r>
    </w:p>
    <w:p>
      <w:pPr>
        <w:pStyle w:val="BodyText"/>
        <w:spacing w:line="240" w:lineRule="auto" w:before="63"/>
        <w:ind w:left="1112" w:right="0"/>
        <w:jc w:val="left"/>
      </w:pPr>
      <w:r>
        <w:rPr/>
        <w:t>质押股份市值的减少，崔万涛以其持有的公司有限售条件股份</w:t>
      </w:r>
      <w:r>
        <w:rPr>
          <w:spacing w:val="-53"/>
        </w:rPr>
        <w:t> </w:t>
      </w:r>
      <w:r>
        <w:rPr>
          <w:rFonts w:ascii="Times New Roman" w:hAnsi="Times New Roman" w:cs="Times New Roman" w:eastAsia="Times New Roman" w:hint="default"/>
        </w:rPr>
        <w:t>3,220,000</w:t>
      </w:r>
      <w:r>
        <w:rPr>
          <w:rFonts w:ascii="Times New Roman" w:hAnsi="Times New Roman" w:cs="Times New Roman" w:eastAsia="Times New Roman" w:hint="default"/>
          <w:spacing w:val="-9"/>
        </w:rPr>
        <w:t> </w:t>
      </w:r>
      <w:r>
        <w:rPr>
          <w:spacing w:val="-3"/>
        </w:rPr>
        <w:t>股与中山证券办理了补充质押，质押期限为</w:t>
      </w:r>
      <w:r>
        <w:rPr>
          <w:spacing w:val="-53"/>
        </w:rPr>
        <w:t> </w:t>
      </w:r>
      <w:r>
        <w:rPr>
          <w:rFonts w:ascii="Times New Roman" w:hAnsi="Times New Roman" w:cs="Times New Roman" w:eastAsia="Times New Roman" w:hint="default"/>
        </w:rPr>
        <w:t>362</w:t>
      </w:r>
      <w:r>
        <w:rPr>
          <w:rFonts w:ascii="Times New Roman" w:hAnsi="Times New Roman" w:cs="Times New Roman" w:eastAsia="Times New Roman" w:hint="default"/>
          <w:spacing w:val="-9"/>
        </w:rPr>
        <w:t> </w:t>
      </w:r>
      <w:r>
        <w:rPr/>
        <w:t>天。</w:t>
      </w:r>
    </w:p>
    <w:p>
      <w:pPr>
        <w:pStyle w:val="BodyText"/>
        <w:spacing w:line="240" w:lineRule="auto" w:before="63"/>
        <w:ind w:left="1112" w:right="584"/>
        <w:jc w:val="left"/>
      </w:pPr>
      <w:r>
        <w:rPr/>
        <w:t>相关股权质押登记手续已于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日通过中国证券登记结算有限公司深圳分公司办理。</w:t>
      </w:r>
    </w:p>
    <w:p>
      <w:pPr>
        <w:pStyle w:val="BodyText"/>
        <w:spacing w:line="240" w:lineRule="auto" w:before="103"/>
        <w:ind w:left="1472" w:right="494"/>
        <w:jc w:val="left"/>
      </w:pPr>
      <w:r>
        <w:rPr>
          <w:spacing w:val="-2"/>
        </w:rPr>
        <w:t>（</w:t>
      </w:r>
      <w:r>
        <w:rPr>
          <w:rFonts w:ascii="Times New Roman" w:hAnsi="Times New Roman" w:cs="Times New Roman" w:eastAsia="Times New Roman" w:hint="default"/>
          <w:spacing w:val="-2"/>
        </w:rPr>
        <w:t>4</w:t>
      </w:r>
      <w:r>
        <w:rPr>
          <w:spacing w:val="-2"/>
        </w:rPr>
        <w:t>）崔万涛将其持有的公司有限售条件流通股</w:t>
      </w:r>
      <w:r>
        <w:rPr/>
        <w:t> </w:t>
      </w:r>
      <w:r>
        <w:rPr>
          <w:rFonts w:ascii="Times New Roman" w:hAnsi="Times New Roman" w:cs="Times New Roman" w:eastAsia="Times New Roman" w:hint="default"/>
          <w:spacing w:val="-1"/>
        </w:rPr>
        <w:t>5,000,000</w:t>
      </w:r>
      <w:r>
        <w:rPr>
          <w:rFonts w:ascii="Times New Roman" w:hAnsi="Times New Roman" w:cs="Times New Roman" w:eastAsia="Times New Roman" w:hint="default"/>
          <w:spacing w:val="-26"/>
        </w:rPr>
        <w:t> </w:t>
      </w:r>
      <w:r>
        <w:rPr>
          <w:spacing w:val="-2"/>
        </w:rPr>
        <w:t>股与中天证券股份有限公司进行股票质押式回购交易，质押期</w:t>
      </w:r>
    </w:p>
    <w:p>
      <w:pPr>
        <w:pStyle w:val="BodyText"/>
        <w:spacing w:line="240" w:lineRule="auto" w:before="63"/>
        <w:ind w:left="1112" w:right="584"/>
        <w:jc w:val="left"/>
      </w:pPr>
      <w:r>
        <w:rPr/>
        <w:t>限为</w:t>
      </w:r>
      <w:r>
        <w:rPr>
          <w:spacing w:val="-45"/>
        </w:rPr>
        <w:t> </w:t>
      </w:r>
      <w:r>
        <w:rPr>
          <w:rFonts w:ascii="Times New Roman" w:hAnsi="Times New Roman" w:cs="Times New Roman" w:eastAsia="Times New Roman" w:hint="default"/>
        </w:rPr>
        <w:t>365</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日通过中国证券登记结算有限公司深圳分公司办理。</w:t>
      </w:r>
    </w:p>
    <w:p>
      <w:pPr>
        <w:pStyle w:val="BodyText"/>
        <w:spacing w:line="240" w:lineRule="auto" w:before="101"/>
        <w:ind w:left="1472" w:right="494"/>
        <w:jc w:val="left"/>
      </w:pPr>
      <w:r>
        <w:rPr>
          <w:spacing w:val="-2"/>
        </w:rPr>
        <w:t>（</w:t>
      </w:r>
      <w:r>
        <w:rPr>
          <w:rFonts w:ascii="Times New Roman" w:hAnsi="Times New Roman" w:cs="Times New Roman" w:eastAsia="Times New Roman" w:hint="default"/>
          <w:spacing w:val="-2"/>
        </w:rPr>
        <w:t>5</w:t>
      </w:r>
      <w:r>
        <w:rPr>
          <w:spacing w:val="-2"/>
        </w:rPr>
        <w:t>）崔万涛将其持有的公司有限售条件流通股</w:t>
      </w:r>
      <w:r>
        <w:rPr/>
        <w:t> </w:t>
      </w:r>
      <w:r>
        <w:rPr>
          <w:rFonts w:ascii="Times New Roman" w:hAnsi="Times New Roman" w:cs="Times New Roman" w:eastAsia="Times New Roman" w:hint="default"/>
          <w:spacing w:val="-1"/>
        </w:rPr>
        <w:t>8,130,000</w:t>
      </w:r>
      <w:r>
        <w:rPr>
          <w:rFonts w:ascii="Times New Roman" w:hAnsi="Times New Roman" w:cs="Times New Roman" w:eastAsia="Times New Roman" w:hint="default"/>
          <w:spacing w:val="-26"/>
        </w:rPr>
        <w:t> </w:t>
      </w:r>
      <w:r>
        <w:rPr>
          <w:spacing w:val="-2"/>
        </w:rPr>
        <w:t>股与广发证券股份有限公司进行股票质押式回购交易，质押期</w:t>
      </w:r>
    </w:p>
    <w:p>
      <w:pPr>
        <w:pStyle w:val="BodyText"/>
        <w:spacing w:line="240" w:lineRule="auto" w:before="63"/>
        <w:ind w:left="1112" w:right="584"/>
        <w:jc w:val="left"/>
      </w:pPr>
      <w:r>
        <w:rPr/>
        <w:t>限为</w:t>
      </w:r>
      <w:r>
        <w:rPr>
          <w:spacing w:val="-45"/>
        </w:rPr>
        <w:t> </w:t>
      </w:r>
      <w:r>
        <w:rPr>
          <w:rFonts w:ascii="Times New Roman" w:hAnsi="Times New Roman" w:cs="Times New Roman" w:eastAsia="Times New Roman" w:hint="default"/>
        </w:rPr>
        <w:t>366</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日通过中国证券登记结算有限公司深圳分公司办理。</w:t>
      </w:r>
    </w:p>
    <w:p>
      <w:pPr>
        <w:pStyle w:val="BodyText"/>
        <w:spacing w:line="240" w:lineRule="auto" w:before="103"/>
        <w:ind w:left="1472" w:right="0"/>
        <w:jc w:val="left"/>
      </w:pPr>
      <w:r>
        <w:rPr/>
        <w:t>因质押股份市值的减少</w:t>
      </w:r>
      <w:r>
        <w:rPr>
          <w:spacing w:val="-82"/>
        </w:rPr>
        <w:t>，</w:t>
      </w:r>
      <w:r>
        <w:rPr/>
        <w:t>崔万涛将其持有的公司有限售条件流通股</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股与广发证券股份有限公司办理补充质押，</w:t>
      </w:r>
    </w:p>
    <w:p>
      <w:pPr>
        <w:pStyle w:val="BodyText"/>
        <w:spacing w:line="240" w:lineRule="auto" w:before="63"/>
        <w:ind w:left="1112" w:right="584"/>
        <w:jc w:val="left"/>
      </w:pPr>
      <w:r>
        <w:rPr/>
        <w:t>质押期限为</w:t>
      </w:r>
      <w:r>
        <w:rPr>
          <w:spacing w:val="-45"/>
        </w:rPr>
        <w:t> </w:t>
      </w:r>
      <w:r>
        <w:rPr>
          <w:rFonts w:ascii="Times New Roman" w:hAnsi="Times New Roman" w:cs="Times New Roman" w:eastAsia="Times New Roman" w:hint="default"/>
        </w:rPr>
        <w:t>331</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日通过中国证券登记结算有限公司深圳分公司办理。</w:t>
      </w:r>
    </w:p>
    <w:p>
      <w:pPr>
        <w:pStyle w:val="BodyText"/>
        <w:spacing w:line="240" w:lineRule="auto" w:before="103"/>
        <w:ind w:left="1472" w:right="0"/>
        <w:jc w:val="left"/>
      </w:pPr>
      <w:r>
        <w:rPr/>
        <w:t>因质押股份市值的减少</w:t>
      </w:r>
      <w:r>
        <w:rPr>
          <w:spacing w:val="-82"/>
        </w:rPr>
        <w:t>，</w:t>
      </w:r>
      <w:r>
        <w:rPr/>
        <w:t>崔万涛将其持有的公司有限售条件流通股</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股与广发证券股份有限公司办理补充质押，</w:t>
      </w:r>
    </w:p>
    <w:p>
      <w:pPr>
        <w:pStyle w:val="BodyText"/>
        <w:spacing w:line="240" w:lineRule="auto" w:before="63"/>
        <w:ind w:left="1112" w:right="584"/>
        <w:jc w:val="left"/>
      </w:pPr>
      <w:r>
        <w:rPr/>
        <w:t>质押期限为</w:t>
      </w:r>
      <w:r>
        <w:rPr>
          <w:spacing w:val="-46"/>
        </w:rPr>
        <w:t> </w:t>
      </w:r>
      <w:r>
        <w:rPr>
          <w:rFonts w:ascii="Times New Roman" w:hAnsi="Times New Roman" w:cs="Times New Roman" w:eastAsia="Times New Roman" w:hint="default"/>
        </w:rPr>
        <w:t>133</w:t>
      </w:r>
      <w:r>
        <w:rPr>
          <w:rFonts w:ascii="Times New Roman" w:hAnsi="Times New Roman" w:cs="Times New Roman" w:eastAsia="Times New Roman" w:hint="default"/>
          <w:spacing w:val="-2"/>
        </w:rPr>
        <w:t> </w:t>
      </w:r>
      <w:r>
        <w:rPr/>
        <w:t>天。相关股权质押登记手续已于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 </w:t>
      </w:r>
      <w:r>
        <w:rPr/>
        <w:t>日通过中国证券登记结算有限公司深圳分公司办理。</w:t>
      </w:r>
    </w:p>
    <w:p>
      <w:pPr>
        <w:spacing w:after="0" w:line="240" w:lineRule="auto"/>
        <w:jc w:val="left"/>
        <w:sectPr>
          <w:pgSz w:w="11910" w:h="16840"/>
          <w:pgMar w:header="566" w:footer="978" w:top="1360" w:bottom="1160" w:left="20" w:right="560"/>
        </w:sectPr>
      </w:pPr>
    </w:p>
    <w:p>
      <w:pPr>
        <w:pStyle w:val="BodyText"/>
        <w:spacing w:line="240" w:lineRule="auto" w:before="81"/>
        <w:ind w:left="472" w:right="0"/>
        <w:jc w:val="left"/>
      </w:pPr>
      <w:r>
        <w:rPr/>
        <w:t>因质押股份市值的减少</w:t>
      </w:r>
      <w:r>
        <w:rPr>
          <w:spacing w:val="-82"/>
        </w:rPr>
        <w:t>，</w:t>
      </w:r>
      <w:r>
        <w:rPr/>
        <w:t>崔万涛将其持有的公司有限售条件流通股</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股与广发证券股份有限公司办理补充质押，</w:t>
      </w:r>
    </w:p>
    <w:p>
      <w:pPr>
        <w:pStyle w:val="BodyText"/>
        <w:spacing w:line="240" w:lineRule="auto" w:before="63"/>
        <w:ind w:right="94"/>
        <w:jc w:val="left"/>
      </w:pPr>
      <w:r>
        <w:rPr/>
        <w:t>质押期限为</w:t>
      </w:r>
      <w:r>
        <w:rPr>
          <w:spacing w:val="-45"/>
        </w:rPr>
        <w:t> </w:t>
      </w:r>
      <w:r>
        <w:rPr>
          <w:rFonts w:ascii="Times New Roman" w:hAnsi="Times New Roman" w:cs="Times New Roman" w:eastAsia="Times New Roman" w:hint="default"/>
        </w:rPr>
        <w:t>101</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101"/>
        <w:ind w:left="472" w:right="94"/>
        <w:jc w:val="left"/>
      </w:pPr>
      <w:r>
        <w:rPr>
          <w:spacing w:val="-2"/>
        </w:rPr>
        <w:t>（</w:t>
      </w:r>
      <w:r>
        <w:rPr>
          <w:rFonts w:ascii="Times New Roman" w:hAnsi="Times New Roman" w:cs="Times New Roman" w:eastAsia="Times New Roman" w:hint="default"/>
          <w:spacing w:val="-2"/>
        </w:rPr>
        <w:t>6</w:t>
      </w:r>
      <w:r>
        <w:rPr>
          <w:spacing w:val="-2"/>
        </w:rPr>
        <w:t>）付艳杰将其持有的公司有限售条件流通股</w:t>
      </w:r>
      <w:r>
        <w:rPr/>
        <w:t> </w:t>
      </w:r>
      <w:r>
        <w:rPr>
          <w:rFonts w:ascii="Times New Roman" w:hAnsi="Times New Roman" w:cs="Times New Roman" w:eastAsia="Times New Roman" w:hint="default"/>
          <w:spacing w:val="-1"/>
        </w:rPr>
        <w:t>5,050,000</w:t>
      </w:r>
      <w:r>
        <w:rPr>
          <w:rFonts w:ascii="Times New Roman" w:hAnsi="Times New Roman" w:cs="Times New Roman" w:eastAsia="Times New Roman" w:hint="default"/>
          <w:spacing w:val="-26"/>
        </w:rPr>
        <w:t> </w:t>
      </w:r>
      <w:r>
        <w:rPr>
          <w:spacing w:val="-2"/>
        </w:rPr>
        <w:t>股与广发证券股份有限公司进行股票质押式回购交易，质押期</w:t>
      </w:r>
    </w:p>
    <w:p>
      <w:pPr>
        <w:pStyle w:val="BodyText"/>
        <w:spacing w:line="240" w:lineRule="auto" w:before="63"/>
        <w:ind w:right="94"/>
        <w:jc w:val="left"/>
      </w:pPr>
      <w:r>
        <w:rPr/>
        <w:t>限为</w:t>
      </w:r>
      <w:r>
        <w:rPr>
          <w:spacing w:val="-45"/>
        </w:rPr>
        <w:t> </w:t>
      </w:r>
      <w:r>
        <w:rPr>
          <w:rFonts w:ascii="Times New Roman" w:hAnsi="Times New Roman" w:cs="Times New Roman" w:eastAsia="Times New Roman" w:hint="default"/>
        </w:rPr>
        <w:t>366</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日通过中国证券登记结算有限公司深圳分公司办理。</w:t>
      </w:r>
    </w:p>
    <w:p>
      <w:pPr>
        <w:pStyle w:val="BodyText"/>
        <w:spacing w:line="240" w:lineRule="auto" w:before="103"/>
        <w:ind w:left="472" w:right="94"/>
        <w:jc w:val="left"/>
      </w:pPr>
      <w:r>
        <w:rPr/>
        <w:t>因质押股份市值的减少，付艳杰将其持有的公司有限售条件流通股</w:t>
      </w:r>
      <w:r>
        <w:rPr>
          <w:spacing w:val="-46"/>
        </w:rPr>
        <w:t> </w:t>
      </w:r>
      <w:r>
        <w:rPr>
          <w:rFonts w:ascii="Times New Roman" w:hAnsi="Times New Roman" w:cs="Times New Roman" w:eastAsia="Times New Roman" w:hint="default"/>
        </w:rPr>
        <w:t>800,000</w:t>
      </w:r>
      <w:r>
        <w:rPr>
          <w:rFonts w:ascii="Times New Roman" w:hAnsi="Times New Roman" w:cs="Times New Roman" w:eastAsia="Times New Roman" w:hint="default"/>
          <w:spacing w:val="-2"/>
        </w:rPr>
        <w:t> </w:t>
      </w:r>
      <w:r>
        <w:rPr/>
        <w:t>股与广发证券股份有限公司办理补充质押，</w:t>
      </w:r>
    </w:p>
    <w:p>
      <w:pPr>
        <w:pStyle w:val="BodyText"/>
        <w:spacing w:line="240" w:lineRule="auto" w:before="63"/>
        <w:ind w:right="94"/>
        <w:jc w:val="left"/>
      </w:pPr>
      <w:r>
        <w:rPr/>
        <w:t>质押期限为</w:t>
      </w:r>
      <w:r>
        <w:rPr>
          <w:spacing w:val="-45"/>
        </w:rPr>
        <w:t> </w:t>
      </w:r>
      <w:r>
        <w:rPr>
          <w:rFonts w:ascii="Times New Roman" w:hAnsi="Times New Roman" w:cs="Times New Roman" w:eastAsia="Times New Roman" w:hint="default"/>
        </w:rPr>
        <w:t>332</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日通过中国证券登记结算有限公司深圳分公司办理。</w:t>
      </w:r>
    </w:p>
    <w:p>
      <w:pPr>
        <w:pStyle w:val="BodyText"/>
        <w:spacing w:line="240" w:lineRule="auto" w:before="103"/>
        <w:ind w:left="472" w:right="0"/>
        <w:jc w:val="left"/>
      </w:pPr>
      <w:r>
        <w:rPr/>
        <w:t>因质押股份市值的减少</w:t>
      </w:r>
      <w:r>
        <w:rPr>
          <w:spacing w:val="-82"/>
        </w:rPr>
        <w:t>，</w:t>
      </w:r>
      <w:r>
        <w:rPr/>
        <w:t>付艳杰将其持有的公司有限售条件流通股</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股与广发证券股份有限公司办理补充质押，</w:t>
      </w:r>
    </w:p>
    <w:p>
      <w:pPr>
        <w:pStyle w:val="BodyText"/>
        <w:spacing w:line="240" w:lineRule="auto" w:before="63"/>
        <w:ind w:right="94"/>
        <w:jc w:val="left"/>
      </w:pPr>
      <w:r>
        <w:rPr/>
        <w:t>质押期限为</w:t>
      </w:r>
      <w:r>
        <w:rPr>
          <w:spacing w:val="-46"/>
        </w:rPr>
        <w:t> </w:t>
      </w:r>
      <w:r>
        <w:rPr>
          <w:rFonts w:ascii="Times New Roman" w:hAnsi="Times New Roman" w:cs="Times New Roman" w:eastAsia="Times New Roman" w:hint="default"/>
        </w:rPr>
        <w:t>134</w:t>
      </w:r>
      <w:r>
        <w:rPr>
          <w:rFonts w:ascii="Times New Roman" w:hAnsi="Times New Roman" w:cs="Times New Roman" w:eastAsia="Times New Roman" w:hint="default"/>
          <w:spacing w:val="-2"/>
        </w:rPr>
        <w:t> </w:t>
      </w:r>
      <w:r>
        <w:rPr/>
        <w:t>天。相关股权质押登记手续已于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 </w:t>
      </w:r>
      <w:r>
        <w:rPr/>
        <w:t>日通过中国证券登记结算有限公司深圳分公司办理。</w:t>
      </w:r>
    </w:p>
    <w:p>
      <w:pPr>
        <w:pStyle w:val="BodyText"/>
        <w:spacing w:line="240" w:lineRule="auto" w:before="101"/>
        <w:ind w:left="472" w:right="94"/>
        <w:jc w:val="left"/>
      </w:pPr>
      <w:r>
        <w:rPr/>
        <w:t>因质押股份市值的减少，付艳杰将其持有的公司有限售条件流通股</w:t>
      </w:r>
      <w:r>
        <w:rPr>
          <w:spacing w:val="-46"/>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2"/>
        </w:rPr>
        <w:t> </w:t>
      </w:r>
      <w:r>
        <w:rPr/>
        <w:t>股与广发证券股份有限公司办理补充质押，</w:t>
      </w:r>
    </w:p>
    <w:p>
      <w:pPr>
        <w:pStyle w:val="BodyText"/>
        <w:spacing w:line="240" w:lineRule="auto" w:before="63"/>
        <w:ind w:right="94"/>
        <w:jc w:val="left"/>
      </w:pPr>
      <w:r>
        <w:rPr/>
        <w:t>质押期限为</w:t>
      </w:r>
      <w:r>
        <w:rPr>
          <w:spacing w:val="-45"/>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103"/>
        <w:ind w:left="472" w:right="94"/>
        <w:jc w:val="left"/>
      </w:pPr>
      <w:r>
        <w:rPr/>
        <w:t>（</w:t>
      </w:r>
      <w:r>
        <w:rPr>
          <w:rFonts w:ascii="Times New Roman" w:hAnsi="Times New Roman" w:cs="Times New Roman" w:eastAsia="Times New Roman" w:hint="default"/>
        </w:rPr>
        <w:t>7</w:t>
      </w:r>
      <w:r>
        <w:rPr/>
        <w:t>）付艳杰将其持有的公司有限售条件流通股</w:t>
      </w:r>
      <w:r>
        <w:rPr>
          <w:spacing w:val="-51"/>
        </w:rPr>
        <w:t> </w:t>
      </w:r>
      <w:r>
        <w:rPr>
          <w:rFonts w:ascii="Times New Roman" w:hAnsi="Times New Roman" w:cs="Times New Roman" w:eastAsia="Times New Roman" w:hint="default"/>
        </w:rPr>
        <w:t>11,500,000</w:t>
      </w:r>
      <w:r>
        <w:rPr>
          <w:rFonts w:ascii="Times New Roman" w:hAnsi="Times New Roman" w:cs="Times New Roman" w:eastAsia="Times New Roman" w:hint="default"/>
          <w:spacing w:val="-6"/>
        </w:rPr>
        <w:t> </w:t>
      </w:r>
      <w:r>
        <w:rPr/>
        <w:t>股与联储证券有限责任公司进行股票质押式回购交易，质押</w:t>
      </w:r>
    </w:p>
    <w:p>
      <w:pPr>
        <w:pStyle w:val="BodyText"/>
        <w:spacing w:line="240" w:lineRule="auto" w:before="63"/>
        <w:ind w:right="94"/>
        <w:jc w:val="left"/>
      </w:pPr>
      <w:r>
        <w:rPr/>
        <w:t>期限为</w:t>
      </w:r>
      <w:r>
        <w:rPr>
          <w:spacing w:val="-46"/>
        </w:rPr>
        <w:t> </w:t>
      </w:r>
      <w:r>
        <w:rPr>
          <w:rFonts w:ascii="Times New Roman" w:hAnsi="Times New Roman" w:cs="Times New Roman" w:eastAsia="Times New Roman" w:hint="default"/>
        </w:rPr>
        <w:t>366</w:t>
      </w:r>
      <w:r>
        <w:rPr>
          <w:rFonts w:ascii="Times New Roman" w:hAnsi="Times New Roman" w:cs="Times New Roman" w:eastAsia="Times New Roman" w:hint="default"/>
          <w:spacing w:val="-2"/>
        </w:rPr>
        <w:t> </w:t>
      </w:r>
      <w:r>
        <w:rPr/>
        <w:t>天。相关股权质押登记手续已于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日通过中国证券登记结算有限公司深圳分公司办理。</w:t>
      </w:r>
    </w:p>
    <w:p>
      <w:pPr>
        <w:pStyle w:val="BodyText"/>
        <w:spacing w:line="240" w:lineRule="auto" w:before="103"/>
        <w:ind w:left="472" w:right="94"/>
        <w:jc w:val="left"/>
      </w:pPr>
      <w:r>
        <w:rPr>
          <w:spacing w:val="-2"/>
        </w:rPr>
        <w:t>（</w:t>
      </w:r>
      <w:r>
        <w:rPr>
          <w:rFonts w:ascii="Times New Roman" w:hAnsi="Times New Roman" w:cs="Times New Roman" w:eastAsia="Times New Roman" w:hint="default"/>
          <w:spacing w:val="-2"/>
        </w:rPr>
        <w:t>8</w:t>
      </w:r>
      <w:r>
        <w:rPr>
          <w:spacing w:val="-2"/>
        </w:rPr>
        <w:t>）崔万涛将其持有的公司有限售条件流通股</w:t>
      </w:r>
      <w:r>
        <w:rPr/>
        <w:t> </w:t>
      </w:r>
      <w:r>
        <w:rPr>
          <w:rFonts w:ascii="Times New Roman" w:hAnsi="Times New Roman" w:cs="Times New Roman" w:eastAsia="Times New Roman" w:hint="default"/>
          <w:spacing w:val="-1"/>
        </w:rPr>
        <w:t>3,800,000</w:t>
      </w:r>
      <w:r>
        <w:rPr>
          <w:rFonts w:ascii="Times New Roman" w:hAnsi="Times New Roman" w:cs="Times New Roman" w:eastAsia="Times New Roman" w:hint="default"/>
          <w:spacing w:val="-26"/>
        </w:rPr>
        <w:t> </w:t>
      </w:r>
      <w:r>
        <w:rPr>
          <w:spacing w:val="-2"/>
        </w:rPr>
        <w:t>股与联储证券有限责任公司进行股票质押式回购交易，质押期</w:t>
      </w:r>
    </w:p>
    <w:p>
      <w:pPr>
        <w:pStyle w:val="BodyText"/>
        <w:spacing w:line="240" w:lineRule="auto" w:before="63"/>
        <w:ind w:right="94"/>
        <w:jc w:val="left"/>
      </w:pPr>
      <w:r>
        <w:rPr/>
        <w:t>限为</w:t>
      </w:r>
      <w:r>
        <w:rPr>
          <w:spacing w:val="-45"/>
        </w:rPr>
        <w:t> </w:t>
      </w:r>
      <w:r>
        <w:rPr>
          <w:rFonts w:ascii="Times New Roman" w:hAnsi="Times New Roman" w:cs="Times New Roman" w:eastAsia="Times New Roman" w:hint="default"/>
        </w:rPr>
        <w:t>366</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日通过中国证券登记结算有限公司深圳分公司办理。</w:t>
      </w:r>
    </w:p>
    <w:p>
      <w:pPr>
        <w:pStyle w:val="BodyText"/>
        <w:spacing w:line="240" w:lineRule="auto" w:before="101"/>
        <w:ind w:left="472" w:right="94"/>
        <w:jc w:val="left"/>
      </w:pPr>
      <w:r>
        <w:rPr/>
        <w:t>（</w:t>
      </w:r>
      <w:r>
        <w:rPr>
          <w:rFonts w:ascii="Times New Roman" w:hAnsi="Times New Roman" w:cs="Times New Roman" w:eastAsia="Times New Roman" w:hint="default"/>
        </w:rPr>
        <w:t>9</w:t>
      </w:r>
      <w:r>
        <w:rPr/>
        <w:t>）崔万涛将其持有的公司有限售条件流通股</w:t>
      </w:r>
      <w:r>
        <w:rPr>
          <w:spacing w:val="-47"/>
        </w:rPr>
        <w:t> </w:t>
      </w:r>
      <w:r>
        <w:rPr>
          <w:rFonts w:ascii="Times New Roman" w:hAnsi="Times New Roman" w:cs="Times New Roman" w:eastAsia="Times New Roman" w:hint="default"/>
        </w:rPr>
        <w:t>13,600,000</w:t>
      </w:r>
      <w:r>
        <w:rPr>
          <w:rFonts w:ascii="Times New Roman" w:hAnsi="Times New Roman" w:cs="Times New Roman" w:eastAsia="Times New Roman" w:hint="default"/>
          <w:spacing w:val="-3"/>
        </w:rPr>
        <w:t> </w:t>
      </w:r>
      <w:r>
        <w:rPr/>
        <w:t>股与中天证券股份有限公司进行股票质押式回购交易，质押</w:t>
      </w:r>
    </w:p>
    <w:p>
      <w:pPr>
        <w:pStyle w:val="BodyText"/>
        <w:spacing w:line="240" w:lineRule="auto" w:before="63"/>
        <w:ind w:right="94"/>
        <w:jc w:val="left"/>
      </w:pPr>
      <w:r>
        <w:rPr/>
        <w:t>期限为</w:t>
      </w:r>
      <w:r>
        <w:rPr>
          <w:spacing w:val="-46"/>
        </w:rPr>
        <w:t> </w:t>
      </w:r>
      <w:r>
        <w:rPr>
          <w:rFonts w:ascii="Times New Roman" w:hAnsi="Times New Roman" w:cs="Times New Roman" w:eastAsia="Times New Roman" w:hint="default"/>
        </w:rPr>
        <w:t>366</w:t>
      </w:r>
      <w:r>
        <w:rPr>
          <w:rFonts w:ascii="Times New Roman" w:hAnsi="Times New Roman" w:cs="Times New Roman" w:eastAsia="Times New Roman" w:hint="default"/>
          <w:spacing w:val="-2"/>
        </w:rPr>
        <w:t> </w:t>
      </w:r>
      <w:r>
        <w:rPr/>
        <w:t>天。相关股权质押登记手续已于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日通过中国证券登记结算有限公司深圳分公司办理。</w:t>
      </w:r>
    </w:p>
    <w:p>
      <w:pPr>
        <w:pStyle w:val="BodyText"/>
        <w:spacing w:line="240" w:lineRule="auto" w:before="103"/>
        <w:ind w:left="472" w:right="94"/>
        <w:jc w:val="left"/>
      </w:pPr>
      <w:r>
        <w:rPr/>
        <w:t>（</w:t>
      </w:r>
      <w:r>
        <w:rPr>
          <w:rFonts w:ascii="Times New Roman" w:hAnsi="Times New Roman" w:cs="Times New Roman" w:eastAsia="Times New Roman" w:hint="default"/>
        </w:rPr>
        <w:t>10</w:t>
      </w:r>
      <w:r>
        <w:rPr/>
        <w:t>）付艳杰将其持有的公司无限售条件流通股</w:t>
      </w:r>
      <w:r>
        <w:rPr>
          <w:spacing w:val="-47"/>
        </w:rPr>
        <w:t> </w:t>
      </w:r>
      <w:r>
        <w:rPr>
          <w:rFonts w:ascii="Times New Roman" w:hAnsi="Times New Roman" w:cs="Times New Roman" w:eastAsia="Times New Roman" w:hint="default"/>
        </w:rPr>
        <w:t>2,400,000</w:t>
      </w:r>
      <w:r>
        <w:rPr>
          <w:rFonts w:ascii="Times New Roman" w:hAnsi="Times New Roman" w:cs="Times New Roman" w:eastAsia="Times New Roman" w:hint="default"/>
          <w:spacing w:val="-3"/>
        </w:rPr>
        <w:t> </w:t>
      </w:r>
      <w:r>
        <w:rPr/>
        <w:t>股与中天证券股份有限公司进行股票质押式回购交易，质押</w:t>
      </w:r>
    </w:p>
    <w:p>
      <w:pPr>
        <w:pStyle w:val="BodyText"/>
        <w:spacing w:line="240" w:lineRule="auto" w:before="63"/>
        <w:ind w:right="94"/>
        <w:jc w:val="left"/>
      </w:pPr>
      <w:r>
        <w:rPr/>
        <w:t>期限为</w:t>
      </w:r>
      <w:r>
        <w:rPr>
          <w:spacing w:val="-45"/>
        </w:rPr>
        <w:t> </w:t>
      </w:r>
      <w:r>
        <w:rPr>
          <w:rFonts w:ascii="Times New Roman" w:hAnsi="Times New Roman" w:cs="Times New Roman" w:eastAsia="Times New Roman" w:hint="default"/>
        </w:rPr>
        <w:t>365</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日通过中国证券登记结算有限公司深圳分公司办理。</w:t>
      </w:r>
    </w:p>
    <w:p>
      <w:pPr>
        <w:pStyle w:val="BodyText"/>
        <w:spacing w:line="240" w:lineRule="auto" w:before="103"/>
        <w:ind w:left="472" w:right="94"/>
        <w:jc w:val="left"/>
        <w:rPr>
          <w:rFonts w:ascii="Times New Roman" w:hAnsi="Times New Roman" w:cs="Times New Roman" w:eastAsia="Times New Roman" w:hint="default"/>
        </w:rPr>
      </w:pPr>
      <w:r>
        <w:rPr/>
        <w:t>（</w:t>
      </w:r>
      <w:r>
        <w:rPr>
          <w:rFonts w:ascii="Times New Roman" w:hAnsi="Times New Roman" w:cs="Times New Roman" w:eastAsia="Times New Roman" w:hint="default"/>
        </w:rPr>
        <w:t>11</w:t>
      </w:r>
      <w:r>
        <w:rPr/>
        <w:t>）付艳杰将其持有的公司流通股</w:t>
      </w:r>
      <w:r>
        <w:rPr>
          <w:spacing w:val="-51"/>
        </w:rPr>
        <w:t> </w:t>
      </w:r>
      <w:r>
        <w:rPr>
          <w:rFonts w:ascii="Times New Roman" w:hAnsi="Times New Roman" w:cs="Times New Roman" w:eastAsia="Times New Roman" w:hint="default"/>
        </w:rPr>
        <w:t>2,500,000</w:t>
      </w:r>
      <w:r>
        <w:rPr>
          <w:rFonts w:ascii="Times New Roman" w:hAnsi="Times New Roman" w:cs="Times New Roman" w:eastAsia="Times New Roman" w:hint="default"/>
          <w:spacing w:val="-5"/>
        </w:rPr>
        <w:t> </w:t>
      </w:r>
      <w:r>
        <w:rPr/>
        <w:t>股与中天证券股份有限公司进行股票质押式回购交易，质押期限为</w:t>
      </w:r>
      <w:r>
        <w:rPr>
          <w:spacing w:val="-49"/>
        </w:rPr>
        <w:t> </w:t>
      </w:r>
      <w:r>
        <w:rPr>
          <w:rFonts w:ascii="Times New Roman" w:hAnsi="Times New Roman" w:cs="Times New Roman" w:eastAsia="Times New Roman" w:hint="default"/>
        </w:rPr>
        <w:t>366</w:t>
      </w:r>
    </w:p>
    <w:p>
      <w:pPr>
        <w:pStyle w:val="BodyText"/>
        <w:spacing w:line="240" w:lineRule="auto" w:before="63"/>
        <w:ind w:right="94"/>
        <w:jc w:val="left"/>
      </w:pP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101"/>
        <w:ind w:left="472" w:right="94"/>
        <w:jc w:val="left"/>
      </w:pPr>
      <w:r>
        <w:rPr/>
        <w:t>（</w:t>
      </w:r>
      <w:r>
        <w:rPr>
          <w:rFonts w:ascii="Times New Roman" w:hAnsi="Times New Roman" w:cs="Times New Roman" w:eastAsia="Times New Roman" w:hint="default"/>
        </w:rPr>
        <w:t>12</w:t>
      </w:r>
      <w:r>
        <w:rPr/>
        <w:t>）付艳杰将其持有的公司流通股</w:t>
      </w:r>
      <w:r>
        <w:rPr>
          <w:spacing w:val="-47"/>
        </w:rPr>
        <w:t> </w:t>
      </w:r>
      <w:r>
        <w:rPr>
          <w:rFonts w:ascii="Times New Roman" w:hAnsi="Times New Roman" w:cs="Times New Roman" w:eastAsia="Times New Roman" w:hint="default"/>
        </w:rPr>
        <w:t>7,500,000</w:t>
      </w:r>
      <w:r>
        <w:rPr>
          <w:rFonts w:ascii="Times New Roman" w:hAnsi="Times New Roman" w:cs="Times New Roman" w:eastAsia="Times New Roman" w:hint="default"/>
          <w:spacing w:val="-3"/>
        </w:rPr>
        <w:t> </w:t>
      </w:r>
      <w:r>
        <w:rPr/>
        <w:t>股与国泰君安证券股份有限公司进行股票质押式回购交易，质押期限为</w:t>
      </w:r>
    </w:p>
    <w:p>
      <w:pPr>
        <w:pStyle w:val="BodyText"/>
        <w:spacing w:line="240" w:lineRule="auto" w:before="63"/>
        <w:ind w:right="94"/>
        <w:jc w:val="left"/>
      </w:pPr>
      <w:r>
        <w:rPr>
          <w:rFonts w:ascii="Times New Roman" w:hAnsi="Times New Roman" w:cs="Times New Roman" w:eastAsia="Times New Roman" w:hint="default"/>
        </w:rPr>
        <w:t>366</w:t>
      </w:r>
      <w:r>
        <w:rPr>
          <w:rFonts w:ascii="Times New Roman" w:hAnsi="Times New Roman" w:cs="Times New Roman" w:eastAsia="Times New Roman" w:hint="default"/>
          <w:spacing w:val="1"/>
        </w:rPr>
        <w:t> </w:t>
      </w:r>
      <w:r>
        <w:rPr/>
        <w:t>天。相关股权质押登记手续已于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103"/>
        <w:ind w:left="472" w:right="94"/>
        <w:jc w:val="left"/>
      </w:pPr>
      <w:r>
        <w:rPr/>
        <w:t>（</w:t>
      </w:r>
      <w:r>
        <w:rPr>
          <w:rFonts w:ascii="Times New Roman" w:hAnsi="Times New Roman" w:cs="Times New Roman" w:eastAsia="Times New Roman" w:hint="default"/>
        </w:rPr>
        <w:t>13</w:t>
      </w:r>
      <w:r>
        <w:rPr/>
        <w:t>）付艳杰将其持有的公司有限售条件流通股</w:t>
      </w:r>
      <w:r>
        <w:rPr>
          <w:spacing w:val="-47"/>
        </w:rPr>
        <w:t> </w:t>
      </w:r>
      <w:r>
        <w:rPr>
          <w:rFonts w:ascii="Times New Roman" w:hAnsi="Times New Roman" w:cs="Times New Roman" w:eastAsia="Times New Roman" w:hint="default"/>
        </w:rPr>
        <w:t>6,100,000</w:t>
      </w:r>
      <w:r>
        <w:rPr>
          <w:rFonts w:ascii="Times New Roman" w:hAnsi="Times New Roman" w:cs="Times New Roman" w:eastAsia="Times New Roman" w:hint="default"/>
          <w:spacing w:val="-3"/>
        </w:rPr>
        <w:t> </w:t>
      </w:r>
      <w:r>
        <w:rPr/>
        <w:t>股与中信建投证券股份有限公司进行股票质押式回购交易，</w:t>
      </w:r>
    </w:p>
    <w:p>
      <w:pPr>
        <w:pStyle w:val="BodyText"/>
        <w:spacing w:line="240" w:lineRule="auto" w:before="63"/>
        <w:ind w:right="94"/>
        <w:jc w:val="left"/>
      </w:pPr>
      <w:r>
        <w:rPr/>
        <w:t>质押期限为</w:t>
      </w:r>
      <w:r>
        <w:rPr>
          <w:spacing w:val="-46"/>
        </w:rPr>
        <w:t> </w:t>
      </w:r>
      <w:r>
        <w:rPr>
          <w:rFonts w:ascii="Times New Roman" w:hAnsi="Times New Roman" w:cs="Times New Roman" w:eastAsia="Times New Roman" w:hint="default"/>
        </w:rPr>
        <w:t>364</w:t>
      </w:r>
      <w:r>
        <w:rPr>
          <w:rFonts w:ascii="Times New Roman" w:hAnsi="Times New Roman" w:cs="Times New Roman" w:eastAsia="Times New Roman" w:hint="default"/>
          <w:spacing w:val="-2"/>
        </w:rPr>
        <w:t> </w:t>
      </w:r>
      <w:r>
        <w:rPr/>
        <w:t>天。相关股权质押登记手续已于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 </w:t>
      </w:r>
      <w:r>
        <w:rPr/>
        <w:t>日通过中国证券登记结算有限公司深圳分公司办理。</w:t>
      </w:r>
    </w:p>
    <w:p>
      <w:pPr>
        <w:pStyle w:val="BodyText"/>
        <w:spacing w:line="240" w:lineRule="auto" w:before="103"/>
        <w:ind w:left="472" w:right="94"/>
        <w:jc w:val="left"/>
      </w:pPr>
      <w:r>
        <w:rPr/>
        <w:t>因质押股份市值的减少，付艳杰将其持有的公司有限售条件流通股</w:t>
      </w:r>
      <w:r>
        <w:rPr>
          <w:spacing w:val="-65"/>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21"/>
        </w:rPr>
        <w:t> </w:t>
      </w:r>
      <w:r>
        <w:rPr/>
        <w:t>股与中信建投证券股份有限公司办理补充质</w:t>
      </w:r>
    </w:p>
    <w:p>
      <w:pPr>
        <w:pStyle w:val="BodyText"/>
        <w:spacing w:line="240" w:lineRule="auto" w:before="63"/>
        <w:ind w:right="94"/>
        <w:jc w:val="left"/>
      </w:pPr>
      <w:r>
        <w:rPr/>
        <w:t>押，质押期限为</w:t>
      </w:r>
      <w:r>
        <w:rPr>
          <w:spacing w:val="-45"/>
        </w:rPr>
        <w:t> </w:t>
      </w:r>
      <w:r>
        <w:rPr>
          <w:rFonts w:ascii="Times New Roman" w:hAnsi="Times New Roman" w:cs="Times New Roman" w:eastAsia="Times New Roman" w:hint="default"/>
        </w:rPr>
        <w:t>332</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101"/>
        <w:ind w:left="472" w:right="94"/>
        <w:jc w:val="left"/>
      </w:pPr>
      <w:r>
        <w:rPr/>
        <w:t>（</w:t>
      </w:r>
      <w:r>
        <w:rPr>
          <w:rFonts w:ascii="Times New Roman" w:hAnsi="Times New Roman" w:cs="Times New Roman" w:eastAsia="Times New Roman" w:hint="default"/>
        </w:rPr>
        <w:t>14</w:t>
      </w:r>
      <w:r>
        <w:rPr/>
        <w:t>）崔万涛将其持有的公司有限售条件流通股</w:t>
      </w:r>
      <w:r>
        <w:rPr>
          <w:spacing w:val="-47"/>
        </w:rPr>
        <w:t> </w:t>
      </w:r>
      <w:r>
        <w:rPr>
          <w:rFonts w:ascii="Times New Roman" w:hAnsi="Times New Roman" w:cs="Times New Roman" w:eastAsia="Times New Roman" w:hint="default"/>
        </w:rPr>
        <w:t>4,530,000</w:t>
      </w:r>
      <w:r>
        <w:rPr>
          <w:rFonts w:ascii="Times New Roman" w:hAnsi="Times New Roman" w:cs="Times New Roman" w:eastAsia="Times New Roman" w:hint="default"/>
          <w:spacing w:val="-3"/>
        </w:rPr>
        <w:t> </w:t>
      </w:r>
      <w:r>
        <w:rPr/>
        <w:t>股与广州证券股份有限公司进行股票质押式回购交易，质押</w:t>
      </w:r>
    </w:p>
    <w:p>
      <w:pPr>
        <w:pStyle w:val="BodyText"/>
        <w:spacing w:line="240" w:lineRule="auto" w:before="63"/>
        <w:ind w:right="94"/>
        <w:jc w:val="left"/>
      </w:pPr>
      <w:r>
        <w:rPr/>
        <w:t>期限为</w:t>
      </w:r>
      <w:r>
        <w:rPr>
          <w:spacing w:val="-46"/>
        </w:rPr>
        <w:t> </w:t>
      </w:r>
      <w:r>
        <w:rPr>
          <w:rFonts w:ascii="Times New Roman" w:hAnsi="Times New Roman" w:cs="Times New Roman" w:eastAsia="Times New Roman" w:hint="default"/>
        </w:rPr>
        <w:t>366</w:t>
      </w:r>
      <w:r>
        <w:rPr>
          <w:rFonts w:ascii="Times New Roman" w:hAnsi="Times New Roman" w:cs="Times New Roman" w:eastAsia="Times New Roman" w:hint="default"/>
          <w:spacing w:val="-2"/>
        </w:rPr>
        <w:t> </w:t>
      </w:r>
      <w:r>
        <w:rPr/>
        <w:t>天。相关股权质押登记手续已于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日通过中国证券登记结算有限公司深圳分公司办理。</w:t>
      </w:r>
    </w:p>
    <w:p>
      <w:pPr>
        <w:pStyle w:val="BodyText"/>
        <w:spacing w:line="240" w:lineRule="auto" w:before="103"/>
        <w:ind w:left="472" w:right="94"/>
        <w:jc w:val="left"/>
      </w:pPr>
      <w:r>
        <w:rPr/>
        <w:t>（</w:t>
      </w:r>
      <w:r>
        <w:rPr>
          <w:rFonts w:ascii="Times New Roman" w:hAnsi="Times New Roman" w:cs="Times New Roman" w:eastAsia="Times New Roman" w:hint="default"/>
        </w:rPr>
        <w:t>15</w:t>
      </w:r>
      <w:r>
        <w:rPr/>
        <w:t>）付艳杰将其持有的公司有限售条件流通股</w:t>
      </w:r>
      <w:r>
        <w:rPr>
          <w:spacing w:val="-48"/>
        </w:rPr>
        <w:t> </w:t>
      </w:r>
      <w:r>
        <w:rPr>
          <w:rFonts w:ascii="Times New Roman" w:hAnsi="Times New Roman" w:cs="Times New Roman" w:eastAsia="Times New Roman" w:hint="default"/>
        </w:rPr>
        <w:t>8,500,000</w:t>
      </w:r>
      <w:r>
        <w:rPr>
          <w:rFonts w:ascii="Times New Roman" w:hAnsi="Times New Roman" w:cs="Times New Roman" w:eastAsia="Times New Roman" w:hint="default"/>
          <w:spacing w:val="-4"/>
        </w:rPr>
        <w:t> </w:t>
      </w:r>
      <w:r>
        <w:rPr/>
        <w:t>股及无限售条件流通股</w:t>
      </w:r>
      <w:r>
        <w:rPr>
          <w:spacing w:val="-48"/>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4"/>
        </w:rPr>
        <w:t> </w:t>
      </w:r>
      <w:r>
        <w:rPr/>
        <w:t>股与广发证券股份有限公</w:t>
      </w:r>
    </w:p>
    <w:p>
      <w:pPr>
        <w:pStyle w:val="BodyText"/>
        <w:spacing w:line="300" w:lineRule="auto" w:before="63"/>
        <w:ind w:right="188"/>
        <w:jc w:val="left"/>
      </w:pPr>
      <w:r>
        <w:rPr>
          <w:spacing w:val="-3"/>
        </w:rPr>
        <w:t>司进行股票质押式回购交易，质押期限为</w:t>
      </w:r>
      <w:r>
        <w:rPr>
          <w:spacing w:val="-44"/>
        </w:rPr>
        <w:t> </w:t>
      </w:r>
      <w:r>
        <w:rPr>
          <w:rFonts w:ascii="Times New Roman" w:hAnsi="Times New Roman" w:cs="Times New Roman" w:eastAsia="Times New Roman" w:hint="default"/>
        </w:rPr>
        <w:t>365 </w:t>
      </w:r>
      <w:r>
        <w:rPr>
          <w:spacing w:val="-3"/>
        </w:rPr>
        <w:t>天。相关股权质押登记手续已于</w:t>
      </w:r>
      <w:r>
        <w:rPr>
          <w:spacing w:val="-44"/>
        </w:rPr>
        <w:t> </w:t>
      </w:r>
      <w:r>
        <w:rPr>
          <w:rFonts w:ascii="Times New Roman" w:hAnsi="Times New Roman" w:cs="Times New Roman" w:eastAsia="Times New Roman" w:hint="default"/>
        </w:rPr>
        <w:t>2016 </w:t>
      </w:r>
      <w:r>
        <w:rPr/>
        <w:t>年</w:t>
      </w:r>
      <w:r>
        <w:rPr>
          <w:spacing w:val="-44"/>
        </w:rPr>
        <w:t> </w:t>
      </w:r>
      <w:r>
        <w:rPr>
          <w:rFonts w:ascii="Times New Roman" w:hAnsi="Times New Roman" w:cs="Times New Roman" w:eastAsia="Times New Roman" w:hint="default"/>
        </w:rPr>
        <w:t>5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日通过中国证券登记结算有限 公司深圳分公司办理。</w:t>
      </w:r>
    </w:p>
    <w:p>
      <w:pPr>
        <w:pStyle w:val="BodyText"/>
        <w:spacing w:line="240" w:lineRule="auto" w:before="72"/>
        <w:ind w:left="472" w:right="0"/>
        <w:jc w:val="left"/>
      </w:pPr>
      <w:r>
        <w:rPr/>
        <w:t>因质押股份市值的减少</w:t>
      </w:r>
      <w:r>
        <w:rPr>
          <w:spacing w:val="-82"/>
        </w:rPr>
        <w:t>，</w:t>
      </w:r>
      <w:r>
        <w:rPr/>
        <w:t>付艳杰将其持有的公司有限售条件流通股</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股与广发证券股份有限公司办理补充质押，</w:t>
      </w:r>
    </w:p>
    <w:p>
      <w:pPr>
        <w:pStyle w:val="BodyText"/>
        <w:spacing w:line="240" w:lineRule="auto" w:before="63"/>
        <w:ind w:right="94"/>
        <w:jc w:val="left"/>
      </w:pPr>
      <w:r>
        <w:rPr/>
        <w:t>质押期限为</w:t>
      </w:r>
      <w:r>
        <w:rPr>
          <w:spacing w:val="-45"/>
        </w:rPr>
        <w:t> </w:t>
      </w:r>
      <w:r>
        <w:rPr>
          <w:rFonts w:ascii="Times New Roman" w:hAnsi="Times New Roman" w:cs="Times New Roman" w:eastAsia="Times New Roman" w:hint="default"/>
        </w:rPr>
        <w:t>44</w:t>
      </w:r>
      <w:r>
        <w:rPr>
          <w:rFonts w:ascii="Times New Roman" w:hAnsi="Times New Roman" w:cs="Times New Roman" w:eastAsia="Times New Roman" w:hint="default"/>
          <w:spacing w:val="-1"/>
        </w:rPr>
        <w:t> </w:t>
      </w:r>
      <w:r>
        <w:rPr/>
        <w:t>天。相关股权质押登记手续已于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101"/>
        <w:ind w:left="472" w:right="94"/>
        <w:jc w:val="left"/>
      </w:pPr>
      <w:r>
        <w:rPr/>
        <w:t>付艳杰将前述股份与广发证券办理了股份质押延期业务，回购交易日延期至</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spacing w:val="-4"/>
        </w:rPr>
        <w:t>日，因延期质押股份市值的</w:t>
      </w:r>
    </w:p>
    <w:p>
      <w:pPr>
        <w:pStyle w:val="BodyText"/>
        <w:spacing w:line="240" w:lineRule="auto" w:before="63"/>
        <w:ind w:right="94"/>
        <w:jc w:val="left"/>
      </w:pPr>
      <w:r>
        <w:rPr/>
        <w:t>减少，付艳杰以其持有的公司有限售条件股份</w:t>
      </w:r>
      <w:r>
        <w:rPr>
          <w:spacing w:val="-46"/>
        </w:rPr>
        <w:t> </w:t>
      </w:r>
      <w:r>
        <w:rPr>
          <w:rFonts w:ascii="Times New Roman" w:hAnsi="Times New Roman" w:cs="Times New Roman" w:eastAsia="Times New Roman" w:hint="default"/>
        </w:rPr>
        <w:t>1,618,686</w:t>
      </w:r>
      <w:r>
        <w:rPr>
          <w:rFonts w:ascii="Times New Roman" w:hAnsi="Times New Roman" w:cs="Times New Roman" w:eastAsia="Times New Roman" w:hint="default"/>
          <w:spacing w:val="-2"/>
        </w:rPr>
        <w:t> </w:t>
      </w:r>
      <w:r>
        <w:rPr/>
        <w:t>股与广发证券办理了补充质押，质押期限为</w:t>
      </w:r>
      <w:r>
        <w:rPr>
          <w:spacing w:val="-46"/>
        </w:rPr>
        <w:t> </w:t>
      </w:r>
      <w:r>
        <w:rPr>
          <w:rFonts w:ascii="Times New Roman" w:hAnsi="Times New Roman" w:cs="Times New Roman" w:eastAsia="Times New Roman" w:hint="default"/>
        </w:rPr>
        <w:t>365</w:t>
      </w:r>
      <w:r>
        <w:rPr>
          <w:rFonts w:ascii="Times New Roman" w:hAnsi="Times New Roman" w:cs="Times New Roman" w:eastAsia="Times New Roman" w:hint="default"/>
          <w:spacing w:val="-2"/>
        </w:rPr>
        <w:t> </w:t>
      </w:r>
      <w:r>
        <w:rPr/>
        <w:t>天。相关股权质押</w:t>
      </w:r>
    </w:p>
    <w:p>
      <w:pPr>
        <w:pStyle w:val="BodyText"/>
        <w:spacing w:line="240" w:lineRule="auto" w:before="63"/>
        <w:ind w:right="94"/>
        <w:jc w:val="left"/>
      </w:pPr>
      <w:r>
        <w:rPr/>
        <w:t>登记手续已于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日通过中国证券登记结算有限公司深圳分公司办理。</w:t>
      </w:r>
    </w:p>
    <w:p>
      <w:pPr>
        <w:pStyle w:val="BodyText"/>
        <w:spacing w:line="240" w:lineRule="auto" w:before="103"/>
        <w:ind w:left="472" w:right="0"/>
        <w:jc w:val="left"/>
      </w:pPr>
      <w:r>
        <w:rPr/>
        <w:t>因质押股份市值的减少</w:t>
      </w:r>
      <w:r>
        <w:rPr>
          <w:spacing w:val="-82"/>
        </w:rPr>
        <w:t>，</w:t>
      </w:r>
      <w:r>
        <w:rPr/>
        <w:t>付艳杰将其持有的公司有限售条件流通股</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股与广发证券股份有限公司办理补充质押，</w:t>
      </w:r>
    </w:p>
    <w:p>
      <w:pPr>
        <w:pStyle w:val="BodyText"/>
        <w:spacing w:line="240" w:lineRule="auto" w:before="63"/>
        <w:ind w:right="94"/>
        <w:jc w:val="left"/>
      </w:pPr>
      <w:r>
        <w:rPr/>
        <w:t>质押期限为</w:t>
      </w:r>
      <w:r>
        <w:rPr>
          <w:spacing w:val="-46"/>
        </w:rPr>
        <w:t> </w:t>
      </w:r>
      <w:r>
        <w:rPr>
          <w:rFonts w:ascii="Times New Roman" w:hAnsi="Times New Roman" w:cs="Times New Roman" w:eastAsia="Times New Roman" w:hint="default"/>
        </w:rPr>
        <w:t>188</w:t>
      </w:r>
      <w:r>
        <w:rPr>
          <w:rFonts w:ascii="Times New Roman" w:hAnsi="Times New Roman" w:cs="Times New Roman" w:eastAsia="Times New Roman" w:hint="default"/>
          <w:spacing w:val="-2"/>
        </w:rPr>
        <w:t> </w:t>
      </w:r>
      <w:r>
        <w:rPr/>
        <w:t>天。相关股权质押登记手续已于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日通过中国证券登记结算有限公司深圳分公司办理。</w:t>
      </w:r>
    </w:p>
    <w:p>
      <w:pPr>
        <w:spacing w:line="240" w:lineRule="auto" w:before="13"/>
        <w:rPr>
          <w:rFonts w:ascii="宋体" w:hAnsi="宋体" w:cs="宋体" w:eastAsia="宋体" w:hint="default"/>
          <w:sz w:val="25"/>
          <w:szCs w:val="25"/>
        </w:rPr>
      </w:pPr>
    </w:p>
    <w:p>
      <w:pPr>
        <w:pStyle w:val="Heading3"/>
        <w:spacing w:line="240" w:lineRule="auto"/>
        <w:ind w:right="6754"/>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4"/>
        <w:jc w:val="left"/>
      </w:pPr>
      <w:r>
        <w:rPr/>
        <w:t>无</w:t>
      </w:r>
    </w:p>
    <w:p>
      <w:pPr>
        <w:spacing w:after="0" w:line="240" w:lineRule="auto"/>
        <w:jc w:val="left"/>
        <w:sectPr>
          <w:pgSz w:w="11910" w:h="16840"/>
          <w:pgMar w:header="566" w:footer="978" w:top="1360" w:bottom="1160" w:left="1020" w:right="940"/>
        </w:sectPr>
      </w:pPr>
    </w:p>
    <w:p>
      <w:pPr>
        <w:pStyle w:val="Heading3"/>
        <w:spacing w:line="240" w:lineRule="auto" w:before="55"/>
        <w:ind w:left="1052"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3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83"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300,666,708.38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183,896,655.86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116,770,052.52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300,666,708.38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183,896,655.86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116,770,052.52</w:t>
            </w:r>
          </w:p>
        </w:tc>
      </w:tr>
    </w:tbl>
    <w:p>
      <w:pPr>
        <w:pStyle w:val="BodyText"/>
        <w:spacing w:line="240" w:lineRule="auto" w:before="51"/>
        <w:ind w:left="1052" w:right="0"/>
        <w:jc w:val="both"/>
      </w:pPr>
      <w:r>
        <w:rPr/>
        <w:t>其他说明，包括本期增减变动情况、变动原因说明：</w:t>
      </w:r>
    </w:p>
    <w:p>
      <w:pPr>
        <w:pStyle w:val="BodyText"/>
        <w:spacing w:line="240" w:lineRule="auto" w:before="117"/>
        <w:ind w:left="1412" w:right="0"/>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17"/>
        </w:rPr>
        <w:t> </w:t>
      </w:r>
      <w:r>
        <w:rPr>
          <w:spacing w:val="-1"/>
        </w:rPr>
        <w:t>年度，根据公司与张继武、雷新刚、赵达签订的《关于上海米健信息技术有限公司之股权转让框架协议》和</w:t>
      </w:r>
    </w:p>
    <w:p>
      <w:pPr>
        <w:pStyle w:val="BodyText"/>
        <w:spacing w:line="300" w:lineRule="auto" w:before="63"/>
        <w:ind w:left="1052" w:right="310"/>
        <w:jc w:val="both"/>
      </w:pPr>
      <w:r>
        <w:rPr>
          <w:spacing w:val="-2"/>
        </w:rPr>
        <w:t>《关于上海米健信息技术有限公司之股权转让框架协议之补充协议》，公司以银行贷款及自有资金</w:t>
      </w:r>
      <w:r>
        <w:rPr>
          <w:spacing w:val="-28"/>
        </w:rPr>
        <w:t> </w:t>
      </w:r>
      <w:r>
        <w:rPr>
          <w:rFonts w:ascii="Times New Roman" w:hAnsi="Times New Roman" w:cs="Times New Roman" w:eastAsia="Times New Roman" w:hint="default"/>
          <w:spacing w:val="-1"/>
        </w:rPr>
        <w:t>201,880,000.00</w:t>
      </w:r>
      <w:r>
        <w:rPr>
          <w:rFonts w:ascii="Times New Roman" w:hAnsi="Times New Roman" w:cs="Times New Roman" w:eastAsia="Times New Roman" w:hint="default"/>
          <w:spacing w:val="19"/>
        </w:rPr>
        <w:t> </w:t>
      </w:r>
      <w:r>
        <w:rPr/>
        <w:t>元受让上</w:t>
      </w:r>
      <w:r>
        <w:rPr>
          <w:spacing w:val="-80"/>
        </w:rPr>
        <w:t> </w:t>
      </w:r>
      <w:r>
        <w:rPr>
          <w:spacing w:val="-80"/>
        </w:rPr>
      </w:r>
      <w:r>
        <w:rPr/>
        <w:t>海米健信息技术有限公司</w:t>
      </w:r>
      <w:r>
        <w:rPr>
          <w:spacing w:val="-40"/>
        </w:rPr>
        <w:t> </w:t>
      </w:r>
      <w:r>
        <w:rPr>
          <w:rFonts w:ascii="Times New Roman" w:hAnsi="Times New Roman" w:cs="Times New Roman" w:eastAsia="Times New Roman" w:hint="default"/>
          <w:spacing w:val="-6"/>
        </w:rPr>
        <w:t>49.00%</w:t>
      </w:r>
      <w:r>
        <w:rPr>
          <w:spacing w:val="-6"/>
        </w:rPr>
        <w:t>的股权，【详见第十一节、九、</w:t>
      </w:r>
      <w:r>
        <w:rPr>
          <w:rFonts w:ascii="Times New Roman" w:hAnsi="Times New Roman" w:cs="Times New Roman" w:eastAsia="Times New Roman" w:hint="default"/>
          <w:spacing w:val="-6"/>
        </w:rPr>
        <w:t>2</w:t>
      </w:r>
      <w:r>
        <w:rPr>
          <w:spacing w:val="-6"/>
        </w:rPr>
        <w:t>】，本公司相应将取得</w:t>
      </w:r>
      <w:r>
        <w:rPr>
          <w:spacing w:val="-40"/>
        </w:rPr>
        <w:t> </w:t>
      </w:r>
      <w:r>
        <w:rPr>
          <w:rFonts w:ascii="Times New Roman" w:hAnsi="Times New Roman" w:cs="Times New Roman" w:eastAsia="Times New Roman" w:hint="default"/>
          <w:spacing w:val="-1"/>
        </w:rPr>
        <w:t>49.00%</w:t>
      </w:r>
      <w:r>
        <w:rPr>
          <w:spacing w:val="-1"/>
        </w:rPr>
        <w:t>股权的对价与</w:t>
      </w:r>
      <w:r>
        <w:rPr>
          <w:spacing w:val="-36"/>
        </w:rPr>
        <w:t> </w:t>
      </w:r>
      <w:r>
        <w:rPr>
          <w:rFonts w:ascii="Times New Roman" w:hAnsi="Times New Roman" w:cs="Times New Roman" w:eastAsia="Times New Roman" w:hint="default"/>
          <w:spacing w:val="-1"/>
        </w:rPr>
        <w:t>49.00%</w:t>
      </w:r>
      <w:r>
        <w:rPr>
          <w:spacing w:val="-1"/>
        </w:rPr>
        <w:t>股权对</w:t>
      </w:r>
      <w:r>
        <w:rPr>
          <w:spacing w:val="-88"/>
        </w:rPr>
        <w:t> </w:t>
      </w:r>
      <w:r>
        <w:rPr/>
        <w:t>应的权益之间的差额</w:t>
      </w:r>
      <w:r>
        <w:rPr>
          <w:spacing w:val="-48"/>
        </w:rPr>
        <w:t> </w:t>
      </w:r>
      <w:r>
        <w:rPr>
          <w:rFonts w:ascii="Times New Roman" w:hAnsi="Times New Roman" w:cs="Times New Roman" w:eastAsia="Times New Roman" w:hint="default"/>
        </w:rPr>
        <w:t>183,896,000.75</w:t>
      </w:r>
      <w:r>
        <w:rPr>
          <w:rFonts w:ascii="Times New Roman" w:hAnsi="Times New Roman" w:cs="Times New Roman" w:eastAsia="Times New Roman" w:hint="default"/>
          <w:spacing w:val="-4"/>
        </w:rPr>
        <w:t> </w:t>
      </w:r>
      <w:r>
        <w:rPr/>
        <w:t>元冲减资本公积。</w:t>
      </w:r>
    </w:p>
    <w:p>
      <w:pPr>
        <w:pStyle w:val="BodyText"/>
        <w:spacing w:line="300" w:lineRule="auto" w:before="51"/>
        <w:ind w:left="1052" w:right="293" w:firstLine="360"/>
        <w:jc w:val="left"/>
      </w:pPr>
      <w:r>
        <w:rPr/>
        <w:t>（</w:t>
      </w:r>
      <w:r>
        <w:rPr>
          <w:rFonts w:ascii="Times New Roman" w:hAnsi="Times New Roman" w:cs="Times New Roman" w:eastAsia="Times New Roman" w:hint="default"/>
        </w:rPr>
        <w:t>2</w:t>
      </w:r>
      <w:r>
        <w:rPr/>
        <w:t>）公司之控股子公司沈阳荣科全濠科技有限公司于本年度注销，公司将原按权益法确认的资本公积</w:t>
      </w:r>
      <w:r>
        <w:rPr>
          <w:spacing w:val="-60"/>
        </w:rPr>
        <w:t> </w:t>
      </w:r>
      <w:r>
        <w:rPr>
          <w:rFonts w:ascii="Times New Roman" w:hAnsi="Times New Roman" w:cs="Times New Roman" w:eastAsia="Times New Roman" w:hint="default"/>
        </w:rPr>
        <w:t>655.11</w:t>
      </w:r>
      <w:r>
        <w:rPr>
          <w:rFonts w:ascii="Times New Roman" w:hAnsi="Times New Roman" w:cs="Times New Roman" w:eastAsia="Times New Roman" w:hint="default"/>
          <w:spacing w:val="-19"/>
        </w:rPr>
        <w:t> </w:t>
      </w:r>
      <w:r>
        <w:rPr/>
        <w:t>元转入投 资收益。</w:t>
      </w:r>
    </w:p>
    <w:p>
      <w:pPr>
        <w:spacing w:line="240" w:lineRule="auto" w:before="7"/>
        <w:rPr>
          <w:rFonts w:ascii="宋体" w:hAnsi="宋体" w:cs="宋体" w:eastAsia="宋体" w:hint="default"/>
          <w:sz w:val="23"/>
          <w:szCs w:val="23"/>
        </w:rPr>
      </w:pPr>
    </w:p>
    <w:p>
      <w:pPr>
        <w:pStyle w:val="Heading3"/>
        <w:spacing w:line="240" w:lineRule="auto"/>
        <w:ind w:left="1052" w:right="0"/>
        <w:jc w:val="both"/>
        <w:rPr>
          <w:b w:val="0"/>
          <w:bCs w:val="0"/>
        </w:rPr>
      </w:pPr>
      <w:r>
        <w:rPr>
          <w:rFonts w:ascii="Times New Roman" w:hAnsi="Times New Roman" w:cs="Times New Roman" w:eastAsia="Times New Roman" w:hint="default"/>
        </w:rPr>
        <w:t>56</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52" w:right="0"/>
        <w:jc w:val="both"/>
      </w:pPr>
      <w:r>
        <w:rPr/>
        <w:t>无</w:t>
      </w:r>
    </w:p>
    <w:p>
      <w:pPr>
        <w:spacing w:line="240" w:lineRule="auto" w:before="11"/>
        <w:rPr>
          <w:rFonts w:ascii="宋体" w:hAnsi="宋体" w:cs="宋体" w:eastAsia="宋体" w:hint="default"/>
          <w:sz w:val="26"/>
          <w:szCs w:val="26"/>
        </w:rPr>
      </w:pPr>
    </w:p>
    <w:p>
      <w:pPr>
        <w:pStyle w:val="Heading3"/>
        <w:spacing w:line="240" w:lineRule="auto"/>
        <w:ind w:left="1052" w:right="0"/>
        <w:jc w:val="both"/>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3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276"/>
        <w:gridCol w:w="1032"/>
        <w:gridCol w:w="1080"/>
        <w:gridCol w:w="1526"/>
        <w:gridCol w:w="935"/>
        <w:gridCol w:w="936"/>
        <w:gridCol w:w="935"/>
        <w:gridCol w:w="1056"/>
      </w:tblGrid>
      <w:tr>
        <w:trPr>
          <w:trHeight w:val="402" w:hRule="exact"/>
        </w:trPr>
        <w:tc>
          <w:tcPr>
            <w:tcW w:w="3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3276" w:type="dxa"/>
            <w:vMerge/>
            <w:tcBorders>
              <w:left w:val="single" w:sz="4" w:space="0" w:color="000000"/>
              <w:bottom w:val="single" w:sz="4" w:space="0" w:color="000000"/>
              <w:right w:val="single" w:sz="4" w:space="0" w:color="000000"/>
            </w:tcBorders>
            <w:shd w:val="clear" w:color="auto" w:fill="D2D2D2"/>
          </w:tcPr>
          <w:p>
            <w:pPr/>
          </w:p>
        </w:tc>
        <w:tc>
          <w:tcPr>
            <w:tcW w:w="1032" w:type="dxa"/>
            <w:vMerge/>
            <w:tcBorders>
              <w:left w:val="single" w:sz="4" w:space="0" w:color="000000"/>
              <w:bottom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73" w:right="83"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7" w:right="37"/>
              <w:jc w:val="center"/>
              <w:rPr>
                <w:rFonts w:ascii="宋体" w:hAnsi="宋体" w:cs="宋体" w:eastAsia="宋体" w:hint="default"/>
                <w:sz w:val="18"/>
                <w:szCs w:val="18"/>
              </w:rPr>
            </w:pPr>
            <w:r>
              <w:rPr>
                <w:rFonts w:ascii="宋体" w:hAnsi="宋体" w:cs="宋体" w:eastAsia="宋体" w:hint="default"/>
                <w:sz w:val="18"/>
                <w:szCs w:val="18"/>
              </w:rPr>
              <w:t>减：前期计入其他 综合收益当期转入 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2" w:right="21"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102"/>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05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一、以后将重分类进损益的其他综合收益</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851,987.54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-642,662.67</w:t>
            </w:r>
          </w:p>
        </w:tc>
        <w:tc>
          <w:tcPr>
            <w:tcW w:w="152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-642,662.67</w:t>
            </w:r>
          </w:p>
        </w:tc>
        <w:tc>
          <w:tcPr>
            <w:tcW w:w="93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209,324.87</w:t>
            </w:r>
          </w:p>
        </w:tc>
      </w:tr>
      <w:tr>
        <w:trPr>
          <w:trHeight w:val="402" w:hRule="exact"/>
        </w:trPr>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851,987.54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-642,662.67</w:t>
            </w:r>
          </w:p>
        </w:tc>
        <w:tc>
          <w:tcPr>
            <w:tcW w:w="152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-642,662.67</w:t>
            </w:r>
          </w:p>
        </w:tc>
        <w:tc>
          <w:tcPr>
            <w:tcW w:w="93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209,324.87</w:t>
            </w:r>
          </w:p>
        </w:tc>
      </w:tr>
      <w:tr>
        <w:trPr>
          <w:trHeight w:val="402" w:hRule="exact"/>
        </w:trPr>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851,987.54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-642,662.67</w:t>
            </w:r>
          </w:p>
        </w:tc>
        <w:tc>
          <w:tcPr>
            <w:tcW w:w="152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-642,662.67</w:t>
            </w:r>
          </w:p>
        </w:tc>
        <w:tc>
          <w:tcPr>
            <w:tcW w:w="93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209,324.87</w:t>
            </w:r>
          </w:p>
        </w:tc>
      </w:tr>
    </w:tbl>
    <w:p>
      <w:pPr>
        <w:pStyle w:val="BodyText"/>
        <w:spacing w:line="360" w:lineRule="auto" w:before="49"/>
        <w:ind w:left="1052" w:right="1834"/>
        <w:jc w:val="left"/>
      </w:pPr>
      <w:r>
        <w:rPr/>
        <w:t>其他说明，包括对现金流量套期损益的有效部分转为被套期项目初始确认金额调整： 本项目期末余额均系将在美国注册的享云科技公司纳入合并财务报表范围而形成的外币报表折算差额。</w:t>
      </w:r>
    </w:p>
    <w:p>
      <w:pPr>
        <w:spacing w:line="240" w:lineRule="auto" w:before="12"/>
        <w:rPr>
          <w:rFonts w:ascii="宋体" w:hAnsi="宋体" w:cs="宋体" w:eastAsia="宋体" w:hint="default"/>
          <w:sz w:val="19"/>
          <w:szCs w:val="19"/>
        </w:rPr>
      </w:pPr>
    </w:p>
    <w:p>
      <w:pPr>
        <w:pStyle w:val="Heading3"/>
        <w:spacing w:line="240" w:lineRule="auto"/>
        <w:ind w:left="1052"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52"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1052"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3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68"/>
              <w:jc w:val="righ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97"/>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9" w:right="0"/>
              <w:jc w:val="left"/>
              <w:rPr>
                <w:rFonts w:ascii="Times New Roman" w:hAnsi="Times New Roman" w:cs="Times New Roman" w:eastAsia="Times New Roman" w:hint="default"/>
                <w:sz w:val="18"/>
                <w:szCs w:val="18"/>
              </w:rPr>
            </w:pPr>
            <w:r>
              <w:rPr>
                <w:rFonts w:ascii="Times New Roman"/>
                <w:sz w:val="18"/>
              </w:rPr>
              <w:t>30,850,851.57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6" w:right="0"/>
              <w:jc w:val="left"/>
              <w:rPr>
                <w:rFonts w:ascii="Times New Roman" w:hAnsi="Times New Roman" w:cs="Times New Roman" w:eastAsia="Times New Roman" w:hint="default"/>
                <w:sz w:val="18"/>
                <w:szCs w:val="18"/>
              </w:rPr>
            </w:pPr>
            <w:r>
              <w:rPr>
                <w:rFonts w:ascii="Times New Roman"/>
                <w:sz w:val="18"/>
              </w:rPr>
              <w:t>30,850,851.57</w:t>
            </w:r>
          </w:p>
        </w:tc>
      </w:tr>
    </w:tbl>
    <w:p>
      <w:pPr>
        <w:spacing w:after="0" w:line="240" w:lineRule="auto"/>
        <w:jc w:val="left"/>
        <w:rPr>
          <w:rFonts w:ascii="Times New Roman" w:hAnsi="Times New Roman" w:cs="Times New Roman" w:eastAsia="Times New Roman" w:hint="default"/>
          <w:sz w:val="18"/>
          <w:szCs w:val="18"/>
        </w:rPr>
        <w:sectPr>
          <w:pgSz w:w="11910" w:h="16840"/>
          <w:pgMar w:header="566" w:footer="978" w:top="1360" w:bottom="1160" w:left="80" w:right="8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30,850,851.57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30,850,851.57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228,324,985.00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209,943,407.49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228,324,985.00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209,943,407.49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18,820,057.94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32,397,475.63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2,765,860.30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6,750,022.69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11,250,037.82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240,395,020.25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228,324,985.00</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418,657,673.48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290,255,400.08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502,607,273.30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342,897,319.45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418,657,673.48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290,255,400.08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502,607,273.30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342,897,319.45</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1,273,945.80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1,459,776.08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654,145.81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681,946.00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1,035,877.76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560,962.00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223,789.32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150,790.84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5,280.00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290,911.00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171,300.51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90,101.97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436,097.20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454,643.84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河道维护费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31,445.33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633,813.34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685,927.32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740,124.75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4,645,339.54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4,948,739.33</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p>
      <w:pPr>
        <w:pStyle w:val="Heading3"/>
        <w:spacing w:line="240" w:lineRule="auto" w:before="55"/>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16,182,187.80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14,893,843.31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2,421,538.37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1,887,026.23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2,423,063.25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701,909.34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1,683,654.78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1,538,181.78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1,244,533.53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1,057,195.81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业务宣传费广告费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1,274,118.68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989,145.26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98,768.24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25,327,864.65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21,067,301.73</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28,963,963.50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28,755,126.27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4,861,377.52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4,657,973.92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7,362,179.75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10,275,323.31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9,575,759.50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3,125,167.22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11,729,792.00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8,806,452.73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196,470.90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1,767,507.52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1,570,911.82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1,483,695.80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346,720.86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318,896.85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387,904.67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1,116,337.39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1,250,743.93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研究与开发费用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16,587,110.36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2"/>
                <w:sz w:val="18"/>
              </w:rPr>
              <w:t>15,309,114.07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493,298.62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432,997.05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82,803,922.22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76,570,903.34</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4,357,261.53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64,063.03</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2,339,590.51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3,270,416.61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67,385.73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73,224.24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加：结算手续费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87,781.44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107,806.37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加：担保费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104,393.50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2,142,460.23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-3,171,771.45</w:t>
            </w:r>
          </w:p>
        </w:tc>
      </w:tr>
    </w:tbl>
    <w:p>
      <w:pPr>
        <w:pStyle w:val="BodyText"/>
        <w:spacing w:line="360" w:lineRule="auto" w:before="51"/>
        <w:ind w:right="404"/>
        <w:jc w:val="left"/>
      </w:pPr>
      <w:r>
        <w:rPr/>
        <w:t>其他说明： 本项目本期金额较上期金额增加</w:t>
      </w:r>
      <w:r>
        <w:rPr>
          <w:rFonts w:ascii="Times New Roman" w:hAnsi="Times New Roman" w:cs="Times New Roman" w:eastAsia="Times New Roman" w:hint="default"/>
        </w:rPr>
        <w:t>5,314,231.68</w:t>
      </w:r>
      <w:r>
        <w:rPr/>
        <w:t>元，增幅</w:t>
      </w:r>
      <w:r>
        <w:rPr>
          <w:rFonts w:ascii="Times New Roman" w:hAnsi="Times New Roman" w:cs="Times New Roman" w:eastAsia="Times New Roman" w:hint="default"/>
        </w:rPr>
        <w:t>167.55%</w:t>
      </w:r>
      <w:r>
        <w:rPr/>
        <w:t>，主要系公司本报告期借款增加相应利息支出增加所致。</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4,735,227.32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21,986,895.31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二、商誉减值损失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1,309,768.25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4,735,227.32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23,296,663.56</w:t>
            </w:r>
          </w:p>
        </w:tc>
      </w:tr>
    </w:tbl>
    <w:p>
      <w:pPr>
        <w:pStyle w:val="BodyText"/>
        <w:spacing w:line="357" w:lineRule="auto" w:before="52"/>
        <w:ind w:right="224"/>
        <w:jc w:val="left"/>
      </w:pPr>
      <w:r>
        <w:rPr/>
        <w:t>其他说明： 本项目本期金额较上期金额减少</w:t>
      </w:r>
      <w:r>
        <w:rPr>
          <w:rFonts w:ascii="Times New Roman" w:hAnsi="Times New Roman" w:cs="Times New Roman" w:eastAsia="Times New Roman" w:hint="default"/>
        </w:rPr>
        <w:t>18,561,436.24</w:t>
      </w:r>
      <w:r>
        <w:rPr/>
        <w:t>元，减幅</w:t>
      </w:r>
      <w:r>
        <w:rPr>
          <w:rFonts w:ascii="Times New Roman" w:hAnsi="Times New Roman" w:cs="Times New Roman" w:eastAsia="Times New Roman" w:hint="default"/>
        </w:rPr>
        <w:t>79.67%</w:t>
      </w:r>
      <w:r>
        <w:rPr/>
        <w:t>，主要系公司本报告期账龄较长的应收账款回款增加所致。</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w w:val="95"/>
                <w:sz w:val="18"/>
              </w:rPr>
              <w:t>655.11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655.11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072"/>
        <w:gridCol w:w="1716"/>
        <w:gridCol w:w="1781"/>
      </w:tblGrid>
      <w:tr>
        <w:trPr>
          <w:trHeight w:val="402" w:hRule="exact"/>
        </w:trPr>
        <w:tc>
          <w:tcPr>
            <w:tcW w:w="6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6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7"/>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处置未划分为持有待售的固定资产、在建工程、生产性生物资产及无形资产 的处置利得或损失：</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3,437.71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129,474.26</w:t>
            </w:r>
          </w:p>
        </w:tc>
      </w:tr>
      <w:tr>
        <w:trPr>
          <w:trHeight w:val="402" w:hRule="exact"/>
        </w:trPr>
        <w:tc>
          <w:tcPr>
            <w:tcW w:w="6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3,437.71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129,474.26</w:t>
            </w:r>
          </w:p>
        </w:tc>
      </w:tr>
      <w:tr>
        <w:trPr>
          <w:trHeight w:val="402" w:hRule="exact"/>
        </w:trPr>
        <w:tc>
          <w:tcPr>
            <w:tcW w:w="6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3,437.71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129,474.26</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p>
      <w:pPr>
        <w:pStyle w:val="Heading3"/>
        <w:spacing w:line="240" w:lineRule="auto" w:before="55"/>
        <w:ind w:left="592" w:right="3561"/>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59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589" w:type="dxa"/>
        <w:tblLayout w:type="fixed"/>
        <w:tblCellMar>
          <w:top w:w="0" w:type="dxa"/>
          <w:left w:w="0" w:type="dxa"/>
          <w:bottom w:w="0" w:type="dxa"/>
          <w:right w:w="0" w:type="dxa"/>
        </w:tblCellMar>
        <w:tblLook w:val="01E0"/>
      </w:tblPr>
      <w:tblGrid>
        <w:gridCol w:w="3686"/>
        <w:gridCol w:w="2693"/>
        <w:gridCol w:w="3190"/>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软件产品超税负返还款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7,797,624.44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基于大数据应用综合健康服务平台研发及应用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双培育项目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技术合同认定补助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9,423,284.44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before="34"/>
        <w:ind w:left="592" w:right="3561"/>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59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58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6,579,106.28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62,415.29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62,497.83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62,415.29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62,415.29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6,641,604.11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62,415.29</w:t>
            </w:r>
          </w:p>
        </w:tc>
      </w:tr>
    </w:tbl>
    <w:p>
      <w:pPr>
        <w:pStyle w:val="BodyText"/>
        <w:spacing w:line="240" w:lineRule="auto" w:before="50"/>
        <w:ind w:left="592" w:right="3561"/>
        <w:jc w:val="left"/>
      </w:pPr>
      <w:r>
        <w:rPr/>
        <w:t>计入当期损益的政府补助：</w:t>
      </w:r>
    </w:p>
    <w:p>
      <w:pPr>
        <w:pStyle w:val="BodyText"/>
        <w:spacing w:line="240" w:lineRule="auto" w:before="117"/>
        <w:ind w:left="0" w:right="59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380"/>
        <w:gridCol w:w="1296"/>
        <w:gridCol w:w="516"/>
        <w:gridCol w:w="2724"/>
        <w:gridCol w:w="1068"/>
        <w:gridCol w:w="648"/>
        <w:gridCol w:w="831"/>
        <w:gridCol w:w="1063"/>
        <w:gridCol w:w="1063"/>
      </w:tblGrid>
      <w:tr>
        <w:trPr>
          <w:trHeight w:val="71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3" w:right="70"/>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8"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 w:right="46"/>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9"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133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84"/>
              <w:jc w:val="left"/>
              <w:rPr>
                <w:rFonts w:ascii="宋体" w:hAnsi="宋体" w:cs="宋体" w:eastAsia="宋体" w:hint="default"/>
                <w:sz w:val="18"/>
                <w:szCs w:val="18"/>
              </w:rPr>
            </w:pPr>
            <w:r>
              <w:rPr>
                <w:rFonts w:ascii="宋体" w:hAnsi="宋体" w:cs="宋体" w:eastAsia="宋体" w:hint="default"/>
                <w:sz w:val="18"/>
                <w:szCs w:val="18"/>
              </w:rPr>
              <w:t>软件产品超税负 返还款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沈阳市和平区 </w:t>
            </w:r>
            <w:r>
              <w:rPr>
                <w:rFonts w:ascii="宋体" w:hAnsi="宋体" w:cs="宋体" w:eastAsia="宋体" w:hint="default"/>
                <w:spacing w:val="-4"/>
                <w:sz w:val="18"/>
                <w:szCs w:val="18"/>
              </w:rPr>
              <w:t>国家税务局、上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海市浦东新区 国家税务局</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补助</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
              <w:jc w:val="both"/>
              <w:rPr>
                <w:rFonts w:ascii="宋体" w:hAnsi="宋体" w:cs="宋体" w:eastAsia="宋体" w:hint="default"/>
                <w:sz w:val="18"/>
                <w:szCs w:val="18"/>
              </w:rPr>
            </w:pPr>
            <w:r>
              <w:rPr>
                <w:rFonts w:ascii="宋体" w:hAnsi="宋体" w:cs="宋体" w:eastAsia="宋体" w:hint="default"/>
                <w:sz w:val="18"/>
                <w:szCs w:val="18"/>
              </w:rPr>
              <w:t>因从事国家鼓励和扶持特定行业、 </w:t>
            </w:r>
            <w:r>
              <w:rPr>
                <w:rFonts w:ascii="宋体" w:hAnsi="宋体" w:cs="宋体" w:eastAsia="宋体" w:hint="default"/>
                <w:spacing w:val="-3"/>
                <w:sz w:val="18"/>
                <w:szCs w:val="18"/>
              </w:rPr>
              <w:t>产业而获得的补助（按国家级政策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规定依法取得）</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5,539,908.28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沈阳市企业稳岗 补贴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0"/>
              <w:jc w:val="both"/>
              <w:rPr>
                <w:rFonts w:ascii="宋体" w:hAnsi="宋体" w:cs="宋体" w:eastAsia="宋体" w:hint="default"/>
                <w:sz w:val="18"/>
                <w:szCs w:val="18"/>
              </w:rPr>
            </w:pPr>
            <w:r>
              <w:rPr>
                <w:rFonts w:ascii="宋体" w:hAnsi="宋体" w:cs="宋体" w:eastAsia="宋体" w:hint="default"/>
                <w:sz w:val="18"/>
                <w:szCs w:val="18"/>
              </w:rPr>
              <w:t>沈阳市人力资 源和社会保障 局</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center"/>
              <w:rPr>
                <w:rFonts w:ascii="宋体" w:hAnsi="宋体" w:cs="宋体" w:eastAsia="宋体" w:hint="default"/>
                <w:sz w:val="18"/>
                <w:szCs w:val="18"/>
              </w:rPr>
            </w:pPr>
            <w:r>
              <w:rPr>
                <w:rFonts w:ascii="宋体" w:hAnsi="宋体" w:cs="宋体" w:eastAsia="宋体" w:hint="default"/>
                <w:sz w:val="18"/>
                <w:szCs w:val="18"/>
              </w:rPr>
              <w:t>补助</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8"/>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 性扶持政策而获得的补助</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399,198.00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4"/>
              <w:jc w:val="left"/>
              <w:rPr>
                <w:rFonts w:ascii="宋体" w:hAnsi="宋体" w:cs="宋体" w:eastAsia="宋体" w:hint="default"/>
                <w:sz w:val="18"/>
                <w:szCs w:val="18"/>
              </w:rPr>
            </w:pPr>
            <w:r>
              <w:rPr>
                <w:rFonts w:ascii="宋体" w:hAnsi="宋体" w:cs="宋体" w:eastAsia="宋体" w:hint="default"/>
                <w:sz w:val="18"/>
                <w:szCs w:val="18"/>
              </w:rPr>
              <w:t>工业优质产品奖 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沈阳市财政局</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补助</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8"/>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 性扶持政策而获得的补助</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both"/>
              <w:rPr>
                <w:rFonts w:ascii="宋体" w:hAnsi="宋体" w:cs="宋体" w:eastAsia="宋体" w:hint="default"/>
                <w:sz w:val="18"/>
                <w:szCs w:val="18"/>
              </w:rPr>
            </w:pPr>
            <w:r>
              <w:rPr>
                <w:rFonts w:ascii="宋体" w:hAnsi="宋体" w:cs="宋体" w:eastAsia="宋体" w:hint="default"/>
                <w:sz w:val="18"/>
                <w:szCs w:val="18"/>
              </w:rPr>
              <w:t>基于云计算和移 动终端的居民电 子健康档案系统 专项补助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80"/>
              <w:jc w:val="left"/>
              <w:rPr>
                <w:rFonts w:ascii="宋体" w:hAnsi="宋体" w:cs="宋体" w:eastAsia="宋体" w:hint="default"/>
                <w:sz w:val="18"/>
                <w:szCs w:val="18"/>
              </w:rPr>
            </w:pPr>
            <w:r>
              <w:rPr>
                <w:rFonts w:ascii="宋体" w:hAnsi="宋体" w:cs="宋体" w:eastAsia="宋体" w:hint="default"/>
                <w:sz w:val="18"/>
                <w:szCs w:val="18"/>
              </w:rPr>
              <w:t>上海市浦东新 区财政局</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补助</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2"/>
              <w:jc w:val="left"/>
              <w:rPr>
                <w:rFonts w:ascii="宋体" w:hAnsi="宋体" w:cs="宋体" w:eastAsia="宋体" w:hint="default"/>
                <w:sz w:val="18"/>
                <w:szCs w:val="18"/>
              </w:rPr>
            </w:pPr>
            <w:r>
              <w:rPr>
                <w:rFonts w:ascii="宋体" w:hAnsi="宋体" w:cs="宋体" w:eastAsia="宋体" w:hint="default"/>
                <w:spacing w:val="-3"/>
                <w:sz w:val="18"/>
                <w:szCs w:val="18"/>
              </w:rPr>
              <w:t>因研究开发、技术更新及改造等获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得的补助</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61" w:right="0"/>
              <w:jc w:val="left"/>
              <w:rPr>
                <w:rFonts w:ascii="Times New Roman" w:hAnsi="Times New Roman" w:cs="Times New Roman" w:eastAsia="Times New Roman" w:hint="default"/>
                <w:sz w:val="18"/>
                <w:szCs w:val="18"/>
              </w:rPr>
            </w:pPr>
            <w:r>
              <w:rPr>
                <w:rFonts w:ascii="Times New Roman"/>
                <w:sz w:val="18"/>
              </w:rPr>
              <w:t>--</w:t>
            </w:r>
          </w:p>
        </w:tc>
        <w:tc>
          <w:tcPr>
            <w:tcW w:w="83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6,579,106.28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592" w:right="3561"/>
        <w:jc w:val="left"/>
      </w:pPr>
      <w:r>
        <w:rPr/>
        <w:t>其他说明：</w:t>
      </w:r>
    </w:p>
    <w:p>
      <w:pPr>
        <w:spacing w:after="0" w:line="240" w:lineRule="auto"/>
        <w:jc w:val="left"/>
        <w:sectPr>
          <w:pgSz w:w="11910" w:h="16840"/>
          <w:pgMar w:header="566" w:footer="978" w:top="1360" w:bottom="1160" w:left="540" w:right="540"/>
        </w:sectPr>
      </w:pPr>
    </w:p>
    <w:p>
      <w:pPr>
        <w:pStyle w:val="BodyText"/>
        <w:spacing w:line="300" w:lineRule="auto" w:before="81"/>
        <w:ind w:right="106"/>
        <w:jc w:val="both"/>
      </w:pPr>
      <w:r>
        <w:rPr>
          <w:spacing w:val="-1"/>
        </w:rPr>
        <w:t>本项目本期金额较上期金额减少</w:t>
      </w:r>
      <w:r>
        <w:rPr>
          <w:rFonts w:ascii="Times New Roman" w:hAnsi="Times New Roman" w:cs="Times New Roman" w:eastAsia="Times New Roman" w:hint="default"/>
          <w:spacing w:val="-1"/>
        </w:rPr>
        <w:t>6,579,188.82</w:t>
      </w:r>
      <w:r>
        <w:rPr>
          <w:spacing w:val="-1"/>
        </w:rPr>
        <w:t>元，减幅</w:t>
      </w:r>
      <w:r>
        <w:rPr>
          <w:rFonts w:ascii="Times New Roman" w:hAnsi="Times New Roman" w:cs="Times New Roman" w:eastAsia="Times New Roman" w:hint="default"/>
          <w:spacing w:val="-1"/>
        </w:rPr>
        <w:t>99.06%</w:t>
      </w:r>
      <w:r>
        <w:rPr>
          <w:spacing w:val="-1"/>
        </w:rPr>
        <w:t>，主要系根据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日财政部发布的《企业会计准则第</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5"/>
        </w:rPr>
        <w:t>号——政府补助》（财会〔</w:t>
      </w:r>
      <w:r>
        <w:rPr>
          <w:rFonts w:ascii="Times New Roman" w:hAnsi="Times New Roman" w:cs="Times New Roman" w:eastAsia="Times New Roman" w:hint="default"/>
          <w:spacing w:val="-5"/>
        </w:rPr>
        <w:t>2017</w:t>
      </w:r>
      <w:r>
        <w:rPr>
          <w:spacing w:val="-5"/>
        </w:rPr>
        <w:t>〕</w:t>
      </w:r>
      <w:r>
        <w:rPr>
          <w:rFonts w:ascii="Times New Roman" w:hAnsi="Times New Roman" w:cs="Times New Roman" w:eastAsia="Times New Roman" w:hint="default"/>
          <w:spacing w:val="-5"/>
        </w:rPr>
        <w:t>15</w:t>
      </w:r>
      <w:r>
        <w:rPr>
          <w:spacing w:val="-5"/>
        </w:rPr>
        <w:t>号），对</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日存在的政府补助采用未来适用法处理，对</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日至本准则施</w:t>
      </w:r>
      <w:r>
        <w:rPr>
          <w:spacing w:val="-42"/>
        </w:rPr>
        <w:t> </w:t>
      </w:r>
      <w:r>
        <w:rPr/>
        <w:t>行日之间新增的政府补助根据本准则进行调整至其他收益科目核算。</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9,641.00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21,225.87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614,508.64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21,225.87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71,946.39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71,946.39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20,199.05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1,989.00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104,802.26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784,707.69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104,802.26</w:t>
            </w:r>
          </w:p>
        </w:tc>
      </w:tr>
    </w:tbl>
    <w:p>
      <w:pPr>
        <w:pStyle w:val="BodyText"/>
        <w:spacing w:line="357" w:lineRule="auto" w:before="52"/>
        <w:ind w:right="269"/>
        <w:jc w:val="left"/>
      </w:pPr>
      <w:r>
        <w:rPr/>
        <w:t>其他说明： 本项目本期金额较上期金额减少</w:t>
      </w:r>
      <w:r>
        <w:rPr>
          <w:rFonts w:ascii="Times New Roman" w:hAnsi="Times New Roman" w:cs="Times New Roman" w:eastAsia="Times New Roman" w:hint="default"/>
        </w:rPr>
        <w:t>679,905.43</w:t>
      </w:r>
      <w:r>
        <w:rPr/>
        <w:t>元，减幅</w:t>
      </w:r>
      <w:r>
        <w:rPr>
          <w:rFonts w:ascii="Times New Roman" w:hAnsi="Times New Roman" w:cs="Times New Roman" w:eastAsia="Times New Roman" w:hint="default"/>
        </w:rPr>
        <w:t>86.64%</w:t>
      </w:r>
      <w:r>
        <w:rPr/>
        <w:t>，主要系本报告期内公司非流动资产毁损报废损失减少所致。</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5,403,422.68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3,649,921.70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-3,071,453.08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-711,505.32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2,331,969.60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2,938,416.38</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18,132,449.73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1,813,244.97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273,630.14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-66,948.28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1,100,527.37</w:t>
            </w:r>
          </w:p>
        </w:tc>
      </w:tr>
      <w:tr>
        <w:trPr>
          <w:trHeight w:val="71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600,393.55</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-1,388,878.15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2,331,969.60</w:t>
            </w:r>
          </w:p>
        </w:tc>
      </w:tr>
    </w:tbl>
    <w:p>
      <w:pPr>
        <w:spacing w:line="240" w:lineRule="auto" w:before="3"/>
        <w:rPr>
          <w:rFonts w:ascii="宋体" w:hAnsi="宋体" w:cs="宋体" w:eastAsia="宋体" w:hint="default"/>
          <w:sz w:val="19"/>
          <w:szCs w:val="19"/>
        </w:rPr>
      </w:pPr>
    </w:p>
    <w:p>
      <w:pPr>
        <w:spacing w:line="547" w:lineRule="auto" w:before="34"/>
        <w:ind w:left="112" w:right="72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详见本报告第十一节、七、</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3"/>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收到的利息收入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2,339,590.51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3,270,416.61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147,478.49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173,368.45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746,173.81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1,308,249.80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1,460,069.03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3,207,656.21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4,709,198.00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13,218,311.84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12,668,889.07</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87,781.44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107,806.37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支付的差旅费、办公费等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39,290,843.20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38,796,667.82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3,040,433.84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1,328,528.72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1,339,852.19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支付的招待费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3,537,241.31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1,952,653.27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1,397,169.29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432,997.05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48,693,321.27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42,618,653.23</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after="0" w:line="240" w:lineRule="auto"/>
        <w:jc w:val="right"/>
        <w:sectPr>
          <w:footerReference w:type="default" r:id="rId50"/>
          <w:pgSz w:w="11910" w:h="16840"/>
          <w:pgMar w:footer="978" w:header="566" w:top="1360" w:bottom="1160" w:left="1020" w:right="1020"/>
          <w:pgNumType w:start="14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支付的并购费用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811,280.10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77,250.00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811,280.10</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993,154.36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204,745.92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支付担保费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104,393.50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支付子公司少数股东清算款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33,172.55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141,880,000.00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143,010,720.41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204,745.92</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15,800,480.13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40,046,071.64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4,735,227.32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23,296,663.56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12,079,212.91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9,104,272.54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3,119,083.00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1,933,285.04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196,470.90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1,767,507.52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-3,437.71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-130,719.87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21,225.87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615,754.25</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4,394,269.30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64,063.03</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p>
      <w:pPr>
        <w:spacing w:line="240" w:lineRule="auto" w:before="4"/>
        <w:rPr>
          <w:rFonts w:ascii="宋体" w:hAnsi="宋体" w:cs="宋体" w:eastAsia="宋体" w:hint="default"/>
          <w:sz w:val="5"/>
          <w:szCs w:val="5"/>
        </w:rPr>
      </w:pPr>
      <w:r>
        <w:rPr/>
        <w:pict>
          <v:shape style="position:absolute;margin-left:217.199997pt;margin-top:92.500023pt;width:158.6pt;height:19.7pt;mso-position-horizontal-relative:page;mso-position-vertical-relative:page;z-index:-821176" type="#_x0000_t202" filled="false" stroked="false">
            <v:textbox inset="0,0,0,0">
              <w:txbxContent>
                <w:p>
                  <w:pPr>
                    <w:pStyle w:val="BodyText"/>
                    <w:spacing w:line="240" w:lineRule="auto" w:before="52"/>
                    <w:ind w:left="0" w:right="0"/>
                    <w:jc w:val="left"/>
                  </w:pPr>
                  <w:r>
                    <w:rPr/>
                    <w:t>）</w:t>
                  </w:r>
                </w:p>
              </w:txbxContent>
            </v:textbox>
            <w10:wrap type="none"/>
          </v:shape>
        </w:pict>
      </w:r>
      <w:r>
        <w:rPr/>
        <w:pict>
          <v:shape style="position:absolute;margin-left:217.199997pt;margin-top:112.600021pt;width:158.6pt;height:19.7pt;mso-position-horizontal-relative:page;mso-position-vertical-relative:page;z-index:-821152"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223.199997pt;margin-top:92.500023pt;width:152.6pt;height:39.950pt;mso-position-horizontal-relative:page;mso-position-vertical-relative:page;z-index:-821128" coordorigin="4464,1850" coordsize="3052,799">
            <v:group style="position:absolute;left:4464;top:1850;width:3052;height:397" coordorigin="4464,1850" coordsize="3052,397">
              <v:shape style="position:absolute;left:4464;top:1850;width:3052;height:397" coordorigin="4464,1850" coordsize="3052,397" path="m4464,1850l7516,1850,7516,2247,4464,2247,4464,1850xe" filled="true" fillcolor="#ffffff" stroked="false">
                <v:path arrowok="t"/>
                <v:fill type="solid"/>
              </v:shape>
            </v:group>
            <v:group style="position:absolute;left:4464;top:2252;width:3052;height:397" coordorigin="4464,2252" coordsize="3052,397">
              <v:shape style="position:absolute;left:4464;top:2252;width:3052;height:397" coordorigin="4464,2252" coordsize="3052,397" path="m4464,2252l7516,2252,7516,2649,4464,2649,4464,2252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-655.11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-2,555,469.54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-651,789.93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-497,830.80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-76,495.87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12,758,226.49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3,084,644.16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-4,881,699.77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-65,678,343.97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-26,490,226.99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35,961,344.48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18,674,876.00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49,336,256.58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183,490,446.48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265,807,842.60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265,807,842.60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315,066,783.90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-82,317,396.12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-49,258,941.30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2,877,402.60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2,910,575.15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-33,172.55</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183,490,446.48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265,807,842.60</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171,086.86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183,560.42</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183,319,359.62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255,854,951.23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9,769,330.95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183,490,446.48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265,807,842.60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77</w:t>
      </w:r>
      <w:r>
        <w:rPr/>
        <w:t>、所有者权益变动表项目注释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78</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3,795,502.19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保证金【详见第十一节、七、</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质押【详见第十一节、十四、</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b/>
                <w:spacing w:val="-1"/>
                <w:sz w:val="18"/>
              </w:rPr>
              <w:t>103,795,502.19</w:t>
            </w:r>
            <w:r>
              <w:rPr>
                <w:rFonts w:ascii="Times New Roman"/>
                <w:spacing w:val="-1"/>
                <w:sz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516,553.21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3,375,261.98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539,223.24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3,523,392.50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1"/>
                <w:sz w:val="18"/>
                <w:szCs w:val="18"/>
              </w:rPr>
              <w:t> </w:t>
            </w: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9,796.40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64,011.64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3,705.91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24,215.16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193,598.00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1,265,008.05</w:t>
            </w:r>
          </w:p>
        </w:tc>
      </w:tr>
    </w:tbl>
    <w:p>
      <w:pPr>
        <w:spacing w:line="240" w:lineRule="auto" w:before="4"/>
        <w:rPr>
          <w:rFonts w:ascii="宋体" w:hAnsi="宋体" w:cs="宋体" w:eastAsia="宋体" w:hint="default"/>
          <w:sz w:val="19"/>
          <w:szCs w:val="19"/>
        </w:rPr>
      </w:pPr>
    </w:p>
    <w:p>
      <w:pPr>
        <w:pStyle w:val="Heading3"/>
        <w:spacing w:line="259" w:lineRule="auto" w:before="34"/>
        <w:ind w:right="0"/>
        <w:jc w:val="left"/>
        <w:rPr>
          <w:b w:val="0"/>
          <w:bCs w:val="0"/>
        </w:rPr>
      </w:pP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340" w:lineRule="auto"/>
        <w:ind w:right="2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本公司之控股子公司享云科技公司的主要经营地在美国，根据美国当地法律，记账本位币为美元。</w:t>
      </w:r>
    </w:p>
    <w:p>
      <w:pPr>
        <w:spacing w:after="0" w:line="340" w:lineRule="auto"/>
        <w:jc w:val="left"/>
        <w:sectPr>
          <w:pgSz w:w="11910" w:h="16840"/>
          <w:pgMar w:header="566" w:footer="978" w:top="1360" w:bottom="1160" w:left="1020" w:right="1000"/>
        </w:sectPr>
      </w:pPr>
    </w:p>
    <w:p>
      <w:pPr>
        <w:pStyle w:val="Heading3"/>
        <w:spacing w:line="240" w:lineRule="auto" w:before="55"/>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81</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spacing w:line="506" w:lineRule="auto" w:before="0"/>
        <w:ind w:left="112" w:right="7309" w:firstLine="0"/>
        <w:jc w:val="left"/>
        <w:rPr>
          <w:rFonts w:ascii="宋体" w:hAnsi="宋体" w:cs="宋体" w:eastAsia="宋体" w:hint="default"/>
          <w:sz w:val="18"/>
          <w:szCs w:val="18"/>
        </w:rPr>
      </w:pP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1"/>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7"/>
        <w:ind w:right="3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是否存在通过多次交易分步处置对子公司投资且在本期丧失控制权的情形</w:t>
      </w:r>
    </w:p>
    <w:p>
      <w:pPr>
        <w:pStyle w:val="BodyText"/>
        <w:spacing w:line="240" w:lineRule="auto" w:before="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5"/>
        <w:ind w:right="11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日，根据公司第二届董事会第二十四次会议审议通过的《关于注销控股子公司沈阳荣科全濠科技有限公</w:t>
      </w:r>
      <w:r>
        <w:rPr>
          <w:spacing w:val="-87"/>
        </w:rPr>
        <w:t> </w:t>
      </w:r>
      <w:r>
        <w:rPr>
          <w:spacing w:val="-87"/>
        </w:rPr>
      </w:r>
      <w:r>
        <w:rPr>
          <w:spacing w:val="-3"/>
        </w:rPr>
        <w:t>司的议案》，公司拟注销子公司沈阳荣科全濠科技有限公司。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31</w:t>
      </w:r>
      <w:r>
        <w:rPr>
          <w:spacing w:val="-3"/>
        </w:rPr>
        <w:t>日，沈阳荣科全濠科技有限公司取得（沈</w:t>
      </w:r>
      <w:r>
        <w:rPr>
          <w:rFonts w:ascii="Times New Roman" w:hAnsi="Times New Roman" w:cs="Times New Roman" w:eastAsia="Times New Roman" w:hint="default"/>
          <w:spacing w:val="-3"/>
        </w:rPr>
        <w:t>08</w:t>
      </w:r>
      <w:r>
        <w:rPr>
          <w:spacing w:val="-3"/>
        </w:rPr>
        <w:t>）工商</w:t>
      </w:r>
      <w:r>
        <w:rPr/>
        <w:t> 外资销准字【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2017022808</w:t>
      </w:r>
      <w:r>
        <w:rPr/>
        <w:t>号外商投资企业注销登记通知书。相关注销工作已经完成。</w:t>
      </w:r>
    </w:p>
    <w:p>
      <w:pPr>
        <w:pStyle w:val="BodyText"/>
        <w:spacing w:line="300" w:lineRule="auto" w:before="13"/>
        <w:ind w:right="10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日，公司之子公司上海米健信息技术有限公司出资设立全资子公司上海米健健康科技有限公司。截至</w:t>
      </w:r>
      <w:r>
        <w:rPr>
          <w:rFonts w:ascii="Times New Roman" w:hAnsi="Times New Roman" w:cs="Times New Roman" w:eastAsia="Times New Roman" w:hint="default"/>
        </w:rPr>
        <w:t>2017</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日止，上海米健健康科技有限公司注册资本</w:t>
      </w:r>
      <w:r>
        <w:rPr>
          <w:rFonts w:ascii="Times New Roman" w:hAnsi="Times New Roman" w:cs="Times New Roman" w:eastAsia="Times New Roman" w:hint="default"/>
        </w:rPr>
        <w:t>200</w:t>
      </w:r>
      <w:r>
        <w:rPr/>
        <w:t>万元，实收资本</w:t>
      </w:r>
      <w:r>
        <w:rPr>
          <w:rFonts w:ascii="Times New Roman" w:hAnsi="Times New Roman" w:cs="Times New Roman" w:eastAsia="Times New Roman" w:hint="default"/>
        </w:rPr>
        <w:t>0</w:t>
      </w:r>
      <w:r>
        <w:rPr/>
        <w:t>元，公司将其纳入</w:t>
      </w:r>
      <w:r>
        <w:rPr>
          <w:rFonts w:ascii="Times New Roman" w:hAnsi="Times New Roman" w:cs="Times New Roman" w:eastAsia="Times New Roman" w:hint="default"/>
        </w:rPr>
        <w:t>2017</w:t>
      </w:r>
      <w:r>
        <w:rPr/>
        <w:t>年度合并财务报表。</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w:t>
      </w:r>
      <w:r>
        <w:rPr>
          <w:spacing w:val="-64"/>
        </w:rPr>
        <w:t> </w:t>
      </w:r>
      <w:r>
        <w:rPr/>
        <w:t>其他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566" w:footer="978" w:top="1360" w:bottom="1160" w:left="1020" w:right="1020"/>
        </w:sectPr>
      </w:pPr>
    </w:p>
    <w:p>
      <w:pPr>
        <w:spacing w:line="240" w:lineRule="auto" w:before="8"/>
        <w:rPr>
          <w:rFonts w:ascii="宋体" w:hAnsi="宋体" w:cs="宋体" w:eastAsia="宋体" w:hint="default"/>
          <w:sz w:val="23"/>
          <w:szCs w:val="23"/>
        </w:rPr>
      </w:pPr>
      <w:r>
        <w:rPr/>
        <w:pict>
          <v:group style="position:absolute;margin-left:56.34pt;margin-top:28.320024pt;width:482.65pt;height:40.2pt;mso-position-horizontal-relative:page;mso-position-vertical-relative:page;z-index:-821104"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Heading2"/>
        <w:spacing w:line="240" w:lineRule="auto" w:before="26"/>
        <w:ind w:right="1994"/>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994"/>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994"/>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707"/>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7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70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沈阳荣科全濠科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辽宁荣科金融服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北京荣科爱信科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享云科技有限责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2"/>
              <w:jc w:val="left"/>
              <w:rPr>
                <w:rFonts w:ascii="宋体" w:hAnsi="宋体" w:cs="宋体" w:eastAsia="宋体" w:hint="default"/>
                <w:sz w:val="18"/>
                <w:szCs w:val="18"/>
              </w:rPr>
            </w:pPr>
            <w:r>
              <w:rPr>
                <w:rFonts w:ascii="宋体" w:hAnsi="宋体" w:cs="宋体" w:eastAsia="宋体" w:hint="default"/>
                <w:sz w:val="18"/>
                <w:szCs w:val="18"/>
              </w:rPr>
              <w:t>收购（非同一控制下 的企业合并）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上海米健信息技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52"/>
              <w:jc w:val="left"/>
              <w:rPr>
                <w:rFonts w:ascii="宋体" w:hAnsi="宋体" w:cs="宋体" w:eastAsia="宋体" w:hint="default"/>
                <w:sz w:val="18"/>
                <w:szCs w:val="18"/>
              </w:rPr>
            </w:pPr>
            <w:r>
              <w:rPr>
                <w:rFonts w:ascii="宋体" w:hAnsi="宋体" w:cs="宋体" w:eastAsia="宋体" w:hint="default"/>
                <w:sz w:val="18"/>
                <w:szCs w:val="18"/>
              </w:rPr>
              <w:t>收购（非同一控制下 的企业合并）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苏州易健医疗信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2"/>
              <w:jc w:val="left"/>
              <w:rPr>
                <w:rFonts w:ascii="宋体" w:hAnsi="宋体" w:cs="宋体" w:eastAsia="宋体" w:hint="default"/>
                <w:sz w:val="18"/>
                <w:szCs w:val="18"/>
              </w:rPr>
            </w:pPr>
            <w:r>
              <w:rPr>
                <w:rFonts w:ascii="宋体" w:hAnsi="宋体" w:cs="宋体" w:eastAsia="宋体" w:hint="default"/>
                <w:sz w:val="18"/>
                <w:szCs w:val="18"/>
              </w:rPr>
              <w:t>收购（非同一控制下 的企业合并）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北京米东信息技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52"/>
              <w:jc w:val="left"/>
              <w:rPr>
                <w:rFonts w:ascii="宋体" w:hAnsi="宋体" w:cs="宋体" w:eastAsia="宋体" w:hint="default"/>
                <w:sz w:val="18"/>
                <w:szCs w:val="18"/>
              </w:rPr>
            </w:pPr>
            <w:r>
              <w:rPr>
                <w:rFonts w:ascii="宋体" w:hAnsi="宋体" w:cs="宋体" w:eastAsia="宋体" w:hint="default"/>
                <w:sz w:val="18"/>
                <w:szCs w:val="18"/>
              </w:rPr>
              <w:t>收购（非同一控制下 的企业合并）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西藏米健信息技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上海米健健康科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bl>
    <w:p>
      <w:pPr>
        <w:spacing w:line="240" w:lineRule="auto" w:before="3"/>
        <w:rPr>
          <w:rFonts w:ascii="宋体" w:hAnsi="宋体" w:cs="宋体" w:eastAsia="宋体" w:hint="default"/>
          <w:b/>
          <w:bCs/>
          <w:sz w:val="19"/>
          <w:szCs w:val="19"/>
        </w:rPr>
      </w:pPr>
    </w:p>
    <w:p>
      <w:pPr>
        <w:pStyle w:val="Heading3"/>
        <w:spacing w:line="240" w:lineRule="auto" w:before="34"/>
        <w:ind w:right="1994"/>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9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994"/>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994"/>
        <w:jc w:val="left"/>
      </w:pPr>
      <w:r>
        <w:rPr/>
        <w:t>无</w:t>
      </w:r>
    </w:p>
    <w:p>
      <w:pPr>
        <w:spacing w:line="240" w:lineRule="auto" w:before="11"/>
        <w:rPr>
          <w:rFonts w:ascii="宋体" w:hAnsi="宋体" w:cs="宋体" w:eastAsia="宋体" w:hint="default"/>
          <w:sz w:val="26"/>
          <w:szCs w:val="26"/>
        </w:rPr>
      </w:pPr>
    </w:p>
    <w:p>
      <w:pPr>
        <w:pStyle w:val="Heading3"/>
        <w:spacing w:line="240" w:lineRule="auto"/>
        <w:ind w:right="1994"/>
        <w:jc w:val="left"/>
        <w:rPr>
          <w:b w:val="0"/>
          <w:bCs w:val="0"/>
        </w:rPr>
      </w:pPr>
      <w:r>
        <w:rPr/>
        <w:t>（</w:t>
      </w:r>
      <w:r>
        <w:rPr>
          <w:rFonts w:ascii="Times New Roman" w:hAnsi="Times New Roman" w:cs="Times New Roman" w:eastAsia="Times New Roman" w:hint="default"/>
        </w:rPr>
        <w:t>3</w:t>
      </w:r>
      <w:r>
        <w:rPr/>
        <w:t>）使用企业集团资产和清偿企业集团债务的重大限制</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9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994"/>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994"/>
        <w:jc w:val="left"/>
      </w:pPr>
      <w:r>
        <w:rPr/>
        <w:t>无</w:t>
      </w:r>
    </w:p>
    <w:p>
      <w:pPr>
        <w:spacing w:after="0" w:line="240" w:lineRule="auto"/>
        <w:jc w:val="left"/>
        <w:sectPr>
          <w:headerReference w:type="default" r:id="rId51"/>
          <w:pgSz w:w="11910" w:h="16840"/>
          <w:pgMar w:header="868" w:footer="978" w:top="1060" w:bottom="1160" w:left="1020" w:right="740"/>
        </w:sectPr>
      </w:pPr>
    </w:p>
    <w:p>
      <w:pPr>
        <w:spacing w:line="240" w:lineRule="auto" w:before="10"/>
        <w:rPr>
          <w:rFonts w:ascii="宋体" w:hAnsi="宋体" w:cs="宋体" w:eastAsia="宋体" w:hint="default"/>
          <w:sz w:val="24"/>
          <w:szCs w:val="24"/>
        </w:rPr>
      </w:pPr>
      <w:r>
        <w:rPr/>
        <w:pict>
          <v:group style="position:absolute;margin-left:56.34pt;margin-top:28.320024pt;width:482.65pt;height:40.2pt;mso-position-horizontal-relative:page;mso-position-vertical-relative:page;z-index:2536"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0" o:title=""/>
              </v:shape>
            </v:group>
            <w10:wrap type="none"/>
          </v:group>
        </w:pict>
      </w:r>
    </w:p>
    <w:p>
      <w:pPr>
        <w:pStyle w:val="Heading3"/>
        <w:spacing w:line="240" w:lineRule="auto" w:before="34"/>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01" w:firstLine="360"/>
        <w:jc w:val="both"/>
      </w:pPr>
      <w:r>
        <w:rPr/>
        <w:t>根据公司第二届董事会第三十四次会议审议通过的《关于以现金方式收购上海米健信息技术有限公司</w:t>
      </w:r>
      <w:r>
        <w:rPr>
          <w:rFonts w:ascii="Times New Roman" w:hAnsi="Times New Roman" w:cs="Times New Roman" w:eastAsia="Times New Roman" w:hint="default"/>
        </w:rPr>
        <w:t>49%</w:t>
      </w:r>
      <w:r>
        <w:rPr/>
        <w:t>股权的议案》 </w:t>
      </w:r>
      <w:r>
        <w:rPr>
          <w:spacing w:val="-5"/>
        </w:rPr>
        <w:t>及公司与张继武、雷新刚、赵达签订的《关于上海米健信息技术有限公司之股权转让框架协议》、《关于上海米健信息技术有</w:t>
      </w:r>
      <w:r>
        <w:rPr>
          <w:spacing w:val="-77"/>
        </w:rPr>
        <w:t> </w:t>
      </w:r>
      <w:r>
        <w:rPr>
          <w:spacing w:val="-77"/>
        </w:rPr>
      </w:r>
      <w:r>
        <w:rPr>
          <w:spacing w:val="-2"/>
        </w:rPr>
        <w:t>限公司之股权转让框架协议之补充协议》，公司以银行贷款及自有资金</w:t>
      </w:r>
      <w:r>
        <w:rPr>
          <w:rFonts w:ascii="Times New Roman" w:hAnsi="Times New Roman" w:cs="Times New Roman" w:eastAsia="Times New Roman" w:hint="default"/>
          <w:spacing w:val="-2"/>
        </w:rPr>
        <w:t>201,880,000.00</w:t>
      </w:r>
      <w:r>
        <w:rPr>
          <w:spacing w:val="-2"/>
        </w:rPr>
        <w:t>元受让上海米健信息技术有限公司</w:t>
      </w:r>
      <w:r>
        <w:rPr>
          <w:rFonts w:ascii="Times New Roman" w:hAnsi="Times New Roman" w:cs="Times New Roman" w:eastAsia="Times New Roman" w:hint="default"/>
          <w:spacing w:val="-2"/>
        </w:rPr>
        <w:t>49%</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的股权，截至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日止，公司已支付大部分股权转让款，并实质取得上海米健信息技术有限公司剩余</w:t>
      </w:r>
      <w:r>
        <w:rPr>
          <w:rFonts w:ascii="Times New Roman" w:hAnsi="Times New Roman" w:cs="Times New Roman" w:eastAsia="Times New Roman" w:hint="default"/>
        </w:rPr>
        <w:t>49%</w:t>
      </w:r>
      <w:r>
        <w:rPr/>
        <w:t>的股权，</w:t>
      </w:r>
      <w:r>
        <w:rPr>
          <w:spacing w:val="-64"/>
        </w:rPr>
        <w:t> </w:t>
      </w:r>
      <w:r>
        <w:rPr>
          <w:spacing w:val="-64"/>
        </w:rPr>
      </w:r>
      <w:r>
        <w:rPr/>
        <w:t>至此上海米健信息技术有限公司成为本公司的全资子公司。</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5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201,880,000.00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201,880,000.00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17,983,999.25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183,896,000.75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183,896,000.75</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十、与金融工具相关的风险</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50" w:firstLine="360"/>
        <w:jc w:val="both"/>
      </w:pPr>
      <w:r>
        <w:rPr>
          <w:spacing w:val="-2"/>
        </w:rPr>
        <w:t>本公司的主要金融工具包括银行存款、应收账款、预收账款、应付账款、借款等。各项金融工具的详细情况说明见本报</w:t>
      </w:r>
      <w:r>
        <w:rPr/>
        <w:t> </w:t>
      </w:r>
      <w:r>
        <w:rPr>
          <w:spacing w:val="-2"/>
        </w:rPr>
        <w:t>告第十一节、七相关项目注释。本公司的金融工具导致的主要风险是信用风险、流动风险及市场风险。公司经营管理层全面</w:t>
      </w:r>
      <w:r>
        <w:rPr>
          <w:spacing w:val="-64"/>
        </w:rPr>
        <w:t> </w:t>
      </w:r>
      <w:r>
        <w:rPr>
          <w:spacing w:val="-64"/>
        </w:rPr>
      </w:r>
      <w:r>
        <w:rPr/>
        <w:t>负责风险管理目标和政策的确定，并对风险管理目标和政策承担最终责任。</w:t>
      </w:r>
    </w:p>
    <w:p>
      <w:pPr>
        <w:pStyle w:val="BodyText"/>
        <w:spacing w:line="316" w:lineRule="auto" w:before="19"/>
        <w:ind w:left="472" w:right="0"/>
        <w:jc w:val="left"/>
      </w:pPr>
      <w:r>
        <w:rPr/>
        <w:t>（一）信用风险 </w:t>
      </w:r>
      <w:r>
        <w:rPr>
          <w:spacing w:val="-2"/>
        </w:rPr>
        <w:t>信用风险是指金融工具的一方不履行义务，造成另一方发生财务损失的风险。本公司的货币资金以及提供给客户的信用</w:t>
      </w:r>
    </w:p>
    <w:p>
      <w:pPr>
        <w:pStyle w:val="BodyText"/>
        <w:spacing w:line="316" w:lineRule="auto" w:before="19"/>
        <w:ind w:left="472" w:right="0" w:hanging="360"/>
        <w:jc w:val="left"/>
      </w:pPr>
      <w:r>
        <w:rPr/>
        <w:t>额度均会产生信用风险。 本公司除现金以外的货币资金主要存放于信用良好的国有及其他大中型商业银行，本公司认为其不存在重大的信用风</w:t>
      </w:r>
    </w:p>
    <w:p>
      <w:pPr>
        <w:spacing w:after="0" w:line="316" w:lineRule="auto"/>
        <w:jc w:val="left"/>
        <w:sectPr>
          <w:pgSz w:w="11910" w:h="16840"/>
          <w:pgMar w:header="868" w:footer="978" w:top="1060" w:bottom="1160" w:left="1020" w:right="980"/>
        </w:sectPr>
      </w:pPr>
    </w:p>
    <w:p>
      <w:pPr>
        <w:pStyle w:val="BodyText"/>
        <w:spacing w:line="316" w:lineRule="auto" w:before="81"/>
        <w:ind w:left="472" w:right="0" w:hanging="360"/>
        <w:jc w:val="left"/>
      </w:pPr>
      <w:r>
        <w:rPr/>
        <w:t>险，因对方单位违约而导致的重大损失的可能性相对较低。 </w:t>
      </w:r>
      <w:r>
        <w:rPr>
          <w:spacing w:val="-2"/>
        </w:rPr>
        <w:t>为降低客户信用风险，本公司控制信用额度、进行信用审批，并执行应收账款账龄分析等其他监控程序以确保采取必要</w:t>
      </w:r>
    </w:p>
    <w:p>
      <w:pPr>
        <w:pStyle w:val="BodyText"/>
        <w:spacing w:line="240" w:lineRule="auto" w:before="19"/>
        <w:ind w:right="0"/>
        <w:jc w:val="left"/>
      </w:pPr>
      <w:r>
        <w:rPr/>
        <w:t>的措施回收过期债权。</w:t>
      </w:r>
    </w:p>
    <w:p>
      <w:pPr>
        <w:pStyle w:val="BodyText"/>
        <w:spacing w:line="316" w:lineRule="auto" w:before="76"/>
        <w:ind w:left="472" w:right="0"/>
        <w:jc w:val="left"/>
      </w:pPr>
      <w:r>
        <w:rPr/>
        <w:t>（二）流动风险 </w:t>
      </w:r>
      <w:r>
        <w:rPr>
          <w:spacing w:val="-2"/>
        </w:rPr>
        <w:t>流动风险是指企业在履行以交付现金或其他金融资产的方式结算的义务时发生资金短缺的风险。本公司的政策是确保拥</w:t>
      </w:r>
    </w:p>
    <w:p>
      <w:pPr>
        <w:pStyle w:val="BodyText"/>
        <w:spacing w:line="316" w:lineRule="auto" w:before="19"/>
        <w:ind w:right="0"/>
        <w:jc w:val="left"/>
      </w:pPr>
      <w:r>
        <w:rPr>
          <w:spacing w:val="-2"/>
        </w:rPr>
        <w:t>有充足的现金以偿还到期债务。流动性风险由本公司的财务部门集中控制。财务部门通过监控现金余额、可随时变现的有价</w:t>
      </w:r>
      <w:r>
        <w:rPr>
          <w:spacing w:val="-63"/>
        </w:rPr>
        <w:t> </w:t>
      </w:r>
      <w:r>
        <w:rPr>
          <w:spacing w:val="-63"/>
        </w:rPr>
      </w:r>
      <w:r>
        <w:rPr/>
        <w:t>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pStyle w:val="BodyText"/>
        <w:spacing w:line="316" w:lineRule="auto"/>
        <w:ind w:left="472" w:right="0"/>
        <w:jc w:val="left"/>
      </w:pPr>
      <w:r>
        <w:rPr/>
        <w:t>（三）市场风险 </w:t>
      </w:r>
      <w:r>
        <w:rPr>
          <w:spacing w:val="-2"/>
        </w:rPr>
        <w:t>市场风险是指因利率、汇率以及其他市场因素变动而引起金融工具的公允价值或未来现金流量因市场价格变动而发生波</w:t>
      </w:r>
    </w:p>
    <w:p>
      <w:pPr>
        <w:pStyle w:val="BodyText"/>
        <w:spacing w:line="240" w:lineRule="auto" w:before="19"/>
        <w:ind w:right="0"/>
        <w:jc w:val="left"/>
      </w:pPr>
      <w:r>
        <w:rPr/>
        <w:t>动的风险。影响本公司业务的市场风险主要包括汇率风险及利率风险。</w:t>
      </w:r>
    </w:p>
    <w:p>
      <w:pPr>
        <w:pStyle w:val="BodyText"/>
        <w:spacing w:line="300" w:lineRule="auto" w:before="76"/>
        <w:ind w:left="472" w:right="0"/>
        <w:jc w:val="left"/>
      </w:pPr>
      <w:r>
        <w:rPr>
          <w:rFonts w:ascii="Times New Roman" w:hAnsi="Times New Roman" w:cs="Times New Roman" w:eastAsia="Times New Roman" w:hint="default"/>
        </w:rPr>
        <w:t>1</w:t>
      </w:r>
      <w:r>
        <w:rPr/>
        <w:t>．汇率风险 </w:t>
      </w:r>
      <w:r>
        <w:rPr>
          <w:spacing w:val="-2"/>
        </w:rPr>
        <w:t>汇率风险是指金融工具的公允价值或未来现金流量因外汇汇率变动而发生波动的风险。本公司承受外汇风险主要与美元</w:t>
      </w:r>
    </w:p>
    <w:p>
      <w:pPr>
        <w:pStyle w:val="BodyText"/>
        <w:spacing w:line="316" w:lineRule="auto" w:before="31"/>
        <w:ind w:right="110"/>
        <w:jc w:val="both"/>
      </w:pPr>
      <w:r>
        <w:rPr>
          <w:spacing w:val="-2"/>
        </w:rPr>
        <w:t>有关，境外子公司享云科技公司以美元进行结算。除境外子公司享云科技公司以外，本公司的主要业务活动以人民币计价结</w:t>
      </w:r>
      <w:r>
        <w:rPr>
          <w:spacing w:val="-63"/>
        </w:rPr>
        <w:t> </w:t>
      </w:r>
      <w:r>
        <w:rPr>
          <w:spacing w:val="-63"/>
        </w:rPr>
      </w:r>
      <w:r>
        <w:rPr>
          <w:spacing w:val="-2"/>
        </w:rPr>
        <w:t>算，由于外币金融资产和负债占总资产比重较小，享云科技公司目前的财务状况及经营成果对本公司合并财务报表不构成重</w:t>
      </w:r>
      <w:r>
        <w:rPr>
          <w:spacing w:val="-64"/>
        </w:rPr>
        <w:t> </w:t>
      </w:r>
      <w:r>
        <w:rPr>
          <w:spacing w:val="-64"/>
        </w:rPr>
      </w:r>
      <w:r>
        <w:rPr>
          <w:spacing w:val="-2"/>
        </w:rPr>
        <w:t>大影响，汇率风险对本公司的经营不构成重大影响。本公司将密切关注汇率变动对本公司外汇风险的影响，并将对未来单项</w:t>
      </w:r>
      <w:r>
        <w:rPr>
          <w:spacing w:val="-63"/>
        </w:rPr>
        <w:t> </w:t>
      </w:r>
      <w:r>
        <w:rPr>
          <w:spacing w:val="-63"/>
        </w:rPr>
      </w:r>
      <w:r>
        <w:rPr/>
        <w:t>大额外汇业务具体制定方案以规避外汇风险。</w:t>
      </w:r>
    </w:p>
    <w:p>
      <w:pPr>
        <w:pStyle w:val="BodyText"/>
        <w:spacing w:line="300" w:lineRule="auto" w:before="19"/>
        <w:ind w:left="472" w:right="0"/>
        <w:jc w:val="left"/>
      </w:pPr>
      <w:r>
        <w:rPr>
          <w:rFonts w:ascii="Times New Roman" w:hAnsi="Times New Roman" w:cs="Times New Roman" w:eastAsia="Times New Roman" w:hint="default"/>
        </w:rPr>
        <w:t>2</w:t>
      </w:r>
      <w:r>
        <w:rPr/>
        <w:t>．利率风险 </w:t>
      </w:r>
      <w:r>
        <w:rPr>
          <w:spacing w:val="-2"/>
        </w:rPr>
        <w:t>本公司的带息资产主要为银行存款。由于银行存款主要为短期性质并且所涉及的利息金额并不重大，管理层认为市场存</w:t>
      </w:r>
    </w:p>
    <w:p>
      <w:pPr>
        <w:pStyle w:val="BodyText"/>
        <w:spacing w:line="316" w:lineRule="auto" w:before="31"/>
        <w:ind w:left="472" w:right="0" w:hanging="360"/>
        <w:jc w:val="left"/>
      </w:pPr>
      <w:r>
        <w:rPr/>
        <w:t>款利率的波动对财务报表的影响并不重大。 </w:t>
      </w:r>
      <w:r>
        <w:rPr>
          <w:spacing w:val="-2"/>
        </w:rPr>
        <w:t>本公司的利率风险产生于银行借款等计息借款。浮动利率计息的借款导致本公司产生现金流量利率风险，而固定利率计</w:t>
      </w:r>
    </w:p>
    <w:p>
      <w:pPr>
        <w:pStyle w:val="BodyText"/>
        <w:spacing w:line="316" w:lineRule="auto" w:before="19"/>
        <w:ind w:right="112"/>
        <w:jc w:val="both"/>
      </w:pPr>
      <w:r>
        <w:rPr>
          <w:spacing w:val="-2"/>
        </w:rPr>
        <w:t>息的长期借款导致本公司产生公允价值利率风险。本公司主要根据当时的市场环境来决定使用固定利率或浮动利率借款的政</w:t>
      </w:r>
      <w:r>
        <w:rPr>
          <w:spacing w:val="-64"/>
        </w:rPr>
        <w:t> </w:t>
      </w:r>
      <w:r>
        <w:rPr>
          <w:spacing w:val="-64"/>
        </w:rPr>
      </w:r>
      <w:r>
        <w:rPr>
          <w:spacing w:val="-2"/>
        </w:rPr>
        <w:t>策。如果利率上升会增加新增借款的成本以及本公司尚未偿还的以浮动利率计息的借款的利息支出，会对本公司的财务状况</w:t>
      </w:r>
      <w:r>
        <w:rPr>
          <w:spacing w:val="-64"/>
        </w:rPr>
        <w:t> </w:t>
      </w:r>
      <w:r>
        <w:rPr>
          <w:spacing w:val="-64"/>
        </w:rPr>
      </w:r>
      <w:r>
        <w:rPr/>
        <w:t>产生重大的不利影响。管理层持续监控本公司利率水平并依据最新的市场状况及时做出调整。</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十一、公允价值的披露</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4247"/>
        <w:jc w:val="left"/>
      </w:pPr>
      <w:r>
        <w:rPr/>
        <w:pict>
          <v:group style="position:absolute;margin-left:120.5pt;margin-top:75.372719pt;width:411.1pt;height:.1pt;mso-position-horizontal-relative:page;mso-position-vertical-relative:paragraph;z-index:-821008" coordorigin="2410,1507" coordsize="8222,2">
            <v:shape style="position:absolute;left:2410;top:1507;width:8222;height:2" coordorigin="2410,1507" coordsize="8222,0" path="m2410,1507l10632,1507e" filled="false" stroked="true" strokeweight=".24pt" strokecolor="#000000">
              <v:path arrowok="t"/>
            </v:shape>
            <w10:wrap type="none"/>
          </v:group>
        </w:pict>
      </w:r>
      <w:r>
        <w:rPr/>
        <w:t>无 </w:t>
      </w:r>
      <w:r>
        <w:rPr>
          <w:spacing w:val="-3"/>
        </w:rPr>
        <w:t>本企业的最终控制方是：崔万涛、付艳杰（两大股东为一致行动人）。</w:t>
      </w:r>
      <w:r>
        <w:rPr>
          <w:spacing w:val="-86"/>
        </w:rPr>
        <w:t> </w:t>
      </w:r>
      <w:r>
        <w:rPr>
          <w:spacing w:val="-86"/>
        </w:rPr>
      </w:r>
      <w:r>
        <w:rPr/>
        <w:t>其他说明：</w:t>
      </w: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75.15pt;height:.25pt;mso-position-horizontal-relative:char;mso-position-vertical-relative:line" coordorigin="0,0" coordsize="9503,5">
            <v:group style="position:absolute;left:2;top:2;width:9498;height:2" coordorigin="2,2" coordsize="9498,2">
              <v:shape style="position:absolute;left:2;top:2;width:9498;height:2" coordorigin="2,2" coordsize="9498,0" path="m2,2l9500,2e" filled="false" stroked="true" strokeweight=".24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266"/>
        <w:gridCol w:w="1424"/>
        <w:gridCol w:w="1234"/>
        <w:gridCol w:w="1424"/>
        <w:gridCol w:w="1345"/>
        <w:gridCol w:w="1342"/>
        <w:gridCol w:w="1463"/>
      </w:tblGrid>
      <w:tr>
        <w:trPr>
          <w:trHeight w:val="871" w:hRule="exact"/>
        </w:trPr>
        <w:tc>
          <w:tcPr>
            <w:tcW w:w="1266"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424"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b/>
                <w:bCs/>
                <w:sz w:val="18"/>
                <w:szCs w:val="18"/>
              </w:rPr>
              <w:t>出资额</w:t>
            </w:r>
            <w:r>
              <w:rPr>
                <w:rFonts w:ascii="宋体" w:hAnsi="宋体" w:cs="宋体" w:eastAsia="宋体" w:hint="default"/>
                <w:sz w:val="18"/>
                <w:szCs w:val="18"/>
              </w:rPr>
            </w:r>
          </w:p>
        </w:tc>
        <w:tc>
          <w:tcPr>
            <w:tcW w:w="1234"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24"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6"/>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表决权比例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45"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28"/>
              <w:jc w:val="center"/>
              <w:rPr>
                <w:rFonts w:ascii="宋体" w:hAnsi="宋体" w:cs="宋体" w:eastAsia="宋体" w:hint="default"/>
                <w:sz w:val="18"/>
                <w:szCs w:val="18"/>
              </w:rPr>
            </w:pPr>
            <w:r>
              <w:rPr>
                <w:rFonts w:ascii="宋体" w:hAnsi="宋体" w:cs="宋体" w:eastAsia="宋体" w:hint="default"/>
                <w:b/>
                <w:bCs/>
                <w:sz w:val="18"/>
                <w:szCs w:val="18"/>
              </w:rPr>
              <w:t>出资额</w:t>
            </w:r>
            <w:r>
              <w:rPr>
                <w:rFonts w:ascii="宋体" w:hAnsi="宋体" w:cs="宋体" w:eastAsia="宋体" w:hint="default"/>
                <w:sz w:val="18"/>
                <w:szCs w:val="18"/>
              </w:rPr>
            </w:r>
          </w:p>
        </w:tc>
        <w:tc>
          <w:tcPr>
            <w:tcW w:w="1342"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24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63"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表决权比例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65" w:hRule="exact"/>
        </w:trPr>
        <w:tc>
          <w:tcPr>
            <w:tcW w:w="1266" w:type="dxa"/>
            <w:tcBorders>
              <w:top w:val="single" w:sz="2" w:space="0" w:color="000000"/>
              <w:left w:val="nil" w:sz="6" w:space="0" w:color="auto"/>
              <w:bottom w:val="nil" w:sz="6" w:space="0" w:color="auto"/>
              <w:right w:val="nil" w:sz="6" w:space="0" w:color="auto"/>
            </w:tcBorders>
          </w:tcPr>
          <w:p>
            <w:pPr>
              <w:pStyle w:val="TableParagraph"/>
              <w:spacing w:line="240" w:lineRule="auto" w:before="88"/>
              <w:ind w:left="106"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424" w:type="dxa"/>
            <w:tcBorders>
              <w:top w:val="single" w:sz="2" w:space="0" w:color="000000"/>
              <w:left w:val="nil" w:sz="6" w:space="0" w:color="auto"/>
              <w:bottom w:val="nil" w:sz="6" w:space="0" w:color="auto"/>
              <w:right w:val="nil" w:sz="6" w:space="0" w:color="auto"/>
            </w:tcBorders>
          </w:tcPr>
          <w:p>
            <w:pPr>
              <w:pStyle w:val="TableParagraph"/>
              <w:spacing w:line="240" w:lineRule="auto" w:before="123"/>
              <w:ind w:right="129"/>
              <w:jc w:val="right"/>
              <w:rPr>
                <w:rFonts w:ascii="Times New Roman" w:hAnsi="Times New Roman" w:cs="Times New Roman" w:eastAsia="Times New Roman" w:hint="default"/>
                <w:sz w:val="18"/>
                <w:szCs w:val="18"/>
              </w:rPr>
            </w:pPr>
            <w:r>
              <w:rPr>
                <w:rFonts w:ascii="Times New Roman"/>
                <w:spacing w:val="-1"/>
                <w:sz w:val="18"/>
              </w:rPr>
              <w:t>83,207,698.00</w:t>
            </w:r>
          </w:p>
        </w:tc>
        <w:tc>
          <w:tcPr>
            <w:tcW w:w="1234" w:type="dxa"/>
            <w:tcBorders>
              <w:top w:val="single" w:sz="2" w:space="0" w:color="000000"/>
              <w:left w:val="nil" w:sz="6" w:space="0" w:color="auto"/>
              <w:bottom w:val="nil" w:sz="6" w:space="0" w:color="auto"/>
              <w:right w:val="nil" w:sz="6" w:space="0" w:color="auto"/>
            </w:tcBorders>
          </w:tcPr>
          <w:p>
            <w:pPr>
              <w:pStyle w:val="TableParagraph"/>
              <w:spacing w:line="240" w:lineRule="auto" w:before="123"/>
              <w:ind w:right="371"/>
              <w:jc w:val="right"/>
              <w:rPr>
                <w:rFonts w:ascii="Times New Roman" w:hAnsi="Times New Roman" w:cs="Times New Roman" w:eastAsia="Times New Roman" w:hint="default"/>
                <w:sz w:val="18"/>
                <w:szCs w:val="18"/>
              </w:rPr>
            </w:pPr>
            <w:r>
              <w:rPr>
                <w:rFonts w:ascii="Times New Roman"/>
                <w:spacing w:val="-1"/>
                <w:sz w:val="18"/>
              </w:rPr>
              <w:t>25.89</w:t>
            </w:r>
          </w:p>
        </w:tc>
        <w:tc>
          <w:tcPr>
            <w:tcW w:w="1424" w:type="dxa"/>
            <w:tcBorders>
              <w:top w:val="single" w:sz="2" w:space="0" w:color="000000"/>
              <w:left w:val="nil" w:sz="6" w:space="0" w:color="auto"/>
              <w:bottom w:val="nil" w:sz="6" w:space="0" w:color="auto"/>
              <w:right w:val="nil" w:sz="6" w:space="0" w:color="auto"/>
            </w:tcBorders>
          </w:tcPr>
          <w:p>
            <w:pPr>
              <w:pStyle w:val="TableParagraph"/>
              <w:spacing w:line="240" w:lineRule="auto" w:before="123"/>
              <w:ind w:right="19"/>
              <w:jc w:val="center"/>
              <w:rPr>
                <w:rFonts w:ascii="Times New Roman" w:hAnsi="Times New Roman" w:cs="Times New Roman" w:eastAsia="Times New Roman" w:hint="default"/>
                <w:sz w:val="18"/>
                <w:szCs w:val="18"/>
              </w:rPr>
            </w:pPr>
            <w:r>
              <w:rPr>
                <w:rFonts w:ascii="Times New Roman"/>
                <w:sz w:val="18"/>
              </w:rPr>
              <w:t>25.89</w:t>
            </w:r>
          </w:p>
        </w:tc>
        <w:tc>
          <w:tcPr>
            <w:tcW w:w="1345" w:type="dxa"/>
            <w:tcBorders>
              <w:top w:val="single" w:sz="2" w:space="0" w:color="000000"/>
              <w:left w:val="nil" w:sz="6" w:space="0" w:color="auto"/>
              <w:bottom w:val="nil" w:sz="6" w:space="0" w:color="auto"/>
              <w:right w:val="nil" w:sz="6" w:space="0" w:color="auto"/>
            </w:tcBorders>
          </w:tcPr>
          <w:p>
            <w:pPr>
              <w:pStyle w:val="TableParagraph"/>
              <w:spacing w:line="240" w:lineRule="auto" w:before="123"/>
              <w:ind w:right="23"/>
              <w:jc w:val="center"/>
              <w:rPr>
                <w:rFonts w:ascii="Times New Roman" w:hAnsi="Times New Roman" w:cs="Times New Roman" w:eastAsia="Times New Roman" w:hint="default"/>
                <w:sz w:val="18"/>
                <w:szCs w:val="18"/>
              </w:rPr>
            </w:pPr>
            <w:r>
              <w:rPr>
                <w:rFonts w:ascii="Times New Roman"/>
                <w:sz w:val="18"/>
              </w:rPr>
              <w:t>83,207,698.00</w:t>
            </w:r>
          </w:p>
        </w:tc>
        <w:tc>
          <w:tcPr>
            <w:tcW w:w="1342" w:type="dxa"/>
            <w:tcBorders>
              <w:top w:val="single" w:sz="2" w:space="0" w:color="000000"/>
              <w:left w:val="nil" w:sz="6" w:space="0" w:color="auto"/>
              <w:bottom w:val="nil" w:sz="6" w:space="0" w:color="auto"/>
              <w:right w:val="nil" w:sz="6" w:space="0" w:color="auto"/>
            </w:tcBorders>
          </w:tcPr>
          <w:p>
            <w:pPr>
              <w:pStyle w:val="TableParagraph"/>
              <w:spacing w:line="240" w:lineRule="auto" w:before="123"/>
              <w:ind w:left="52" w:right="0"/>
              <w:jc w:val="center"/>
              <w:rPr>
                <w:rFonts w:ascii="Times New Roman" w:hAnsi="Times New Roman" w:cs="Times New Roman" w:eastAsia="Times New Roman" w:hint="default"/>
                <w:sz w:val="18"/>
                <w:szCs w:val="18"/>
              </w:rPr>
            </w:pPr>
            <w:r>
              <w:rPr>
                <w:rFonts w:ascii="Times New Roman"/>
                <w:sz w:val="18"/>
              </w:rPr>
              <w:t>25.89</w:t>
            </w:r>
          </w:p>
        </w:tc>
        <w:tc>
          <w:tcPr>
            <w:tcW w:w="1463" w:type="dxa"/>
            <w:tcBorders>
              <w:top w:val="single" w:sz="2" w:space="0" w:color="000000"/>
              <w:left w:val="nil" w:sz="6" w:space="0" w:color="auto"/>
              <w:bottom w:val="nil" w:sz="6" w:space="0" w:color="auto"/>
              <w:right w:val="nil" w:sz="6" w:space="0" w:color="auto"/>
            </w:tcBorders>
          </w:tcPr>
          <w:p>
            <w:pPr>
              <w:pStyle w:val="TableParagraph"/>
              <w:spacing w:line="240" w:lineRule="auto" w:before="123"/>
              <w:ind w:left="79" w:right="0"/>
              <w:jc w:val="center"/>
              <w:rPr>
                <w:rFonts w:ascii="Times New Roman" w:hAnsi="Times New Roman" w:cs="Times New Roman" w:eastAsia="Times New Roman" w:hint="default"/>
                <w:sz w:val="18"/>
                <w:szCs w:val="18"/>
              </w:rPr>
            </w:pPr>
            <w:r>
              <w:rPr>
                <w:rFonts w:ascii="Times New Roman"/>
                <w:sz w:val="18"/>
              </w:rPr>
              <w:t>25.89</w:t>
            </w:r>
          </w:p>
        </w:tc>
      </w:tr>
      <w:tr>
        <w:trPr>
          <w:trHeight w:val="417"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6"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9"/>
              <w:jc w:val="right"/>
              <w:rPr>
                <w:rFonts w:ascii="Times New Roman" w:hAnsi="Times New Roman" w:cs="Times New Roman" w:eastAsia="Times New Roman" w:hint="default"/>
                <w:sz w:val="18"/>
                <w:szCs w:val="18"/>
              </w:rPr>
            </w:pPr>
            <w:r>
              <w:rPr>
                <w:rFonts w:ascii="Times New Roman"/>
                <w:spacing w:val="-1"/>
                <w:sz w:val="18"/>
              </w:rPr>
              <w:t>83,207,698.00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71"/>
              <w:jc w:val="right"/>
              <w:rPr>
                <w:rFonts w:ascii="Times New Roman" w:hAnsi="Times New Roman" w:cs="Times New Roman" w:eastAsia="Times New Roman" w:hint="default"/>
                <w:sz w:val="18"/>
                <w:szCs w:val="18"/>
              </w:rPr>
            </w:pPr>
            <w:r>
              <w:rPr>
                <w:rFonts w:ascii="Times New Roman"/>
                <w:spacing w:val="-1"/>
                <w:sz w:val="18"/>
              </w:rPr>
              <w:t>25.89</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9"/>
              <w:jc w:val="center"/>
              <w:rPr>
                <w:rFonts w:ascii="Times New Roman" w:hAnsi="Times New Roman" w:cs="Times New Roman" w:eastAsia="Times New Roman" w:hint="default"/>
                <w:sz w:val="18"/>
                <w:szCs w:val="18"/>
              </w:rPr>
            </w:pPr>
            <w:r>
              <w:rPr>
                <w:rFonts w:ascii="Times New Roman"/>
                <w:sz w:val="18"/>
              </w:rPr>
              <w:t>25.89</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3"/>
              <w:jc w:val="center"/>
              <w:rPr>
                <w:rFonts w:ascii="Times New Roman" w:hAnsi="Times New Roman" w:cs="Times New Roman" w:eastAsia="Times New Roman" w:hint="default"/>
                <w:sz w:val="18"/>
                <w:szCs w:val="18"/>
              </w:rPr>
            </w:pPr>
            <w:r>
              <w:rPr>
                <w:rFonts w:ascii="Times New Roman"/>
                <w:sz w:val="18"/>
              </w:rPr>
              <w:t>83,207,698.00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52" w:right="0"/>
              <w:jc w:val="center"/>
              <w:rPr>
                <w:rFonts w:ascii="Times New Roman" w:hAnsi="Times New Roman" w:cs="Times New Roman" w:eastAsia="Times New Roman" w:hint="default"/>
                <w:sz w:val="18"/>
                <w:szCs w:val="18"/>
              </w:rPr>
            </w:pPr>
            <w:r>
              <w:rPr>
                <w:rFonts w:ascii="Times New Roman"/>
                <w:sz w:val="18"/>
              </w:rPr>
              <w:t>25.89</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79" w:right="0"/>
              <w:jc w:val="center"/>
              <w:rPr>
                <w:rFonts w:ascii="Times New Roman" w:hAnsi="Times New Roman" w:cs="Times New Roman" w:eastAsia="Times New Roman" w:hint="default"/>
                <w:sz w:val="18"/>
                <w:szCs w:val="18"/>
              </w:rPr>
            </w:pPr>
            <w:r>
              <w:rPr>
                <w:rFonts w:ascii="Times New Roman"/>
                <w:sz w:val="18"/>
              </w:rPr>
              <w:t>25.89</w:t>
            </w:r>
          </w:p>
        </w:tc>
      </w:tr>
    </w:tbl>
    <w:p>
      <w:pPr>
        <w:spacing w:line="240" w:lineRule="auto" w:before="2"/>
        <w:rPr>
          <w:rFonts w:ascii="宋体" w:hAnsi="宋体" w:cs="宋体" w:eastAsia="宋体" w:hint="default"/>
          <w:sz w:val="2"/>
          <w:szCs w:val="2"/>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75.15pt;height:.25pt;mso-position-horizontal-relative:char;mso-position-vertical-relative:line" coordorigin="0,0" coordsize="9503,5">
            <v:group style="position:absolute;left:2;top:2;width:9498;height:2" coordorigin="2,2" coordsize="9498,2">
              <v:shape style="position:absolute;left:2;top:2;width:9498;height:2" coordorigin="2,2" coordsize="9498,0" path="m2,2l9500,2e" filled="false" stroked="true" strokeweight=".2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52"/>
          <w:pgSz w:w="11910" w:h="16840"/>
          <w:pgMar w:header="566" w:footer="978" w:top="1360" w:bottom="1160" w:left="1020" w:right="1020"/>
        </w:sectPr>
      </w:pPr>
    </w:p>
    <w:p>
      <w:pPr>
        <w:spacing w:line="547" w:lineRule="auto" w:before="55"/>
        <w:ind w:left="112" w:right="58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本企业子公司的情况详见报告第十一节、九、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6"/>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李秀峰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本公司股东付艳杰家庭成员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张桂娟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本公司股东崔万涛家庭成员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辽宁华康医疗科技有限公司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本公司法定代表人付永全之关联公司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朝阳银行股份有限公司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本公司董事林木西之关联公司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铁岭新星村镇银行股份有限公司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本公司董事崔万田之关联公司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北京华创方舟科技股份有限公司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本公司董事吴凤君之关联公司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上海泛微网络科技股份有限公司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本公司董事杨根兴之关联公司</w:t>
            </w:r>
          </w:p>
        </w:tc>
      </w:tr>
    </w:tbl>
    <w:p>
      <w:pPr>
        <w:spacing w:line="240" w:lineRule="auto" w:before="4"/>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94"/>
        <w:gridCol w:w="1275"/>
        <w:gridCol w:w="1287"/>
        <w:gridCol w:w="1524"/>
        <w:gridCol w:w="1620"/>
        <w:gridCol w:w="1169"/>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6"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辽宁华康医疗科技有限公司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145,631.06</w:t>
            </w:r>
          </w:p>
        </w:tc>
        <w:tc>
          <w:tcPr>
            <w:tcW w:w="15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北京华创方舟科技股份有限公司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209,401.71</w:t>
            </w:r>
          </w:p>
        </w:tc>
        <w:tc>
          <w:tcPr>
            <w:tcW w:w="15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上海泛微网络科技股份有限公司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64,957.26</w:t>
            </w:r>
          </w:p>
        </w:tc>
        <w:tc>
          <w:tcPr>
            <w:tcW w:w="15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419,990.03</w:t>
            </w:r>
          </w:p>
        </w:tc>
        <w:tc>
          <w:tcPr>
            <w:tcW w:w="15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56"/>
        <w:gridCol w:w="2280"/>
        <w:gridCol w:w="1740"/>
        <w:gridCol w:w="1792"/>
      </w:tblGrid>
      <w:tr>
        <w:trPr>
          <w:trHeight w:val="402" w:hRule="exact"/>
        </w:trPr>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朝阳银行股份有限公司</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4,653,106.14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898,712.19</w:t>
            </w:r>
          </w:p>
        </w:tc>
      </w:tr>
      <w:tr>
        <w:trPr>
          <w:trHeight w:val="402"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铁岭新星村镇银行股份有限公司</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1,880.34</w:t>
            </w: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4,654,986.48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898,712.19</w:t>
            </w:r>
          </w:p>
        </w:tc>
      </w:tr>
    </w:tbl>
    <w:p>
      <w:pPr>
        <w:pStyle w:val="BodyText"/>
        <w:spacing w:line="360" w:lineRule="auto" w:before="49"/>
        <w:ind w:right="6314"/>
        <w:jc w:val="left"/>
      </w:pPr>
      <w:r>
        <w:rPr/>
        <w:t>购销商品、提供和接受劳务的关联交易说明 无</w:t>
      </w:r>
    </w:p>
    <w:p>
      <w:pPr>
        <w:spacing w:after="0" w:line="360" w:lineRule="auto"/>
        <w:jc w:val="left"/>
        <w:sectPr>
          <w:pgSz w:w="11910" w:h="16840"/>
          <w:pgMar w:header="566" w:footer="978" w:top="1360" w:bottom="1160" w:left="1020" w:right="1020"/>
        </w:sectPr>
      </w:pPr>
    </w:p>
    <w:p>
      <w:pPr>
        <w:pStyle w:val="Heading3"/>
        <w:spacing w:line="240" w:lineRule="auto" w:before="55"/>
        <w:ind w:left="632"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632"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3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632"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66" w:footer="978" w:top="1360" w:bottom="1160" w:left="500" w:right="1020"/>
        </w:sectPr>
      </w:pPr>
    </w:p>
    <w:p>
      <w:pPr>
        <w:pStyle w:val="BodyText"/>
        <w:spacing w:line="360" w:lineRule="auto" w:before="44"/>
        <w:ind w:left="632" w:right="160"/>
        <w:jc w:val="left"/>
      </w:pPr>
      <w:r>
        <w:rPr/>
        <w:t>本公司作为担保方 无</w:t>
      </w:r>
    </w:p>
    <w:p>
      <w:pPr>
        <w:pStyle w:val="BodyText"/>
        <w:spacing w:line="240" w:lineRule="auto" w:before="25"/>
        <w:ind w:left="632" w:right="-20"/>
        <w:jc w:val="left"/>
      </w:pPr>
      <w:r>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632" w:right="0"/>
        <w:jc w:val="left"/>
      </w:pPr>
      <w:r>
        <w:rPr/>
        <w:t>单位：</w:t>
      </w:r>
      <w:r>
        <w:rPr>
          <w:spacing w:val="-2"/>
        </w:rPr>
        <w:t> </w:t>
      </w:r>
      <w:r>
        <w:rPr/>
        <w:t>元</w:t>
      </w:r>
    </w:p>
    <w:p>
      <w:pPr>
        <w:spacing w:after="0" w:line="240" w:lineRule="auto"/>
        <w:jc w:val="left"/>
        <w:sectPr>
          <w:type w:val="continuous"/>
          <w:pgSz w:w="11910" w:h="16840"/>
          <w:pgMar w:top="1440" w:bottom="1160" w:left="500" w:right="1020"/>
          <w:cols w:num="2" w:equalWidth="0">
            <w:col w:w="2253" w:space="6576"/>
            <w:col w:w="1561"/>
          </w:cols>
        </w:sectPr>
      </w:pP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832"/>
        <w:gridCol w:w="1512"/>
        <w:gridCol w:w="1914"/>
        <w:gridCol w:w="1914"/>
        <w:gridCol w:w="1914"/>
      </w:tblGrid>
      <w:tr>
        <w:trPr>
          <w:trHeight w:val="402" w:hRule="exact"/>
        </w:trPr>
        <w:tc>
          <w:tcPr>
            <w:tcW w:w="2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付艳杰、李秀峰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3" w:right="0"/>
              <w:jc w:val="left"/>
              <w:rPr>
                <w:rFonts w:ascii="Times New Roman" w:hAnsi="Times New Roman" w:cs="Times New Roman" w:eastAsia="Times New Roman" w:hint="default"/>
                <w:sz w:val="18"/>
                <w:szCs w:val="18"/>
              </w:rPr>
            </w:pPr>
            <w:r>
              <w:rPr>
                <w:rFonts w:ascii="Times New Roman"/>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张桂娟</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3" w:right="0"/>
              <w:jc w:val="left"/>
              <w:rPr>
                <w:rFonts w:ascii="Times New Roman" w:hAnsi="Times New Roman" w:cs="Times New Roman" w:eastAsia="Times New Roman" w:hint="default"/>
                <w:sz w:val="18"/>
                <w:szCs w:val="18"/>
              </w:rPr>
            </w:pPr>
            <w:r>
              <w:rPr>
                <w:rFonts w:ascii="Times New Roman"/>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付艳杰、李秀峰、崔万涛、张桂娟</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1" w:right="0"/>
              <w:jc w:val="left"/>
              <w:rPr>
                <w:rFonts w:ascii="Times New Roman" w:hAnsi="Times New Roman" w:cs="Times New Roman" w:eastAsia="Times New Roman" w:hint="default"/>
                <w:sz w:val="18"/>
                <w:szCs w:val="18"/>
              </w:rPr>
            </w:pPr>
            <w:r>
              <w:rPr>
                <w:rFonts w:ascii="Times New Roman"/>
                <w:sz w:val="18"/>
              </w:rPr>
              <w:t>211,000,000.00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60" w:lineRule="auto" w:before="50"/>
        <w:ind w:left="632" w:right="0"/>
        <w:jc w:val="left"/>
      </w:pPr>
      <w:r>
        <w:rPr/>
        <w:t>关联担保情况说明 </w:t>
      </w:r>
      <w:r>
        <w:rPr>
          <w:spacing w:val="-2"/>
        </w:rPr>
        <w:t>付艳杰及其配偶李秀峰与崔万涛及其配偶张桂娟分别与上海浦东发展银行股份有限公司沈阳分行（以下简称浦发银行）签订</w:t>
      </w:r>
    </w:p>
    <w:p>
      <w:pPr>
        <w:pStyle w:val="BodyText"/>
        <w:spacing w:line="236" w:lineRule="exact"/>
        <w:ind w:left="632" w:right="0"/>
        <w:jc w:val="left"/>
      </w:pPr>
      <w:r>
        <w:rPr/>
        <w:t>《最高额保证合</w:t>
      </w:r>
      <w:r>
        <w:rPr>
          <w:spacing w:val="2"/>
        </w:rPr>
        <w:t>同</w:t>
      </w:r>
      <w:r>
        <w:rPr>
          <w:spacing w:val="-92"/>
        </w:rPr>
        <w:t>》</w:t>
      </w:r>
      <w:r>
        <w:rPr/>
        <w:t>，为公司与浦发</w:t>
      </w:r>
      <w:r>
        <w:rPr>
          <w:spacing w:val="2"/>
        </w:rPr>
        <w:t>银</w:t>
      </w:r>
      <w:r>
        <w:rPr/>
        <w:t>行在自</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t>年</w:t>
      </w:r>
      <w:r>
        <w:rPr>
          <w:rFonts w:ascii="Times New Roman" w:hAnsi="Times New Roman" w:cs="Times New Roman" w:eastAsia="Times New Roman" w:hint="default"/>
          <w:spacing w:val="1"/>
        </w:rPr>
        <w:t>5</w:t>
      </w:r>
      <w:r>
        <w:rPr/>
        <w:t>月</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1</w:t>
      </w:r>
      <w:r>
        <w:rPr/>
        <w:t>日、</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t>年</w:t>
      </w:r>
      <w:r>
        <w:rPr>
          <w:rFonts w:ascii="Times New Roman" w:hAnsi="Times New Roman" w:cs="Times New Roman" w:eastAsia="Times New Roman" w:hint="default"/>
          <w:spacing w:val="1"/>
        </w:rPr>
        <w:t>6</w:t>
      </w:r>
      <w:r>
        <w:rPr/>
        <w:t>月</w:t>
      </w:r>
      <w:r>
        <w:rPr>
          <w:rFonts w:ascii="Times New Roman" w:hAnsi="Times New Roman" w:cs="Times New Roman" w:eastAsia="Times New Roman" w:hint="default"/>
          <w:spacing w:val="-2"/>
        </w:rPr>
        <w:t>5</w:t>
      </w:r>
      <w:r>
        <w:rPr/>
        <w:t>日</w:t>
      </w:r>
      <w:r>
        <w:rPr>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t>年</w:t>
      </w:r>
      <w:r>
        <w:rPr>
          <w:rFonts w:ascii="Times New Roman" w:hAnsi="Times New Roman" w:cs="Times New Roman" w:eastAsia="Times New Roman" w:hint="default"/>
          <w:spacing w:val="-2"/>
        </w:rPr>
        <w:t>6</w:t>
      </w:r>
      <w:r>
        <w:rPr/>
        <w:t>月</w:t>
      </w:r>
      <w:r>
        <w:rPr>
          <w:rFonts w:ascii="Times New Roman" w:hAnsi="Times New Roman" w:cs="Times New Roman" w:eastAsia="Times New Roman" w:hint="default"/>
          <w:spacing w:val="1"/>
        </w:rPr>
        <w:t>6</w:t>
      </w:r>
      <w:r>
        <w:rPr/>
        <w:t>日至</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8</w:t>
      </w:r>
      <w:r>
        <w:rPr/>
        <w:t>年</w:t>
      </w:r>
      <w:r>
        <w:rPr>
          <w:rFonts w:ascii="Times New Roman" w:hAnsi="Times New Roman" w:cs="Times New Roman" w:eastAsia="Times New Roman" w:hint="default"/>
          <w:spacing w:val="-2"/>
        </w:rPr>
        <w:t>5</w:t>
      </w:r>
      <w:r>
        <w:rPr/>
        <w:t>月</w:t>
      </w:r>
      <w:r>
        <w:rPr>
          <w:rFonts w:ascii="Times New Roman" w:hAnsi="Times New Roman" w:cs="Times New Roman" w:eastAsia="Times New Roman" w:hint="default"/>
          <w:spacing w:val="1"/>
        </w:rPr>
        <w:t>15</w:t>
      </w:r>
      <w:r>
        <w:rPr/>
        <w:t>日止的期间发生</w:t>
      </w:r>
    </w:p>
    <w:p>
      <w:pPr>
        <w:pStyle w:val="BodyText"/>
        <w:spacing w:line="307" w:lineRule="auto" w:before="63"/>
        <w:ind w:left="632" w:right="0"/>
        <w:jc w:val="left"/>
      </w:pPr>
      <w:r>
        <w:rPr/>
        <w:t>的各类融资业务提供最高额不超过人民币</w:t>
      </w:r>
      <w:r>
        <w:rPr>
          <w:rFonts w:ascii="Times New Roman" w:hAnsi="Times New Roman" w:cs="Times New Roman" w:eastAsia="Times New Roman" w:hint="default"/>
        </w:rPr>
        <w:t>10,000.00</w:t>
      </w:r>
      <w:r>
        <w:rPr/>
        <w:t>万元连带责任保证。 </w:t>
      </w:r>
      <w:r>
        <w:rPr>
          <w:spacing w:val="-2"/>
        </w:rPr>
        <w:t>付艳杰及其配偶李秀峰与崔万涛及其配偶张桂娟分别与兴业银行股份有限公司沈阳分行（以下简称兴业银行）签订《最高额</w:t>
      </w:r>
      <w:r>
        <w:rPr>
          <w:spacing w:val="-63"/>
        </w:rPr>
        <w:t> </w:t>
      </w:r>
      <w:r>
        <w:rPr>
          <w:spacing w:val="-63"/>
        </w:rPr>
      </w:r>
      <w:r>
        <w:rPr>
          <w:spacing w:val="-2"/>
        </w:rPr>
        <w:t>保证合同》，为公司与兴业银行在自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日至</w:t>
      </w:r>
      <w:r>
        <w:rPr>
          <w:rFonts w:ascii="Times New Roman" w:hAnsi="Times New Roman" w:cs="Times New Roman" w:eastAsia="Times New Roman" w:hint="default"/>
          <w:spacing w:val="-2"/>
        </w:rPr>
        <w:t>2022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日止的期间提供最高本金限额为人民币</w:t>
      </w:r>
      <w:r>
        <w:rPr>
          <w:rFonts w:ascii="Times New Roman" w:hAnsi="Times New Roman" w:cs="Times New Roman" w:eastAsia="Times New Roman" w:hint="default"/>
          <w:spacing w:val="-2"/>
        </w:rPr>
        <w:t>21,100.00</w:t>
      </w:r>
      <w:r>
        <w:rPr>
          <w:spacing w:val="-2"/>
        </w:rPr>
        <w:t>万元连</w:t>
      </w:r>
      <w:r>
        <w:rPr>
          <w:spacing w:val="-52"/>
        </w:rPr>
        <w:t> </w:t>
      </w:r>
      <w:r>
        <w:rPr/>
        <w:t>带责任保证。</w:t>
      </w:r>
    </w:p>
    <w:p>
      <w:pPr>
        <w:spacing w:line="240" w:lineRule="auto" w:before="13"/>
        <w:rPr>
          <w:rFonts w:ascii="宋体" w:hAnsi="宋体" w:cs="宋体" w:eastAsia="宋体" w:hint="default"/>
          <w:sz w:val="22"/>
          <w:szCs w:val="22"/>
        </w:rPr>
      </w:pPr>
    </w:p>
    <w:p>
      <w:pPr>
        <w:pStyle w:val="Heading3"/>
        <w:spacing w:line="240" w:lineRule="auto"/>
        <w:ind w:left="632"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632"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3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632"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62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6,028,229.98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4,074,554.80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440" w:bottom="1160" w:left="500" w:right="1020"/>
        </w:sectPr>
      </w:pPr>
    </w:p>
    <w:p>
      <w:pPr>
        <w:pStyle w:val="Heading3"/>
        <w:spacing w:line="240" w:lineRule="auto" w:before="55"/>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3013"/>
        <w:gridCol w:w="1440"/>
        <w:gridCol w:w="1260"/>
        <w:gridCol w:w="1236"/>
        <w:gridCol w:w="1022"/>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3013" w:type="dxa"/>
            <w:vMerge/>
            <w:tcBorders>
              <w:left w:val="single" w:sz="4" w:space="0" w:color="000000"/>
              <w:bottom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朝阳银行股份有限公司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183,962.28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3,679.25</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铁岭新星村镇银行股份有限公司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261,950.00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130,975.00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261,950.00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78,585.00</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1"/>
        <w:gridCol w:w="2996"/>
        <w:gridCol w:w="1789"/>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朝阳银行股份有限公司</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64,639.14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64,639.14</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北京华创方舟科技股份有限公司</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209,401.71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上海泛微网络科技股份有限公司</w:t>
            </w:r>
          </w:p>
        </w:tc>
        <w:tc>
          <w:tcPr>
            <w:tcW w:w="1789"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36,000.00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日止，本公司于铁岭新星村镇银行股份有限公司存款余额</w:t>
      </w:r>
      <w:r>
        <w:rPr>
          <w:spacing w:val="-46"/>
        </w:rPr>
        <w:t> </w:t>
      </w:r>
      <w:r>
        <w:rPr>
          <w:rFonts w:ascii="Times New Roman" w:hAnsi="Times New Roman" w:cs="Times New Roman" w:eastAsia="Times New Roman" w:hint="default"/>
        </w:rPr>
        <w:t>307,809.34</w:t>
      </w:r>
      <w:r>
        <w:rPr>
          <w:rFonts w:ascii="Times New Roman" w:hAnsi="Times New Roman" w:cs="Times New Roman" w:eastAsia="Times New Roman" w:hint="default"/>
          <w:spacing w:val="27"/>
        </w:rPr>
        <w:t> </w:t>
      </w:r>
      <w:r>
        <w:rPr>
          <w:spacing w:val="12"/>
        </w:rPr>
        <w:t>元，本报告期取得的利息收入</w:t>
      </w:r>
    </w:p>
    <w:p>
      <w:pPr>
        <w:pStyle w:val="BodyText"/>
        <w:spacing w:line="240" w:lineRule="auto" w:before="63"/>
        <w:ind w:right="0"/>
        <w:jc w:val="left"/>
      </w:pPr>
      <w:r>
        <w:rPr>
          <w:rFonts w:ascii="Times New Roman" w:hAnsi="Times New Roman" w:cs="Times New Roman" w:eastAsia="Times New Roman" w:hint="default"/>
        </w:rPr>
        <w:t>729.46</w:t>
      </w:r>
      <w:r>
        <w:rPr>
          <w:rFonts w:ascii="Times New Roman" w:hAnsi="Times New Roman" w:cs="Times New Roman" w:eastAsia="Times New Roman" w:hint="default"/>
          <w:spacing w:val="-5"/>
        </w:rPr>
        <w:t> </w:t>
      </w:r>
      <w:r>
        <w:rPr/>
        <w:t>元及支付手续费</w:t>
      </w:r>
      <w:r>
        <w:rPr>
          <w:spacing w:val="-50"/>
        </w:rPr>
        <w:t> </w:t>
      </w:r>
      <w:r>
        <w:rPr>
          <w:rFonts w:ascii="Times New Roman" w:hAnsi="Times New Roman" w:cs="Times New Roman" w:eastAsia="Times New Roman" w:hint="default"/>
        </w:rPr>
        <w:t>110.00</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十三、股份支付</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602" w:lineRule="exact" w:before="126"/>
        <w:ind w:left="112" w:right="7324" w:firstLine="0"/>
        <w:jc w:val="left"/>
        <w:rPr>
          <w:rFonts w:ascii="宋体" w:hAnsi="宋体" w:cs="宋体" w:eastAsia="宋体" w:hint="default"/>
          <w:sz w:val="18"/>
          <w:szCs w:val="18"/>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300" w:lineRule="auto" w:before="22"/>
        <w:ind w:right="0" w:firstLine="360"/>
        <w:jc w:val="left"/>
      </w:pPr>
      <w:r>
        <w:rPr>
          <w:spacing w:val="-4"/>
        </w:rPr>
        <w:t>（</w:t>
      </w:r>
      <w:r>
        <w:rPr>
          <w:rFonts w:ascii="Times New Roman" w:hAnsi="Times New Roman" w:cs="Times New Roman" w:eastAsia="Times New Roman" w:hint="default"/>
          <w:spacing w:val="-4"/>
        </w:rPr>
        <w:t>1</w:t>
      </w:r>
      <w:r>
        <w:rPr>
          <w:spacing w:val="-4"/>
        </w:rPr>
        <w:t>）公司与上海浦东发展银行股份有限公司沈阳分行（以下简称浦发银行）签订应收账款最高额质押合同，以其在</w:t>
      </w:r>
      <w:r>
        <w:rPr>
          <w:rFonts w:ascii="Times New Roman" w:hAnsi="Times New Roman" w:cs="Times New Roman" w:eastAsia="Times New Roman" w:hint="default"/>
          <w:spacing w:val="-4"/>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日的期间内发生的（包括已发生和将发生的）所有应收账款为公司与浦发银行在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日至</w:t>
      </w:r>
    </w:p>
    <w:p>
      <w:pPr>
        <w:spacing w:after="0" w:line="300" w:lineRule="auto"/>
        <w:jc w:val="left"/>
        <w:sectPr>
          <w:footerReference w:type="default" r:id="rId53"/>
          <w:pgSz w:w="11910" w:h="16840"/>
          <w:pgMar w:footer="978" w:header="566" w:top="1360" w:bottom="1160" w:left="1020" w:right="1020"/>
          <w:pgNumType w:start="150"/>
        </w:sectPr>
      </w:pPr>
    </w:p>
    <w:p>
      <w:pPr>
        <w:pStyle w:val="BodyText"/>
        <w:spacing w:line="300" w:lineRule="auto" w:before="81"/>
        <w:ind w:right="94"/>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日期间内办理的各类融资业务提供最高额不超过人民币</w:t>
      </w:r>
      <w:r>
        <w:rPr>
          <w:rFonts w:ascii="Times New Roman" w:hAnsi="Times New Roman" w:cs="Times New Roman" w:eastAsia="Times New Roman" w:hint="default"/>
          <w:spacing w:val="-2"/>
        </w:rPr>
        <w:t>10,000.00</w:t>
      </w:r>
      <w:r>
        <w:rPr>
          <w:spacing w:val="-2"/>
        </w:rPr>
        <w:t>万元的质押担保，截至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日止，前</w:t>
      </w:r>
      <w:r>
        <w:rPr>
          <w:spacing w:val="-52"/>
        </w:rPr>
        <w:t> </w:t>
      </w:r>
      <w:r>
        <w:rPr>
          <w:spacing w:val="-52"/>
        </w:rPr>
      </w:r>
      <w:r>
        <w:rPr/>
        <w:t>述质押依然存在。</w:t>
      </w:r>
    </w:p>
    <w:p>
      <w:pPr>
        <w:pStyle w:val="BodyText"/>
        <w:spacing w:line="300" w:lineRule="auto" w:before="31"/>
        <w:ind w:right="190" w:firstLine="360"/>
        <w:jc w:val="both"/>
      </w:pPr>
      <w:r>
        <w:rPr/>
        <w:t>（</w:t>
      </w:r>
      <w:r>
        <w:rPr>
          <w:rFonts w:ascii="Times New Roman" w:hAnsi="Times New Roman" w:cs="Times New Roman" w:eastAsia="Times New Roman" w:hint="default"/>
        </w:rPr>
        <w:t>2</w:t>
      </w:r>
      <w:r>
        <w:rPr/>
        <w:t>）公司与兴业银行股份有限公司沈阳分行（以下简称兴业银行）签订非上市公司股权最高额质押合同，以其持有的 上海米健信息技术有限公司</w:t>
      </w:r>
      <w:r>
        <w:rPr>
          <w:rFonts w:ascii="Times New Roman" w:hAnsi="Times New Roman" w:cs="Times New Roman" w:eastAsia="Times New Roman" w:hint="default"/>
        </w:rPr>
        <w:t>100%</w:t>
      </w:r>
      <w:r>
        <w:rPr/>
        <w:t>股权作为质押取得兴业银行在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日期间内最高本金限额为人民</w:t>
      </w:r>
      <w:r>
        <w:rPr>
          <w:spacing w:val="-62"/>
        </w:rPr>
        <w:t> </w:t>
      </w:r>
      <w:r>
        <w:rPr>
          <w:spacing w:val="-62"/>
        </w:rPr>
      </w:r>
      <w:r>
        <w:rPr/>
        <w:t>币</w:t>
      </w:r>
      <w:r>
        <w:rPr>
          <w:rFonts w:ascii="Times New Roman" w:hAnsi="Times New Roman" w:cs="Times New Roman" w:eastAsia="Times New Roman" w:hint="default"/>
        </w:rPr>
        <w:t>12,100.00</w:t>
      </w:r>
      <w:r>
        <w:rPr/>
        <w:t>万元的贷款，质押期限为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日止，前述质押依然存在。</w:t>
      </w:r>
    </w:p>
    <w:p>
      <w:pPr>
        <w:pStyle w:val="BodyText"/>
        <w:spacing w:line="300" w:lineRule="auto" w:before="13"/>
        <w:ind w:right="192" w:firstLine="360"/>
        <w:jc w:val="both"/>
      </w:pPr>
      <w:r>
        <w:rPr/>
        <w:t>（</w:t>
      </w:r>
      <w:r>
        <w:rPr>
          <w:rFonts w:ascii="Times New Roman" w:hAnsi="Times New Roman" w:cs="Times New Roman" w:eastAsia="Times New Roman" w:hint="default"/>
        </w:rPr>
        <w:t>3</w:t>
      </w:r>
      <w:r>
        <w:rPr/>
        <w:t>）公司与中国工商银行股份有限公司上海市杨浦支行（以下简称工商银行）签订最高额保证合同，为公司之子公司 </w:t>
      </w:r>
      <w:r>
        <w:rPr>
          <w:spacing w:val="4"/>
        </w:rPr>
        <w:t>上海米健信息技术有限公司在自</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29</w:t>
      </w:r>
      <w:r>
        <w:rPr>
          <w:spacing w:val="4"/>
        </w:rPr>
        <w:t>日至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28</w:t>
      </w:r>
      <w:r>
        <w:rPr>
          <w:spacing w:val="4"/>
        </w:rPr>
        <w:t>日止的期间发生的各类融资业务提供最高额不超过人民币</w:t>
      </w:r>
      <w:r>
        <w:rPr>
          <w:spacing w:val="-80"/>
        </w:rPr>
        <w:t> </w:t>
      </w:r>
      <w:r>
        <w:rPr>
          <w:spacing w:val="-80"/>
        </w:rPr>
      </w:r>
      <w:r>
        <w:rPr>
          <w:rFonts w:ascii="Times New Roman" w:hAnsi="Times New Roman" w:cs="Times New Roman" w:eastAsia="Times New Roman" w:hint="default"/>
        </w:rPr>
        <w:t>720.00</w:t>
      </w:r>
      <w:r>
        <w:rPr/>
        <w:t>万元连带责任保证。截至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日止，前述保证担保依然存在。</w:t>
      </w:r>
    </w:p>
    <w:p>
      <w:pPr>
        <w:pStyle w:val="BodyText"/>
        <w:spacing w:line="300" w:lineRule="auto" w:before="13"/>
        <w:ind w:right="192" w:firstLine="360"/>
        <w:jc w:val="both"/>
      </w:pPr>
      <w:r>
        <w:rPr/>
        <w:t>（</w:t>
      </w:r>
      <w:r>
        <w:rPr>
          <w:rFonts w:ascii="Times New Roman" w:hAnsi="Times New Roman" w:cs="Times New Roman" w:eastAsia="Times New Roman" w:hint="default"/>
        </w:rPr>
        <w:t>4</w:t>
      </w:r>
      <w:r>
        <w:rPr/>
        <w:t>）公司之子公司上海米健信息技术有限公司与上海创业融资接力担保有限公司签订担保合同，由上海创业融资接力 </w:t>
      </w:r>
      <w:r>
        <w:rPr>
          <w:spacing w:val="-1"/>
        </w:rPr>
        <w:t>担保有限公司为其向工商银行的</w:t>
      </w:r>
      <w:r>
        <w:rPr>
          <w:rFonts w:ascii="Times New Roman" w:hAnsi="Times New Roman" w:cs="Times New Roman" w:eastAsia="Times New Roman" w:hint="default"/>
          <w:spacing w:val="-1"/>
        </w:rPr>
        <w:t>500.00</w:t>
      </w:r>
      <w:r>
        <w:rPr>
          <w:spacing w:val="-1"/>
        </w:rPr>
        <w:t>万元借款提供连带责任保证，并由公司向上海创业融资接力担保有限公司提供连带责</w:t>
      </w:r>
      <w:r>
        <w:rPr>
          <w:spacing w:val="-73"/>
        </w:rPr>
        <w:t> </w:t>
      </w:r>
      <w:r>
        <w:rPr>
          <w:spacing w:val="-73"/>
        </w:rPr>
      </w:r>
      <w:r>
        <w:rPr/>
        <w:t>任保证的反担保。截至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日止，前述保证担保依然存在。</w:t>
      </w:r>
    </w:p>
    <w:p>
      <w:pPr>
        <w:pStyle w:val="BodyText"/>
        <w:spacing w:line="240" w:lineRule="auto" w:before="13"/>
        <w:ind w:left="472" w:right="94"/>
        <w:jc w:val="left"/>
      </w:pPr>
      <w:r>
        <w:rPr/>
        <w:t>（</w:t>
      </w:r>
      <w:r>
        <w:rPr>
          <w:rFonts w:ascii="Times New Roman" w:hAnsi="Times New Roman" w:cs="Times New Roman" w:eastAsia="Times New Roman" w:hint="default"/>
        </w:rPr>
        <w:t>5</w:t>
      </w:r>
      <w:r>
        <w:rPr/>
        <w:t>）除上述事项外，截至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日止，公司无应披露的其他重大承诺及或有事项。</w:t>
      </w:r>
    </w:p>
    <w:p>
      <w:pPr>
        <w:spacing w:line="240" w:lineRule="auto" w:before="10"/>
        <w:rPr>
          <w:rFonts w:ascii="宋体" w:hAnsi="宋体" w:cs="宋体" w:eastAsia="宋体" w:hint="default"/>
          <w:sz w:val="25"/>
          <w:szCs w:val="25"/>
        </w:rPr>
      </w:pPr>
    </w:p>
    <w:p>
      <w:pPr>
        <w:pStyle w:val="Heading3"/>
        <w:spacing w:line="240" w:lineRule="auto"/>
        <w:ind w:right="6754"/>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675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675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4"/>
        <w:jc w:val="left"/>
      </w:pPr>
      <w:r>
        <w:rPr/>
        <w:t>无</w:t>
      </w:r>
    </w:p>
    <w:p>
      <w:pPr>
        <w:spacing w:line="240" w:lineRule="auto" w:before="3"/>
        <w:rPr>
          <w:rFonts w:ascii="宋体" w:hAnsi="宋体" w:cs="宋体" w:eastAsia="宋体" w:hint="default"/>
          <w:sz w:val="25"/>
          <w:szCs w:val="25"/>
        </w:rPr>
      </w:pPr>
    </w:p>
    <w:p>
      <w:pPr>
        <w:pStyle w:val="Heading2"/>
        <w:spacing w:line="240" w:lineRule="auto"/>
        <w:ind w:right="6754"/>
        <w:jc w:val="left"/>
        <w:rPr>
          <w:b w:val="0"/>
          <w:bCs w:val="0"/>
        </w:rPr>
      </w:pPr>
      <w:r>
        <w:rPr/>
        <w:t>十五、资产负债表日后事项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6754"/>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6754"/>
        <w:jc w:val="left"/>
      </w:pPr>
      <w:r>
        <w:rPr/>
        <w:t>无</w:t>
      </w:r>
    </w:p>
    <w:p>
      <w:pPr>
        <w:spacing w:line="240" w:lineRule="auto" w:before="11"/>
        <w:rPr>
          <w:rFonts w:ascii="宋体" w:hAnsi="宋体" w:cs="宋体" w:eastAsia="宋体" w:hint="default"/>
          <w:sz w:val="26"/>
          <w:szCs w:val="26"/>
        </w:rPr>
      </w:pPr>
    </w:p>
    <w:p>
      <w:pPr>
        <w:pStyle w:val="Heading3"/>
        <w:spacing w:line="240" w:lineRule="auto"/>
        <w:ind w:right="6754"/>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94"/>
        <w:jc w:val="left"/>
        <w:rPr>
          <w:rFonts w:ascii="Times New Roman" w:hAnsi="Times New Roman" w:cs="Times New Roman" w:eastAsia="Times New Roman" w:hint="default"/>
        </w:rPr>
      </w:pPr>
      <w:r>
        <w:rPr/>
        <w:t>根据公司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日召开的第三届董事会第十一次会议审议通过的《</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年度利润分配预案</w:t>
      </w:r>
      <w:r>
        <w:rPr>
          <w:spacing w:val="-89"/>
        </w:rPr>
        <w:t>》</w:t>
      </w:r>
      <w:r>
        <w:rPr/>
        <w:t>，拟以截止</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p>
    <w:p>
      <w:pPr>
        <w:pStyle w:val="BodyText"/>
        <w:spacing w:line="240" w:lineRule="auto" w:before="63"/>
        <w:ind w:right="94"/>
        <w:jc w:val="left"/>
      </w:pPr>
      <w:r>
        <w:rPr/>
        <w:t>年</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日公司总股本</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5</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股为基数，向全体股东每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股派发现金红利</w:t>
      </w:r>
      <w:r>
        <w:rPr>
          <w:spacing w:val="-45"/>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元（含税</w:t>
      </w:r>
      <w:r>
        <w:rPr>
          <w:spacing w:val="-89"/>
        </w:rPr>
        <w:t>）</w:t>
      </w:r>
      <w:r>
        <w:rPr/>
        <w:t>，合计派发现金红利</w:t>
      </w:r>
    </w:p>
    <w:p>
      <w:pPr>
        <w:pStyle w:val="BodyText"/>
        <w:spacing w:line="240" w:lineRule="auto" w:before="63"/>
        <w:ind w:right="94"/>
        <w:jc w:val="left"/>
      </w:pPr>
      <w:r>
        <w:rPr>
          <w:rFonts w:ascii="Times New Roman" w:hAnsi="Times New Roman" w:cs="Times New Roman" w:eastAsia="Times New Roman" w:hint="default"/>
        </w:rPr>
        <w:t>3,857,155.82</w:t>
      </w:r>
      <w:r>
        <w:rPr>
          <w:rFonts w:ascii="Times New Roman" w:hAnsi="Times New Roman" w:cs="Times New Roman" w:eastAsia="Times New Roman" w:hint="default"/>
          <w:spacing w:val="-3"/>
        </w:rPr>
        <w:t> </w:t>
      </w:r>
      <w:r>
        <w:rPr/>
        <w:t>元。该分配预案尚需提交</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年度股东大会审议。</w:t>
      </w:r>
    </w:p>
    <w:p>
      <w:pPr>
        <w:spacing w:line="240" w:lineRule="auto" w:before="13"/>
        <w:rPr>
          <w:rFonts w:ascii="宋体" w:hAnsi="宋体" w:cs="宋体" w:eastAsia="宋体" w:hint="default"/>
          <w:sz w:val="25"/>
          <w:szCs w:val="25"/>
        </w:rPr>
      </w:pPr>
    </w:p>
    <w:p>
      <w:pPr>
        <w:pStyle w:val="Heading3"/>
        <w:spacing w:line="240" w:lineRule="auto"/>
        <w:ind w:right="6754"/>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6754"/>
        <w:jc w:val="left"/>
      </w:pPr>
      <w:r>
        <w:rPr/>
        <w:t>无</w:t>
      </w:r>
    </w:p>
    <w:p>
      <w:pPr>
        <w:spacing w:line="240" w:lineRule="auto" w:before="11"/>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94" w:firstLine="360"/>
        <w:jc w:val="left"/>
      </w:pPr>
      <w:r>
        <w:rPr/>
        <w:t>（</w:t>
      </w:r>
      <w:r>
        <w:rPr>
          <w:rFonts w:ascii="Times New Roman" w:hAnsi="Times New Roman" w:cs="Times New Roman" w:eastAsia="Times New Roman" w:hint="default"/>
        </w:rPr>
        <w:t>1</w:t>
      </w:r>
      <w:r>
        <w:rPr/>
        <w:t>）根据公司第三届董事会第八次会议决议、</w:t>
      </w:r>
      <w:r>
        <w:rPr>
          <w:rFonts w:ascii="Times New Roman" w:hAnsi="Times New Roman" w:cs="Times New Roman" w:eastAsia="Times New Roman" w:hint="default"/>
        </w:rPr>
        <w:t>2017</w:t>
      </w:r>
      <w:r>
        <w:rPr/>
        <w:t>年度第三次临时股东大会决议的规定，并经中国证券监督管理委员 </w:t>
      </w:r>
      <w:r>
        <w:rPr>
          <w:spacing w:val="-4"/>
        </w:rPr>
        <w:t>会《关于核准荣科科技股份有限公司向秦毅等发行股份购买资产并募集配套资金的批复》（证监许可</w:t>
      </w:r>
      <w:r>
        <w:rPr>
          <w:rFonts w:ascii="Times New Roman" w:hAnsi="Times New Roman" w:cs="Times New Roman" w:eastAsia="Times New Roman" w:hint="default"/>
          <w:spacing w:val="-4"/>
        </w:rPr>
        <w:t>[2018]218</w:t>
      </w:r>
      <w:r>
        <w:rPr>
          <w:spacing w:val="-4"/>
        </w:rPr>
        <w:t>号文）的核准，</w:t>
      </w:r>
      <w:r>
        <w:rPr>
          <w:spacing w:val="-53"/>
        </w:rPr>
        <w:t> </w:t>
      </w:r>
      <w:r>
        <w:rPr>
          <w:spacing w:val="-53"/>
        </w:rPr>
      </w:r>
      <w:r>
        <w:rPr>
          <w:spacing w:val="-2"/>
        </w:rPr>
        <w:t>公司以发行股份及支付现金方式分别购买秦毅、钟小春、王正和宁波梅山保税港区逐鹿投资管理合伙企业（有限合伙）合计</w:t>
      </w:r>
      <w:r>
        <w:rPr>
          <w:spacing w:val="-64"/>
        </w:rPr>
        <w:t> </w:t>
      </w:r>
      <w:r>
        <w:rPr>
          <w:spacing w:val="-64"/>
        </w:rPr>
      </w:r>
      <w:r>
        <w:rPr/>
        <w:t>持有的北京神州视翰科技有限公司</w:t>
      </w:r>
      <w:r>
        <w:rPr>
          <w:rFonts w:ascii="Times New Roman" w:hAnsi="Times New Roman" w:cs="Times New Roman" w:eastAsia="Times New Roman" w:hint="default"/>
        </w:rPr>
        <w:t>100%</w:t>
      </w:r>
      <w:r>
        <w:rPr/>
        <w:t>股权。本次交易对价为</w:t>
      </w:r>
      <w:r>
        <w:rPr>
          <w:rFonts w:ascii="Times New Roman" w:hAnsi="Times New Roman" w:cs="Times New Roman" w:eastAsia="Times New Roman" w:hint="default"/>
        </w:rPr>
        <w:t>28,000.00</w:t>
      </w:r>
      <w:r>
        <w:rPr/>
        <w:t>万元，其中发行股份支付对价</w:t>
      </w:r>
      <w:r>
        <w:rPr>
          <w:rFonts w:ascii="Times New Roman" w:hAnsi="Times New Roman" w:cs="Times New Roman" w:eastAsia="Times New Roman" w:hint="default"/>
        </w:rPr>
        <w:t>16,800.00</w:t>
      </w:r>
      <w:r>
        <w:rPr/>
        <w:t>万元，共计</w:t>
      </w:r>
      <w:r>
        <w:rPr>
          <w:spacing w:val="-71"/>
        </w:rPr>
        <w:t> </w:t>
      </w:r>
      <w:r>
        <w:rPr>
          <w:spacing w:val="-71"/>
        </w:rPr>
      </w:r>
      <w:r>
        <w:rPr/>
        <w:t>发行</w:t>
      </w:r>
      <w:r>
        <w:rPr>
          <w:rFonts w:ascii="Times New Roman" w:hAnsi="Times New Roman" w:cs="Times New Roman" w:eastAsia="Times New Roman" w:hint="default"/>
        </w:rPr>
        <w:t>17,142,855</w:t>
      </w:r>
      <w:r>
        <w:rPr/>
        <w:t>股股份，占交易金额的</w:t>
      </w:r>
      <w:r>
        <w:rPr>
          <w:rFonts w:ascii="Times New Roman" w:hAnsi="Times New Roman" w:cs="Times New Roman" w:eastAsia="Times New Roman" w:hint="default"/>
        </w:rPr>
        <w:t>60%</w:t>
      </w:r>
      <w:r>
        <w:rPr/>
        <w:t>，现金支付对价</w:t>
      </w:r>
      <w:r>
        <w:rPr>
          <w:rFonts w:ascii="Times New Roman" w:hAnsi="Times New Roman" w:cs="Times New Roman" w:eastAsia="Times New Roman" w:hint="default"/>
        </w:rPr>
        <w:t>11,200.00</w:t>
      </w:r>
      <w:r>
        <w:rPr/>
        <w:t>万元，占交易金额的</w:t>
      </w:r>
      <w:r>
        <w:rPr>
          <w:rFonts w:ascii="Times New Roman" w:hAnsi="Times New Roman" w:cs="Times New Roman" w:eastAsia="Times New Roman" w:hint="default"/>
        </w:rPr>
        <w:t>40%</w:t>
      </w:r>
      <w:r>
        <w:rPr/>
        <w:t>。</w:t>
      </w:r>
    </w:p>
    <w:p>
      <w:pPr>
        <w:pStyle w:val="BodyText"/>
        <w:spacing w:line="240" w:lineRule="auto" w:before="9"/>
        <w:ind w:left="472" w:right="94"/>
        <w:jc w:val="left"/>
      </w:pPr>
      <w:r>
        <w:rPr/>
        <w:t>中国证券登记结算有限责任公司深圳分公司已于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14 </w:t>
      </w:r>
      <w:r>
        <w:rPr>
          <w:rFonts w:ascii="Times New Roman" w:hAnsi="Times New Roman" w:cs="Times New Roman" w:eastAsia="Times New Roman" w:hint="default"/>
          <w:spacing w:val="5"/>
        </w:rPr>
        <w:t> </w:t>
      </w:r>
      <w:r>
        <w:rPr/>
        <w:t>日受理荣科科技的非公开发行新股登记申请材料，</w:t>
      </w:r>
    </w:p>
    <w:p>
      <w:pPr>
        <w:spacing w:after="0" w:line="240" w:lineRule="auto"/>
        <w:jc w:val="left"/>
        <w:sectPr>
          <w:pgSz w:w="11910" w:h="16840"/>
          <w:pgMar w:header="566" w:footer="978" w:top="1360" w:bottom="1160" w:left="1020" w:right="940"/>
        </w:sectPr>
      </w:pPr>
    </w:p>
    <w:p>
      <w:pPr>
        <w:pStyle w:val="BodyText"/>
        <w:spacing w:line="240" w:lineRule="auto" w:before="81"/>
        <w:ind w:right="0"/>
        <w:jc w:val="left"/>
      </w:pPr>
      <w:r>
        <w:rPr/>
        <w:t>相关股份登记到账后将正式列入荣科科技的股东名册。荣科科技本次发行新股数量为 </w:t>
      </w:r>
      <w:r>
        <w:rPr>
          <w:rFonts w:ascii="Times New Roman" w:hAnsi="Times New Roman" w:cs="Times New Roman" w:eastAsia="Times New Roman" w:hint="default"/>
        </w:rPr>
        <w:t>17,142,855 </w:t>
      </w:r>
      <w:r>
        <w:rPr>
          <w:rFonts w:ascii="Times New Roman" w:hAnsi="Times New Roman" w:cs="Times New Roman" w:eastAsia="Times New Roman" w:hint="default"/>
          <w:spacing w:val="3"/>
        </w:rPr>
        <w:t> </w:t>
      </w:r>
      <w:r>
        <w:rPr/>
        <w:t>股，本次发行后荣科科技</w:t>
      </w:r>
    </w:p>
    <w:p>
      <w:pPr>
        <w:pStyle w:val="BodyText"/>
        <w:spacing w:line="300" w:lineRule="auto" w:before="63"/>
        <w:ind w:left="472" w:right="0" w:hanging="360"/>
        <w:jc w:val="left"/>
      </w:pPr>
      <w:r>
        <w:rPr/>
        <w:t>股份数量为 </w:t>
      </w:r>
      <w:r>
        <w:rPr>
          <w:rFonts w:ascii="Times New Roman" w:hAnsi="Times New Roman" w:cs="Times New Roman" w:eastAsia="Times New Roman" w:hint="default"/>
        </w:rPr>
        <w:t>338,572,507 </w:t>
      </w:r>
      <w:r>
        <w:rPr/>
        <w:t>股。本次发行新增股份的性质为有限售条件流通股，上市日为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38"/>
        </w:rPr>
        <w:t> </w:t>
      </w:r>
      <w:r>
        <w:rPr/>
        <w:t>日。 </w:t>
      </w:r>
      <w:r>
        <w:rPr>
          <w:spacing w:val="-2"/>
        </w:rPr>
        <w:t>公司还需向工商管理机关办理上市公司注册资本、实收资本、公司章程修改等事宜的变更登记手续，关于办理工商登记</w:t>
      </w:r>
    </w:p>
    <w:p>
      <w:pPr>
        <w:pStyle w:val="BodyText"/>
        <w:spacing w:line="240" w:lineRule="auto" w:before="31"/>
        <w:ind w:right="0"/>
        <w:jc w:val="left"/>
      </w:pPr>
      <w:r>
        <w:rPr/>
        <w:t>变更事宜尚需提交</w:t>
      </w:r>
      <w:r>
        <w:rPr>
          <w:rFonts w:ascii="Times New Roman" w:hAnsi="Times New Roman" w:cs="Times New Roman" w:eastAsia="Times New Roman" w:hint="default"/>
        </w:rPr>
        <w:t>2017</w:t>
      </w:r>
      <w:r>
        <w:rPr/>
        <w:t>年度股东大会审议。</w:t>
      </w:r>
    </w:p>
    <w:p>
      <w:pPr>
        <w:pStyle w:val="BodyText"/>
        <w:spacing w:line="300" w:lineRule="auto" w:before="63"/>
        <w:ind w:right="109"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24</w:t>
      </w:r>
      <w:r>
        <w:rPr>
          <w:spacing w:val="-2"/>
        </w:rPr>
        <w:t>日，公司董事会发布《重大资产重组停牌公告》，公司拟筹划以发行股份及现金支付方式收购上海今</w:t>
      </w:r>
      <w:r>
        <w:rPr/>
        <w:t> </w:t>
      </w:r>
      <w:r>
        <w:rPr>
          <w:spacing w:val="-1"/>
        </w:rPr>
        <w:t>创信息技术有限公司</w:t>
      </w:r>
      <w:r>
        <w:rPr>
          <w:rFonts w:ascii="Times New Roman" w:hAnsi="Times New Roman" w:cs="Times New Roman" w:eastAsia="Times New Roman" w:hint="default"/>
          <w:spacing w:val="-1"/>
        </w:rPr>
        <w:t>100%</w:t>
      </w:r>
      <w:r>
        <w:rPr>
          <w:spacing w:val="-1"/>
        </w:rPr>
        <w:t>股权，交易价格为标的公司全部股权的交易估值以乙方承诺的标的公司</w:t>
      </w:r>
      <w:r>
        <w:rPr>
          <w:rFonts w:ascii="Times New Roman" w:hAnsi="Times New Roman" w:cs="Times New Roman" w:eastAsia="Times New Roman" w:hint="default"/>
          <w:spacing w:val="-1"/>
        </w:rPr>
        <w:t>2018</w:t>
      </w:r>
      <w:r>
        <w:rPr>
          <w:spacing w:val="-1"/>
        </w:rPr>
        <w:t>年度净利润的</w:t>
      </w:r>
      <w:r>
        <w:rPr>
          <w:rFonts w:ascii="Times New Roman" w:hAnsi="Times New Roman" w:cs="Times New Roman" w:eastAsia="Times New Roman" w:hint="default"/>
          <w:spacing w:val="-1"/>
        </w:rPr>
        <w:t>15-17</w:t>
      </w:r>
      <w:r>
        <w:rPr>
          <w:spacing w:val="-1"/>
        </w:rPr>
        <w:t>倍</w:t>
      </w:r>
      <w:r>
        <w:rPr>
          <w:spacing w:val="-56"/>
        </w:rPr>
        <w:t> </w:t>
      </w:r>
      <w:r>
        <w:rPr/>
        <w:t>市盈率和业绩承诺期间（</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-2020 </w:t>
      </w:r>
      <w:r>
        <w:rPr/>
        <w:t>年）平均净利润的 </w:t>
      </w:r>
      <w:r>
        <w:rPr>
          <w:rFonts w:ascii="Times New Roman" w:hAnsi="Times New Roman" w:cs="Times New Roman" w:eastAsia="Times New Roman" w:hint="default"/>
        </w:rPr>
        <w:t>10-12</w:t>
      </w:r>
      <w:r>
        <w:rPr>
          <w:rFonts w:ascii="Times New Roman" w:hAnsi="Times New Roman" w:cs="Times New Roman" w:eastAsia="Times New Roman" w:hint="default"/>
          <w:spacing w:val="21"/>
        </w:rPr>
        <w:t> </w:t>
      </w:r>
      <w:r>
        <w:rPr/>
        <w:t>倍市盈率。该收购事项涉及重大资产重组，尚存在不确定 性。</w:t>
      </w:r>
    </w:p>
    <w:p>
      <w:pPr>
        <w:pStyle w:val="BodyText"/>
        <w:spacing w:line="240" w:lineRule="auto" w:before="31"/>
        <w:ind w:left="472" w:right="0"/>
        <w:jc w:val="left"/>
      </w:pPr>
      <w:r>
        <w:rPr/>
        <w:t>（</w:t>
      </w:r>
      <w:r>
        <w:rPr>
          <w:rFonts w:ascii="Times New Roman" w:hAnsi="Times New Roman" w:cs="Times New Roman" w:eastAsia="Times New Roman" w:hint="default"/>
        </w:rPr>
        <w:t>3</w:t>
      </w:r>
      <w:r>
        <w:rPr/>
        <w:t>）除上述事项外，公司无应披露的资产负债表日后事项的非调整事项。</w:t>
      </w:r>
    </w:p>
    <w:p>
      <w:pPr>
        <w:spacing w:line="240" w:lineRule="auto" w:before="0"/>
        <w:rPr>
          <w:rFonts w:ascii="宋体" w:hAnsi="宋体" w:cs="宋体" w:eastAsia="宋体" w:hint="default"/>
          <w:sz w:val="24"/>
          <w:szCs w:val="24"/>
        </w:rPr>
      </w:pPr>
    </w:p>
    <w:p>
      <w:pPr>
        <w:spacing w:line="506" w:lineRule="auto" w:before="0"/>
        <w:ind w:left="112" w:right="7571" w:firstLine="0"/>
        <w:jc w:val="left"/>
        <w:rPr>
          <w:rFonts w:ascii="宋体" w:hAnsi="宋体" w:cs="宋体" w:eastAsia="宋体" w:hint="default"/>
          <w:sz w:val="18"/>
          <w:szCs w:val="18"/>
        </w:rPr>
      </w:pP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3"/>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14" w:firstLine="360"/>
        <w:jc w:val="left"/>
      </w:pPr>
      <w:r>
        <w:rPr/>
        <w:t>本公司以内部组织结构、管理要求、内部报告制度为依据确定经营分部，以经营分部为基础确定报告分部。 经营分部，是指本公司内同时满足下列条件的组成部分：</w:t>
      </w:r>
    </w:p>
    <w:p>
      <w:pPr>
        <w:pStyle w:val="BodyText"/>
        <w:spacing w:line="240" w:lineRule="auto" w:before="19"/>
        <w:ind w:left="472" w:right="0"/>
        <w:jc w:val="left"/>
      </w:pP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63"/>
        <w:ind w:left="472" w:right="0"/>
        <w:jc w:val="left"/>
      </w:pPr>
      <w:r>
        <w:rPr>
          <w:rFonts w:ascii="Times New Roman" w:hAnsi="Times New Roman" w:cs="Times New Roman" w:eastAsia="Times New Roman" w:hint="default"/>
        </w:rPr>
        <w:t>2</w:t>
      </w:r>
      <w:r>
        <w:rPr/>
        <w:t>）本公司管理层能够定期评价该组成部分的经营成果，以决定向其配置资源、评价其业绩；</w:t>
      </w:r>
    </w:p>
    <w:p>
      <w:pPr>
        <w:pStyle w:val="BodyText"/>
        <w:spacing w:line="309" w:lineRule="auto" w:before="63"/>
        <w:ind w:left="472" w:right="2804"/>
        <w:jc w:val="left"/>
      </w:pPr>
      <w:r>
        <w:rPr>
          <w:rFonts w:ascii="Times New Roman" w:hAnsi="Times New Roman" w:cs="Times New Roman" w:eastAsia="Times New Roman" w:hint="default"/>
        </w:rPr>
        <w:t>3</w:t>
      </w:r>
      <w:r>
        <w:rPr/>
        <w:t>）本公司能够取得该组成部分的财务状况、经营成果和现金流量等有关会计信息。 本公司报告分部包括：健康数据服务、智能融合云服务。 本公司经营分部的会计政策与本公司主要会计政策相同。</w:t>
      </w:r>
    </w:p>
    <w:p>
      <w:pPr>
        <w:spacing w:after="0" w:line="309" w:lineRule="auto"/>
        <w:jc w:val="left"/>
        <w:sectPr>
          <w:pgSz w:w="11910" w:h="16840"/>
          <w:pgMar w:header="566" w:footer="978" w:top="1360" w:bottom="1160" w:left="1020" w:right="1020"/>
        </w:sectPr>
      </w:pPr>
    </w:p>
    <w:p>
      <w:pPr>
        <w:pStyle w:val="Heading3"/>
        <w:spacing w:line="240" w:lineRule="auto" w:before="55"/>
        <w:ind w:left="1132"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086"/>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474" w:type="dxa"/>
        <w:tblLayout w:type="fixed"/>
        <w:tblCellMar>
          <w:top w:w="0" w:type="dxa"/>
          <w:left w:w="0" w:type="dxa"/>
          <w:bottom w:w="0" w:type="dxa"/>
          <w:right w:w="0" w:type="dxa"/>
        </w:tblCellMar>
        <w:tblLook w:val="01E0"/>
      </w:tblPr>
      <w:tblGrid>
        <w:gridCol w:w="2701"/>
        <w:gridCol w:w="1914"/>
        <w:gridCol w:w="1914"/>
        <w:gridCol w:w="2418"/>
      </w:tblGrid>
      <w:tr>
        <w:trPr>
          <w:trHeight w:val="402"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健康数据服务</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70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132,371,708.87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286,285,964.61</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418,657,673.48</w:t>
            </w:r>
          </w:p>
        </w:tc>
      </w:tr>
      <w:tr>
        <w:trPr>
          <w:trHeight w:val="402" w:hRule="exact"/>
        </w:trPr>
        <w:tc>
          <w:tcPr>
            <w:tcW w:w="270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56,214,509.60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234,040,890.48</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290,255,400.08</w:t>
            </w:r>
          </w:p>
        </w:tc>
      </w:tr>
      <w:tr>
        <w:trPr>
          <w:trHeight w:val="402" w:hRule="exact"/>
        </w:trPr>
        <w:tc>
          <w:tcPr>
            <w:tcW w:w="270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35" w:right="0"/>
              <w:jc w:val="left"/>
              <w:rPr>
                <w:rFonts w:ascii="Times New Roman" w:hAnsi="Times New Roman" w:cs="Times New Roman" w:eastAsia="Times New Roman" w:hint="default"/>
                <w:sz w:val="18"/>
                <w:szCs w:val="18"/>
              </w:rPr>
            </w:pPr>
            <w:r>
              <w:rPr>
                <w:rFonts w:ascii="Times New Roman"/>
                <w:sz w:val="18"/>
              </w:rPr>
              <w:t>1,054,438,182.89</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1,054,438,182.89</w:t>
            </w:r>
          </w:p>
        </w:tc>
      </w:tr>
      <w:tr>
        <w:trPr>
          <w:trHeight w:val="402" w:hRule="exact"/>
        </w:trPr>
        <w:tc>
          <w:tcPr>
            <w:tcW w:w="270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344,786,214.84</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344,786,214.84</w:t>
            </w:r>
          </w:p>
        </w:tc>
      </w:tr>
    </w:tbl>
    <w:p>
      <w:pPr>
        <w:spacing w:line="240" w:lineRule="auto" w:before="4"/>
        <w:rPr>
          <w:rFonts w:ascii="宋体" w:hAnsi="宋体" w:cs="宋体" w:eastAsia="宋体" w:hint="default"/>
          <w:sz w:val="19"/>
          <w:szCs w:val="19"/>
        </w:rPr>
      </w:pPr>
    </w:p>
    <w:p>
      <w:pPr>
        <w:pStyle w:val="Heading3"/>
        <w:spacing w:line="240" w:lineRule="auto" w:before="34"/>
        <w:ind w:left="1132"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2" w:right="0"/>
        <w:jc w:val="left"/>
      </w:pPr>
      <w:r>
        <w:rPr/>
        <w:t>由于本公司及各子公司均有上述各报告分部的相关业务，故本公司的资产总额与负债总额未按报告分部进行划分。</w:t>
      </w:r>
    </w:p>
    <w:p>
      <w:pPr>
        <w:spacing w:line="240" w:lineRule="auto" w:before="11"/>
        <w:rPr>
          <w:rFonts w:ascii="宋体" w:hAnsi="宋体" w:cs="宋体" w:eastAsia="宋体" w:hint="default"/>
          <w:sz w:val="26"/>
          <w:szCs w:val="26"/>
        </w:rPr>
      </w:pPr>
    </w:p>
    <w:p>
      <w:pPr>
        <w:pStyle w:val="Heading3"/>
        <w:spacing w:line="240" w:lineRule="auto"/>
        <w:ind w:left="1132"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3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32" w:right="0"/>
        <w:jc w:val="left"/>
        <w:rPr>
          <w:b w:val="0"/>
          <w:bCs w:val="0"/>
        </w:rPr>
      </w:pPr>
      <w:r>
        <w:rPr>
          <w:rFonts w:ascii="Times New Roman" w:hAnsi="Times New Roman" w:cs="Times New Roman" w:eastAsia="Times New Roman" w:hint="default"/>
        </w:rPr>
        <w:t>7</w:t>
      </w:r>
      <w:r>
        <w:rPr/>
        <w:t>、</w:t>
      </w:r>
      <w:r>
        <w:rPr>
          <w:spacing w:val="-71"/>
        </w:rPr>
        <w:t> </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32"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32"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left="1132" w:right="0"/>
        <w:jc w:val="left"/>
        <w:rPr>
          <w:b w:val="0"/>
          <w:bCs w:val="0"/>
        </w:rPr>
      </w:pPr>
      <w:r>
        <w:rPr/>
        <w:t>十七、母公司财务报表主要项目注释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32"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2"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6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56"/>
        <w:gridCol w:w="1032"/>
        <w:gridCol w:w="624"/>
        <w:gridCol w:w="1032"/>
        <w:gridCol w:w="588"/>
        <w:gridCol w:w="1080"/>
        <w:gridCol w:w="1092"/>
        <w:gridCol w:w="780"/>
        <w:gridCol w:w="1068"/>
        <w:gridCol w:w="648"/>
        <w:gridCol w:w="1272"/>
      </w:tblGrid>
      <w:tr>
        <w:trPr>
          <w:trHeight w:val="402" w:hRule="exact"/>
        </w:trPr>
        <w:tc>
          <w:tcPr>
            <w:tcW w:w="1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3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56" w:type="dxa"/>
            <w:vMerge/>
            <w:tcBorders>
              <w:left w:val="single" w:sz="4" w:space="0" w:color="000000"/>
              <w:right w:val="single" w:sz="4" w:space="0" w:color="000000"/>
            </w:tcBorders>
            <w:shd w:val="clear" w:color="auto" w:fill="D2D2D2"/>
          </w:tcPr>
          <w:p>
            <w:pPr/>
          </w:p>
        </w:tc>
        <w:tc>
          <w:tcPr>
            <w:tcW w:w="1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956" w:type="dxa"/>
            <w:vMerge/>
            <w:tcBorders>
              <w:left w:val="single" w:sz="4" w:space="0" w:color="000000"/>
              <w:bottom w:val="single" w:sz="4" w:space="0" w:color="000000"/>
              <w:right w:val="single" w:sz="4" w:space="0" w:color="000000"/>
            </w:tcBorders>
            <w:shd w:val="clear" w:color="auto" w:fill="D2D2D2"/>
          </w:tcPr>
          <w:p>
            <w:pP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9" w:right="10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80"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9" w:right="4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按信用风险特征组合计 提坏账准备的应收账款</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0" w:right="0"/>
              <w:jc w:val="center"/>
              <w:rPr>
                <w:rFonts w:ascii="Times New Roman" w:hAnsi="Times New Roman" w:cs="Times New Roman" w:eastAsia="Times New Roman" w:hint="default"/>
                <w:sz w:val="15"/>
                <w:szCs w:val="15"/>
              </w:rPr>
            </w:pPr>
            <w:r>
              <w:rPr>
                <w:rFonts w:ascii="Times New Roman"/>
                <w:sz w:val="15"/>
              </w:rPr>
              <w:t>414,664,905.72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100.00%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15" w:right="0"/>
              <w:jc w:val="center"/>
              <w:rPr>
                <w:rFonts w:ascii="Times New Roman" w:hAnsi="Times New Roman" w:cs="Times New Roman" w:eastAsia="Times New Roman" w:hint="default"/>
                <w:sz w:val="15"/>
                <w:szCs w:val="15"/>
              </w:rPr>
            </w:pPr>
            <w:r>
              <w:rPr>
                <w:rFonts w:ascii="Times New Roman"/>
                <w:sz w:val="15"/>
              </w:rPr>
              <w:t>46,431,654.37</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11.20%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368,233,251.35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0" w:right="0"/>
              <w:jc w:val="center"/>
              <w:rPr>
                <w:rFonts w:ascii="Times New Roman" w:hAnsi="Times New Roman" w:cs="Times New Roman" w:eastAsia="Times New Roman" w:hint="default"/>
                <w:sz w:val="15"/>
                <w:szCs w:val="15"/>
              </w:rPr>
            </w:pPr>
            <w:r>
              <w:rPr>
                <w:rFonts w:ascii="Times New Roman"/>
                <w:sz w:val="15"/>
              </w:rPr>
              <w:t>445,054,072.39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10" w:right="0"/>
              <w:jc w:val="left"/>
              <w:rPr>
                <w:rFonts w:ascii="Times New Roman" w:hAnsi="Times New Roman" w:cs="Times New Roman" w:eastAsia="Times New Roman" w:hint="default"/>
                <w:sz w:val="15"/>
                <w:szCs w:val="15"/>
              </w:rPr>
            </w:pPr>
            <w:r>
              <w:rPr>
                <w:rFonts w:ascii="Times New Roman"/>
                <w:sz w:val="15"/>
              </w:rPr>
              <w:t>100.00%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47,004,705.64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w w:val="95"/>
                <w:sz w:val="15"/>
              </w:rPr>
              <w:t>10.56%</w:t>
            </w:r>
            <w:r>
              <w:rPr>
                <w:rFonts w:ascii="Times New Roman"/>
                <w:spacing w:val="-1"/>
                <w:sz w:val="15"/>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398,049,366.75</w:t>
            </w:r>
          </w:p>
        </w:tc>
      </w:tr>
      <w:tr>
        <w:trPr>
          <w:trHeight w:val="402"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0" w:right="0"/>
              <w:jc w:val="center"/>
              <w:rPr>
                <w:rFonts w:ascii="Times New Roman" w:hAnsi="Times New Roman" w:cs="Times New Roman" w:eastAsia="Times New Roman" w:hint="default"/>
                <w:sz w:val="15"/>
                <w:szCs w:val="15"/>
              </w:rPr>
            </w:pPr>
            <w:r>
              <w:rPr>
                <w:rFonts w:ascii="Times New Roman"/>
                <w:sz w:val="15"/>
              </w:rPr>
              <w:t>414,664,905.72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8" w:right="0"/>
              <w:jc w:val="center"/>
              <w:rPr>
                <w:rFonts w:ascii="Times New Roman" w:hAnsi="Times New Roman" w:cs="Times New Roman" w:eastAsia="Times New Roman" w:hint="default"/>
                <w:sz w:val="15"/>
                <w:szCs w:val="15"/>
              </w:rPr>
            </w:pPr>
            <w:r>
              <w:rPr>
                <w:rFonts w:ascii="Times New Roman"/>
                <w:sz w:val="15"/>
              </w:rPr>
              <w:t>100.00%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15" w:right="0"/>
              <w:jc w:val="center"/>
              <w:rPr>
                <w:rFonts w:ascii="Times New Roman" w:hAnsi="Times New Roman" w:cs="Times New Roman" w:eastAsia="Times New Roman" w:hint="default"/>
                <w:sz w:val="15"/>
                <w:szCs w:val="15"/>
              </w:rPr>
            </w:pPr>
            <w:r>
              <w:rPr>
                <w:rFonts w:ascii="Times New Roman"/>
                <w:sz w:val="15"/>
              </w:rPr>
              <w:t>46,431,654.37</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2"/>
                <w:sz w:val="15"/>
              </w:rPr>
              <w:t>11.20%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368,233,251.35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0" w:right="0"/>
              <w:jc w:val="center"/>
              <w:rPr>
                <w:rFonts w:ascii="Times New Roman" w:hAnsi="Times New Roman" w:cs="Times New Roman" w:eastAsia="Times New Roman" w:hint="default"/>
                <w:sz w:val="15"/>
                <w:szCs w:val="15"/>
              </w:rPr>
            </w:pPr>
            <w:r>
              <w:rPr>
                <w:rFonts w:ascii="Times New Roman"/>
                <w:sz w:val="15"/>
              </w:rPr>
              <w:t>445,054,072.39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10" w:right="0"/>
              <w:jc w:val="left"/>
              <w:rPr>
                <w:rFonts w:ascii="Times New Roman" w:hAnsi="Times New Roman" w:cs="Times New Roman" w:eastAsia="Times New Roman" w:hint="default"/>
                <w:sz w:val="15"/>
                <w:szCs w:val="15"/>
              </w:rPr>
            </w:pPr>
            <w:r>
              <w:rPr>
                <w:rFonts w:ascii="Times New Roman"/>
                <w:sz w:val="15"/>
              </w:rPr>
              <w:t>100.00%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47,004,705.64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w w:val="95"/>
                <w:sz w:val="15"/>
              </w:rPr>
              <w:t>10.56%</w:t>
            </w:r>
            <w:r>
              <w:rPr>
                <w:rFonts w:ascii="Times New Roman"/>
                <w:spacing w:val="-1"/>
                <w:sz w:val="15"/>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398,049,366.75</w:t>
            </w:r>
          </w:p>
        </w:tc>
      </w:tr>
    </w:tbl>
    <w:p>
      <w:pPr>
        <w:pStyle w:val="BodyText"/>
        <w:spacing w:line="240" w:lineRule="auto" w:before="51"/>
        <w:ind w:left="1132" w:right="0"/>
        <w:jc w:val="left"/>
      </w:pPr>
      <w:r>
        <w:rPr/>
        <w:t>期末单项金额重大并单项计提坏账准备的应收账款：</w:t>
      </w:r>
    </w:p>
    <w:p>
      <w:pPr>
        <w:pStyle w:val="BodyText"/>
        <w:spacing w:line="240" w:lineRule="auto" w:before="117"/>
        <w:ind w:left="1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566" w:footer="978" w:top="1360" w:bottom="1160" w:left="0" w:right="500"/>
        </w:sectPr>
      </w:pPr>
    </w:p>
    <w:p>
      <w:pPr>
        <w:pStyle w:val="BodyText"/>
        <w:spacing w:line="240" w:lineRule="auto" w:before="81"/>
        <w:ind w:left="252" w:right="-20"/>
        <w:jc w:val="left"/>
      </w:pPr>
      <w:r>
        <w:rPr/>
        <w:t>组合中，按账龄分析法计提坏账准备的应收账款：</w:t>
      </w:r>
    </w:p>
    <w:p>
      <w:pPr>
        <w:pStyle w:val="BodyText"/>
        <w:spacing w:line="240" w:lineRule="auto" w:before="115"/>
        <w:ind w:left="2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BodyText"/>
        <w:spacing w:line="240" w:lineRule="auto"/>
        <w:ind w:left="252" w:right="0"/>
        <w:jc w:val="left"/>
      </w:pPr>
      <w:r>
        <w:rPr/>
        <w:t>单位：</w:t>
      </w:r>
      <w:r>
        <w:rPr>
          <w:spacing w:val="-2"/>
        </w:rPr>
        <w:t> </w:t>
      </w:r>
      <w:r>
        <w:rPr/>
        <w:t>元</w:t>
      </w:r>
    </w:p>
    <w:p>
      <w:pPr>
        <w:spacing w:after="0" w:line="240" w:lineRule="auto"/>
        <w:jc w:val="left"/>
        <w:sectPr>
          <w:pgSz w:w="11910" w:h="16840"/>
          <w:pgMar w:header="566" w:footer="978" w:top="1360" w:bottom="1160" w:left="880" w:right="860"/>
          <w:cols w:num="2" w:equalWidth="0">
            <w:col w:w="4213" w:space="4616"/>
            <w:col w:w="1341"/>
          </w:cols>
        </w:sectPr>
      </w:pP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188,914,554.75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3,778,291.10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188,914,554.75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3,778,291.10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141,976,027.16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7,098,801.36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46,634,688.12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13,990,406.44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28,918,764.28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14,459,382.14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5,580,490.41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4,464,392.33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2,640,381.00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2,640,381.00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414,664,905.72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46,431,654.37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11.20%</w:t>
            </w:r>
          </w:p>
        </w:tc>
      </w:tr>
    </w:tbl>
    <w:p>
      <w:pPr>
        <w:pStyle w:val="BodyText"/>
        <w:spacing w:line="360" w:lineRule="auto" w:before="51"/>
        <w:ind w:left="252" w:right="5574"/>
        <w:jc w:val="left"/>
      </w:pPr>
      <w:r>
        <w:rPr/>
        <w:t>确定该组合依据的说明： 组合中，采用余额百分比法计提坏账准备的应收账款：</w:t>
      </w:r>
    </w:p>
    <w:p>
      <w:pPr>
        <w:pStyle w:val="BodyText"/>
        <w:spacing w:line="340" w:lineRule="auto" w:before="25"/>
        <w:ind w:left="252" w:right="5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left="252" w:right="557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52" w:right="0"/>
        <w:jc w:val="left"/>
      </w:pPr>
      <w:r>
        <w:rPr/>
        <w:t>本期计提坏账准备金额</w:t>
      </w:r>
      <w:r>
        <w:rPr>
          <w:rFonts w:ascii="Times New Roman" w:hAnsi="Times New Roman" w:cs="Times New Roman" w:eastAsia="Times New Roman" w:hint="default"/>
        </w:rPr>
        <w:t>-573,051.27</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13"/>
        <w:rPr>
          <w:rFonts w:ascii="宋体" w:hAnsi="宋体" w:cs="宋体" w:eastAsia="宋体" w:hint="default"/>
          <w:sz w:val="25"/>
          <w:szCs w:val="25"/>
        </w:rPr>
      </w:pPr>
    </w:p>
    <w:p>
      <w:pPr>
        <w:pStyle w:val="Heading3"/>
        <w:spacing w:line="240" w:lineRule="auto"/>
        <w:ind w:left="252" w:right="5574"/>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52" w:right="5574"/>
        <w:jc w:val="left"/>
      </w:pPr>
      <w:r>
        <w:rPr/>
        <w:t>无</w:t>
      </w:r>
    </w:p>
    <w:p>
      <w:pPr>
        <w:spacing w:line="240" w:lineRule="auto" w:before="11"/>
        <w:rPr>
          <w:rFonts w:ascii="宋体" w:hAnsi="宋体" w:cs="宋体" w:eastAsia="宋体" w:hint="default"/>
          <w:sz w:val="26"/>
          <w:szCs w:val="26"/>
        </w:rPr>
      </w:pPr>
    </w:p>
    <w:p>
      <w:pPr>
        <w:pStyle w:val="Heading3"/>
        <w:spacing w:line="240" w:lineRule="auto"/>
        <w:ind w:left="252"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3461"/>
        <w:gridCol w:w="2099"/>
        <w:gridCol w:w="2390"/>
        <w:gridCol w:w="1968"/>
      </w:tblGrid>
      <w:tr>
        <w:trPr>
          <w:trHeight w:val="659" w:hRule="exact"/>
        </w:trPr>
        <w:tc>
          <w:tcPr>
            <w:tcW w:w="3461"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099"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68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90"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316" w:lineRule="auto" w:before="21"/>
              <w:ind w:left="499" w:right="371" w:hanging="12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占应收账款期末余额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68"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沈阳市皇姑区教育局</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65,398,015.00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15.77</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11,254,164.25</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中国银行股份有限公司鞍山分行</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26,980,200.00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6.51</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1,349,010.00</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沈阳市苏家屯区教育局</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24,841,662.00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5.99</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667,192.65</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中兴（沈阳）金融科技有限公司</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13,205,066.00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3.18</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264,101.32</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国网辽宁省电力有限公司信息通信分公司</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11,993,816.98</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2.89</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239,876.34</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142,418,759.98</w:t>
            </w:r>
            <w:r>
              <w:rPr>
                <w:rFonts w:ascii="Times New Roman"/>
                <w:spacing w:val="-1"/>
                <w:sz w:val="18"/>
              </w:rPr>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34.34</w:t>
            </w:r>
            <w:r>
              <w:rPr>
                <w:rFonts w:ascii="Times New Roman"/>
                <w:spacing w:val="-1"/>
                <w:sz w:val="18"/>
              </w:rPr>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13,774,344.56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440" w:bottom="1160" w:left="880" w:right="860"/>
        </w:sectPr>
      </w:pPr>
    </w:p>
    <w:p>
      <w:pPr>
        <w:pStyle w:val="Heading3"/>
        <w:spacing w:line="240" w:lineRule="auto" w:before="55"/>
        <w:ind w:left="1092" w:right="1774"/>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92" w:right="177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092" w:right="1774"/>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092" w:right="177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092" w:right="177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092" w:right="1774"/>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6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052"/>
        <w:gridCol w:w="1056"/>
        <w:gridCol w:w="648"/>
        <w:gridCol w:w="912"/>
        <w:gridCol w:w="804"/>
        <w:gridCol w:w="1092"/>
        <w:gridCol w:w="1008"/>
        <w:gridCol w:w="684"/>
        <w:gridCol w:w="996"/>
        <w:gridCol w:w="816"/>
        <w:gridCol w:w="1044"/>
      </w:tblGrid>
      <w:tr>
        <w:trPr>
          <w:trHeight w:val="402" w:hRule="exact"/>
        </w:trPr>
        <w:tc>
          <w:tcPr>
            <w:tcW w:w="20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5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52" w:type="dxa"/>
            <w:vMerge/>
            <w:tcBorders>
              <w:left w:val="single" w:sz="4" w:space="0" w:color="000000"/>
              <w:right w:val="single" w:sz="4" w:space="0" w:color="000000"/>
            </w:tcBorders>
            <w:shd w:val="clear" w:color="auto" w:fill="D2D2D2"/>
          </w:tcPr>
          <w:p>
            <w:pP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52" w:type="dxa"/>
            <w:vMerge/>
            <w:tcBorders>
              <w:left w:val="single" w:sz="4" w:space="0" w:color="000000"/>
              <w:bottom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5"/>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2"/>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04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33,760,527.45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67" w:right="0"/>
              <w:jc w:val="center"/>
              <w:rPr>
                <w:rFonts w:ascii="Times New Roman" w:hAnsi="Times New Roman" w:cs="Times New Roman" w:eastAsia="Times New Roman" w:hint="default"/>
                <w:sz w:val="15"/>
                <w:szCs w:val="15"/>
              </w:rPr>
            </w:pPr>
            <w:r>
              <w:rPr>
                <w:rFonts w:ascii="Times New Roman"/>
                <w:sz w:val="15"/>
              </w:rPr>
              <w:t>3,020,958.55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8.95%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30,739,568.90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91" w:right="0"/>
              <w:jc w:val="center"/>
              <w:rPr>
                <w:rFonts w:ascii="Times New Roman" w:hAnsi="Times New Roman" w:cs="Times New Roman" w:eastAsia="Times New Roman" w:hint="default"/>
                <w:sz w:val="15"/>
                <w:szCs w:val="15"/>
              </w:rPr>
            </w:pPr>
            <w:r>
              <w:rPr>
                <w:rFonts w:ascii="Times New Roman"/>
                <w:sz w:val="15"/>
              </w:rPr>
              <w:t>20,695,827.94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13" w:right="0"/>
              <w:jc w:val="left"/>
              <w:rPr>
                <w:rFonts w:ascii="Times New Roman" w:hAnsi="Times New Roman" w:cs="Times New Roman" w:eastAsia="Times New Roman" w:hint="default"/>
                <w:sz w:val="15"/>
                <w:szCs w:val="15"/>
              </w:rPr>
            </w:pPr>
            <w:r>
              <w:rPr>
                <w:rFonts w:ascii="Times New Roman"/>
                <w:sz w:val="15"/>
              </w:rPr>
              <w:t>100.00%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2,525,254.01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w w:val="95"/>
                <w:sz w:val="15"/>
              </w:rPr>
              <w:t>12.20%</w:t>
            </w:r>
            <w:r>
              <w:rPr>
                <w:rFonts w:ascii="Times New Roman"/>
                <w:spacing w:val="-1"/>
                <w:sz w:val="15"/>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18,170,573.93</w:t>
            </w: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33,760,527.45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2" w:right="0"/>
              <w:jc w:val="center"/>
              <w:rPr>
                <w:rFonts w:ascii="Times New Roman" w:hAnsi="Times New Roman" w:cs="Times New Roman" w:eastAsia="Times New Roman" w:hint="default"/>
                <w:sz w:val="15"/>
                <w:szCs w:val="15"/>
              </w:rPr>
            </w:pPr>
            <w:r>
              <w:rPr>
                <w:rFonts w:ascii="Times New Roman"/>
                <w:sz w:val="15"/>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7" w:right="0"/>
              <w:jc w:val="center"/>
              <w:rPr>
                <w:rFonts w:ascii="Times New Roman" w:hAnsi="Times New Roman" w:cs="Times New Roman" w:eastAsia="Times New Roman" w:hint="default"/>
                <w:sz w:val="15"/>
                <w:szCs w:val="15"/>
              </w:rPr>
            </w:pPr>
            <w:r>
              <w:rPr>
                <w:rFonts w:ascii="Times New Roman"/>
                <w:sz w:val="15"/>
              </w:rPr>
              <w:t>3,020,958.55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8.95%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30,739,568.90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1" w:right="0"/>
              <w:jc w:val="center"/>
              <w:rPr>
                <w:rFonts w:ascii="Times New Roman" w:hAnsi="Times New Roman" w:cs="Times New Roman" w:eastAsia="Times New Roman" w:hint="default"/>
                <w:sz w:val="15"/>
                <w:szCs w:val="15"/>
              </w:rPr>
            </w:pPr>
            <w:r>
              <w:rPr>
                <w:rFonts w:ascii="Times New Roman"/>
                <w:sz w:val="15"/>
              </w:rPr>
              <w:t>20,695,827.94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13" w:right="0"/>
              <w:jc w:val="left"/>
              <w:rPr>
                <w:rFonts w:ascii="Times New Roman" w:hAnsi="Times New Roman" w:cs="Times New Roman" w:eastAsia="Times New Roman" w:hint="default"/>
                <w:sz w:val="15"/>
                <w:szCs w:val="15"/>
              </w:rPr>
            </w:pPr>
            <w:r>
              <w:rPr>
                <w:rFonts w:ascii="Times New Roman"/>
                <w:sz w:val="15"/>
              </w:rPr>
              <w:t>100.00%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2,525,254.01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w w:val="95"/>
                <w:sz w:val="15"/>
              </w:rPr>
              <w:t>12.20%</w:t>
            </w:r>
            <w:r>
              <w:rPr>
                <w:rFonts w:ascii="Times New Roman"/>
                <w:spacing w:val="-1"/>
                <w:sz w:val="15"/>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18,170,573.93</w:t>
            </w:r>
          </w:p>
        </w:tc>
      </w:tr>
    </w:tbl>
    <w:p>
      <w:pPr>
        <w:spacing w:after="0" w:line="240" w:lineRule="auto"/>
        <w:jc w:val="right"/>
        <w:rPr>
          <w:rFonts w:ascii="Times New Roman" w:hAnsi="Times New Roman" w:cs="Times New Roman" w:eastAsia="Times New Roman" w:hint="default"/>
          <w:sz w:val="15"/>
          <w:szCs w:val="15"/>
        </w:rPr>
        <w:sectPr>
          <w:pgSz w:w="11910" w:h="16840"/>
          <w:pgMar w:header="566" w:footer="978" w:top="1360" w:bottom="1160" w:left="40" w:right="520"/>
        </w:sectPr>
      </w:pPr>
    </w:p>
    <w:p>
      <w:pPr>
        <w:pStyle w:val="BodyText"/>
        <w:spacing w:line="240" w:lineRule="auto" w:before="51"/>
        <w:ind w:left="1092" w:right="-20"/>
        <w:jc w:val="left"/>
      </w:pPr>
      <w:r>
        <w:rPr/>
        <w:t>期末单项金额重大并单项计提坏账准备的其他应收款：</w:t>
      </w:r>
    </w:p>
    <w:p>
      <w:pPr>
        <w:pStyle w:val="BodyText"/>
        <w:spacing w:line="340" w:lineRule="auto" w:before="115"/>
        <w:ind w:left="109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组合中，按账龄分析法计提坏账准备的其他应收款：</w:t>
      </w:r>
    </w:p>
    <w:p>
      <w:pPr>
        <w:pStyle w:val="BodyText"/>
        <w:spacing w:line="240" w:lineRule="auto" w:before="41"/>
        <w:ind w:left="109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092" w:right="0"/>
        <w:jc w:val="left"/>
      </w:pPr>
      <w:r>
        <w:rPr/>
        <w:t>单位：</w:t>
      </w:r>
      <w:r>
        <w:rPr>
          <w:spacing w:val="-2"/>
        </w:rPr>
        <w:t> </w:t>
      </w:r>
      <w:r>
        <w:rPr/>
        <w:t>元</w:t>
      </w:r>
    </w:p>
    <w:p>
      <w:pPr>
        <w:spacing w:after="0" w:line="240" w:lineRule="auto"/>
        <w:jc w:val="left"/>
        <w:sectPr>
          <w:type w:val="continuous"/>
          <w:pgSz w:w="11910" w:h="16840"/>
          <w:pgMar w:top="1440" w:bottom="1160" w:left="40" w:right="520"/>
          <w:cols w:num="2" w:equalWidth="0">
            <w:col w:w="5413" w:space="3416"/>
            <w:col w:w="2521"/>
          </w:cols>
        </w:sectPr>
      </w:pPr>
    </w:p>
    <w:p>
      <w:pPr>
        <w:spacing w:line="240" w:lineRule="auto" w:before="2"/>
        <w:rPr>
          <w:rFonts w:ascii="宋体" w:hAnsi="宋体" w:cs="宋体" w:eastAsia="宋体" w:hint="default"/>
          <w:sz w:val="8"/>
          <w:szCs w:val="8"/>
        </w:rPr>
      </w:pPr>
    </w:p>
    <w:tbl>
      <w:tblPr>
        <w:tblW w:w="0" w:type="auto"/>
        <w:jc w:val="left"/>
        <w:tblInd w:w="108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29,829,302.55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596,586.05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29,829,302.55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596,586.05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886,439.90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44,322.00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386,710.00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116,013.00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788,075.00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394,037.50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33,760,527.45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3,020,958.55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8.95%</w:t>
            </w:r>
          </w:p>
        </w:tc>
      </w:tr>
    </w:tbl>
    <w:p>
      <w:pPr>
        <w:pStyle w:val="BodyText"/>
        <w:spacing w:line="360" w:lineRule="auto" w:before="50"/>
        <w:ind w:left="1092" w:right="5734"/>
        <w:jc w:val="left"/>
      </w:pPr>
      <w:r>
        <w:rPr/>
        <w:t>确定该组合依据的说明： 组合中，采用余额百分比法计提坏账准备的其他应收款：</w:t>
      </w:r>
    </w:p>
    <w:p>
      <w:pPr>
        <w:pStyle w:val="BodyText"/>
        <w:spacing w:line="240" w:lineRule="auto" w:before="27"/>
        <w:ind w:left="1092" w:right="1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type w:val="continuous"/>
          <w:pgSz w:w="11910" w:h="16840"/>
          <w:pgMar w:top="1440" w:bottom="1160" w:left="40" w:right="520"/>
        </w:sectPr>
      </w:pPr>
    </w:p>
    <w:p>
      <w:pPr>
        <w:pStyle w:val="BodyText"/>
        <w:spacing w:line="240" w:lineRule="auto" w:before="81"/>
        <w:ind w:left="892" w:right="0"/>
        <w:jc w:val="left"/>
      </w:pPr>
      <w:r>
        <w:rPr/>
        <w:t>组合中，采用其他方法计提坏账准备的其他应收款：</w:t>
      </w:r>
    </w:p>
    <w:p>
      <w:pPr>
        <w:pStyle w:val="BodyText"/>
        <w:spacing w:line="240" w:lineRule="auto" w:before="115"/>
        <w:ind w:left="8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892"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92" w:right="0"/>
        <w:jc w:val="left"/>
      </w:pPr>
      <w:r>
        <w:rPr/>
        <w:t>本期计提坏账准备金额</w:t>
      </w:r>
      <w:r>
        <w:rPr>
          <w:spacing w:val="-47"/>
        </w:rPr>
        <w:t> </w:t>
      </w:r>
      <w:r>
        <w:rPr>
          <w:rFonts w:ascii="Times New Roman" w:hAnsi="Times New Roman" w:cs="Times New Roman" w:eastAsia="Times New Roman" w:hint="default"/>
        </w:rPr>
        <w:t>495,704.54</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10"/>
        <w:rPr>
          <w:rFonts w:ascii="宋体" w:hAnsi="宋体" w:cs="宋体" w:eastAsia="宋体" w:hint="default"/>
          <w:sz w:val="25"/>
          <w:szCs w:val="25"/>
        </w:rPr>
      </w:pPr>
    </w:p>
    <w:p>
      <w:pPr>
        <w:pStyle w:val="Heading3"/>
        <w:spacing w:line="240" w:lineRule="auto"/>
        <w:ind w:left="892"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9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892"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88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342,868.63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250,598.02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保证金、抵押金等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5,350,470.74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7,431,768.77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代垫及代付款项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1,722,095.65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1,725,170.55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26,345,092.43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11,288,290.60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33,760,527.45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20,695,827.94</w:t>
            </w:r>
          </w:p>
        </w:tc>
      </w:tr>
    </w:tbl>
    <w:p>
      <w:pPr>
        <w:spacing w:line="240" w:lineRule="auto" w:before="3"/>
        <w:rPr>
          <w:rFonts w:ascii="宋体" w:hAnsi="宋体" w:cs="宋体" w:eastAsia="宋体" w:hint="default"/>
          <w:sz w:val="19"/>
          <w:szCs w:val="19"/>
        </w:rPr>
      </w:pPr>
    </w:p>
    <w:p>
      <w:pPr>
        <w:pStyle w:val="Heading3"/>
        <w:spacing w:line="240" w:lineRule="auto" w:before="34"/>
        <w:ind w:left="892"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96"/>
        <w:gridCol w:w="1392"/>
        <w:gridCol w:w="1488"/>
        <w:gridCol w:w="1143"/>
        <w:gridCol w:w="1615"/>
        <w:gridCol w:w="1615"/>
      </w:tblGrid>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27,000,000.00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540,000.00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辽宁东方瑞德建筑装饰工程有限公司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垫付款</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辽宁轨道交通职业学院</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670,000.00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670,000.00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北京合创医信科技有限公司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608,475.00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304,237.50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沈阳市苏家屯区公共资源交易中心</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380,000.00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7,600.00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29,858,475.00</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2,721,837.50</w:t>
            </w:r>
          </w:p>
        </w:tc>
      </w:tr>
    </w:tbl>
    <w:p>
      <w:pPr>
        <w:spacing w:line="240" w:lineRule="auto" w:before="4"/>
        <w:rPr>
          <w:rFonts w:ascii="宋体" w:hAnsi="宋体" w:cs="宋体" w:eastAsia="宋体" w:hint="default"/>
          <w:sz w:val="19"/>
          <w:szCs w:val="19"/>
        </w:rPr>
      </w:pPr>
    </w:p>
    <w:p>
      <w:pPr>
        <w:pStyle w:val="Heading3"/>
        <w:spacing w:line="240" w:lineRule="auto" w:before="34"/>
        <w:ind w:left="892"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9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892"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892" w:right="0"/>
        <w:jc w:val="left"/>
      </w:pPr>
      <w:r>
        <w:rPr/>
        <w:t>无</w:t>
      </w:r>
    </w:p>
    <w:p>
      <w:pPr>
        <w:spacing w:after="0" w:line="240" w:lineRule="auto"/>
        <w:jc w:val="left"/>
        <w:sectPr>
          <w:pgSz w:w="11910" w:h="16840"/>
          <w:pgMar w:header="566" w:footer="978" w:top="1360" w:bottom="1160" w:left="240" w:right="1020"/>
        </w:sectPr>
      </w:pPr>
    </w:p>
    <w:p>
      <w:pPr>
        <w:pStyle w:val="Heading3"/>
        <w:spacing w:line="240" w:lineRule="auto" w:before="55"/>
        <w:ind w:left="212"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212" w:right="8834"/>
        <w:jc w:val="left"/>
      </w:pPr>
      <w:r>
        <w:rPr/>
        <w:t>无 其他说明：</w:t>
      </w:r>
    </w:p>
    <w:p>
      <w:pPr>
        <w:pStyle w:val="BodyText"/>
        <w:spacing w:line="240" w:lineRule="auto" w:before="25"/>
        <w:ind w:left="212" w:right="0"/>
        <w:jc w:val="left"/>
      </w:pPr>
      <w:r>
        <w:rPr/>
        <w:t>本项目期末余额较期初余额增加</w:t>
      </w:r>
      <w:r>
        <w:rPr>
          <w:spacing w:val="-49"/>
        </w:rPr>
        <w:t> </w:t>
      </w:r>
      <w:r>
        <w:rPr>
          <w:rFonts w:ascii="Times New Roman" w:hAnsi="Times New Roman" w:cs="Times New Roman" w:eastAsia="Times New Roman" w:hint="default"/>
        </w:rPr>
        <w:t>13,064,699.51</w:t>
      </w:r>
      <w:r>
        <w:rPr>
          <w:rFonts w:ascii="Times New Roman" w:hAnsi="Times New Roman" w:cs="Times New Roman" w:eastAsia="Times New Roman" w:hint="default"/>
          <w:spacing w:val="-5"/>
        </w:rPr>
        <w:t> </w:t>
      </w:r>
      <w:r>
        <w:rPr/>
        <w:t>元，增幅</w:t>
      </w:r>
      <w:r>
        <w:rPr>
          <w:spacing w:val="-49"/>
        </w:rPr>
        <w:t> </w:t>
      </w:r>
      <w:r>
        <w:rPr>
          <w:rFonts w:ascii="Times New Roman" w:hAnsi="Times New Roman" w:cs="Times New Roman" w:eastAsia="Times New Roman" w:hint="default"/>
        </w:rPr>
        <w:t>63.13%</w:t>
      </w:r>
      <w:r>
        <w:rPr/>
        <w:t>，主要系公司本期支付子公司上海米健的往来款增加所致。</w:t>
      </w:r>
    </w:p>
    <w:p>
      <w:pPr>
        <w:spacing w:line="240" w:lineRule="auto" w:before="13"/>
        <w:rPr>
          <w:rFonts w:ascii="宋体" w:hAnsi="宋体" w:cs="宋体" w:eastAsia="宋体" w:hint="default"/>
          <w:sz w:val="25"/>
          <w:szCs w:val="25"/>
        </w:rPr>
      </w:pPr>
    </w:p>
    <w:p>
      <w:pPr>
        <w:pStyle w:val="Heading3"/>
        <w:spacing w:line="240" w:lineRule="auto"/>
        <w:ind w:left="212"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411,968,696.08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411,968,696.08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206,618,996.08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206,618,996.08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411,968,696.08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411,968,696.08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206,618,996.08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206,618,996.08</w:t>
            </w:r>
          </w:p>
        </w:tc>
      </w:tr>
    </w:tbl>
    <w:p>
      <w:pPr>
        <w:spacing w:line="240" w:lineRule="auto" w:before="3"/>
        <w:rPr>
          <w:rFonts w:ascii="宋体" w:hAnsi="宋体" w:cs="宋体" w:eastAsia="宋体" w:hint="default"/>
          <w:sz w:val="19"/>
          <w:szCs w:val="19"/>
        </w:rPr>
      </w:pPr>
    </w:p>
    <w:p>
      <w:pPr>
        <w:pStyle w:val="Heading3"/>
        <w:spacing w:line="240" w:lineRule="auto" w:before="34"/>
        <w:ind w:left="212"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280"/>
        <w:gridCol w:w="1272"/>
        <w:gridCol w:w="1272"/>
        <w:gridCol w:w="1272"/>
        <w:gridCol w:w="1296"/>
        <w:gridCol w:w="1128"/>
        <w:gridCol w:w="1142"/>
      </w:tblGrid>
      <w:tr>
        <w:trPr>
          <w:trHeight w:val="714"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9" w:right="107"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5" w:right="25"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3" w:right="0"/>
              <w:jc w:val="left"/>
              <w:rPr>
                <w:rFonts w:ascii="Times New Roman" w:hAnsi="Times New Roman" w:cs="Times New Roman" w:eastAsia="Times New Roman" w:hint="default"/>
                <w:sz w:val="18"/>
                <w:szCs w:val="18"/>
              </w:rPr>
            </w:pPr>
            <w:r>
              <w:rPr>
                <w:rFonts w:ascii="Times New Roman"/>
                <w:sz w:val="18"/>
              </w:rPr>
              <w:t>3,500,000.00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15,618,996.08</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15,618,996.08</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127,500,000.00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208,849,700.00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336,349,700.00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206,618,996.08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208,849,700.00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3,500,000.00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411,968,696.08</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left="212"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212"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212" w:right="97"/>
        <w:jc w:val="left"/>
        <w:rPr>
          <w:rFonts w:ascii="Times New Roman" w:hAnsi="Times New Roman" w:cs="Times New Roman" w:eastAsia="Times New Roman" w:hint="default"/>
        </w:rPr>
      </w:pPr>
      <w:r>
        <w:rPr/>
        <w:t>公司与兴业银行签订非上市公司股权最高额质押合同，以其持有的上海米健信息技术有限公司</w:t>
      </w:r>
      <w:r>
        <w:rPr>
          <w:spacing w:val="-53"/>
        </w:rPr>
        <w:t> </w:t>
      </w:r>
      <w:r>
        <w:rPr>
          <w:rFonts w:ascii="Times New Roman" w:hAnsi="Times New Roman" w:cs="Times New Roman" w:eastAsia="Times New Roman" w:hint="default"/>
        </w:rPr>
        <w:t>100%</w:t>
      </w:r>
      <w:r>
        <w:rPr/>
        <w:t>股权作为质押取得兴业 </w:t>
      </w:r>
      <w:r>
        <w:rPr>
          <w:spacing w:val="2"/>
        </w:rPr>
        <w:t>银行在</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日至</w:t>
      </w:r>
      <w:r>
        <w:rPr>
          <w:spacing w:val="-40"/>
        </w:rPr>
        <w:t> </w:t>
      </w:r>
      <w:r>
        <w:rPr>
          <w:rFonts w:ascii="Times New Roman" w:hAnsi="Times New Roman" w:cs="Times New Roman" w:eastAsia="Times New Roman" w:hint="default"/>
        </w:rPr>
        <w:t>2022</w:t>
      </w:r>
      <w:r>
        <w:rPr>
          <w:rFonts w:ascii="Times New Roman" w:hAnsi="Times New Roman" w:cs="Times New Roman" w:eastAsia="Times New Roman" w:hint="default"/>
          <w:spacing w:val="1"/>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2"/>
        </w:rPr>
        <w:t>日期间内最高本金限额为人民币</w:t>
      </w:r>
      <w:r>
        <w:rPr>
          <w:spacing w:val="-42"/>
        </w:rPr>
        <w:t> </w:t>
      </w:r>
      <w:r>
        <w:rPr>
          <w:rFonts w:ascii="Times New Roman" w:hAnsi="Times New Roman" w:cs="Times New Roman" w:eastAsia="Times New Roman" w:hint="default"/>
        </w:rPr>
        <w:t>12,100.00</w:t>
      </w:r>
      <w:r>
        <w:rPr>
          <w:rFonts w:ascii="Times New Roman" w:hAnsi="Times New Roman" w:cs="Times New Roman" w:eastAsia="Times New Roman" w:hint="default"/>
          <w:spacing w:val="1"/>
        </w:rPr>
        <w:t> </w:t>
      </w:r>
      <w:r>
        <w:rPr>
          <w:spacing w:val="2"/>
        </w:rPr>
        <w:t>万元的贷款，质押期限为</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2"/>
        </w:rPr>
        <w:t> </w:t>
      </w:r>
      <w:r>
        <w:rPr>
          <w:rFonts w:ascii="Times New Roman" w:hAnsi="Times New Roman" w:cs="Times New Roman" w:eastAsia="Times New Roman" w:hint="default"/>
        </w:rPr>
        <w:t>4</w:t>
      </w:r>
    </w:p>
    <w:p>
      <w:pPr>
        <w:pStyle w:val="BodyText"/>
        <w:spacing w:line="240" w:lineRule="auto" w:before="13"/>
        <w:ind w:left="212" w:right="0"/>
        <w:jc w:val="left"/>
      </w:pP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日至</w:t>
      </w:r>
      <w:r>
        <w:rPr>
          <w:spacing w:val="-45"/>
        </w:rPr>
        <w:t> </w:t>
      </w:r>
      <w:r>
        <w:rPr>
          <w:rFonts w:ascii="Times New Roman" w:hAnsi="Times New Roman" w:cs="Times New Roman" w:eastAsia="Times New Roman" w:hint="default"/>
        </w:rPr>
        <w:t>2022</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日。截至</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日止，前述质押依然存在。</w:t>
      </w:r>
    </w:p>
    <w:p>
      <w:pPr>
        <w:spacing w:line="240" w:lineRule="auto" w:before="10"/>
        <w:rPr>
          <w:rFonts w:ascii="宋体" w:hAnsi="宋体" w:cs="宋体" w:eastAsia="宋体" w:hint="default"/>
          <w:sz w:val="25"/>
          <w:szCs w:val="25"/>
        </w:rPr>
      </w:pPr>
    </w:p>
    <w:p>
      <w:pPr>
        <w:pStyle w:val="Heading3"/>
        <w:spacing w:line="240" w:lineRule="auto"/>
        <w:ind w:left="212"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94"/>
        <w:gridCol w:w="3750"/>
        <w:gridCol w:w="3826"/>
      </w:tblGrid>
      <w:tr>
        <w:trPr>
          <w:trHeight w:val="400"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566" w:footer="978" w:top="1360" w:bottom="1160" w:left="920" w:right="1020"/>
        </w:sectPr>
      </w:pPr>
    </w:p>
    <w:p>
      <w:pPr>
        <w:spacing w:line="240" w:lineRule="auto" w:before="4"/>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0"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0"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8" w:right="0"/>
              <w:jc w:val="left"/>
              <w:rPr>
                <w:rFonts w:ascii="Times New Roman" w:hAnsi="Times New Roman" w:cs="Times New Roman" w:eastAsia="Times New Roman" w:hint="default"/>
                <w:sz w:val="18"/>
                <w:szCs w:val="18"/>
              </w:rPr>
            </w:pPr>
            <w:r>
              <w:rPr>
                <w:rFonts w:ascii="Times New Roman"/>
                <w:sz w:val="18"/>
              </w:rPr>
              <w:t>331,556,657.38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4" w:right="0"/>
              <w:jc w:val="left"/>
              <w:rPr>
                <w:rFonts w:ascii="Times New Roman" w:hAnsi="Times New Roman" w:cs="Times New Roman" w:eastAsia="Times New Roman" w:hint="default"/>
                <w:sz w:val="18"/>
                <w:szCs w:val="18"/>
              </w:rPr>
            </w:pPr>
            <w:r>
              <w:rPr>
                <w:rFonts w:ascii="Times New Roman"/>
                <w:sz w:val="18"/>
              </w:rPr>
              <w:t>261,910,494.90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3" w:right="0"/>
              <w:jc w:val="left"/>
              <w:rPr>
                <w:rFonts w:ascii="Times New Roman" w:hAnsi="Times New Roman" w:cs="Times New Roman" w:eastAsia="Times New Roman" w:hint="default"/>
                <w:sz w:val="18"/>
                <w:szCs w:val="18"/>
              </w:rPr>
            </w:pPr>
            <w:r>
              <w:rPr>
                <w:rFonts w:ascii="Times New Roman"/>
                <w:sz w:val="18"/>
              </w:rPr>
              <w:t>445,637,000.74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316,206,807.74</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8" w:right="0"/>
              <w:jc w:val="left"/>
              <w:rPr>
                <w:rFonts w:ascii="Times New Roman" w:hAnsi="Times New Roman" w:cs="Times New Roman" w:eastAsia="Times New Roman" w:hint="default"/>
                <w:sz w:val="18"/>
                <w:szCs w:val="18"/>
              </w:rPr>
            </w:pPr>
            <w:r>
              <w:rPr>
                <w:rFonts w:ascii="Times New Roman"/>
                <w:sz w:val="18"/>
              </w:rPr>
              <w:t>331,556,657.38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4" w:right="0"/>
              <w:jc w:val="left"/>
              <w:rPr>
                <w:rFonts w:ascii="Times New Roman" w:hAnsi="Times New Roman" w:cs="Times New Roman" w:eastAsia="Times New Roman" w:hint="default"/>
                <w:sz w:val="18"/>
                <w:szCs w:val="18"/>
              </w:rPr>
            </w:pPr>
            <w:r>
              <w:rPr>
                <w:rFonts w:ascii="Times New Roman"/>
                <w:sz w:val="18"/>
              </w:rPr>
              <w:t>261,910,494.90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3" w:right="0"/>
              <w:jc w:val="left"/>
              <w:rPr>
                <w:rFonts w:ascii="Times New Roman" w:hAnsi="Times New Roman" w:cs="Times New Roman" w:eastAsia="Times New Roman" w:hint="default"/>
                <w:sz w:val="18"/>
                <w:szCs w:val="18"/>
              </w:rPr>
            </w:pPr>
            <w:r>
              <w:rPr>
                <w:rFonts w:ascii="Times New Roman"/>
                <w:sz w:val="18"/>
              </w:rPr>
              <w:t>445,637,000.74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316,206,807.74</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-622,597.40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-622,597.40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十八、补充资料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940"/>
        <w:gridCol w:w="1848"/>
        <w:gridCol w:w="1781"/>
      </w:tblGrid>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-17,788.16</w:t>
            </w: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定量享受的政府补助除外）</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1,625,660.00</w:t>
            </w: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-21,161.10</w:t>
            </w: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167,068.20</w:t>
            </w: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1,419,642.54</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0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48"/>
        <w:gridCol w:w="2094"/>
        <w:gridCol w:w="1913"/>
        <w:gridCol w:w="1913"/>
      </w:tblGrid>
      <w:tr>
        <w:trPr>
          <w:trHeight w:val="402" w:hRule="exact"/>
        </w:trPr>
        <w:tc>
          <w:tcPr>
            <w:tcW w:w="36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0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3648" w:type="dxa"/>
            <w:vMerge/>
            <w:tcBorders>
              <w:left w:val="single" w:sz="4" w:space="0" w:color="000000"/>
              <w:bottom w:val="single" w:sz="4" w:space="0" w:color="000000"/>
              <w:right w:val="single" w:sz="4" w:space="0" w:color="000000"/>
            </w:tcBorders>
            <w:shd w:val="clear" w:color="auto" w:fill="D2D2D2"/>
          </w:tcPr>
          <w:p>
            <w:pPr/>
          </w:p>
        </w:tc>
        <w:tc>
          <w:tcPr>
            <w:tcW w:w="2094"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3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0.0586</w:t>
            </w:r>
          </w:p>
        </w:tc>
      </w:tr>
      <w:tr>
        <w:trPr>
          <w:trHeight w:val="410" w:hRule="exact"/>
        </w:trPr>
        <w:tc>
          <w:tcPr>
            <w:tcW w:w="3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0.0541</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8" w:top="1360" w:bottom="1160" w:left="1020" w:right="1020"/>
        </w:sectPr>
      </w:pPr>
    </w:p>
    <w:p>
      <w:pPr>
        <w:spacing w:line="240" w:lineRule="auto" w:before="4"/>
        <w:rPr>
          <w:rFonts w:ascii="宋体" w:hAnsi="宋体" w:cs="宋体" w:eastAsia="宋体" w:hint="default"/>
          <w:b/>
          <w:bCs/>
          <w:sz w:val="5"/>
          <w:szCs w:val="5"/>
        </w:rPr>
      </w:pPr>
    </w:p>
    <w:tbl>
      <w:tblPr>
        <w:tblW w:w="0" w:type="auto"/>
        <w:jc w:val="left"/>
        <w:tblInd w:w="109" w:type="dxa"/>
        <w:tblLayout w:type="fixed"/>
        <w:tblCellMar>
          <w:top w:w="0" w:type="dxa"/>
          <w:left w:w="0" w:type="dxa"/>
          <w:bottom w:w="0" w:type="dxa"/>
          <w:right w:w="0" w:type="dxa"/>
        </w:tblCellMar>
        <w:tblLook w:val="01E0"/>
      </w:tblPr>
      <w:tblGrid>
        <w:gridCol w:w="3648"/>
        <w:gridCol w:w="2094"/>
        <w:gridCol w:w="1913"/>
        <w:gridCol w:w="1913"/>
      </w:tblGrid>
      <w:tr>
        <w:trPr>
          <w:trHeight w:val="362" w:hRule="exact"/>
        </w:trPr>
        <w:tc>
          <w:tcPr>
            <w:tcW w:w="3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209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p>
    <w:p>
      <w:pPr>
        <w:pStyle w:val="BodyText"/>
        <w:spacing w:line="240" w:lineRule="auto" w:before="103"/>
        <w:ind w:right="0"/>
        <w:jc w:val="left"/>
      </w:pPr>
      <w:r>
        <w:rPr/>
        <w:t>□ 适用 √ 不适用</w:t>
      </w:r>
    </w:p>
    <w:p>
      <w:pPr>
        <w:pStyle w:val="BodyText"/>
        <w:spacing w:line="240" w:lineRule="auto" w:before="115"/>
        <w:ind w:right="0"/>
        <w:jc w:val="left"/>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p>
    <w:p>
      <w:pPr>
        <w:pStyle w:val="BodyText"/>
        <w:spacing w:line="240" w:lineRule="auto" w:before="103"/>
        <w:ind w:right="0"/>
        <w:jc w:val="left"/>
      </w:pPr>
      <w:r>
        <w:rPr/>
        <w:t>□ 适用 √ 不适用</w:t>
      </w:r>
    </w:p>
    <w:p>
      <w:pPr>
        <w:pStyle w:val="BodyText"/>
        <w:spacing w:line="300" w:lineRule="auto" w:before="117"/>
        <w:ind w:right="104"/>
        <w:jc w:val="left"/>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）境内外会计准则下会计数据差异原因说明，对已经境外审计机构审计的数据进行差异调节的，应注明该境外机构的名 称</w:t>
      </w:r>
    </w:p>
    <w:p>
      <w:pPr>
        <w:pStyle w:val="BodyText"/>
        <w:spacing w:line="240" w:lineRule="auto" w:before="70"/>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566" w:footer="978" w:top="1360" w:bottom="1160" w:left="1020" w:right="10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247" w:right="0"/>
        <w:jc w:val="left"/>
        <w:rPr>
          <w:b w:val="0"/>
          <w:bCs w:val="0"/>
        </w:rPr>
      </w:pPr>
      <w:bookmarkStart w:name="_bookmark11" w:id="12"/>
      <w:bookmarkEnd w:id="12"/>
      <w:r>
        <w:rPr>
          <w:b w:val="0"/>
          <w:bCs w:val="0"/>
        </w:rPr>
      </w:r>
      <w:r>
        <w:rPr/>
        <w:t>第十二节</w:t>
      </w:r>
      <w:r>
        <w:rPr>
          <w:spacing w:val="-10"/>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09" w:lineRule="auto"/>
        <w:ind w:right="0"/>
        <w:jc w:val="left"/>
      </w:pPr>
      <w:r>
        <w:rPr/>
        <w:t>一、经公司法定代表人付永全先生签名的</w:t>
      </w:r>
      <w:r>
        <w:rPr>
          <w:rFonts w:ascii="Times New Roman" w:hAnsi="Times New Roman" w:cs="Times New Roman" w:eastAsia="Times New Roman" w:hint="default"/>
        </w:rPr>
        <w:t>2017</w:t>
      </w:r>
      <w:r>
        <w:rPr/>
        <w:t>年度报告文本。 </w:t>
      </w:r>
      <w:r>
        <w:rPr>
          <w:spacing w:val="-2"/>
        </w:rPr>
        <w:t>二、载有公司法定代表人付永全先生、主管会计工作负责人冯丽女士、会计机构负责人朱迎秋女士签名并盖章的财务报告文</w:t>
      </w:r>
      <w:r>
        <w:rPr>
          <w:spacing w:val="-65"/>
        </w:rPr>
        <w:t> </w:t>
      </w:r>
      <w:r>
        <w:rPr>
          <w:spacing w:val="-65"/>
        </w:rPr>
      </w:r>
      <w:r>
        <w:rPr/>
        <w:t>本。</w:t>
      </w:r>
    </w:p>
    <w:p>
      <w:pPr>
        <w:pStyle w:val="BodyText"/>
        <w:spacing w:line="316" w:lineRule="auto" w:before="24"/>
        <w:ind w:right="2714"/>
        <w:jc w:val="left"/>
      </w:pPr>
      <w:r>
        <w:rPr/>
        <w:t>三、载有会计师事务所盖章、注册会计师签名并盖章的审计报告原件。 四、报告期内在中国证监会指定网站上公开披露过的所有公司文件的正本及公告的原稿。 五、其他有关资料。</w:t>
      </w:r>
    </w:p>
    <w:p>
      <w:pPr>
        <w:pStyle w:val="BodyText"/>
        <w:spacing w:line="240" w:lineRule="auto" w:before="19"/>
        <w:ind w:right="0"/>
        <w:jc w:val="left"/>
      </w:pPr>
      <w:r>
        <w:rPr/>
        <w:t>以上备查文件的备置地点：公司证券投资部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636" w:lineRule="auto"/>
        <w:ind w:left="6052" w:right="1994"/>
        <w:jc w:val="left"/>
      </w:pPr>
      <w:r>
        <w:rPr/>
        <w:t>荣科科技股份有限公司 董事长：付永全 二〇一八年四月十八日</w:t>
      </w:r>
    </w:p>
    <w:sectPr>
      <w:footerReference w:type="default" r:id="rId54"/>
      <w:pgSz w:w="11910" w:h="16840"/>
      <w:pgMar w:footer="978" w:header="566" w:top="1360" w:bottom="1160" w:left="1020" w:right="1020"/>
      <w:pgNumType w:star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2.007935pt;width:8.5pt;height:11pt;mso-position-horizontal-relative:page;mso-position-vertical-relative:page;z-index:-822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2.007935pt;width:13.1pt;height:11pt;mso-position-horizontal-relative:page;mso-position-vertical-relative:page;z-index:-8219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2.007935pt;width:13.1pt;height:11pt;mso-position-horizontal-relative:page;mso-position-vertical-relative:page;z-index:-821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2.007935pt;width:13.1pt;height:11pt;mso-position-horizontal-relative:page;mso-position-vertical-relative:page;z-index:-821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07935pt;width:17.5pt;height:11pt;mso-position-horizontal-relative:page;mso-position-vertical-relative:page;z-index:-821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07935pt;width:17.5pt;height:11pt;mso-position-horizontal-relative:page;mso-position-vertical-relative:page;z-index:-821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07935pt;width:17.5pt;height:11pt;mso-position-horizontal-relative:page;mso-position-vertical-relative:page;z-index:-821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2.007935pt;width:17.3pt;height:11pt;mso-position-horizontal-relative:page;mso-position-vertical-relative:page;z-index:-821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07935pt;width:17.5pt;height:11pt;mso-position-horizontal-relative:page;mso-position-vertical-relative:page;z-index:-821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07935pt;width:17.5pt;height:11pt;mso-position-horizontal-relative:page;mso-position-vertical-relative:page;z-index:-821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07935pt;width:17.5pt;height:11pt;mso-position-horizontal-relative:page;mso-position-vertical-relative:page;z-index:-821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2.007935pt;width:8.5pt;height:11pt;mso-position-horizontal-relative:page;mso-position-vertical-relative:page;z-index:-822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07935pt;width:17.5pt;height:11pt;mso-position-horizontal-relative:page;mso-position-vertical-relative:page;z-index:-821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07935pt;width:17.5pt;height:11pt;mso-position-horizontal-relative:page;mso-position-vertical-relative:page;z-index:-821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2.007935pt;width:13.1pt;height:11pt;mso-position-horizontal-relative:page;mso-position-vertical-relative:page;z-index:-822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2.007935pt;width:13.1pt;height:11pt;mso-position-horizontal-relative:page;mso-position-vertical-relative:page;z-index:-822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2.007935pt;width:13.1pt;height:11pt;mso-position-horizontal-relative:page;mso-position-vertical-relative:page;z-index:-822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2.007935pt;width:13.1pt;height:11pt;mso-position-horizontal-relative:page;mso-position-vertical-relative:page;z-index:-822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2.007935pt;width:13.1pt;height:11pt;mso-position-horizontal-relative:page;mso-position-vertical-relative:page;z-index:-822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2.007935pt;width:13.1pt;height:11pt;mso-position-horizontal-relative:page;mso-position-vertical-relative:page;z-index:-822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2.007935pt;width:13.1pt;height:11pt;mso-position-horizontal-relative:page;mso-position-vertical-relative:page;z-index:-821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31.920025pt;width:482.65pt;height:40.2pt;mso-position-horizontal-relative:page;mso-position-vertical-relative:page;z-index:-822592" coordorigin="1127,638"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52;top:638;width:2160;height:804"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454.399994pt;margin-top:42.915649pt;width:85.2pt;height:11.5pt;mso-position-horizontal-relative:page;mso-position-vertical-relative:page;z-index:-82256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2208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320024pt;width:482.65pt;height:40.2pt;mso-position-horizontal-relative:page;mso-position-vertical-relative:page;z-index:-822064"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2204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2192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320024pt;width:482.65pt;height:40.2pt;mso-position-horizontal-relative:page;mso-position-vertical-relative:page;z-index:-821896"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2187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2165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320024pt;width:482.65pt;height:40.2pt;mso-position-horizontal-relative:page;mso-position-vertical-relative:page;z-index:-821632"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2160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2252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320024pt;width:482.65pt;height:40.2pt;mso-position-horizontal-relative:page;mso-position-vertical-relative:page;z-index:-822472"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2244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2242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320024pt;width:482.65pt;height:40.2pt;mso-position-horizontal-relative:page;mso-position-vertical-relative:page;z-index:-822376"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2235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2232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320024pt;width:482.65pt;height:40.2pt;mso-position-horizontal-relative:page;mso-position-vertical-relative:page;z-index:-822304"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2228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2220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320024pt;width:482.65pt;height:40.2pt;mso-position-horizontal-relative:page;mso-position-vertical-relative:page;z-index:-822160" coordorigin="1127,566"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40;top:566;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2213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ind w:left="47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1.jpeg"/><Relationship Id="rId11" Type="http://schemas.openxmlformats.org/officeDocument/2006/relationships/header" Target="header3.xml"/><Relationship Id="rId12" Type="http://schemas.openxmlformats.org/officeDocument/2006/relationships/hyperlink" Target="http://www.bringspring.com/" TargetMode="External"/><Relationship Id="rId13" Type="http://schemas.openxmlformats.org/officeDocument/2006/relationships/hyperlink" Target="mailto:zqtz@bringspring.com" TargetMode="External"/><Relationship Id="rId14" Type="http://schemas.openxmlformats.org/officeDocument/2006/relationships/hyperlink" Target="http://www.cninfo.com.cn/" TargetMode="Externa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4.xml"/><Relationship Id="rId21" Type="http://schemas.openxmlformats.org/officeDocument/2006/relationships/hyperlink" Target="http://www.cninfo.c/" TargetMode="External"/><Relationship Id="rId22" Type="http://schemas.openxmlformats.org/officeDocument/2006/relationships/footer" Target="footer5.xml"/><Relationship Id="rId23" Type="http://schemas.openxmlformats.org/officeDocument/2006/relationships/hyperlink" Target="http://www.cninfo.com.cn/cninfo-new/di" TargetMode="External"/><Relationship Id="rId24" Type="http://schemas.openxmlformats.org/officeDocument/2006/relationships/header" Target="header8.xml"/><Relationship Id="rId25" Type="http://schemas.openxmlformats.org/officeDocument/2006/relationships/footer" Target="footer6.xml"/><Relationship Id="rId26" Type="http://schemas.openxmlformats.org/officeDocument/2006/relationships/hyperlink" Target="http://www.cninfo.com.cn/cninfo-new/disclosure/szse_gem/bulletin_detail/true/1200274404?announceTime=2014-09-30" TargetMode="External"/><Relationship Id="rId27" Type="http://schemas.openxmlformats.org/officeDocument/2006/relationships/hyperlink" Target="http://www.cninfo.com.cn/cninfo-new/disclosure/szse_gem/bulletin_detail/true/1201237053?announceTime=2015-07-03" TargetMode="External"/><Relationship Id="rId28" Type="http://schemas.openxmlformats.org/officeDocument/2006/relationships/header" Target="header9.xml"/><Relationship Id="rId29" Type="http://schemas.openxmlformats.org/officeDocument/2006/relationships/hyperlink" Target="http://www.cninfo.com.cn/cninfo-new/disclosure/szse_gem/bulletin_detail/true/1201237053?announc" TargetMode="External"/><Relationship Id="rId30" Type="http://schemas.openxmlformats.org/officeDocument/2006/relationships/footer" Target="footer7.xml"/><Relationship Id="rId31" Type="http://schemas.openxmlformats.org/officeDocument/2006/relationships/image" Target="media/image3.jpeg"/><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yperlink" Target="http://www.cninfo.com.cn/cninfo-new/disclosure/szse_gem/bulletin_detail/true/1203226400?announceTime=2017-03-30" TargetMode="External"/><Relationship Id="rId35" Type="http://schemas.openxmlformats.org/officeDocument/2006/relationships/hyperlink" Target="http://www.cninfo.com.cn/cninfo-new/disclosure/szse_gem/bulleti" TargetMode="External"/><Relationship Id="rId36" Type="http://schemas.openxmlformats.org/officeDocument/2006/relationships/footer" Target="footer8.xml"/><Relationship Id="rId37" Type="http://schemas.openxmlformats.org/officeDocument/2006/relationships/hyperlink" Target="http://www.cninfo.com.cn/cninfo-new/disclosure/szse_gem/bulletin_detail/true/1203226413?announceTime=2017-03-30" TargetMode="External"/><Relationship Id="rId38" Type="http://schemas.openxmlformats.org/officeDocument/2006/relationships/footer" Target="footer9.xml"/><Relationship Id="rId39" Type="http://schemas.openxmlformats.org/officeDocument/2006/relationships/footer" Target="footer10.xml"/><Relationship Id="rId40" Type="http://schemas.openxmlformats.org/officeDocument/2006/relationships/footer" Target="footer11.xml"/><Relationship Id="rId41" Type="http://schemas.openxmlformats.org/officeDocument/2006/relationships/header" Target="header12.xml"/><Relationship Id="rId42" Type="http://schemas.openxmlformats.org/officeDocument/2006/relationships/header" Target="header13.xml"/><Relationship Id="rId43" Type="http://schemas.openxmlformats.org/officeDocument/2006/relationships/footer" Target="footer12.xml"/><Relationship Id="rId44" Type="http://schemas.openxmlformats.org/officeDocument/2006/relationships/footer" Target="footer13.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footer" Target="footer16.xml"/><Relationship Id="rId48" Type="http://schemas.openxmlformats.org/officeDocument/2006/relationships/footer" Target="footer17.xml"/><Relationship Id="rId49" Type="http://schemas.openxmlformats.org/officeDocument/2006/relationships/footer" Target="footer18.xml"/><Relationship Id="rId50" Type="http://schemas.openxmlformats.org/officeDocument/2006/relationships/footer" Target="footer19.xml"/><Relationship Id="rId51" Type="http://schemas.openxmlformats.org/officeDocument/2006/relationships/header" Target="header14.xml"/><Relationship Id="rId52" Type="http://schemas.openxmlformats.org/officeDocument/2006/relationships/header" Target="header15.xml"/><Relationship Id="rId53" Type="http://schemas.openxmlformats.org/officeDocument/2006/relationships/footer" Target="footer20.xml"/><Relationship Id="rId54" Type="http://schemas.openxmlformats.org/officeDocument/2006/relationships/footer" Target="footer2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2020-05-03T00:26:35Z</dcterms:created>
  <dcterms:modified xsi:type="dcterms:W3CDTF">2020-05-03T00:26:35Z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WPS Office</vt:lpwstr>
  </property>
  <property fmtid="{D5CDD505-2E9C-101B-9397-08002B2CF9AE}" pid="4" name="LastSaved">
    <vt:filetime>2020-05-02T00:00:00Z</vt:filetime>
  </property>
</Properties>
</file>