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keepLines/>
        <w:framePr w:w="2050" w:h="816" w:wrap="none" w:hAnchor="page" w:x="1177" w:y="-473"/>
        <w:widowControl w:val="0"/>
        <w:shd w:val="clear" w:color="auto" w:fill="auto"/>
        <w:bidi w:val="0"/>
        <w:spacing w:before="0" w:after="0" w:line="240" w:lineRule="auto"/>
        <w:ind w:left="0" w:right="0" w:firstLine="0"/>
        <w:jc w:val="left"/>
      </w:pPr>
      <w:bookmarkStart w:id="0" w:name="bookmark0"/>
      <w:bookmarkStart w:id="1" w:name="bookmark1"/>
      <w:bookmarkStart w:id="2" w:name="bookmark2"/>
      <w:r>
        <w:rPr>
          <w:spacing w:val="0"/>
          <w:w w:val="100"/>
          <w:position w:val="0"/>
        </w:rPr>
        <w:t>■</w:t>
      </w:r>
      <w:r>
        <w:rPr>
          <w:rFonts w:ascii="Arial" w:eastAsia="Arial" w:hAnsi="Arial" w:cs="Arial"/>
          <w:spacing w:val="0"/>
          <w:w w:val="100"/>
          <w:position w:val="0"/>
          <w:sz w:val="26"/>
          <w:szCs w:val="26"/>
        </w:rPr>
        <w:t>♦♦</w:t>
      </w:r>
      <w:r>
        <w:rPr>
          <w:spacing w:val="0"/>
          <w:w w:val="100"/>
          <w:position w:val="0"/>
        </w:rPr>
        <w:t>柔超秋技</w:t>
      </w:r>
      <w:bookmarkEnd w:id="0"/>
      <w:bookmarkEnd w:id="1"/>
      <w:bookmarkEnd w:id="2"/>
    </w:p>
    <w:p>
      <w:pPr>
        <w:pStyle w:val="Style5"/>
        <w:keepNext w:val="0"/>
        <w:keepLines w:val="0"/>
        <w:framePr w:w="2050" w:h="816" w:wrap="none" w:hAnchor="page" w:x="1177" w:y="-473"/>
        <w:widowControl w:val="0"/>
        <w:shd w:val="clear" w:color="auto" w:fill="auto"/>
        <w:tabs>
          <w:tab w:pos="586" w:val="left"/>
        </w:tabs>
        <w:bidi w:val="0"/>
        <w:spacing w:before="0" w:after="0" w:line="211" w:lineRule="exact"/>
        <w:ind w:left="0" w:right="0" w:firstLine="0"/>
        <w:jc w:val="right"/>
        <w:rPr>
          <w:sz w:val="18"/>
          <w:szCs w:val="18"/>
        </w:rPr>
      </w:pPr>
      <w:r>
        <w:rPr>
          <w:spacing w:val="0"/>
          <w:w w:val="100"/>
          <w:position w:val="0"/>
          <w:sz w:val="15"/>
          <w:szCs w:val="15"/>
        </w:rPr>
        <w:t xml:space="preserve">国家高新技术企业 </w:t>
      </w:r>
      <w:r>
        <w:rPr>
          <w:rFonts w:ascii="Arial" w:eastAsia="Arial" w:hAnsi="Arial" w:cs="Arial"/>
          <w:i/>
          <w:iCs/>
          <w:color w:val="245994"/>
          <w:spacing w:val="0"/>
          <w:w w:val="100"/>
          <w:position w:val="0"/>
          <w:sz w:val="22"/>
          <w:szCs w:val="22"/>
        </w:rPr>
        <w:t>fl</w:t>
      </w:r>
      <w:r>
        <w:rPr>
          <w:color w:val="245994"/>
          <w:spacing w:val="0"/>
          <w:w w:val="100"/>
          <w:position w:val="0"/>
          <w:sz w:val="15"/>
          <w:szCs w:val="15"/>
        </w:rPr>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10"/>
        <w:keepNext w:val="0"/>
        <w:keepLines w:val="0"/>
        <w:framePr w:w="1286" w:h="1560" w:wrap="none" w:hAnchor="page" w:x="4768" w:y="3319"/>
        <w:widowControl w:val="0"/>
        <w:shd w:val="clear" w:color="auto" w:fill="auto"/>
        <w:bidi w:val="0"/>
        <w:spacing w:before="0" w:after="0" w:line="240" w:lineRule="auto"/>
        <w:ind w:right="0" w:firstLine="0"/>
        <w:jc w:val="center"/>
      </w:pPr>
      <w:r>
        <w:rPr>
          <w:spacing w:val="0"/>
          <w:w w:val="100"/>
          <w:position w:val="0"/>
        </w:rPr>
        <w:t>/|</w:t>
      </w:r>
    </w:p>
    <w:p>
      <w:pPr>
        <w:widowControl w:val="0"/>
        <w:spacing w:line="360" w:lineRule="exact"/>
      </w:pPr>
      <w:r>
        <w:drawing>
          <wp:anchor distT="0" distB="0" distL="0" distR="0" simplePos="0" relativeHeight="62914690" behindDoc="1" locked="0" layoutInCell="1" allowOverlap="1">
            <wp:simplePos x="0" y="0"/>
            <wp:positionH relativeFrom="page">
              <wp:posOffset>2673350</wp:posOffset>
            </wp:positionH>
            <wp:positionV relativeFrom="margin">
              <wp:posOffset>859790</wp:posOffset>
            </wp:positionV>
            <wp:extent cx="2042160" cy="1268095"/>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2042160" cy="12680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7" w:line="1" w:lineRule="exact"/>
      </w:pPr>
    </w:p>
    <w:p>
      <w:pPr>
        <w:widowControl w:val="0"/>
        <w:spacing w:line="1" w:lineRule="exact"/>
        <w:sectPr>
          <w:headerReference w:type="default" r:id="rId7"/>
          <w:footerReference w:type="default" r:id="rId8"/>
          <w:headerReference w:type="even" r:id="rId9"/>
          <w:footerReference w:type="even" r:id="rId10"/>
          <w:headerReference w:type="first" r:id="rId11"/>
          <w:footerReference w:type="first" r:id="rId12"/>
          <w:footnotePr>
            <w:pos w:val="pageBottom"/>
            <w:numFmt w:val="decimal"/>
            <w:numRestart w:val="continuous"/>
          </w:footnotePr>
          <w:pgSz w:w="11900" w:h="16840"/>
          <w:pgMar w:top="1022" w:right="999" w:bottom="984" w:left="1104" w:header="0" w:footer="3" w:gutter="0"/>
          <w:pgNumType w:start="1"/>
          <w:cols w:space="720"/>
          <w:noEndnote/>
          <w:titlePg/>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102" w:right="0" w:bottom="1842" w:left="0" w:header="0" w:footer="3" w:gutter="0"/>
          <w:cols w:space="720"/>
          <w:noEndnote/>
          <w:rtlGutter w:val="0"/>
          <w:docGrid w:linePitch="360"/>
        </w:sectPr>
      </w:pPr>
    </w:p>
    <w:p>
      <w:pPr>
        <w:pStyle w:val="Style16"/>
        <w:keepNext w:val="0"/>
        <w:keepLines w:val="0"/>
        <w:widowControl w:val="0"/>
        <w:shd w:val="clear" w:color="auto" w:fill="auto"/>
        <w:bidi w:val="0"/>
        <w:spacing w:before="0" w:after="280" w:line="240" w:lineRule="auto"/>
        <w:ind w:left="0" w:right="0" w:firstLine="0"/>
        <w:jc w:val="center"/>
      </w:pPr>
      <w:r>
        <w:rPr>
          <w:color w:val="000000"/>
          <w:spacing w:val="0"/>
          <w:w w:val="100"/>
          <w:position w:val="0"/>
        </w:rPr>
        <w:t>荣科科技股份有限公司</w:t>
      </w:r>
    </w:p>
    <w:p>
      <w:pPr>
        <w:pStyle w:val="Style18"/>
        <w:keepNext w:val="0"/>
        <w:keepLines w:val="0"/>
        <w:widowControl w:val="0"/>
        <w:shd w:val="clear" w:color="auto" w:fill="auto"/>
        <w:bidi w:val="0"/>
        <w:spacing w:before="0" w:after="460" w:line="240" w:lineRule="auto"/>
        <w:ind w:left="0" w:right="0" w:firstLine="0"/>
        <w:jc w:val="center"/>
      </w:pPr>
      <w:r>
        <w:rPr>
          <w:color w:val="000000"/>
          <w:spacing w:val="0"/>
          <w:w w:val="100"/>
          <w:position w:val="0"/>
          <w:sz w:val="24"/>
          <w:szCs w:val="24"/>
        </w:rPr>
        <w:t>Bringspring Science and Technology Co., Ltd.</w:t>
      </w:r>
    </w:p>
    <w:p>
      <w:pPr>
        <w:pStyle w:val="Style20"/>
        <w:keepNext/>
        <w:keepLines/>
        <w:widowControl w:val="0"/>
        <w:shd w:val="clear" w:color="auto" w:fill="auto"/>
        <w:bidi w:val="0"/>
        <w:spacing w:before="0" w:after="2720" w:line="240" w:lineRule="auto"/>
        <w:ind w:left="0" w:right="0" w:firstLine="0"/>
        <w:jc w:val="center"/>
      </w:pPr>
      <w:bookmarkStart w:id="3" w:name="bookmark3"/>
      <w:bookmarkStart w:id="4" w:name="bookmark4"/>
      <w:bookmarkStart w:id="5" w:name="bookmark5"/>
      <w:r>
        <w:rPr>
          <w:rFonts w:ascii="Times New Roman" w:eastAsia="Times New Roman" w:hAnsi="Times New Roman" w:cs="Times New Roman"/>
          <w:color w:val="000000"/>
          <w:spacing w:val="0"/>
          <w:w w:val="100"/>
          <w:position w:val="0"/>
        </w:rPr>
        <w:t>2020</w:t>
      </w:r>
      <w:r>
        <w:rPr>
          <w:color w:val="000000"/>
          <w:spacing w:val="0"/>
          <w:w w:val="100"/>
          <w:position w:val="0"/>
        </w:rPr>
        <w:t>年年度报告</w:t>
      </w:r>
      <w:bookmarkEnd w:id="3"/>
      <w:bookmarkEnd w:id="4"/>
      <w:bookmarkEnd w:id="5"/>
    </w:p>
    <w:p>
      <w:pPr>
        <w:pStyle w:val="Style23"/>
        <w:keepNext w:val="0"/>
        <w:keepLines w:val="0"/>
        <w:widowControl w:val="0"/>
        <w:shd w:val="clear" w:color="auto" w:fill="auto"/>
        <w:bidi w:val="0"/>
        <w:spacing w:before="0" w:line="240" w:lineRule="auto"/>
        <w:ind w:left="0" w:right="0" w:firstLine="0"/>
        <w:jc w:val="center"/>
      </w:pPr>
      <w:r>
        <w:rPr>
          <w:color w:val="000000"/>
          <w:spacing w:val="0"/>
          <w:w w:val="100"/>
          <w:position w:val="0"/>
        </w:rPr>
        <w:t>2021</w:t>
      </w:r>
      <w:r>
        <w:rPr>
          <w:rFonts w:ascii="SimSun" w:eastAsia="SimSun" w:hAnsi="SimSun" w:cs="SimSun"/>
          <w:color w:val="000000"/>
          <w:spacing w:val="0"/>
          <w:w w:val="100"/>
          <w:position w:val="0"/>
        </w:rPr>
        <w:t>年</w:t>
      </w:r>
      <w:r>
        <w:rPr>
          <w:color w:val="000000"/>
          <w:spacing w:val="0"/>
          <w:w w:val="100"/>
          <w:position w:val="0"/>
        </w:rPr>
        <w:t>4</w:t>
      </w:r>
      <w:r>
        <w:rPr>
          <w:rFonts w:ascii="SimSun" w:eastAsia="SimSun" w:hAnsi="SimSun" w:cs="SimSun"/>
          <w:color w:val="000000"/>
          <w:spacing w:val="0"/>
          <w:w w:val="100"/>
          <w:position w:val="0"/>
        </w:rPr>
        <w:t>月</w:t>
      </w:r>
    </w:p>
    <w:p>
      <w:pPr>
        <w:framePr w:w="768" w:h="437" w:hSpace="1291" w:wrap="notBeside" w:vAnchor="text" w:hAnchor="text" w:y="1"/>
        <w:widowControl w:val="0"/>
        <w:rPr>
          <w:sz w:val="2"/>
          <w:szCs w:val="2"/>
        </w:rPr>
      </w:pPr>
      <w:r>
        <w:drawing>
          <wp:inline>
            <wp:extent cx="487680" cy="280670"/>
            <wp:docPr id="16" name="Picutre 16"/>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stretch/>
                  </pic:blipFill>
                  <pic:spPr>
                    <a:xfrm>
                      <a:ext cx="487680" cy="280670"/>
                    </a:xfrm>
                    <a:prstGeom prst="rect"/>
                  </pic:spPr>
                </pic:pic>
              </a:graphicData>
            </a:graphic>
          </wp:inline>
        </w:drawing>
      </w:r>
    </w:p>
    <w:p>
      <w:pPr>
        <w:widowControl w:val="0"/>
        <w:spacing w:line="1" w:lineRule="exact"/>
      </w:pPr>
      <w:r>
        <mc:AlternateContent>
          <mc:Choice Requires="wps">
            <w:drawing>
              <wp:anchor distT="0" distB="0" distL="0" distR="5401310" simplePos="0" relativeHeight="125829378" behindDoc="0" locked="0" layoutInCell="1" allowOverlap="1">
                <wp:simplePos x="0" y="0"/>
                <wp:positionH relativeFrom="column">
                  <wp:posOffset>487680</wp:posOffset>
                </wp:positionH>
                <wp:positionV relativeFrom="paragraph">
                  <wp:posOffset>6350</wp:posOffset>
                </wp:positionV>
                <wp:extent cx="819785" cy="250190"/>
                <wp:wrapTopAndBottom/>
                <wp:docPr id="17" name="Shape 17"/>
                <a:graphic xmlns:a="http://schemas.openxmlformats.org/drawingml/2006/main">
                  <a:graphicData uri="http://schemas.microsoft.com/office/word/2010/wordprocessingShape">
                    <wps:wsp>
                      <wps:cNvSpPr txBox="1"/>
                      <wps:spPr>
                        <a:xfrm>
                          <a:ext cx="819785"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043" type="#_x0000_t202" style="position:absolute;margin-left:38.399999999999999pt;margin-top:0.5pt;width:64.549999999999997pt;height:19.699999999999999pt;z-index:-125829375;mso-wrap-distance-left:0;mso-wrap-distance-right:425.30000000000001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20"/>
        <w:keepNext/>
        <w:keepLines/>
        <w:widowControl w:val="0"/>
        <w:shd w:val="clear" w:color="auto" w:fill="auto"/>
        <w:bidi w:val="0"/>
        <w:spacing w:before="0" w:after="420" w:line="240" w:lineRule="auto"/>
        <w:ind w:left="0" w:right="0" w:firstLine="0"/>
        <w:jc w:val="center"/>
      </w:pPr>
      <w:bookmarkStart w:id="6" w:name="bookmark6"/>
      <w:bookmarkStart w:id="7" w:name="bookmark7"/>
      <w:bookmarkStart w:id="8" w:name="bookmark8"/>
      <w:r>
        <w:rPr>
          <w:color w:val="000000"/>
          <w:spacing w:val="0"/>
          <w:w w:val="100"/>
          <w:position w:val="0"/>
        </w:rPr>
        <w:t>第一节重要提示、目录和释义</w:t>
      </w:r>
      <w:bookmarkEnd w:id="6"/>
      <w:bookmarkEnd w:id="7"/>
      <w:bookmarkEnd w:id="8"/>
    </w:p>
    <w:p>
      <w:pPr>
        <w:pStyle w:val="Style18"/>
        <w:keepNext w:val="0"/>
        <w:keepLines w:val="0"/>
        <w:widowControl w:val="0"/>
        <w:shd w:val="clear" w:color="auto" w:fill="auto"/>
        <w:bidi w:val="0"/>
        <w:spacing w:before="0" w:after="0"/>
        <w:ind w:left="0" w:right="0"/>
        <w:jc w:val="left"/>
      </w:pPr>
      <w:r>
        <w:rPr>
          <w:color w:val="000000"/>
          <w:spacing w:val="0"/>
          <w:w w:val="100"/>
          <w:position w:val="0"/>
          <w:sz w:val="24"/>
          <w:szCs w:val="24"/>
        </w:rPr>
        <w:t>公司董事会、监事会及董事、监事、高级管理人员保证年度报告内容的真实、准确、完 整，不存在虚假记载、误导性陈述或者重大遗漏，并承担个别和连带的法律责任。</w:t>
      </w:r>
    </w:p>
    <w:p>
      <w:pPr>
        <w:pStyle w:val="Style18"/>
        <w:keepNext w:val="0"/>
        <w:keepLines w:val="0"/>
        <w:widowControl w:val="0"/>
        <w:shd w:val="clear" w:color="auto" w:fill="auto"/>
        <w:bidi w:val="0"/>
        <w:spacing w:before="0" w:after="0"/>
        <w:ind w:left="0" w:right="0"/>
        <w:jc w:val="left"/>
      </w:pPr>
      <w:r>
        <w:rPr>
          <w:color w:val="000000"/>
          <w:spacing w:val="0"/>
          <w:w w:val="100"/>
          <w:position w:val="0"/>
          <w:sz w:val="24"/>
          <w:szCs w:val="24"/>
        </w:rPr>
        <w:t>公司负责人何任晖、主管会计工作负责人李绣及会计机构负责人（会计主管人员）谭波涛 声明：保证本年度报告中财务报告的真实、准确、完整。</w:t>
      </w:r>
    </w:p>
    <w:p>
      <w:pPr>
        <w:pStyle w:val="Style18"/>
        <w:keepNext w:val="0"/>
        <w:keepLines w:val="0"/>
        <w:widowControl w:val="0"/>
        <w:shd w:val="clear" w:color="auto" w:fill="auto"/>
        <w:bidi w:val="0"/>
        <w:spacing w:before="0" w:after="0"/>
        <w:ind w:left="0" w:right="0"/>
        <w:jc w:val="left"/>
      </w:pPr>
      <w:r>
        <w:rPr>
          <w:color w:val="000000"/>
          <w:spacing w:val="0"/>
          <w:w w:val="100"/>
          <w:position w:val="0"/>
          <w:sz w:val="24"/>
          <w:szCs w:val="24"/>
        </w:rPr>
        <w:t>所有董事均已出席了审议本报告的董事会会议。</w:t>
      </w:r>
    </w:p>
    <w:p>
      <w:pPr>
        <w:pStyle w:val="Style18"/>
        <w:keepNext w:val="0"/>
        <w:keepLines w:val="0"/>
        <w:widowControl w:val="0"/>
        <w:shd w:val="clear" w:color="auto" w:fill="auto"/>
        <w:bidi w:val="0"/>
        <w:spacing w:before="0" w:after="0"/>
        <w:ind w:left="0" w:right="0"/>
        <w:jc w:val="left"/>
      </w:pPr>
      <w:r>
        <w:rPr>
          <w:color w:val="000000"/>
          <w:spacing w:val="0"/>
          <w:w w:val="100"/>
          <w:position w:val="0"/>
          <w:sz w:val="24"/>
          <w:szCs w:val="24"/>
        </w:rPr>
        <w:t>本报告如有涉及未来计划等前瞻性陈述，不构成公司对投资者的实质承诺，投资者及相 关人士均应当对此保持足够的风险认识并且应当理解计划、预测与承诺之间的差异。其他风 险提示如下：</w:t>
      </w:r>
    </w:p>
    <w:p>
      <w:pPr>
        <w:pStyle w:val="Style18"/>
        <w:keepNext w:val="0"/>
        <w:keepLines w:val="0"/>
        <w:widowControl w:val="0"/>
        <w:shd w:val="clear" w:color="auto" w:fill="auto"/>
        <w:tabs>
          <w:tab w:pos="872" w:val="left"/>
        </w:tabs>
        <w:bidi w:val="0"/>
        <w:spacing w:before="0" w:after="0"/>
        <w:ind w:left="0" w:right="0"/>
        <w:jc w:val="left"/>
      </w:pPr>
      <w:bookmarkStart w:id="9" w:name="bookmark9"/>
      <w:r>
        <w:rPr>
          <w:color w:val="000000"/>
          <w:spacing w:val="0"/>
          <w:w w:val="100"/>
          <w:position w:val="0"/>
          <w:sz w:val="24"/>
          <w:szCs w:val="24"/>
        </w:rPr>
        <w:t>1</w:t>
      </w:r>
      <w:bookmarkEnd w:id="9"/>
      <w:r>
        <w:rPr>
          <w:color w:val="000000"/>
          <w:spacing w:val="0"/>
          <w:w w:val="100"/>
          <w:position w:val="0"/>
          <w:sz w:val="24"/>
          <w:szCs w:val="24"/>
        </w:rPr>
        <w:t>、</w:t>
        <w:tab/>
        <w:t>市场竞争风险</w:t>
      </w:r>
    </w:p>
    <w:p>
      <w:pPr>
        <w:pStyle w:val="Style18"/>
        <w:keepNext w:val="0"/>
        <w:keepLines w:val="0"/>
        <w:widowControl w:val="0"/>
        <w:shd w:val="clear" w:color="auto" w:fill="auto"/>
        <w:bidi w:val="0"/>
        <w:spacing w:before="0" w:after="0"/>
        <w:ind w:left="0" w:right="0"/>
        <w:jc w:val="left"/>
      </w:pPr>
      <w:r>
        <w:rPr>
          <w:color w:val="000000"/>
          <w:spacing w:val="0"/>
          <w:w w:val="100"/>
          <w:position w:val="0"/>
          <w:sz w:val="24"/>
          <w:szCs w:val="24"/>
        </w:rPr>
        <w:t>经过多年的努力与积累，公司的战略转型工作已经取得了实质性的进展。随着上海米健、 神州视翰、上海今创的收购完成，公司成长为医疗信息化细分领域的优势企业。但随着客户 需求的不断升级，市场竞争者不断增多，行业竞争将进一步加剧。如果公司不能及时进行技 术创新和业务模式创新以提高公司竞争力，公司则存在被竞争对手超越的风险。针对此风险, 在产品技术方面，公司大力投入，进行差异化创新，力争在细分领域处于全国领先水平；在 业务模式方面，逐步探索新的服务模式，不断提升用户黏性和荣科的品牌价值。</w:t>
      </w:r>
    </w:p>
    <w:p>
      <w:pPr>
        <w:pStyle w:val="Style18"/>
        <w:keepNext w:val="0"/>
        <w:keepLines w:val="0"/>
        <w:widowControl w:val="0"/>
        <w:shd w:val="clear" w:color="auto" w:fill="auto"/>
        <w:tabs>
          <w:tab w:pos="886" w:val="left"/>
        </w:tabs>
        <w:bidi w:val="0"/>
        <w:spacing w:before="0" w:after="0"/>
        <w:ind w:left="0" w:right="0"/>
        <w:jc w:val="both"/>
      </w:pPr>
      <w:bookmarkStart w:id="10" w:name="bookmark10"/>
      <w:r>
        <w:rPr>
          <w:color w:val="000000"/>
          <w:spacing w:val="0"/>
          <w:w w:val="100"/>
          <w:position w:val="0"/>
          <w:sz w:val="24"/>
          <w:szCs w:val="24"/>
        </w:rPr>
        <w:t>2</w:t>
      </w:r>
      <w:bookmarkEnd w:id="10"/>
      <w:r>
        <w:rPr>
          <w:color w:val="000000"/>
          <w:spacing w:val="0"/>
          <w:w w:val="100"/>
          <w:position w:val="0"/>
          <w:sz w:val="24"/>
          <w:szCs w:val="24"/>
        </w:rPr>
        <w:t>、</w:t>
        <w:tab/>
        <w:t>季节性波动的风险</w:t>
      </w:r>
    </w:p>
    <w:p>
      <w:pPr>
        <w:pStyle w:val="Style18"/>
        <w:keepNext w:val="0"/>
        <w:keepLines w:val="0"/>
        <w:widowControl w:val="0"/>
        <w:shd w:val="clear" w:color="auto" w:fill="auto"/>
        <w:bidi w:val="0"/>
        <w:spacing w:before="0" w:after="0"/>
        <w:ind w:left="0" w:right="0"/>
        <w:jc w:val="both"/>
      </w:pPr>
      <w:r>
        <w:rPr>
          <w:color w:val="000000"/>
          <w:spacing w:val="0"/>
          <w:w w:val="100"/>
          <w:position w:val="0"/>
          <w:sz w:val="24"/>
          <w:szCs w:val="24"/>
        </w:rPr>
        <w:t>公司的主要客户集中在社保医疗、金融、教育、电力、电信等行业及政府部门，这些客 户通常采取预算管理和产品集中采购制度，一般为当年四季度及次年一季度制订次年年度预 算和投资计划，立项、招标通常集中在次年上半年，其招标、采购和实施具有明显的季节性 特征。公司除运营维护服务，其余各项业务受到客户的预算管理制度、招投标流程和项目实 施周期等因素的影响。公司的收入呈现较明显的季节性特征，主要在四季度实现，导致公司 存在业绩及经营活动现金流季节性波动的风险。针对此风险，公司将深耕业务线拓展产品线, 平滑业绩波动水平；同时加大回款力度，改善经营活动现金流的季节性波动。</w:t>
      </w:r>
    </w:p>
    <w:p>
      <w:pPr>
        <w:pStyle w:val="Style18"/>
        <w:keepNext w:val="0"/>
        <w:keepLines w:val="0"/>
        <w:widowControl w:val="0"/>
        <w:shd w:val="clear" w:color="auto" w:fill="auto"/>
        <w:tabs>
          <w:tab w:pos="886" w:val="left"/>
        </w:tabs>
        <w:bidi w:val="0"/>
        <w:spacing w:before="0" w:after="0"/>
        <w:ind w:left="0" w:right="0"/>
        <w:jc w:val="both"/>
      </w:pPr>
      <w:bookmarkStart w:id="11" w:name="bookmark11"/>
      <w:r>
        <w:rPr>
          <w:color w:val="000000"/>
          <w:spacing w:val="0"/>
          <w:w w:val="100"/>
          <w:position w:val="0"/>
          <w:sz w:val="24"/>
          <w:szCs w:val="24"/>
        </w:rPr>
        <w:t>3</w:t>
      </w:r>
      <w:bookmarkEnd w:id="11"/>
      <w:r>
        <w:rPr>
          <w:color w:val="000000"/>
          <w:spacing w:val="0"/>
          <w:w w:val="100"/>
          <w:position w:val="0"/>
          <w:sz w:val="24"/>
          <w:szCs w:val="24"/>
        </w:rPr>
        <w:t>、</w:t>
        <w:tab/>
        <w:t>人力资源风险</w:t>
      </w:r>
    </w:p>
    <w:p>
      <w:pPr>
        <w:pStyle w:val="Style18"/>
        <w:keepNext w:val="0"/>
        <w:keepLines w:val="0"/>
        <w:widowControl w:val="0"/>
        <w:shd w:val="clear" w:color="auto" w:fill="auto"/>
        <w:bidi w:val="0"/>
        <w:spacing w:before="0" w:after="220"/>
        <w:ind w:left="0" w:right="0"/>
        <w:jc w:val="both"/>
        <w:sectPr>
          <w:footnotePr>
            <w:pos w:val="pageBottom"/>
            <w:numFmt w:val="decimal"/>
            <w:numRestart w:val="continuous"/>
          </w:footnotePr>
          <w:type w:val="continuous"/>
          <w:pgSz w:w="11900" w:h="16840"/>
          <w:pgMar w:top="1102" w:right="1013" w:bottom="1842" w:left="1091" w:header="0" w:footer="3" w:gutter="0"/>
          <w:cols w:space="720"/>
          <w:noEndnote/>
          <w:rtlGutter w:val="0"/>
          <w:docGrid w:linePitch="360"/>
        </w:sectPr>
      </w:pPr>
      <w:r>
        <w:rPr>
          <w:color w:val="000000"/>
          <w:spacing w:val="0"/>
          <w:w w:val="100"/>
          <w:position w:val="0"/>
          <w:sz w:val="24"/>
          <w:szCs w:val="24"/>
        </w:rPr>
        <w:t>科技以人为本，公司欲实现持续稳定的发展，人才是关键要素之一。随着行业内竞争的 逐渐加剧，对于高素质人才的争夺会更加激烈，公司可能面临因竞争而流失人才的风险。针</w:t>
      </w:r>
    </w:p>
    <w:p>
      <w:pPr>
        <w:pStyle w:val="Style5"/>
        <w:keepNext w:val="0"/>
        <w:keepLines w:val="0"/>
        <w:widowControl w:val="0"/>
        <w:shd w:val="clear" w:color="auto" w:fill="auto"/>
        <w:bidi w:val="0"/>
        <w:spacing w:before="0" w:after="60" w:line="240" w:lineRule="auto"/>
        <w:ind w:left="0" w:right="0" w:firstLine="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tabs>
          <w:tab w:pos="832" w:val="left"/>
        </w:tabs>
        <w:bidi w:val="0"/>
        <w:spacing w:before="0" w:after="0" w:line="240" w:lineRule="auto"/>
        <w:ind w:left="0" w:right="0" w:firstLine="180"/>
        <w:jc w:val="both"/>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18"/>
        <w:keepNext w:val="0"/>
        <w:keepLines w:val="0"/>
        <w:widowControl w:val="0"/>
        <w:shd w:val="clear" w:color="auto" w:fill="auto"/>
        <w:bidi w:val="0"/>
        <w:spacing w:before="0" w:after="0" w:line="470" w:lineRule="exact"/>
        <w:ind w:left="0" w:right="0" w:firstLine="0"/>
        <w:jc w:val="both"/>
      </w:pPr>
      <w:r>
        <w:rPr>
          <w:color w:val="000000"/>
          <w:spacing w:val="0"/>
          <w:w w:val="100"/>
          <w:position w:val="0"/>
          <w:sz w:val="24"/>
          <w:szCs w:val="24"/>
        </w:rPr>
        <w:t>对此风险，公司充分发挥人才激励机制，继续提高核心人才的薪酬福利，积极营造良好重才 爱才氛围，完善职业发展通道，让人才真正得到实惠，人才潜能更大发挥。</w:t>
      </w:r>
    </w:p>
    <w:p>
      <w:pPr>
        <w:pStyle w:val="Style18"/>
        <w:keepNext w:val="0"/>
        <w:keepLines w:val="0"/>
        <w:widowControl w:val="0"/>
        <w:shd w:val="clear" w:color="auto" w:fill="auto"/>
        <w:tabs>
          <w:tab w:pos="843" w:val="left"/>
        </w:tabs>
        <w:bidi w:val="0"/>
        <w:spacing w:before="0" w:after="0" w:line="470" w:lineRule="exact"/>
        <w:ind w:left="0" w:right="0"/>
        <w:jc w:val="both"/>
      </w:pPr>
      <w:bookmarkStart w:id="12" w:name="bookmark12"/>
      <w:r>
        <w:rPr>
          <w:color w:val="000000"/>
          <w:spacing w:val="0"/>
          <w:w w:val="100"/>
          <w:position w:val="0"/>
          <w:sz w:val="24"/>
          <w:szCs w:val="24"/>
        </w:rPr>
        <w:t>4</w:t>
      </w:r>
      <w:bookmarkEnd w:id="12"/>
      <w:r>
        <w:rPr>
          <w:color w:val="000000"/>
          <w:spacing w:val="0"/>
          <w:w w:val="100"/>
          <w:position w:val="0"/>
          <w:sz w:val="24"/>
          <w:szCs w:val="24"/>
        </w:rPr>
        <w:t>、</w:t>
        <w:tab/>
        <w:t>应收账款增加风险</w:t>
      </w:r>
    </w:p>
    <w:p>
      <w:pPr>
        <w:pStyle w:val="Style18"/>
        <w:keepNext w:val="0"/>
        <w:keepLines w:val="0"/>
        <w:widowControl w:val="0"/>
        <w:shd w:val="clear" w:color="auto" w:fill="auto"/>
        <w:bidi w:val="0"/>
        <w:spacing w:before="0" w:after="0" w:line="472" w:lineRule="exact"/>
        <w:ind w:left="0" w:right="0"/>
        <w:jc w:val="both"/>
      </w:pPr>
      <w:r>
        <w:rPr>
          <w:color w:val="000000"/>
          <w:spacing w:val="0"/>
          <w:w w:val="100"/>
          <w:position w:val="0"/>
          <w:sz w:val="24"/>
          <w:szCs w:val="24"/>
        </w:rPr>
        <w:t>公司近年来应收账款随着销售规模的增长而不断增加，应收账款的增加将为公司带来一 定的风险。公司的主要应收账款集中在教育、社保医疗、政府等资质良好及合作多年的优质 客户，资金回收保障较高，但随着销售规模的不断增加仍存在一定的风险。针对此风险，公 司管理层将持续加强应收账款的管理工作，加大应收账款的催收和绩效考核力度，实现对应 收账款的有效控制，进一步提升资金运营效率。同时，做好客户信用风险评估管理工作，并 对应收账款回收情况有效监督和控制。</w:t>
      </w:r>
    </w:p>
    <w:p>
      <w:pPr>
        <w:pStyle w:val="Style18"/>
        <w:keepNext w:val="0"/>
        <w:keepLines w:val="0"/>
        <w:widowControl w:val="0"/>
        <w:shd w:val="clear" w:color="auto" w:fill="auto"/>
        <w:tabs>
          <w:tab w:pos="843" w:val="left"/>
        </w:tabs>
        <w:bidi w:val="0"/>
        <w:spacing w:before="0" w:after="0" w:line="472" w:lineRule="exact"/>
        <w:ind w:left="0" w:right="0"/>
        <w:jc w:val="both"/>
      </w:pPr>
      <w:bookmarkStart w:id="13" w:name="bookmark13"/>
      <w:r>
        <w:rPr>
          <w:color w:val="000000"/>
          <w:spacing w:val="0"/>
          <w:w w:val="100"/>
          <w:position w:val="0"/>
          <w:sz w:val="24"/>
          <w:szCs w:val="24"/>
        </w:rPr>
        <w:t>5</w:t>
      </w:r>
      <w:bookmarkEnd w:id="13"/>
      <w:r>
        <w:rPr>
          <w:color w:val="000000"/>
          <w:spacing w:val="0"/>
          <w:w w:val="100"/>
          <w:position w:val="0"/>
          <w:sz w:val="24"/>
          <w:szCs w:val="24"/>
        </w:rPr>
        <w:t>、</w:t>
        <w:tab/>
        <w:t>并购与整合风险</w:t>
      </w:r>
    </w:p>
    <w:p>
      <w:pPr>
        <w:pStyle w:val="Style18"/>
        <w:keepNext w:val="0"/>
        <w:keepLines w:val="0"/>
        <w:widowControl w:val="0"/>
        <w:shd w:val="clear" w:color="auto" w:fill="auto"/>
        <w:bidi w:val="0"/>
        <w:spacing w:before="0" w:after="0" w:line="472" w:lineRule="exact"/>
        <w:ind w:left="0" w:right="0"/>
        <w:jc w:val="both"/>
      </w:pPr>
      <w:r>
        <w:rPr>
          <w:color w:val="000000"/>
          <w:spacing w:val="0"/>
          <w:w w:val="100"/>
          <w:position w:val="0"/>
          <w:sz w:val="24"/>
          <w:szCs w:val="24"/>
        </w:rPr>
        <w:t>近年来，公司继续借助资本市场平台，围绕公司整体发展战略及规划进行前瞻性投资和 布局，大力发展外延式并购，已完成对被收购公司上海米健、北京神州视翰、上海今创的并 购。在此过程中：</w:t>
      </w:r>
    </w:p>
    <w:p>
      <w:pPr>
        <w:pStyle w:val="Style18"/>
        <w:keepNext w:val="0"/>
        <w:keepLines w:val="0"/>
        <w:widowControl w:val="0"/>
        <w:shd w:val="clear" w:color="auto" w:fill="auto"/>
        <w:tabs>
          <w:tab w:pos="1102" w:val="left"/>
        </w:tabs>
        <w:bidi w:val="0"/>
        <w:spacing w:before="0" w:after="0" w:line="472" w:lineRule="exact"/>
        <w:ind w:left="0" w:right="0"/>
        <w:jc w:val="both"/>
      </w:pPr>
      <w:bookmarkStart w:id="14" w:name="bookmark14"/>
      <w:r>
        <w:rPr>
          <w:color w:val="000000"/>
          <w:spacing w:val="0"/>
          <w:w w:val="100"/>
          <w:position w:val="0"/>
          <w:sz w:val="24"/>
          <w:szCs w:val="24"/>
        </w:rPr>
        <w:t>（</w:t>
      </w:r>
      <w:bookmarkEnd w:id="14"/>
      <w:r>
        <w:rPr>
          <w:color w:val="000000"/>
          <w:spacing w:val="0"/>
          <w:w w:val="100"/>
          <w:position w:val="0"/>
          <w:sz w:val="24"/>
          <w:szCs w:val="24"/>
        </w:rPr>
        <w:t>1）</w:t>
        <w:tab/>
        <w:t>公司按非同一控制下的企业合并将合并成本与确认的被收购方可辨认净资产公允 价值份额之间的差额确认为商誉，公司合并报表确认的商誉增加。如未来被收购的公司存在 发展低于预期，不能保持稳定向好发展，公司存在计提商誉减值的风险，对公司整体业绩产 生不利影响。针对上述风险，公司将进一步加强子公司特别是商誉账面金额较大子公司的管 控，充分利用公司资源，统筹安排，发挥协同效应，优化产品结构，努力保障子公司生产经 营稳定，防范和化解商誉减值风险。</w:t>
      </w:r>
    </w:p>
    <w:p>
      <w:pPr>
        <w:pStyle w:val="Style18"/>
        <w:keepNext w:val="0"/>
        <w:keepLines w:val="0"/>
        <w:widowControl w:val="0"/>
        <w:shd w:val="clear" w:color="auto" w:fill="auto"/>
        <w:tabs>
          <w:tab w:pos="1102" w:val="left"/>
        </w:tabs>
        <w:bidi w:val="0"/>
        <w:spacing w:before="0" w:after="0" w:line="480" w:lineRule="exact"/>
        <w:ind w:left="0" w:right="0"/>
        <w:jc w:val="both"/>
      </w:pPr>
      <w:bookmarkStart w:id="15" w:name="bookmark15"/>
      <w:r>
        <w:rPr>
          <w:color w:val="000000"/>
          <w:spacing w:val="0"/>
          <w:w w:val="100"/>
          <w:position w:val="0"/>
          <w:sz w:val="24"/>
          <w:szCs w:val="24"/>
        </w:rPr>
        <w:t>（</w:t>
      </w:r>
      <w:bookmarkEnd w:id="15"/>
      <w:r>
        <w:rPr>
          <w:color w:val="000000"/>
          <w:spacing w:val="0"/>
          <w:w w:val="100"/>
          <w:position w:val="0"/>
          <w:sz w:val="24"/>
          <w:szCs w:val="24"/>
        </w:rPr>
        <w:t>2）</w:t>
        <w:tab/>
        <w:t>公司收购米健信息和神州视翰100%股权，收购上海今创70%股权，属于非同一控 制下企业合并，根据《企业会计准则20号一企业合并》，编制合并财务报表时，应当以购买 日确定的各项可辨认资产、负债及或有负债的公允价值为基础对子公司的财务报表进行调整。</w:t>
      </w:r>
    </w:p>
    <w:p>
      <w:pPr>
        <w:pStyle w:val="Style18"/>
        <w:keepNext w:val="0"/>
        <w:keepLines w:val="0"/>
        <w:widowControl w:val="0"/>
        <w:shd w:val="clear" w:color="auto" w:fill="auto"/>
        <w:bidi w:val="0"/>
        <w:spacing w:before="0" w:after="0" w:line="475" w:lineRule="exact"/>
        <w:ind w:left="0" w:right="0" w:firstLine="0"/>
        <w:jc w:val="both"/>
      </w:pPr>
      <w:r>
        <w:rPr>
          <w:color w:val="000000"/>
          <w:spacing w:val="0"/>
          <w:w w:val="100"/>
          <w:position w:val="0"/>
          <w:sz w:val="24"/>
          <w:szCs w:val="24"/>
        </w:rPr>
        <w:t>在合并报表层面，米健信息、神州视翰、上海今创可辨认资产按照公允价值进行确认，按照 该资产预计使用年限进行折旧或摊销。因此，米健信息、神州视翰、上海今创无形资产的公 允价值与账面价值之间增值部分的摊销额将降低收购完成后公司合并报表业绩。</w:t>
      </w:r>
    </w:p>
    <w:p>
      <w:pPr>
        <w:pStyle w:val="Style18"/>
        <w:keepNext w:val="0"/>
        <w:keepLines w:val="0"/>
        <w:widowControl w:val="0"/>
        <w:shd w:val="clear" w:color="auto" w:fill="auto"/>
        <w:tabs>
          <w:tab w:pos="1102" w:val="left"/>
        </w:tabs>
        <w:bidi w:val="0"/>
        <w:spacing w:before="0" w:after="0" w:line="474" w:lineRule="exact"/>
        <w:ind w:left="0" w:right="0"/>
        <w:jc w:val="both"/>
      </w:pPr>
      <w:bookmarkStart w:id="16" w:name="bookmark16"/>
      <w:r>
        <w:rPr>
          <w:color w:val="000000"/>
          <w:spacing w:val="0"/>
          <w:w w:val="100"/>
          <w:position w:val="0"/>
          <w:sz w:val="24"/>
          <w:szCs w:val="24"/>
        </w:rPr>
        <w:t>（</w:t>
      </w:r>
      <w:bookmarkEnd w:id="16"/>
      <w:r>
        <w:rPr>
          <w:color w:val="000000"/>
          <w:spacing w:val="0"/>
          <w:w w:val="100"/>
          <w:position w:val="0"/>
          <w:sz w:val="24"/>
          <w:szCs w:val="24"/>
        </w:rPr>
        <w:t>3）</w:t>
        <w:tab/>
        <w:t>公司的资产规模和业务范围都将扩大，通过发挥协同效应，将提升公司的盈利能 力和核心竞争力。未来，公司将会对其进行业务体系、组织机构、营销网络、管理制度、技 术研发、人力资源、财务融资、企业文化等方面的整合，以实现优势互补、发挥协同效应、 提高整合绩效。但如果本次整合不能达到预期效果，将会对公司的经营和股东的利益产生不</w:t>
      </w:r>
    </w:p>
    <w:p>
      <w:pPr>
        <w:pStyle w:val="Style5"/>
        <w:keepNext w:val="0"/>
        <w:keepLines w:val="0"/>
        <w:widowControl w:val="0"/>
        <w:shd w:val="clear" w:color="auto" w:fill="auto"/>
        <w:tabs>
          <w:tab w:pos="764" w:val="left"/>
        </w:tabs>
        <w:bidi w:val="0"/>
        <w:spacing w:before="0" w:after="40"/>
        <w:ind w:left="140" w:right="0" w:firstLine="20"/>
        <w:jc w:val="both"/>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18"/>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利影响。</w:t>
      </w:r>
    </w:p>
    <w:p>
      <w:pPr>
        <w:pStyle w:val="Style18"/>
        <w:keepNext w:val="0"/>
        <w:keepLines w:val="0"/>
        <w:widowControl w:val="0"/>
        <w:shd w:val="clear" w:color="auto" w:fill="auto"/>
        <w:bidi w:val="0"/>
        <w:spacing w:before="0" w:after="40" w:line="466" w:lineRule="exact"/>
        <w:ind w:left="0" w:right="0"/>
        <w:jc w:val="both"/>
      </w:pPr>
      <w:bookmarkStart w:id="17" w:name="bookmark17"/>
      <w:r>
        <w:rPr>
          <w:color w:val="000000"/>
          <w:spacing w:val="0"/>
          <w:w w:val="100"/>
          <w:position w:val="0"/>
          <w:sz w:val="24"/>
          <w:szCs w:val="24"/>
        </w:rPr>
        <w:t>6</w:t>
      </w:r>
      <w:bookmarkEnd w:id="17"/>
      <w:r>
        <w:rPr>
          <w:color w:val="000000"/>
          <w:spacing w:val="0"/>
          <w:w w:val="100"/>
          <w:position w:val="0"/>
          <w:sz w:val="24"/>
          <w:szCs w:val="24"/>
        </w:rPr>
        <w:t>、战略风险</w:t>
      </w:r>
    </w:p>
    <w:p>
      <w:pPr>
        <w:pStyle w:val="Style18"/>
        <w:keepNext w:val="0"/>
        <w:keepLines w:val="0"/>
        <w:widowControl w:val="0"/>
        <w:shd w:val="clear" w:color="auto" w:fill="auto"/>
        <w:bidi w:val="0"/>
        <w:spacing w:before="0" w:after="0" w:line="466" w:lineRule="exact"/>
        <w:ind w:left="0" w:right="0"/>
        <w:jc w:val="both"/>
      </w:pPr>
      <w:r>
        <w:rPr>
          <w:color w:val="000000"/>
          <w:spacing w:val="0"/>
          <w:w w:val="100"/>
          <w:position w:val="0"/>
          <w:sz w:val="24"/>
          <w:szCs w:val="24"/>
        </w:rPr>
        <w:t>综合分析国内外形势，我国发展面临的机遇和挑战并存。全球经济增速放缓，潜在危机 增多，主要经济体政策调整及其外溢效应带来变数，保护主义加剧，中美贸易摩擦、地缘政 治风险上升。我国国产化替代进程可能因政策、技术和应用等因素而放缓，国产化平台整个 生态系统中的所有因素出现问题都可能会影响到智维云服务战略的落地执行与产品的市场推 广效果。因此，公司将会与各国产化平台厂商进一步加强战略合作，共同携手拓展客户资源 和市场，促进国产化替代进程，同时加强服务网络的建设，改进服务模式，进一步提高公司 产品与服务的竞争力。国内经济正处在转变发展方式、优化经济结构、转换增长动力的攻关 期，需要应对可以预料和难以预料的风险挑战。这些因素都可能引致社会和企业的</w:t>
      </w:r>
      <w:r>
        <w:rPr>
          <w:color w:val="000000"/>
          <w:spacing w:val="0"/>
          <w:w w:val="100"/>
          <w:position w:val="0"/>
          <w:sz w:val="24"/>
          <w:szCs w:val="24"/>
        </w:rPr>
        <w:t>IT</w:t>
      </w:r>
      <w:r>
        <w:rPr>
          <w:color w:val="000000"/>
          <w:spacing w:val="0"/>
          <w:w w:val="100"/>
          <w:position w:val="0"/>
          <w:sz w:val="24"/>
          <w:szCs w:val="24"/>
        </w:rPr>
        <w:t>需求 以及信息消费投入下降，进一步加剧市场竞争，为公司发展带来困难和挑战。</w:t>
      </w:r>
    </w:p>
    <w:p>
      <w:pPr>
        <w:pStyle w:val="Style18"/>
        <w:keepNext w:val="0"/>
        <w:keepLines w:val="0"/>
        <w:widowControl w:val="0"/>
        <w:shd w:val="clear" w:color="auto" w:fill="auto"/>
        <w:bidi w:val="0"/>
        <w:spacing w:before="0" w:after="40" w:line="466" w:lineRule="exact"/>
        <w:ind w:left="0" w:right="0"/>
        <w:jc w:val="both"/>
        <w:sectPr>
          <w:headerReference w:type="default" r:id="rId15"/>
          <w:footerReference w:type="default" r:id="rId16"/>
          <w:headerReference w:type="even" r:id="rId17"/>
          <w:footerReference w:type="even" r:id="rId18"/>
          <w:headerReference w:type="first" r:id="rId19"/>
          <w:footerReference w:type="first" r:id="rId20"/>
          <w:footnotePr>
            <w:pos w:val="pageBottom"/>
            <w:numFmt w:val="decimal"/>
            <w:numRestart w:val="continuous"/>
          </w:footnotePr>
          <w:pgSz w:w="11900" w:h="16840"/>
          <w:pgMar w:top="1102" w:right="1013" w:bottom="1842" w:left="1091" w:header="0" w:footer="3" w:gutter="0"/>
          <w:cols w:space="720"/>
          <w:noEndnote/>
          <w:titlePg/>
          <w:rtlGutter w:val="0"/>
          <w:docGrid w:linePitch="360"/>
        </w:sectPr>
      </w:pPr>
      <w:r>
        <w:rPr>
          <w:color w:val="000000"/>
          <w:spacing w:val="0"/>
          <w:w w:val="100"/>
          <w:position w:val="0"/>
          <w:sz w:val="24"/>
          <w:szCs w:val="24"/>
        </w:rPr>
        <w:t>公司经本次董事会审议通过的利润分配预案为：以现有总股本597,527,930股为基数，向 全体股东每10股派发现金红利</w:t>
      </w:r>
      <w:r>
        <w:rPr>
          <w:color w:val="000000"/>
          <w:spacing w:val="0"/>
          <w:w w:val="100"/>
          <w:position w:val="0"/>
          <w:sz w:val="24"/>
          <w:szCs w:val="24"/>
        </w:rPr>
        <w:t>0.28</w:t>
      </w:r>
      <w:r>
        <w:rPr>
          <w:color w:val="000000"/>
          <w:spacing w:val="0"/>
          <w:w w:val="100"/>
          <w:position w:val="0"/>
          <w:sz w:val="24"/>
          <w:szCs w:val="24"/>
        </w:rPr>
        <w:t>元（含税），送红股0股（含税），以资本公积金向全体 股东每10股转增0股。</w:t>
      </w:r>
    </w:p>
    <w:p>
      <w:pPr>
        <w:pStyle w:val="Style5"/>
        <w:keepNext w:val="0"/>
        <w:keepLines w:val="0"/>
        <w:widowControl w:val="0"/>
        <w:shd w:val="clear" w:color="auto" w:fill="auto"/>
        <w:bidi w:val="0"/>
        <w:spacing w:before="0" w:after="60" w:line="240" w:lineRule="auto"/>
        <w:ind w:left="0" w:right="0" w:firstLine="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tabs>
          <w:tab w:pos="766" w:val="left"/>
        </w:tabs>
        <w:bidi w:val="0"/>
        <w:spacing w:before="0" w:after="1360" w:line="240" w:lineRule="auto"/>
        <w:ind w:left="0" w:right="0" w:firstLine="18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16"/>
        <w:keepNext w:val="0"/>
        <w:keepLines w:val="0"/>
        <w:widowControl w:val="0"/>
        <w:shd w:val="clear" w:color="auto" w:fill="auto"/>
        <w:bidi w:val="0"/>
        <w:spacing w:before="0" w:after="1580" w:line="240" w:lineRule="auto"/>
        <w:ind w:left="0" w:right="0" w:firstLine="0"/>
        <w:jc w:val="center"/>
      </w:pPr>
      <w:r>
        <w:rPr>
          <w:color w:val="000000"/>
          <w:spacing w:val="0"/>
          <w:w w:val="100"/>
          <w:position w:val="0"/>
        </w:rPr>
        <w:t>目录</w:t>
      </w:r>
    </w:p>
    <w:p>
      <w:pPr>
        <w:pStyle w:val="Style41"/>
        <w:keepNext w:val="0"/>
        <w:keepLines w:val="0"/>
        <w:widowControl w:val="0"/>
        <w:shd w:val="clear" w:color="auto" w:fill="auto"/>
        <w:tabs>
          <w:tab w:leader="dot" w:pos="9611" w:val="right"/>
        </w:tabs>
        <w:bidi w:val="0"/>
        <w:spacing w:before="0" w:line="240" w:lineRule="auto"/>
        <w:ind w:left="0" w:right="0" w:firstLine="0"/>
        <w:jc w:val="both"/>
      </w:pPr>
      <w:r>
        <w:fldChar w:fldCharType="begin"/>
        <w:instrText xml:space="preserve"> TOC \o "1-5" \h \z </w:instrText>
        <w:fldChar w:fldCharType="separate"/>
      </w:r>
      <w:hyperlink w:anchor="bookmark7" w:tooltip="Current Document">
        <w:r>
          <w:rPr>
            <w:color w:val="000000"/>
            <w:spacing w:val="0"/>
            <w:w w:val="100"/>
            <w:position w:val="0"/>
            <w:sz w:val="24"/>
            <w:szCs w:val="24"/>
          </w:rPr>
          <w:t>第一节 重要提示、目录和释义</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2</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25" w:tooltip="Current Document">
        <w:r>
          <w:rPr>
            <w:color w:val="000000"/>
            <w:spacing w:val="0"/>
            <w:w w:val="100"/>
            <w:position w:val="0"/>
            <w:sz w:val="24"/>
            <w:szCs w:val="24"/>
          </w:rPr>
          <w:t>第二节公司简介和主要财务指标</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7</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67" w:tooltip="Current Document">
        <w:r>
          <w:rPr>
            <w:color w:val="000000"/>
            <w:spacing w:val="0"/>
            <w:w w:val="100"/>
            <w:position w:val="0"/>
            <w:sz w:val="24"/>
            <w:szCs w:val="24"/>
          </w:rPr>
          <w:t>第三节 公司业务概要</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11</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99" w:tooltip="Current Document">
        <w:r>
          <w:rPr>
            <w:color w:val="000000"/>
            <w:spacing w:val="0"/>
            <w:w w:val="100"/>
            <w:position w:val="0"/>
            <w:sz w:val="24"/>
            <w:szCs w:val="24"/>
          </w:rPr>
          <w:t>第四节 经营情况讨论与分析</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16</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285" w:tooltip="Current Document">
        <w:r>
          <w:rPr>
            <w:color w:val="000000"/>
            <w:spacing w:val="0"/>
            <w:w w:val="100"/>
            <w:position w:val="0"/>
            <w:sz w:val="24"/>
            <w:szCs w:val="24"/>
          </w:rPr>
          <w:t>第五节重要事项</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40</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465" w:tooltip="Current Document">
        <w:r>
          <w:rPr>
            <w:color w:val="000000"/>
            <w:spacing w:val="0"/>
            <w:w w:val="100"/>
            <w:position w:val="0"/>
            <w:sz w:val="24"/>
            <w:szCs w:val="24"/>
          </w:rPr>
          <w:t>第六节股份变动及股东情况</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57</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520" w:tooltip="Current Document">
        <w:r>
          <w:rPr>
            <w:color w:val="000000"/>
            <w:spacing w:val="0"/>
            <w:w w:val="100"/>
            <w:position w:val="0"/>
            <w:sz w:val="24"/>
            <w:szCs w:val="24"/>
          </w:rPr>
          <w:t>第七节优先股相关情况</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63</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526" w:tooltip="Current Document">
        <w:r>
          <w:rPr>
            <w:color w:val="000000"/>
            <w:spacing w:val="0"/>
            <w:w w:val="100"/>
            <w:position w:val="0"/>
            <w:sz w:val="24"/>
            <w:szCs w:val="24"/>
          </w:rPr>
          <w:t>第八节可转换公司债券相关情况</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64</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529" w:tooltip="Current Document">
        <w:r>
          <w:rPr>
            <w:color w:val="000000"/>
            <w:spacing w:val="0"/>
            <w:w w:val="100"/>
            <w:position w:val="0"/>
            <w:sz w:val="24"/>
            <w:szCs w:val="24"/>
          </w:rPr>
          <w:t>第九节董事、监事、高级管理人员和员工情况</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65</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581" w:tooltip="Current Document">
        <w:r>
          <w:rPr>
            <w:color w:val="000000"/>
            <w:spacing w:val="0"/>
            <w:w w:val="100"/>
            <w:position w:val="0"/>
            <w:sz w:val="24"/>
            <w:szCs w:val="24"/>
          </w:rPr>
          <w:t>第十节公司治理</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74</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665" w:tooltip="Current Document">
        <w:r>
          <w:rPr>
            <w:color w:val="000000"/>
            <w:spacing w:val="0"/>
            <w:w w:val="100"/>
            <w:position w:val="0"/>
            <w:sz w:val="24"/>
            <w:szCs w:val="24"/>
          </w:rPr>
          <w:t>第十一节公司债券相关情况</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79</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671" w:tooltip="Current Document">
        <w:r>
          <w:rPr>
            <w:color w:val="000000"/>
            <w:spacing w:val="0"/>
            <w:w w:val="100"/>
            <w:position w:val="0"/>
            <w:sz w:val="24"/>
            <w:szCs w:val="24"/>
          </w:rPr>
          <w:t>第十二节财务报告</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80</w:t>
        </w:r>
      </w:hyperlink>
    </w:p>
    <w:p>
      <w:pPr>
        <w:pStyle w:val="Style41"/>
        <w:keepNext w:val="0"/>
        <w:keepLines w:val="0"/>
        <w:widowControl w:val="0"/>
        <w:shd w:val="clear" w:color="auto" w:fill="auto"/>
        <w:tabs>
          <w:tab w:leader="dot" w:pos="9611" w:val="right"/>
        </w:tabs>
        <w:bidi w:val="0"/>
        <w:spacing w:before="0" w:line="240" w:lineRule="auto"/>
        <w:ind w:left="0" w:right="0" w:firstLine="0"/>
        <w:jc w:val="both"/>
      </w:pPr>
      <w:hyperlink w:anchor="bookmark2365" w:tooltip="Current Document">
        <w:r>
          <w:rPr>
            <w:color w:val="000000"/>
            <w:spacing w:val="0"/>
            <w:w w:val="100"/>
            <w:position w:val="0"/>
            <w:sz w:val="24"/>
            <w:szCs w:val="24"/>
          </w:rPr>
          <w:t>第十三节 备查文件目录</w:t>
        </w:r>
        <w:r>
          <w:rPr>
            <w:color w:val="000000"/>
            <w:spacing w:val="0"/>
            <w:w w:val="100"/>
            <w:position w:val="0"/>
            <w:sz w:val="24"/>
            <w:szCs w:val="24"/>
          </w:rPr>
          <w:tab/>
        </w:r>
        <w:r>
          <w:rPr>
            <w:rFonts w:ascii="Times New Roman" w:eastAsia="Times New Roman" w:hAnsi="Times New Roman" w:cs="Times New Roman"/>
            <w:b w:val="0"/>
            <w:bCs w:val="0"/>
            <w:color w:val="000000"/>
            <w:spacing w:val="0"/>
            <w:w w:val="100"/>
            <w:position w:val="0"/>
            <w:sz w:val="24"/>
            <w:szCs w:val="24"/>
          </w:rPr>
          <w:t>209</w:t>
        </w:r>
      </w:hyperlink>
      <w:r>
        <w:br w:type="page"/>
      </w:r>
      <w:r>
        <w:fldChar w:fldCharType="end"/>
      </w:r>
    </w:p>
    <w:p>
      <w:pPr>
        <w:framePr w:w="768" w:h="437" w:hSpace="1291" w:wrap="notBeside" w:vAnchor="text" w:hAnchor="text" w:y="1"/>
        <w:widowControl w:val="0"/>
        <w:rPr>
          <w:sz w:val="2"/>
          <w:szCs w:val="2"/>
        </w:rPr>
      </w:pPr>
      <w:r>
        <w:drawing>
          <wp:inline>
            <wp:extent cx="487680" cy="280670"/>
            <wp:docPr id="36" name="Picutre 36"/>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stretch/>
                  </pic:blipFill>
                  <pic:spPr>
                    <a:xfrm>
                      <a:ext cx="487680" cy="280670"/>
                    </a:xfrm>
                    <a:prstGeom prst="rect"/>
                  </pic:spPr>
                </pic:pic>
              </a:graphicData>
            </a:graphic>
          </wp:inline>
        </w:drawing>
      </w:r>
    </w:p>
    <w:p>
      <w:pPr>
        <w:widowControl w:val="0"/>
        <w:spacing w:line="1" w:lineRule="exact"/>
      </w:pPr>
      <w:r>
        <mc:AlternateContent>
          <mc:Choice Requires="wps">
            <w:drawing>
              <wp:anchor distT="0" distB="0" distL="0" distR="5593080" simplePos="0" relativeHeight="125829380" behindDoc="0" locked="0" layoutInCell="1" allowOverlap="1">
                <wp:simplePos x="0" y="0"/>
                <wp:positionH relativeFrom="column">
                  <wp:posOffset>487680</wp:posOffset>
                </wp:positionH>
                <wp:positionV relativeFrom="paragraph">
                  <wp:posOffset>6350</wp:posOffset>
                </wp:positionV>
                <wp:extent cx="819785" cy="250190"/>
                <wp:wrapTopAndBottom/>
                <wp:docPr id="37" name="Shape 37"/>
                <a:graphic xmlns:a="http://schemas.openxmlformats.org/drawingml/2006/main">
                  <a:graphicData uri="http://schemas.microsoft.com/office/word/2010/wordprocessingShape">
                    <wps:wsp>
                      <wps:cNvSpPr txBox="1"/>
                      <wps:spPr>
                        <a:xfrm>
                          <a:ext cx="819785"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063" type="#_x0000_t202" style="position:absolute;margin-left:38.399999999999999pt;margin-top:0.5pt;width:64.549999999999997pt;height:19.699999999999999pt;z-index:-125829373;mso-wrap-distance-left:0;mso-wrap-distance-right:440.40000000000003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20"/>
        <w:keepNext/>
        <w:keepLines/>
        <w:widowControl w:val="0"/>
        <w:shd w:val="clear" w:color="auto" w:fill="auto"/>
        <w:bidi w:val="0"/>
        <w:spacing w:before="0" w:after="800" w:line="240" w:lineRule="auto"/>
        <w:ind w:left="0" w:right="0" w:firstLine="0"/>
        <w:jc w:val="center"/>
      </w:pPr>
      <w:bookmarkStart w:id="21" w:name="bookmark21"/>
      <w:bookmarkStart w:id="22" w:name="bookmark22"/>
      <w:bookmarkStart w:id="23" w:name="bookmark23"/>
      <w:r>
        <w:rPr>
          <w:color w:val="000000"/>
          <w:spacing w:val="0"/>
          <w:w w:val="100"/>
          <w:position w:val="0"/>
        </w:rPr>
        <w:t>释义</w:t>
      </w:r>
      <w:bookmarkEnd w:id="21"/>
      <w:bookmarkEnd w:id="22"/>
      <w:bookmarkEnd w:id="23"/>
    </w:p>
    <w:tbl>
      <w:tblPr>
        <w:tblOverlap w:val="never"/>
        <w:jc w:val="center"/>
        <w:tblLayout w:type="fixed"/>
      </w:tblPr>
      <w:tblGrid>
        <w:gridCol w:w="3533"/>
        <w:gridCol w:w="619"/>
        <w:gridCol w:w="5434"/>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释义项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释义内容</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报告期、本报告期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本公司、公司、荣科</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荣科科技股份有限公司</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享云科技公司</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享云科技有限责任公司，本公司之全资子公司</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上海米健、米健信息、米健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上海米健信息技术有限公司，本公司之全资子公司</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财通基金</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财通基金管理有限公司</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1</w:t>
            </w:r>
            <w:r>
              <w:rPr>
                <w:color w:val="000000"/>
                <w:spacing w:val="0"/>
                <w:w w:val="100"/>
                <w:position w:val="0"/>
              </w:rPr>
              <w:t>期员工持股计划</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荣科科技股份有限公司</w:t>
            </w:r>
            <w:r>
              <w:rPr>
                <w:rFonts w:ascii="Times New Roman" w:eastAsia="Times New Roman" w:hAnsi="Times New Roman" w:cs="Times New Roman"/>
                <w:color w:val="000000"/>
                <w:spacing w:val="0"/>
                <w:w w:val="100"/>
                <w:position w:val="0"/>
              </w:rPr>
              <w:t>-</w:t>
            </w:r>
            <w:r>
              <w:rPr>
                <w:color w:val="000000"/>
                <w:spacing w:val="0"/>
                <w:w w:val="100"/>
                <w:position w:val="0"/>
              </w:rPr>
              <w:t>第</w:t>
            </w:r>
            <w:r>
              <w:rPr>
                <w:rFonts w:ascii="Times New Roman" w:eastAsia="Times New Roman" w:hAnsi="Times New Roman" w:cs="Times New Roman"/>
                <w:color w:val="000000"/>
                <w:spacing w:val="0"/>
                <w:w w:val="100"/>
                <w:position w:val="0"/>
              </w:rPr>
              <w:t>1</w:t>
            </w:r>
            <w:r>
              <w:rPr>
                <w:color w:val="000000"/>
                <w:spacing w:val="0"/>
                <w:w w:val="100"/>
                <w:position w:val="0"/>
              </w:rPr>
              <w:t>期员工持股计划</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证监会</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中华人民共和国证券监督与管理委员会</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深交所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深圳证券交易所</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中国结算深圳分公司</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中国证券登记结算有限公司深圳分公司</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证券法</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中华人民共和国证券法</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公司法</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中华人民共和国公司法</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公司章程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荣科科技股份有限公司章程</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IT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Information Technology</w:t>
            </w:r>
            <w:r>
              <w:rPr>
                <w:color w:val="000000"/>
                <w:spacing w:val="0"/>
                <w:w w:val="100"/>
                <w:position w:val="0"/>
              </w:rPr>
              <w:t>，信息 技术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产业基金</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沈阳荣科融拓健康数据产业股权投资合伙企业（有限合伙）</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神州视翰、视翰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北京神州视翰科技有限公司，本公司之全资子公司</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逐鹿投资</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宁波梅山保税港区逐鹿投资管理合伙企业（有限合伙），为神州视翰 股东、发行股份及支付现金购买资产的交易对手方之一。</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国科实业</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辽宁国科实业有限公司</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今创信息、上海今创、今创科技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上海今创信息技术有限公司</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辽宁智维云</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辽宁荣科智维云科技有限公司</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徐州瀚举</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徐州瀚举创业投资合伙企业（有限合伙），为今创信息股东、本次发 行股份及支付现金购买资产的交易对手方之一。</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徐州轩润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徐州市轩润企业管理合伙企业（有限合伙），为今创信息股东、本次 发行股份及支付现金购买资产的交易对手方之一。</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徐州东霖</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徐州市东霖企业管理合伙企业（有限合伙），为今创信息股东、本次 发行股份及支付现金购买资产的交易对手方之一。</w:t>
            </w:r>
          </w:p>
        </w:tc>
      </w:tr>
      <w:tr>
        <w:trPr>
          <w:trHeight w:val="72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德清博御</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德清博御投资管理合伙企业（有限合伙），为今创信息股东、本次发 行股份及支付现金购买资产的交易对手方之一。</w:t>
            </w:r>
          </w:p>
        </w:tc>
      </w:tr>
    </w:tbl>
    <w:p>
      <w:pPr>
        <w:spacing w:lineRule="exact" w:line="1"/>
        <w:rPr>
          <w:sz w:val="2"/>
          <w:szCs w:val="2"/>
        </w:rPr>
      </w:pPr>
      <w:r>
        <w:br w:type="page"/>
      </w:r>
    </w:p>
    <w:p>
      <w:pPr>
        <w:widowControl w:val="0"/>
        <w:spacing w:line="1" w:lineRule="exact"/>
      </w:pPr>
      <w:r>
        <mc:AlternateContent>
          <mc:Choice Requires="wps">
            <w:drawing>
              <wp:anchor distT="73025" distB="127000" distL="0" distR="0" simplePos="0" relativeHeight="125829382" behindDoc="0" locked="0" layoutInCell="1" allowOverlap="1">
                <wp:simplePos x="0" y="0"/>
                <wp:positionH relativeFrom="page">
                  <wp:posOffset>795020</wp:posOffset>
                </wp:positionH>
                <wp:positionV relativeFrom="paragraph">
                  <wp:posOffset>73025</wp:posOffset>
                </wp:positionV>
                <wp:extent cx="198120" cy="289560"/>
                <wp:wrapTopAndBottom/>
                <wp:docPr id="39" name="Shape 39"/>
                <a:graphic xmlns:a="http://schemas.openxmlformats.org/drawingml/2006/main">
                  <a:graphicData uri="http://schemas.microsoft.com/office/word/2010/wordprocessingShape">
                    <wps:wsp>
                      <wps:cNvSpPr txBox="1"/>
                      <wps:spPr>
                        <a:xfrm>
                          <a:ext cx="198120" cy="289560"/>
                        </a:xfrm>
                        <a:prstGeom prst="rect"/>
                        <a:noFill/>
                      </wps:spPr>
                      <wps:txbx>
                        <w:txbxContent>
                          <w:p>
                            <w:pPr>
                              <w:pStyle w:val="Style38"/>
                              <w:keepNext/>
                              <w:keepLines/>
                              <w:widowControl w:val="0"/>
                              <w:shd w:val="clear" w:color="auto" w:fill="auto"/>
                              <w:bidi w:val="0"/>
                              <w:spacing w:before="0" w:after="0" w:line="240" w:lineRule="auto"/>
                              <w:ind w:left="0" w:right="0" w:firstLine="0"/>
                              <w:jc w:val="left"/>
                            </w:pPr>
                            <w:bookmarkStart w:id="18" w:name="bookmark18"/>
                            <w:bookmarkStart w:id="19" w:name="bookmark19"/>
                            <w:bookmarkStart w:id="20" w:name="bookmark20"/>
                            <w:r>
                              <w:rPr>
                                <w:spacing w:val="0"/>
                                <w:w w:val="100"/>
                                <w:position w:val="0"/>
                              </w:rPr>
                              <w:t>♦I</w:t>
                            </w:r>
                            <w:bookmarkEnd w:id="18"/>
                            <w:bookmarkEnd w:id="19"/>
                            <w:bookmarkEnd w:id="20"/>
                          </w:p>
                        </w:txbxContent>
                      </wps:txbx>
                      <wps:bodyPr wrap="none" lIns="0" tIns="0" rIns="0" bIns="0">
                        <a:noAutoFit/>
                      </wps:bodyPr>
                    </wps:wsp>
                  </a:graphicData>
                </a:graphic>
              </wp:anchor>
            </w:drawing>
          </mc:Choice>
          <mc:Fallback>
            <w:pict>
              <v:shape id="_x0000_s1065" type="#_x0000_t202" style="position:absolute;margin-left:62.600000000000001pt;margin-top:5.75pt;width:15.6pt;height:22.800000000000001pt;z-index:-125829371;mso-wrap-distance-left:0;mso-wrap-distance-top:5.75pt;mso-wrap-distance-right:0;mso-wrap-distance-bottom:10.pt;mso-position-horizontal-relative:page" filled="f" stroked="f">
                <v:textbox inset="0,0,0,0">
                  <w:txbxContent>
                    <w:p>
                      <w:pPr>
                        <w:pStyle w:val="Style38"/>
                        <w:keepNext/>
                        <w:keepLines/>
                        <w:widowControl w:val="0"/>
                        <w:shd w:val="clear" w:color="auto" w:fill="auto"/>
                        <w:bidi w:val="0"/>
                        <w:spacing w:before="0" w:after="0" w:line="240" w:lineRule="auto"/>
                        <w:ind w:left="0" w:right="0" w:firstLine="0"/>
                        <w:jc w:val="left"/>
                      </w:pPr>
                      <w:bookmarkStart w:id="18" w:name="bookmark18"/>
                      <w:bookmarkStart w:id="19" w:name="bookmark19"/>
                      <w:bookmarkStart w:id="20" w:name="bookmark20"/>
                      <w:r>
                        <w:rPr>
                          <w:spacing w:val="0"/>
                          <w:w w:val="100"/>
                          <w:position w:val="0"/>
                        </w:rPr>
                        <w:t>♦I</w:t>
                      </w:r>
                      <w:bookmarkEnd w:id="18"/>
                      <w:bookmarkEnd w:id="19"/>
                      <w:bookmarkEnd w:id="20"/>
                    </w:p>
                  </w:txbxContent>
                </v:textbox>
                <w10:wrap type="topAndBottom" anchorx="page"/>
              </v:shape>
            </w:pict>
          </mc:Fallback>
        </mc:AlternateContent>
      </w:r>
      <w:r>
        <mc:AlternateContent>
          <mc:Choice Requires="wps">
            <w:drawing>
              <wp:anchor distT="0" distB="203200" distL="0" distR="0" simplePos="0" relativeHeight="125829384" behindDoc="0" locked="0" layoutInCell="1" allowOverlap="1">
                <wp:simplePos x="0" y="0"/>
                <wp:positionH relativeFrom="page">
                  <wp:posOffset>923290</wp:posOffset>
                </wp:positionH>
                <wp:positionV relativeFrom="paragraph">
                  <wp:posOffset>0</wp:posOffset>
                </wp:positionV>
                <wp:extent cx="1097280" cy="286385"/>
                <wp:wrapTopAndBottom/>
                <wp:docPr id="41" name="Shape 41"/>
                <a:graphic xmlns:a="http://schemas.openxmlformats.org/drawingml/2006/main">
                  <a:graphicData uri="http://schemas.microsoft.com/office/word/2010/wordprocessingShape">
                    <wps:wsp>
                      <wps:cNvSpPr txBox="1"/>
                      <wps:spPr>
                        <a:xfrm>
                          <a:ext cx="1097280" cy="286385"/>
                        </a:xfrm>
                        <a:prstGeom prst="rect"/>
                        <a:noFill/>
                      </wps:spPr>
                      <wps:txbx>
                        <w:txbxContent>
                          <w:p>
                            <w:pPr>
                              <w:pStyle w:val="Style5"/>
                              <w:keepNext w:val="0"/>
                              <w:keepLines w:val="0"/>
                              <w:widowControl w:val="0"/>
                              <w:shd w:val="clear" w:color="auto" w:fill="auto"/>
                              <w:bidi w:val="0"/>
                              <w:spacing w:before="0" w:after="0" w:line="211" w:lineRule="exact"/>
                              <w:ind w:left="0" w:right="0" w:firstLine="0"/>
                              <w:jc w:val="right"/>
                              <w:rPr>
                                <w:sz w:val="18"/>
                                <w:szCs w:val="18"/>
                              </w:rPr>
                            </w:pPr>
                            <w:r>
                              <w:rPr>
                                <w:color w:val="2D2B2E"/>
                                <w:spacing w:val="0"/>
                                <w:w w:val="100"/>
                                <w:position w:val="0"/>
                                <w:sz w:val="15"/>
                                <w:szCs w:val="15"/>
                              </w:rPr>
                              <w:t>—</w:t>
                            </w: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067" type="#_x0000_t202" style="position:absolute;margin-left:72.700000000000003pt;margin-top:0;width:86.400000000000006pt;height:22.550000000000001pt;z-index:-125829369;mso-wrap-distance-left:0;mso-wrap-distance-right:0;mso-wrap-distance-bottom:16.pt;mso-position-horizontal-relative:page" filled="f" stroked="f">
                <v:textbox inset="0,0,0,0">
                  <w:txbxContent>
                    <w:p>
                      <w:pPr>
                        <w:pStyle w:val="Style5"/>
                        <w:keepNext w:val="0"/>
                        <w:keepLines w:val="0"/>
                        <w:widowControl w:val="0"/>
                        <w:shd w:val="clear" w:color="auto" w:fill="auto"/>
                        <w:bidi w:val="0"/>
                        <w:spacing w:before="0" w:after="0" w:line="211" w:lineRule="exact"/>
                        <w:ind w:left="0" w:right="0" w:firstLine="0"/>
                        <w:jc w:val="right"/>
                        <w:rPr>
                          <w:sz w:val="18"/>
                          <w:szCs w:val="18"/>
                        </w:rPr>
                      </w:pPr>
                      <w:r>
                        <w:rPr>
                          <w:color w:val="2D2B2E"/>
                          <w:spacing w:val="0"/>
                          <w:w w:val="100"/>
                          <w:position w:val="0"/>
                          <w:sz w:val="15"/>
                          <w:szCs w:val="15"/>
                        </w:rPr>
                        <w:t>—</w:t>
                      </w: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anchorx="page"/>
              </v:shape>
            </w:pict>
          </mc:Fallback>
        </mc:AlternateContent>
      </w:r>
    </w:p>
    <w:p>
      <w:pPr>
        <w:pStyle w:val="Style20"/>
        <w:keepNext/>
        <w:keepLines/>
        <w:widowControl w:val="0"/>
        <w:shd w:val="clear" w:color="auto" w:fill="auto"/>
        <w:bidi w:val="0"/>
        <w:spacing w:before="0" w:after="560" w:line="240" w:lineRule="auto"/>
        <w:ind w:left="0" w:right="0" w:firstLine="0"/>
        <w:jc w:val="center"/>
      </w:pPr>
      <w:bookmarkStart w:id="24" w:name="bookmark24"/>
      <w:bookmarkStart w:id="25" w:name="bookmark25"/>
      <w:bookmarkStart w:id="26" w:name="bookmark26"/>
      <w:r>
        <w:rPr>
          <w:color w:val="000000"/>
          <w:spacing w:val="0"/>
          <w:w w:val="100"/>
          <w:position w:val="0"/>
        </w:rPr>
        <w:t>第二节公司简介和主要财务指标</w:t>
      </w:r>
      <w:bookmarkEnd w:id="24"/>
      <w:bookmarkEnd w:id="25"/>
      <w:bookmarkEnd w:id="26"/>
    </w:p>
    <w:p>
      <w:pPr>
        <w:pStyle w:val="Style47"/>
        <w:keepNext/>
        <w:keepLines/>
        <w:widowControl w:val="0"/>
        <w:shd w:val="clear" w:color="auto" w:fill="auto"/>
        <w:bidi w:val="0"/>
        <w:spacing w:before="0" w:after="300" w:line="240" w:lineRule="auto"/>
        <w:ind w:left="0" w:right="0" w:firstLine="240"/>
        <w:jc w:val="left"/>
      </w:pPr>
      <w:bookmarkStart w:id="27" w:name="bookmark27"/>
      <w:bookmarkStart w:id="28" w:name="bookmark28"/>
      <w:bookmarkStart w:id="29" w:name="bookmark29"/>
      <w:r>
        <w:rPr>
          <w:color w:val="000000"/>
          <w:spacing w:val="0"/>
          <w:w w:val="100"/>
          <w:position w:val="0"/>
          <w:sz w:val="24"/>
          <w:szCs w:val="24"/>
        </w:rPr>
        <w:t>、公司信息</w:t>
      </w:r>
      <w:bookmarkEnd w:id="27"/>
      <w:bookmarkEnd w:id="28"/>
      <w:bookmarkEnd w:id="29"/>
    </w:p>
    <w:tbl>
      <w:tblPr>
        <w:tblOverlap w:val="never"/>
        <w:jc w:val="center"/>
        <w:tblLayout w:type="fixed"/>
      </w:tblPr>
      <w:tblGrid>
        <w:gridCol w:w="2294"/>
        <w:gridCol w:w="2952"/>
        <w:gridCol w:w="2155"/>
        <w:gridCol w:w="2184"/>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股票简称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股票代码</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300290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公司的中文名称</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荣科科技股份有限公司</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公司的中文简称</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公司的外文名称（如有）</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Bringspring Science and Technology Co.,Ltd.</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公司的外文名称缩写（如有）</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Bringspring tech.</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公司的法定代表人</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辽宁省沈阳市沈阳经济技术开发区开发大路</w:t>
            </w:r>
            <w:r>
              <w:rPr>
                <w:rFonts w:ascii="Times New Roman" w:eastAsia="Times New Roman" w:hAnsi="Times New Roman" w:cs="Times New Roman"/>
                <w:color w:val="000000"/>
                <w:spacing w:val="0"/>
                <w:w w:val="100"/>
                <w:position w:val="0"/>
              </w:rPr>
              <w:t>7</w:t>
            </w:r>
            <w:r>
              <w:rPr>
                <w:color w:val="000000"/>
                <w:spacing w:val="0"/>
                <w:w w:val="100"/>
                <w:position w:val="0"/>
              </w:rPr>
              <w:t>甲</w:t>
            </w:r>
            <w:r>
              <w:rPr>
                <w:rFonts w:ascii="Times New Roman" w:eastAsia="Times New Roman" w:hAnsi="Times New Roman" w:cs="Times New Roman"/>
                <w:color w:val="000000"/>
                <w:spacing w:val="0"/>
                <w:w w:val="100"/>
                <w:position w:val="0"/>
              </w:rPr>
              <w:t>3</w:t>
            </w:r>
            <w:r>
              <w:rPr>
                <w:color w:val="000000"/>
                <w:spacing w:val="0"/>
                <w:w w:val="100"/>
                <w:position w:val="0"/>
              </w:rPr>
              <w:t>号</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注册地址的邮政编码</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110027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辽宁省沈阳市沈阳经济技术开发区开发大路</w:t>
            </w:r>
            <w:r>
              <w:rPr>
                <w:rFonts w:ascii="Times New Roman" w:eastAsia="Times New Roman" w:hAnsi="Times New Roman" w:cs="Times New Roman"/>
                <w:color w:val="000000"/>
                <w:spacing w:val="0"/>
                <w:w w:val="100"/>
                <w:position w:val="0"/>
              </w:rPr>
              <w:t>7</w:t>
            </w:r>
            <w:r>
              <w:rPr>
                <w:color w:val="000000"/>
                <w:spacing w:val="0"/>
                <w:w w:val="100"/>
                <w:position w:val="0"/>
              </w:rPr>
              <w:t>甲</w:t>
            </w:r>
            <w:r>
              <w:rPr>
                <w:rFonts w:ascii="Times New Roman" w:eastAsia="Times New Roman" w:hAnsi="Times New Roman" w:cs="Times New Roman"/>
                <w:color w:val="000000"/>
                <w:spacing w:val="0"/>
                <w:w w:val="100"/>
                <w:position w:val="0"/>
              </w:rPr>
              <w:t>3</w:t>
            </w:r>
            <w:r>
              <w:rPr>
                <w:color w:val="000000"/>
                <w:spacing w:val="0"/>
                <w:w w:val="100"/>
                <w:position w:val="0"/>
              </w:rPr>
              <w:t>号</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办公地址的邮政编码</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110027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公司国际互联网网址</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http: //www. bring spring .com</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gridSpan w:val="3"/>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fldChar w:fldCharType="begin"/>
            </w:r>
            <w:r>
              <w:rPr/>
              <w:instrText> HYPERLINK "mailto:zqtz@bringspring.com" </w:instrText>
            </w:r>
            <w:r>
              <w:fldChar w:fldCharType="separate"/>
            </w:r>
            <w:r>
              <w:rPr>
                <w:rFonts w:ascii="Times New Roman" w:eastAsia="Times New Roman" w:hAnsi="Times New Roman" w:cs="Times New Roman"/>
                <w:color w:val="000000"/>
                <w:spacing w:val="0"/>
                <w:w w:val="100"/>
                <w:position w:val="0"/>
              </w:rPr>
              <w:t>zqtz@bringspring.com</w:t>
            </w:r>
            <w:r>
              <w:fldChar w:fldCharType="end"/>
            </w:r>
          </w:p>
        </w:tc>
      </w:tr>
    </w:tbl>
    <w:p>
      <w:pPr>
        <w:widowControl w:val="0"/>
        <w:spacing w:after="299" w:line="1" w:lineRule="exact"/>
      </w:pPr>
    </w:p>
    <w:p>
      <w:pPr>
        <w:pStyle w:val="Style47"/>
        <w:keepNext/>
        <w:keepLines/>
        <w:widowControl w:val="0"/>
        <w:shd w:val="clear" w:color="auto" w:fill="auto"/>
        <w:bidi w:val="0"/>
        <w:spacing w:before="0" w:after="300" w:line="240" w:lineRule="auto"/>
        <w:ind w:left="0" w:right="0" w:firstLine="0"/>
        <w:jc w:val="left"/>
      </w:pPr>
      <w:bookmarkStart w:id="30" w:name="bookmark30"/>
      <w:bookmarkStart w:id="31" w:name="bookmark31"/>
      <w:bookmarkStart w:id="32" w:name="bookmark32"/>
      <w:bookmarkStart w:id="33" w:name="bookmark33"/>
      <w:r>
        <w:rPr>
          <w:color w:val="000000"/>
          <w:spacing w:val="0"/>
          <w:w w:val="100"/>
          <w:position w:val="0"/>
          <w:sz w:val="24"/>
          <w:szCs w:val="24"/>
        </w:rPr>
        <w:t>二</w:t>
      </w:r>
      <w:bookmarkEnd w:id="32"/>
      <w:r>
        <w:rPr>
          <w:color w:val="000000"/>
          <w:spacing w:val="0"/>
          <w:w w:val="100"/>
          <w:position w:val="0"/>
          <w:sz w:val="24"/>
          <w:szCs w:val="24"/>
        </w:rPr>
        <w:t>、联系人和联系方式</w:t>
      </w:r>
      <w:bookmarkEnd w:id="30"/>
      <w:bookmarkEnd w:id="31"/>
      <w:bookmarkEnd w:id="33"/>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证券事务代表</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姓名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张羽</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徐蓉蓉</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联系地址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沈阳经济技术开发区开发大路</w:t>
            </w:r>
            <w:r>
              <w:rPr>
                <w:rFonts w:ascii="Times New Roman" w:eastAsia="Times New Roman" w:hAnsi="Times New Roman" w:cs="Times New Roman"/>
                <w:color w:val="000000"/>
                <w:spacing w:val="0"/>
                <w:w w:val="100"/>
                <w:position w:val="0"/>
              </w:rPr>
              <w:t>7</w:t>
            </w:r>
            <w:r>
              <w:rPr>
                <w:color w:val="000000"/>
                <w:spacing w:val="0"/>
                <w:w w:val="100"/>
                <w:position w:val="0"/>
              </w:rPr>
              <w:t>甲</w:t>
            </w:r>
            <w:r>
              <w:rPr>
                <w:rFonts w:ascii="Times New Roman" w:eastAsia="Times New Roman" w:hAnsi="Times New Roman" w:cs="Times New Roman"/>
                <w:color w:val="000000"/>
                <w:spacing w:val="0"/>
                <w:w w:val="100"/>
                <w:position w:val="0"/>
              </w:rPr>
              <w:t>3</w:t>
            </w:r>
            <w:r>
              <w:rPr>
                <w:color w:val="000000"/>
                <w:spacing w:val="0"/>
                <w:w w:val="100"/>
                <w:position w:val="0"/>
              </w:rPr>
              <w:t>号</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沈阳经济技术开发区开发大路</w:t>
            </w:r>
            <w:r>
              <w:rPr>
                <w:rFonts w:ascii="Times New Roman" w:eastAsia="Times New Roman" w:hAnsi="Times New Roman" w:cs="Times New Roman"/>
                <w:color w:val="000000"/>
                <w:spacing w:val="0"/>
                <w:w w:val="100"/>
                <w:position w:val="0"/>
              </w:rPr>
              <w:t>7</w:t>
            </w:r>
            <w:r>
              <w:rPr>
                <w:color w:val="000000"/>
                <w:spacing w:val="0"/>
                <w:w w:val="100"/>
                <w:position w:val="0"/>
              </w:rPr>
              <w:t>甲</w:t>
            </w:r>
            <w:r>
              <w:rPr>
                <w:rFonts w:ascii="Times New Roman" w:eastAsia="Times New Roman" w:hAnsi="Times New Roman" w:cs="Times New Roman"/>
                <w:color w:val="000000"/>
                <w:spacing w:val="0"/>
                <w:w w:val="100"/>
                <w:position w:val="0"/>
              </w:rPr>
              <w:t>3</w:t>
            </w:r>
            <w:r>
              <w:rPr>
                <w:color w:val="000000"/>
                <w:spacing w:val="0"/>
                <w:w w:val="100"/>
                <w:position w:val="0"/>
              </w:rPr>
              <w:t>号</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024</w:t>
            </w:r>
            <w:r>
              <w:rPr>
                <w:color w:val="000000"/>
                <w:spacing w:val="0"/>
                <w:w w:val="100"/>
                <w:position w:val="0"/>
              </w:rPr>
              <w:t>—</w:t>
            </w:r>
            <w:r>
              <w:rPr>
                <w:rFonts w:ascii="Times New Roman" w:eastAsia="Times New Roman" w:hAnsi="Times New Roman" w:cs="Times New Roman"/>
                <w:color w:val="000000"/>
                <w:spacing w:val="0"/>
                <w:w w:val="100"/>
                <w:position w:val="0"/>
              </w:rPr>
              <w:t>22851050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024</w:t>
            </w:r>
            <w:r>
              <w:rPr>
                <w:color w:val="000000"/>
                <w:spacing w:val="0"/>
                <w:w w:val="100"/>
                <w:position w:val="0"/>
              </w:rPr>
              <w:t>—</w:t>
            </w:r>
            <w:r>
              <w:rPr>
                <w:rFonts w:ascii="Times New Roman" w:eastAsia="Times New Roman" w:hAnsi="Times New Roman" w:cs="Times New Roman"/>
                <w:color w:val="000000"/>
                <w:spacing w:val="0"/>
                <w:w w:val="100"/>
                <w:position w:val="0"/>
              </w:rPr>
              <w:t>22851050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传真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024</w:t>
            </w:r>
            <w:r>
              <w:rPr>
                <w:color w:val="000000"/>
                <w:spacing w:val="0"/>
                <w:w w:val="100"/>
                <w:position w:val="0"/>
              </w:rPr>
              <w:t>—</w:t>
            </w:r>
            <w:r>
              <w:rPr>
                <w:rFonts w:ascii="Times New Roman" w:eastAsia="Times New Roman" w:hAnsi="Times New Roman" w:cs="Times New Roman"/>
                <w:color w:val="000000"/>
                <w:spacing w:val="0"/>
                <w:w w:val="100"/>
                <w:position w:val="0"/>
              </w:rPr>
              <w:t>22851050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024</w:t>
            </w:r>
            <w:r>
              <w:rPr>
                <w:color w:val="000000"/>
                <w:spacing w:val="0"/>
                <w:w w:val="100"/>
                <w:position w:val="0"/>
              </w:rPr>
              <w:t>—</w:t>
            </w:r>
            <w:r>
              <w:rPr>
                <w:rFonts w:ascii="Times New Roman" w:eastAsia="Times New Roman" w:hAnsi="Times New Roman" w:cs="Times New Roman"/>
                <w:color w:val="000000"/>
                <w:spacing w:val="0"/>
                <w:w w:val="100"/>
                <w:position w:val="0"/>
              </w:rPr>
              <w:t>22851050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fldChar w:fldCharType="begin"/>
            </w:r>
            <w:r>
              <w:rPr/>
              <w:instrText> HYPERLINK "mailto:zqtz@bringspring.com" </w:instrText>
            </w:r>
            <w:r>
              <w:fldChar w:fldCharType="separate"/>
            </w:r>
            <w:r>
              <w:rPr>
                <w:rFonts w:ascii="Times New Roman" w:eastAsia="Times New Roman" w:hAnsi="Times New Roman" w:cs="Times New Roman"/>
                <w:color w:val="000000"/>
                <w:spacing w:val="0"/>
                <w:w w:val="100"/>
                <w:position w:val="0"/>
              </w:rPr>
              <w:t>zqtz@bringspring.com</w:t>
            </w:r>
            <w:r>
              <w:fldChar w:fldCharType="end"/>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zqtz@bring spring. com</w:t>
            </w:r>
          </w:p>
        </w:tc>
      </w:tr>
    </w:tbl>
    <w:p>
      <w:pPr>
        <w:widowControl w:val="0"/>
        <w:spacing w:after="299" w:line="1" w:lineRule="exact"/>
      </w:pPr>
    </w:p>
    <w:p>
      <w:pPr>
        <w:pStyle w:val="Style47"/>
        <w:keepNext/>
        <w:keepLines/>
        <w:widowControl w:val="0"/>
        <w:shd w:val="clear" w:color="auto" w:fill="auto"/>
        <w:bidi w:val="0"/>
        <w:spacing w:before="0" w:after="300" w:line="240" w:lineRule="auto"/>
        <w:ind w:left="0" w:right="0" w:firstLine="0"/>
        <w:jc w:val="left"/>
      </w:pPr>
      <w:bookmarkStart w:id="34" w:name="bookmark34"/>
      <w:bookmarkStart w:id="35" w:name="bookmark35"/>
      <w:bookmarkStart w:id="36" w:name="bookmark36"/>
      <w:bookmarkStart w:id="37" w:name="bookmark37"/>
      <w:r>
        <w:rPr>
          <w:color w:val="000000"/>
          <w:spacing w:val="0"/>
          <w:w w:val="100"/>
          <w:position w:val="0"/>
          <w:sz w:val="24"/>
          <w:szCs w:val="24"/>
        </w:rPr>
        <w:t>三</w:t>
      </w:r>
      <w:bookmarkEnd w:id="36"/>
      <w:r>
        <w:rPr>
          <w:color w:val="000000"/>
          <w:spacing w:val="0"/>
          <w:w w:val="100"/>
          <w:position w:val="0"/>
          <w:sz w:val="24"/>
          <w:szCs w:val="24"/>
        </w:rPr>
        <w:t>、信息披露及备置地点</w:t>
      </w:r>
      <w:bookmarkEnd w:id="34"/>
      <w:bookmarkEnd w:id="35"/>
      <w:bookmarkEnd w:id="37"/>
    </w:p>
    <w:tbl>
      <w:tblPr>
        <w:tblOverlap w:val="never"/>
        <w:jc w:val="center"/>
        <w:tblLayout w:type="fixed"/>
      </w:tblPr>
      <w:tblGrid>
        <w:gridCol w:w="3998"/>
        <w:gridCol w:w="558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公司选定的信息披露媒体的名称</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《中国证券报》、《证券时报》、《上海证券报》、《证券日报》</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登载年度报告的中国证监会指定网站的网址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http: //www. cninfo .com. cn</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公司年度报告备置地点</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公司证券投资部</w:t>
            </w:r>
          </w:p>
        </w:tc>
      </w:tr>
    </w:tbl>
    <w:p>
      <w:pPr>
        <w:widowControl w:val="0"/>
        <w:spacing w:after="299" w:line="1" w:lineRule="exact"/>
      </w:pPr>
    </w:p>
    <w:p>
      <w:pPr>
        <w:pStyle w:val="Style47"/>
        <w:keepNext/>
        <w:keepLines/>
        <w:widowControl w:val="0"/>
        <w:shd w:val="clear" w:color="auto" w:fill="auto"/>
        <w:bidi w:val="0"/>
        <w:spacing w:before="0" w:after="360" w:line="240" w:lineRule="auto"/>
        <w:ind w:left="0" w:right="0" w:firstLine="0"/>
        <w:jc w:val="left"/>
      </w:pPr>
      <w:bookmarkStart w:id="38" w:name="bookmark38"/>
      <w:bookmarkStart w:id="39" w:name="bookmark39"/>
      <w:bookmarkStart w:id="40" w:name="bookmark40"/>
      <w:bookmarkStart w:id="41" w:name="bookmark41"/>
      <w:r>
        <w:rPr>
          <w:color w:val="000000"/>
          <w:spacing w:val="0"/>
          <w:w w:val="100"/>
          <w:position w:val="0"/>
          <w:sz w:val="24"/>
          <w:szCs w:val="24"/>
        </w:rPr>
        <w:t>四</w:t>
      </w:r>
      <w:bookmarkEnd w:id="40"/>
      <w:r>
        <w:rPr>
          <w:color w:val="000000"/>
          <w:spacing w:val="0"/>
          <w:w w:val="100"/>
          <w:position w:val="0"/>
          <w:sz w:val="24"/>
          <w:szCs w:val="24"/>
        </w:rPr>
        <w:t>、其他有关资料</w:t>
      </w:r>
      <w:bookmarkEnd w:id="38"/>
      <w:bookmarkEnd w:id="39"/>
      <w:bookmarkEnd w:id="41"/>
    </w:p>
    <w:p>
      <w:pPr>
        <w:pStyle w:val="Style32"/>
        <w:keepNext w:val="0"/>
        <w:keepLines w:val="0"/>
        <w:widowControl w:val="0"/>
        <w:shd w:val="clear" w:color="auto" w:fill="auto"/>
        <w:bidi w:val="0"/>
        <w:spacing w:before="0" w:after="300" w:line="240" w:lineRule="auto"/>
        <w:ind w:left="0" w:right="0" w:firstLine="0"/>
        <w:jc w:val="left"/>
      </w:pPr>
      <w:r>
        <w:rPr>
          <w:color w:val="000000"/>
          <w:spacing w:val="0"/>
          <w:w w:val="100"/>
          <w:position w:val="0"/>
        </w:rPr>
        <w:t>公司聘请的会计师事务所</w:t>
      </w:r>
      <w:r>
        <w:br w:type="page"/>
      </w:r>
    </w:p>
    <w:p>
      <w:pPr>
        <w:framePr w:w="768" w:h="370" w:hSpace="1291" w:vSpace="5" w:wrap="notBeside" w:vAnchor="text" w:hAnchor="text" w:y="1"/>
        <w:widowControl w:val="0"/>
        <w:rPr>
          <w:sz w:val="2"/>
          <w:szCs w:val="2"/>
        </w:rPr>
      </w:pPr>
      <w:r>
        <w:drawing>
          <wp:inline>
            <wp:extent cx="487680" cy="237490"/>
            <wp:docPr id="43" name="Picutre 43"/>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0" distR="5593080" simplePos="0" relativeHeight="125829386" behindDoc="0" locked="0" layoutInCell="1" allowOverlap="1">
                <wp:simplePos x="0" y="0"/>
                <wp:positionH relativeFrom="column">
                  <wp:posOffset>487680</wp:posOffset>
                </wp:positionH>
                <wp:positionV relativeFrom="paragraph">
                  <wp:posOffset>6350</wp:posOffset>
                </wp:positionV>
                <wp:extent cx="819785" cy="231775"/>
                <wp:wrapTopAndBottom/>
                <wp:docPr id="44" name="Shape 44"/>
                <a:graphic xmlns:a="http://schemas.openxmlformats.org/drawingml/2006/main">
                  <a:graphicData uri="http://schemas.microsoft.com/office/word/2010/wordprocessingShape">
                    <wps:wsp>
                      <wps:cNvSpPr txBox="1"/>
                      <wps:spPr>
                        <a:xfrm>
                          <a:ext cx="819785" cy="231775"/>
                        </a:xfrm>
                        <a:prstGeom prst="rect"/>
                        <a:noFill/>
                      </wps:spPr>
                      <wps:txbx>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070" type="#_x0000_t202" style="position:absolute;margin-left:38.399999999999999pt;margin-top:0.5pt;width:64.549999999999997pt;height:18.25pt;z-index:-125829367;mso-wrap-distance-left:0;mso-wrap-distance-right:440.40000000000003pt" filled="f" stroked="f">
                <v:textbox inset="0,0,0,0">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tbl>
      <w:tblPr>
        <w:tblOverlap w:val="never"/>
        <w:jc w:val="center"/>
        <w:tblLayout w:type="fixed"/>
      </w:tblPr>
      <w:tblGrid>
        <w:gridCol w:w="2669"/>
        <w:gridCol w:w="691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会计师事务所名称</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容诚会计师事务所（特殊普通合伙）</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会计师事务所办公地址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北京市西城区阜成门外大街</w:t>
            </w:r>
            <w:r>
              <w:rPr>
                <w:rFonts w:ascii="Times New Roman" w:eastAsia="Times New Roman" w:hAnsi="Times New Roman" w:cs="Times New Roman"/>
                <w:color w:val="000000"/>
                <w:spacing w:val="0"/>
                <w:w w:val="100"/>
                <w:position w:val="0"/>
              </w:rPr>
              <w:t>22</w:t>
            </w:r>
            <w:r>
              <w:rPr>
                <w:color w:val="000000"/>
                <w:spacing w:val="0"/>
                <w:w w:val="100"/>
                <w:position w:val="0"/>
              </w:rPr>
              <w:t>号外经贸大厦</w:t>
            </w:r>
            <w:r>
              <w:rPr>
                <w:rFonts w:ascii="Times New Roman" w:eastAsia="Times New Roman" w:hAnsi="Times New Roman" w:cs="Times New Roman"/>
                <w:color w:val="000000"/>
                <w:spacing w:val="0"/>
                <w:w w:val="100"/>
                <w:position w:val="0"/>
              </w:rPr>
              <w:t>920</w:t>
            </w:r>
            <w:r>
              <w:rPr>
                <w:color w:val="000000"/>
                <w:spacing w:val="0"/>
                <w:w w:val="100"/>
                <w:position w:val="0"/>
              </w:rPr>
              <w:t>室</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签字会计师姓名</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陆红、王逸飞</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公司聘请的报告期内履行持续督导职责的保荐机构</w:t>
      </w:r>
    </w:p>
    <w:p>
      <w:pPr>
        <w:widowControl w:val="0"/>
        <w:spacing w:after="99" w:line="1" w:lineRule="exact"/>
      </w:pPr>
    </w:p>
    <w:p>
      <w:pPr>
        <w:pStyle w:val="Style32"/>
        <w:keepNext w:val="0"/>
        <w:keepLines w:val="0"/>
        <w:widowControl w:val="0"/>
        <w:shd w:val="clear" w:color="auto" w:fill="auto"/>
        <w:bidi w:val="0"/>
        <w:spacing w:before="0" w:after="0" w:line="240" w:lineRule="auto"/>
        <w:ind w:left="42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100" w:line="346" w:lineRule="exact"/>
        <w:ind w:left="420" w:right="0" w:firstLine="0"/>
        <w:jc w:val="left"/>
      </w:pPr>
      <w:r>
        <w:rPr>
          <w:color w:val="000000"/>
          <w:spacing w:val="0"/>
          <w:w w:val="100"/>
          <w:position w:val="0"/>
        </w:rPr>
        <w:t xml:space="preserve">公司聘请的报告期内履行持续督导职责的财务顾问 </w:t>
      </w: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2400"/>
        <w:gridCol w:w="2390"/>
        <w:gridCol w:w="2395"/>
        <w:gridCol w:w="2400"/>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财务顾问名称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财务顾问办公地址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财务顾问主办人姓名</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持续督导期间</w:t>
            </w:r>
          </w:p>
        </w:tc>
      </w:tr>
      <w:tr>
        <w:trPr>
          <w:trHeight w:val="72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开源证券股份有限公司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color w:val="000000"/>
                <w:spacing w:val="0"/>
                <w:w w:val="100"/>
                <w:position w:val="0"/>
              </w:rPr>
              <w:t>陕西省西安市高新区锦业路</w:t>
            </w:r>
            <w:r>
              <w:rPr>
                <w:rFonts w:ascii="Times New Roman" w:eastAsia="Times New Roman" w:hAnsi="Times New Roman" w:cs="Times New Roman"/>
                <w:color w:val="000000"/>
                <w:spacing w:val="0"/>
                <w:w w:val="100"/>
                <w:position w:val="0"/>
              </w:rPr>
              <w:t>1</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号都市之门</w:t>
            </w:r>
            <w:r>
              <w:rPr>
                <w:rFonts w:ascii="Times New Roman" w:eastAsia="Times New Roman" w:hAnsi="Times New Roman" w:cs="Times New Roman"/>
                <w:color w:val="000000"/>
                <w:spacing w:val="0"/>
                <w:w w:val="100"/>
                <w:position w:val="0"/>
              </w:rPr>
              <w:t>B</w:t>
            </w:r>
            <w:r>
              <w:rPr>
                <w:color w:val="000000"/>
                <w:spacing w:val="0"/>
                <w:w w:val="100"/>
                <w:position w:val="0"/>
              </w:rPr>
              <w:t>座</w:t>
            </w:r>
            <w:r>
              <w:rPr>
                <w:rFonts w:ascii="Times New Roman" w:eastAsia="Times New Roman" w:hAnsi="Times New Roman" w:cs="Times New Roman"/>
                <w:color w:val="000000"/>
                <w:spacing w:val="0"/>
                <w:w w:val="100"/>
                <w:position w:val="0"/>
              </w:rPr>
              <w:t>5</w:t>
            </w:r>
            <w:r>
              <w:rPr>
                <w:color w:val="000000"/>
                <w:spacing w:val="0"/>
                <w:w w:val="100"/>
                <w:position w:val="0"/>
              </w:rPr>
              <w:t>层</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杨帆、倪其敏</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p>
        </w:tc>
      </w:tr>
    </w:tbl>
    <w:p>
      <w:pPr>
        <w:widowControl w:val="0"/>
        <w:spacing w:after="339" w:line="1" w:lineRule="exact"/>
      </w:pPr>
    </w:p>
    <w:p>
      <w:pPr>
        <w:pStyle w:val="Style47"/>
        <w:keepNext/>
        <w:keepLines/>
        <w:widowControl w:val="0"/>
        <w:shd w:val="clear" w:color="auto" w:fill="auto"/>
        <w:bidi w:val="0"/>
        <w:spacing w:before="0" w:after="220" w:line="240" w:lineRule="auto"/>
        <w:ind w:left="420" w:right="0" w:firstLine="0"/>
        <w:jc w:val="left"/>
      </w:pPr>
      <w:bookmarkStart w:id="42" w:name="bookmark42"/>
      <w:bookmarkStart w:id="43" w:name="bookmark43"/>
      <w:bookmarkStart w:id="44" w:name="bookmark44"/>
      <w:bookmarkStart w:id="45" w:name="bookmark45"/>
      <w:r>
        <w:rPr>
          <w:color w:val="000000"/>
          <w:spacing w:val="0"/>
          <w:w w:val="100"/>
          <w:position w:val="0"/>
          <w:sz w:val="24"/>
          <w:szCs w:val="24"/>
        </w:rPr>
        <w:t>五</w:t>
      </w:r>
      <w:bookmarkEnd w:id="44"/>
      <w:r>
        <w:rPr>
          <w:color w:val="000000"/>
          <w:spacing w:val="0"/>
          <w:w w:val="100"/>
          <w:position w:val="0"/>
          <w:sz w:val="24"/>
          <w:szCs w:val="24"/>
        </w:rPr>
        <w:t>、主要会计数据和财务指标</w:t>
      </w:r>
      <w:bookmarkEnd w:id="42"/>
      <w:bookmarkEnd w:id="43"/>
      <w:bookmarkEnd w:id="45"/>
    </w:p>
    <w:p>
      <w:pPr>
        <w:pStyle w:val="Style32"/>
        <w:keepNext w:val="0"/>
        <w:keepLines w:val="0"/>
        <w:widowControl w:val="0"/>
        <w:shd w:val="clear" w:color="auto" w:fill="auto"/>
        <w:bidi w:val="0"/>
        <w:spacing w:before="0" w:after="100" w:line="350" w:lineRule="exact"/>
        <w:ind w:left="420" w:right="0" w:firstLine="0"/>
        <w:jc w:val="left"/>
      </w:pPr>
      <w:r>
        <w:rPr>
          <w:color w:val="000000"/>
          <w:spacing w:val="0"/>
          <w:w w:val="100"/>
          <w:position w:val="0"/>
        </w:rPr>
        <w:t xml:space="preserve">公司是否需追溯调整或重述以前年度会计数据 </w:t>
      </w:r>
      <w:r>
        <w:rPr>
          <w:color w:val="000000"/>
          <w:spacing w:val="0"/>
          <w:w w:val="100"/>
          <w:position w:val="0"/>
        </w:rPr>
        <w:t xml:space="preserve">口 </w:t>
      </w:r>
      <w:r>
        <w:rPr>
          <w:color w:val="000000"/>
          <w:spacing w:val="0"/>
          <w:w w:val="100"/>
          <w:position w:val="0"/>
        </w:rPr>
        <w:t>是"否</w:t>
      </w:r>
    </w:p>
    <w:tbl>
      <w:tblPr>
        <w:tblOverlap w:val="never"/>
        <w:jc w:val="center"/>
        <w:tblLayout w:type="fixed"/>
      </w:tblPr>
      <w:tblGrid>
        <w:gridCol w:w="2794"/>
        <w:gridCol w:w="1694"/>
        <w:gridCol w:w="1699"/>
        <w:gridCol w:w="1694"/>
        <w:gridCol w:w="1704"/>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本年比上年增减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787,896,467.61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723,766,459.30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626,710,368.71</w:t>
            </w:r>
          </w:p>
        </w:tc>
      </w:tr>
      <w:tr>
        <w:trPr>
          <w:trHeight w:val="60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归属于上市公司股东的净利润（元）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80,368,462.37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43,153,626.44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86.24%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20,423,328.33</w:t>
            </w:r>
          </w:p>
        </w:tc>
      </w:tr>
      <w:tr>
        <w:trPr>
          <w:trHeight w:val="71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归属于上市公司股东的扣除非经常 性损益的净利润（元）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72,050,661.62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41,361,918.65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74.20%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9,448,915.31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113,833,220.60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80,302,890.18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41.75%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95,090,718.56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0.1403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0.0795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76.48%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0.0409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0.1395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0.0794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75.69%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0.0409</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增长</w:t>
            </w:r>
            <w:r>
              <w:rPr>
                <w:rFonts w:ascii="Times New Roman" w:eastAsia="Times New Roman" w:hAnsi="Times New Roman" w:cs="Times New Roman"/>
                <w:color w:val="000000"/>
                <w:spacing w:val="0"/>
                <w:w w:val="100"/>
                <w:position w:val="0"/>
              </w:rPr>
              <w:t>2.42</w:t>
            </w:r>
            <w:r>
              <w:rPr>
                <w:color w:val="000000"/>
                <w:spacing w:val="0"/>
                <w:w w:val="100"/>
                <w:position w:val="0"/>
              </w:rPr>
              <w:t>个百分点</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2.47%</w:t>
            </w: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2020</w:t>
            </w:r>
            <w:r>
              <w:rPr>
                <w:color w:val="000000"/>
                <w:spacing w:val="0"/>
                <w:w w:val="100"/>
                <w:position w:val="0"/>
              </w:rPr>
              <w:t>年末</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2019</w:t>
            </w:r>
            <w:r>
              <w:rPr>
                <w:color w:val="000000"/>
                <w:spacing w:val="0"/>
                <w:w w:val="100"/>
                <w:position w:val="0"/>
              </w:rPr>
              <w:t>年末</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本年末比上年末增减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2018</w:t>
            </w:r>
            <w:r>
              <w:rPr>
                <w:color w:val="000000"/>
                <w:spacing w:val="0"/>
                <w:w w:val="100"/>
                <w:position w:val="0"/>
              </w:rPr>
              <w:t>年末</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资产总额（元）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1,982,963,071.10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1,597,976,549.12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24.09%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1,469,367,398.18</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归属于上市公司股东的净资产（元）</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1,365,823,220.26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1,089,816,314.06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25.33%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889,734,869.70</w:t>
            </w:r>
          </w:p>
        </w:tc>
      </w:tr>
    </w:tbl>
    <w:p>
      <w:pPr>
        <w:pStyle w:val="Style32"/>
        <w:keepNext w:val="0"/>
        <w:keepLines w:val="0"/>
        <w:widowControl w:val="0"/>
        <w:shd w:val="clear" w:color="auto" w:fill="auto"/>
        <w:bidi w:val="0"/>
        <w:spacing w:before="0" w:after="140" w:line="312" w:lineRule="exact"/>
        <w:ind w:left="420" w:right="0" w:firstLine="0"/>
        <w:jc w:val="left"/>
      </w:pPr>
      <w:r>
        <w:rPr>
          <w:color w:val="000000"/>
          <w:spacing w:val="0"/>
          <w:w w:val="100"/>
          <w:position w:val="0"/>
        </w:rPr>
        <w:t>公司最近三个会计年度扣除非经常性损益前后净利润孰低者均为负值，且最近一年审计报告显示公司持续经营能力存在不确 定性</w:t>
      </w:r>
    </w:p>
    <w:p>
      <w:pPr>
        <w:pStyle w:val="Style32"/>
        <w:keepNext w:val="0"/>
        <w:keepLines w:val="0"/>
        <w:widowControl w:val="0"/>
        <w:shd w:val="clear" w:color="auto" w:fill="auto"/>
        <w:bidi w:val="0"/>
        <w:spacing w:before="0" w:after="0"/>
        <w:ind w:left="0" w:right="0" w:firstLine="42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2"/>
        <w:keepNext w:val="0"/>
        <w:keepLines w:val="0"/>
        <w:widowControl w:val="0"/>
        <w:shd w:val="clear" w:color="auto" w:fill="auto"/>
        <w:bidi w:val="0"/>
        <w:spacing w:before="0" w:after="140" w:line="312" w:lineRule="exact"/>
        <w:ind w:left="0" w:right="0" w:firstLine="420"/>
        <w:jc w:val="left"/>
      </w:pPr>
      <w:r>
        <w:rPr>
          <w:color w:val="000000"/>
          <w:spacing w:val="0"/>
          <w:w w:val="100"/>
          <w:position w:val="0"/>
        </w:rPr>
        <w:t>扣除非经常损益前后的净利润孰低者为负值</w:t>
      </w:r>
    </w:p>
    <w:p>
      <w:pPr>
        <w:pStyle w:val="Style32"/>
        <w:keepNext w:val="0"/>
        <w:keepLines w:val="0"/>
        <w:widowControl w:val="0"/>
        <w:shd w:val="clear" w:color="auto" w:fill="auto"/>
        <w:bidi w:val="0"/>
        <w:spacing w:before="0" w:after="620"/>
        <w:ind w:left="0" w:right="0" w:firstLine="42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47"/>
        <w:keepNext/>
        <w:keepLines/>
        <w:widowControl w:val="0"/>
        <w:shd w:val="clear" w:color="auto" w:fill="auto"/>
        <w:bidi w:val="0"/>
        <w:spacing w:before="0" w:line="240" w:lineRule="auto"/>
        <w:ind w:left="0" w:right="0" w:firstLine="420"/>
        <w:jc w:val="left"/>
      </w:pPr>
      <w:bookmarkStart w:id="46" w:name="bookmark46"/>
      <w:bookmarkStart w:id="47" w:name="bookmark47"/>
      <w:bookmarkStart w:id="48" w:name="bookmark48"/>
      <w:bookmarkStart w:id="49" w:name="bookmark49"/>
      <w:r>
        <w:rPr>
          <w:color w:val="000000"/>
          <w:spacing w:val="0"/>
          <w:w w:val="100"/>
          <w:position w:val="0"/>
          <w:sz w:val="24"/>
          <w:szCs w:val="24"/>
        </w:rPr>
        <w:t>六</w:t>
      </w:r>
      <w:bookmarkEnd w:id="48"/>
      <w:r>
        <w:rPr>
          <w:color w:val="000000"/>
          <w:spacing w:val="0"/>
          <w:w w:val="100"/>
          <w:position w:val="0"/>
          <w:sz w:val="24"/>
          <w:szCs w:val="24"/>
        </w:rPr>
        <w:t>、分季度主要财务指标</w:t>
      </w:r>
      <w:bookmarkEnd w:id="46"/>
      <w:bookmarkEnd w:id="47"/>
      <w:bookmarkEnd w:id="49"/>
    </w:p>
    <w:p>
      <w:pPr>
        <w:pStyle w:val="Style32"/>
        <w:keepNext w:val="0"/>
        <w:keepLines w:val="0"/>
        <w:widowControl w:val="0"/>
        <w:shd w:val="clear" w:color="auto" w:fill="auto"/>
        <w:bidi w:val="0"/>
        <w:spacing w:before="0" w:after="180" w:line="240" w:lineRule="auto"/>
        <w:ind w:left="0" w:right="0" w:firstLine="0"/>
        <w:jc w:val="right"/>
        <w:sectPr>
          <w:headerReference w:type="default" r:id="rId25"/>
          <w:footerReference w:type="default" r:id="rId26"/>
          <w:headerReference w:type="even" r:id="rId27"/>
          <w:footerReference w:type="even" r:id="rId28"/>
          <w:headerReference w:type="first" r:id="rId29"/>
          <w:footerReference w:type="first" r:id="rId30"/>
          <w:footnotePr>
            <w:pos w:val="pageBottom"/>
            <w:numFmt w:val="decimal"/>
            <w:numRestart w:val="continuous"/>
          </w:footnotePr>
          <w:pgSz w:w="11900" w:h="16840"/>
          <w:pgMar w:top="1149" w:right="974" w:bottom="1700" w:left="828" w:header="0" w:footer="3" w:gutter="0"/>
          <w:cols w:space="720"/>
          <w:noEndnote/>
          <w:titlePg/>
          <w:rtlGutter w:val="0"/>
          <w:docGrid w:linePitch="360"/>
        </w:sectPr>
      </w:pPr>
      <w:r>
        <w:rPr>
          <w:color w:val="000000"/>
          <w:spacing w:val="0"/>
          <w:w w:val="100"/>
          <w:position w:val="0"/>
        </w:rPr>
        <w:t>单位：元</w:t>
      </w:r>
    </w:p>
    <w:p>
      <w:pPr>
        <w:widowControl w:val="0"/>
        <w:jc w:val="left"/>
        <w:rPr>
          <w:sz w:val="2"/>
          <w:szCs w:val="2"/>
        </w:rPr>
      </w:pPr>
      <w:r>
        <w:drawing>
          <wp:inline>
            <wp:extent cx="1298575" cy="481330"/>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1"/>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2630"/>
        <w:gridCol w:w="1738"/>
        <w:gridCol w:w="1742"/>
        <w:gridCol w:w="1738"/>
        <w:gridCol w:w="1738"/>
      </w:tblGrid>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color w:val="000000"/>
                <w:spacing w:val="0"/>
                <w:w w:val="100"/>
                <w:position w:val="0"/>
              </w:rPr>
              <w:t>第一季度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第二季度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第三季度</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color w:val="000000"/>
                <w:spacing w:val="0"/>
                <w:w w:val="100"/>
                <w:position w:val="0"/>
              </w:rPr>
              <w:t>第四季度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96,971,018.34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184,127,875.95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199,524,143.52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307,273,429.80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-14,813,929.04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24,603,104.75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8,364,642.84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62,214,643.82</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归属于上市公司股东的扣除非经 常性损益的净利润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-15,380,780.62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22,722,430.85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8,329,977.25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56,379,034.14</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-140,432,508.14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46,186,635.29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34,159,003.93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173,920,089.52</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上述财务指标或其加总数是否与公司已披露季度报告、半年度报告相关财务指标存在重大差异</w:t>
      </w:r>
    </w:p>
    <w:p>
      <w:pPr>
        <w:widowControl w:val="0"/>
        <w:spacing w:after="699" w:line="1" w:lineRule="exact"/>
      </w:pPr>
    </w:p>
    <w:p>
      <w:pPr>
        <w:pStyle w:val="Style47"/>
        <w:keepNext/>
        <w:keepLines/>
        <w:widowControl w:val="0"/>
        <w:shd w:val="clear" w:color="auto" w:fill="auto"/>
        <w:bidi w:val="0"/>
        <w:spacing w:before="0" w:after="360" w:line="240" w:lineRule="auto"/>
        <w:ind w:left="0" w:right="0" w:firstLine="400"/>
        <w:jc w:val="left"/>
      </w:pPr>
      <w:bookmarkStart w:id="50" w:name="bookmark50"/>
      <w:bookmarkStart w:id="51" w:name="bookmark51"/>
      <w:bookmarkStart w:id="52" w:name="bookmark52"/>
      <w:bookmarkStart w:id="53" w:name="bookmark53"/>
      <w:r>
        <w:rPr>
          <w:color w:val="000000"/>
          <w:spacing w:val="0"/>
          <w:w w:val="100"/>
          <w:position w:val="0"/>
          <w:sz w:val="24"/>
          <w:szCs w:val="24"/>
        </w:rPr>
        <w:t>七</w:t>
      </w:r>
      <w:bookmarkEnd w:id="52"/>
      <w:r>
        <w:rPr>
          <w:color w:val="000000"/>
          <w:spacing w:val="0"/>
          <w:w w:val="100"/>
          <w:position w:val="0"/>
          <w:sz w:val="24"/>
          <w:szCs w:val="24"/>
        </w:rPr>
        <w:t>、境内外会计准则下会计数据差异</w:t>
      </w:r>
      <w:bookmarkEnd w:id="50"/>
      <w:bookmarkEnd w:id="51"/>
      <w:bookmarkEnd w:id="53"/>
    </w:p>
    <w:p>
      <w:pPr>
        <w:pStyle w:val="Style55"/>
        <w:keepNext/>
        <w:keepLines/>
        <w:widowControl w:val="0"/>
        <w:shd w:val="clear" w:color="auto" w:fill="auto"/>
        <w:bidi w:val="0"/>
        <w:spacing w:before="0" w:after="360" w:line="240" w:lineRule="auto"/>
        <w:ind w:left="0" w:right="0" w:firstLine="400"/>
        <w:jc w:val="left"/>
      </w:pPr>
      <w:bookmarkStart w:id="54" w:name="bookmark54"/>
      <w:bookmarkStart w:id="55" w:name="bookmark55"/>
      <w:bookmarkStart w:id="56" w:name="bookmark56"/>
      <w:bookmarkStart w:id="57" w:name="bookmark57"/>
      <w:r>
        <w:rPr>
          <w:rFonts w:ascii="Times New Roman" w:eastAsia="Times New Roman" w:hAnsi="Times New Roman" w:cs="Times New Roman"/>
          <w:color w:val="000000"/>
          <w:spacing w:val="0"/>
          <w:w w:val="100"/>
          <w:position w:val="0"/>
        </w:rPr>
        <w:t>1</w:t>
      </w:r>
      <w:bookmarkEnd w:id="56"/>
      <w:r>
        <w:rPr>
          <w:color w:val="000000"/>
          <w:spacing w:val="0"/>
          <w:w w:val="100"/>
          <w:position w:val="0"/>
        </w:rPr>
        <w:t>、同时按照国际会计准则与按照中国会计准则披露的财务报告中净利润和净资产差异情况</w:t>
      </w:r>
      <w:bookmarkEnd w:id="54"/>
      <w:bookmarkEnd w:id="55"/>
      <w:bookmarkEnd w:id="57"/>
    </w:p>
    <w:p>
      <w:pPr>
        <w:pStyle w:val="Style32"/>
        <w:keepNext w:val="0"/>
        <w:keepLines w:val="0"/>
        <w:widowControl w:val="0"/>
        <w:shd w:val="clear" w:color="auto" w:fill="auto"/>
        <w:bidi w:val="0"/>
        <w:spacing w:before="0" w:after="140" w:line="240" w:lineRule="auto"/>
        <w:ind w:left="0" w:right="0" w:firstLine="4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400"/>
        <w:jc w:val="left"/>
      </w:pPr>
      <w:r>
        <w:rPr>
          <w:color w:val="000000"/>
          <w:spacing w:val="0"/>
          <w:w w:val="100"/>
          <w:position w:val="0"/>
        </w:rPr>
        <w:t>公司报告期不存在按照国际会计准则与按照中国会计准则披露的财务报告中净利润和净资产差异情况。</w:t>
      </w:r>
    </w:p>
    <w:p>
      <w:pPr>
        <w:pStyle w:val="Style55"/>
        <w:keepNext/>
        <w:keepLines/>
        <w:widowControl w:val="0"/>
        <w:shd w:val="clear" w:color="auto" w:fill="auto"/>
        <w:bidi w:val="0"/>
        <w:spacing w:before="0" w:after="360" w:line="240" w:lineRule="auto"/>
        <w:ind w:left="0" w:right="0" w:firstLine="400"/>
        <w:jc w:val="left"/>
      </w:pPr>
      <w:bookmarkStart w:id="58" w:name="bookmark58"/>
      <w:bookmarkStart w:id="59" w:name="bookmark59"/>
      <w:bookmarkStart w:id="60" w:name="bookmark60"/>
      <w:bookmarkStart w:id="61" w:name="bookmark61"/>
      <w:r>
        <w:rPr>
          <w:rFonts w:ascii="Times New Roman" w:eastAsia="Times New Roman" w:hAnsi="Times New Roman" w:cs="Times New Roman"/>
          <w:color w:val="000000"/>
          <w:spacing w:val="0"/>
          <w:w w:val="100"/>
          <w:position w:val="0"/>
        </w:rPr>
        <w:t>2</w:t>
      </w:r>
      <w:bookmarkEnd w:id="60"/>
      <w:r>
        <w:rPr>
          <w:color w:val="000000"/>
          <w:spacing w:val="0"/>
          <w:w w:val="100"/>
          <w:position w:val="0"/>
        </w:rPr>
        <w:t>、同时按照境外会计准则与按照中国会计准则披露的财务报告中净利润和净资产差异情况</w:t>
      </w:r>
      <w:bookmarkEnd w:id="58"/>
      <w:bookmarkEnd w:id="59"/>
      <w:bookmarkEnd w:id="61"/>
    </w:p>
    <w:p>
      <w:pPr>
        <w:pStyle w:val="Style32"/>
        <w:keepNext w:val="0"/>
        <w:keepLines w:val="0"/>
        <w:widowControl w:val="0"/>
        <w:shd w:val="clear" w:color="auto" w:fill="auto"/>
        <w:bidi w:val="0"/>
        <w:spacing w:before="0" w:after="140" w:line="240" w:lineRule="auto"/>
        <w:ind w:left="0" w:right="0" w:firstLine="4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400"/>
        <w:jc w:val="left"/>
      </w:pPr>
      <w:r>
        <w:rPr>
          <w:color w:val="000000"/>
          <w:spacing w:val="0"/>
          <w:w w:val="100"/>
          <w:position w:val="0"/>
        </w:rPr>
        <w:t>公司报告期不存在按照境外会计准则与按照中国会计准则披露的财务报告中净利润和净资产差异情况。</w:t>
      </w:r>
    </w:p>
    <w:p>
      <w:pPr>
        <w:pStyle w:val="Style47"/>
        <w:keepNext/>
        <w:keepLines/>
        <w:widowControl w:val="0"/>
        <w:shd w:val="clear" w:color="auto" w:fill="auto"/>
        <w:bidi w:val="0"/>
        <w:spacing w:before="0" w:after="360" w:line="240" w:lineRule="auto"/>
        <w:ind w:left="0" w:right="0" w:firstLine="400"/>
        <w:jc w:val="both"/>
      </w:pPr>
      <w:bookmarkStart w:id="62" w:name="bookmark62"/>
      <w:bookmarkStart w:id="63" w:name="bookmark63"/>
      <w:bookmarkStart w:id="64" w:name="bookmark64"/>
      <w:bookmarkStart w:id="65" w:name="bookmark65"/>
      <w:r>
        <w:rPr>
          <w:color w:val="000000"/>
          <w:spacing w:val="0"/>
          <w:w w:val="100"/>
          <w:position w:val="0"/>
          <w:sz w:val="24"/>
          <w:szCs w:val="24"/>
        </w:rPr>
        <w:t>八</w:t>
      </w:r>
      <w:bookmarkEnd w:id="64"/>
      <w:r>
        <w:rPr>
          <w:color w:val="000000"/>
          <w:spacing w:val="0"/>
          <w:w w:val="100"/>
          <w:position w:val="0"/>
          <w:sz w:val="24"/>
          <w:szCs w:val="24"/>
        </w:rPr>
        <w:t>、非经常性损益项目及金额</w:t>
      </w:r>
      <w:bookmarkEnd w:id="62"/>
      <w:bookmarkEnd w:id="63"/>
      <w:bookmarkEnd w:id="65"/>
    </w:p>
    <w:p>
      <w:pPr>
        <w:pStyle w:val="Style32"/>
        <w:keepNext w:val="0"/>
        <w:keepLines w:val="0"/>
        <w:widowControl w:val="0"/>
        <w:shd w:val="clear" w:color="auto" w:fill="auto"/>
        <w:bidi w:val="0"/>
        <w:spacing w:before="0" w:after="140" w:line="240" w:lineRule="auto"/>
        <w:ind w:left="0" w:right="0" w:firstLine="40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829"/>
        <w:gridCol w:w="1421"/>
        <w:gridCol w:w="1416"/>
        <w:gridCol w:w="1277"/>
        <w:gridCol w:w="1070"/>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20" w:firstLine="0"/>
              <w:jc w:val="right"/>
            </w:pPr>
            <w:r>
              <w:rPr>
                <w:rFonts w:ascii="Times New Roman" w:eastAsia="Times New Roman" w:hAnsi="Times New Roman" w:cs="Times New Roman"/>
                <w:color w:val="000000"/>
                <w:spacing w:val="0"/>
                <w:w w:val="100"/>
                <w:position w:val="0"/>
              </w:rPr>
              <w:t>2020</w:t>
            </w:r>
            <w:r>
              <w:rPr>
                <w:color w:val="000000"/>
                <w:spacing w:val="0"/>
                <w:w w:val="100"/>
                <w:position w:val="0"/>
              </w:rPr>
              <w:t>年金额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20" w:firstLine="0"/>
              <w:jc w:val="right"/>
            </w:pPr>
            <w:r>
              <w:rPr>
                <w:rFonts w:ascii="Times New Roman" w:eastAsia="Times New Roman" w:hAnsi="Times New Roman" w:cs="Times New Roman"/>
                <w:color w:val="000000"/>
                <w:spacing w:val="0"/>
                <w:w w:val="100"/>
                <w:position w:val="0"/>
              </w:rPr>
              <w:t>2019</w:t>
            </w:r>
            <w:r>
              <w:rPr>
                <w:color w:val="000000"/>
                <w:spacing w:val="0"/>
                <w:w w:val="100"/>
                <w:position w:val="0"/>
              </w:rPr>
              <w:t>年金额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2018</w:t>
            </w:r>
            <w:r>
              <w:rPr>
                <w:color w:val="000000"/>
                <w:spacing w:val="0"/>
                <w:w w:val="100"/>
                <w:position w:val="0"/>
              </w:rPr>
              <w:t>年金额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非流动资产处置损益（包括已计提资产减值准备的冲销部分）</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1,703,309.42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722,019.57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-33,192.43</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计入当期损益的政府补助（与企业业务密切相关，按照国家 统一标准定额或定量享受的政府补助除外）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6,843,822.54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1,353,017.11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12,399,769.00</w:t>
            </w:r>
          </w:p>
        </w:tc>
        <w:tc>
          <w:tcPr>
            <w:tcBorders>
              <w:top w:val="single" w:sz="4"/>
              <w:left w:val="single" w:sz="4"/>
              <w:right w:val="single" w:sz="4"/>
            </w:tcBorders>
            <w:shd w:val="clear" w:color="auto" w:fill="FFFFFF"/>
            <w:vAlign w:val="top"/>
          </w:tcPr>
          <w:p>
            <w:pPr>
              <w:widowControl w:val="0"/>
              <w:rPr>
                <w:sz w:val="10"/>
                <w:szCs w:val="10"/>
              </w:rPr>
            </w:pPr>
          </w:p>
        </w:tc>
      </w:tr>
      <w:tr>
        <w:trPr>
          <w:trHeight w:val="157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3" w:lineRule="exact"/>
              <w:ind w:left="0" w:right="0" w:firstLine="0"/>
              <w:jc w:val="left"/>
            </w:pPr>
            <w:r>
              <w:rPr>
                <w:color w:val="000000"/>
                <w:spacing w:val="0"/>
                <w:w w:val="100"/>
                <w:position w:val="0"/>
              </w:rPr>
              <w:t>除同公司正常经营业务相关的有效套期保值业务外，持有交 易性金融资产、衍生金融资产、交易性金融负债、衍生金融 负债产生的公允价值变动损益，以及处置交易性金融资产、 衍生金融资产、交易性金融负债、衍生金融负债和其他债权 投资取得的投资收益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1,381,622.64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单独进行减值测试的应收款项、合同资产减值准备转回</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2,698,120.01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-2,119,944.14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-80,161.85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-148,035.80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其他符合非经常性损益定义的损益项目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5,538.34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16,562.75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减：所得税影响额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1,301,048.32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211,588.27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1,244,247.59</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少数股东权益影响额（税后）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893,619.74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8,141.52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-119.84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8,317,800.75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1,791,707.79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10,974,413.02</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sectPr>
          <w:headerReference w:type="default" r:id="rId33"/>
          <w:footerReference w:type="default" r:id="rId34"/>
          <w:headerReference w:type="even" r:id="rId35"/>
          <w:footerReference w:type="even" r:id="rId36"/>
          <w:footnotePr>
            <w:pos w:val="pageBottom"/>
            <w:numFmt w:val="decimal"/>
            <w:numRestart w:val="continuous"/>
          </w:footnotePr>
          <w:pgSz w:w="11900" w:h="16840"/>
          <w:pgMar w:top="692" w:right="1109" w:bottom="1158" w:left="693" w:header="0" w:footer="3" w:gutter="0"/>
          <w:cols w:space="720"/>
          <w:noEndnote/>
          <w:rtlGutter w:val="0"/>
          <w:docGrid w:linePitch="360"/>
        </w:sectPr>
      </w:pPr>
    </w:p>
    <w:p>
      <w:pPr>
        <w:framePr w:w="768" w:h="437" w:hSpace="1291" w:wrap="notBeside" w:vAnchor="text" w:hAnchor="text" w:y="1"/>
        <w:widowControl w:val="0"/>
        <w:rPr>
          <w:sz w:val="2"/>
          <w:szCs w:val="2"/>
        </w:rPr>
      </w:pPr>
      <w:r>
        <w:drawing>
          <wp:inline>
            <wp:extent cx="487680" cy="280670"/>
            <wp:docPr id="72" name="Picutre 72"/>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a:stretch/>
                  </pic:blipFill>
                  <pic:spPr>
                    <a:xfrm>
                      <a:ext cx="487680" cy="280670"/>
                    </a:xfrm>
                    <a:prstGeom prst="rect"/>
                  </pic:spPr>
                </pic:pic>
              </a:graphicData>
            </a:graphic>
          </wp:inline>
        </w:drawing>
      </w:r>
    </w:p>
    <w:p>
      <w:pPr>
        <w:widowControl w:val="0"/>
        <w:spacing w:line="1" w:lineRule="exact"/>
      </w:pPr>
      <w:r>
        <mc:AlternateContent>
          <mc:Choice Requires="wps">
            <w:drawing>
              <wp:anchor distT="0" distB="0" distL="0" distR="5593080" simplePos="0" relativeHeight="125829388" behindDoc="0" locked="0" layoutInCell="1" allowOverlap="1">
                <wp:simplePos x="0" y="0"/>
                <wp:positionH relativeFrom="column">
                  <wp:posOffset>487680</wp:posOffset>
                </wp:positionH>
                <wp:positionV relativeFrom="paragraph">
                  <wp:posOffset>6350</wp:posOffset>
                </wp:positionV>
                <wp:extent cx="819785" cy="250190"/>
                <wp:wrapTopAndBottom/>
                <wp:docPr id="73" name="Shape 73"/>
                <a:graphic xmlns:a="http://schemas.openxmlformats.org/drawingml/2006/main">
                  <a:graphicData uri="http://schemas.microsoft.com/office/word/2010/wordprocessingShape">
                    <wps:wsp>
                      <wps:cNvSpPr txBox="1"/>
                      <wps:spPr>
                        <a:xfrm>
                          <a:ext cx="819785"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099" type="#_x0000_t202" style="position:absolute;margin-left:38.399999999999999pt;margin-top:0.5pt;width:64.549999999999997pt;height:19.699999999999999pt;z-index:-125829365;mso-wrap-distance-left:0;mso-wrap-distance-right:440.40000000000003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32"/>
        <w:keepNext w:val="0"/>
        <w:keepLines w:val="0"/>
        <w:widowControl w:val="0"/>
        <w:shd w:val="clear" w:color="auto" w:fill="auto"/>
        <w:bidi w:val="0"/>
        <w:spacing w:before="0" w:after="80" w:line="240" w:lineRule="auto"/>
        <w:ind w:left="0" w:right="0" w:firstLine="420"/>
        <w:jc w:val="left"/>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号——非经常性损益》定义界定的非经常性损益项目，以及把《公</w:t>
      </w:r>
    </w:p>
    <w:p>
      <w:pPr>
        <w:pStyle w:val="Style32"/>
        <w:keepNext w:val="0"/>
        <w:keepLines w:val="0"/>
        <w:widowControl w:val="0"/>
        <w:shd w:val="clear" w:color="auto" w:fill="auto"/>
        <w:bidi w:val="0"/>
        <w:spacing w:before="0" w:after="80" w:line="240" w:lineRule="auto"/>
        <w:ind w:left="0" w:right="0" w:firstLine="420"/>
        <w:jc w:val="left"/>
      </w:pPr>
      <w:r>
        <w:rPr>
          <w:color w:val="000000"/>
          <w:spacing w:val="0"/>
          <w:w w:val="100"/>
          <w:position w:val="0"/>
        </w:rPr>
        <w:t>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号——非经常性损益》中列举的非经常性损益项目界定为经常性损益的项目，应</w:t>
      </w:r>
    </w:p>
    <w:p>
      <w:pPr>
        <w:pStyle w:val="Style3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说明原因</w:t>
      </w:r>
    </w:p>
    <w:p>
      <w:pPr>
        <w:pStyle w:val="Style32"/>
        <w:keepNext w:val="0"/>
        <w:keepLines w:val="0"/>
        <w:widowControl w:val="0"/>
        <w:shd w:val="clear" w:color="auto" w:fill="auto"/>
        <w:bidi w:val="0"/>
        <w:spacing w:before="0" w:after="0" w:line="322" w:lineRule="exact"/>
        <w:ind w:left="0" w:right="0" w:firstLine="42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60" w:line="322" w:lineRule="exact"/>
        <w:ind w:left="420" w:right="0" w:firstLine="20"/>
        <w:jc w:val="left"/>
        <w:sectPr>
          <w:headerReference w:type="default" r:id="rId39"/>
          <w:footerReference w:type="default" r:id="rId40"/>
          <w:headerReference w:type="even" r:id="rId41"/>
          <w:footerReference w:type="even" r:id="rId42"/>
          <w:footnotePr>
            <w:pos w:val="pageBottom"/>
            <w:numFmt w:val="decimal"/>
            <w:numRestart w:val="continuous"/>
          </w:footnotePr>
          <w:pgSz w:w="11900" w:h="16840"/>
          <w:pgMar w:top="1066" w:right="1109" w:bottom="1162" w:left="693" w:header="0" w:footer="3" w:gutter="0"/>
          <w:cols w:space="720"/>
          <w:noEndnote/>
          <w:rtlGutter w:val="0"/>
          <w:docGrid w:linePitch="360"/>
        </w:sectPr>
      </w:pPr>
      <w:r>
        <w:rPr>
          <w:color w:val="000000"/>
          <w:spacing w:val="0"/>
          <w:w w:val="100"/>
          <w:position w:val="0"/>
        </w:rPr>
        <w:t>公司报告期不存在将根据《公开发行证券的公司信息披露解释性公告第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号——非经常性损益》定义、列举的非经常性损益 项目界定为经常性损益的项目的情形。</w:t>
      </w:r>
    </w:p>
    <w:p>
      <w:pPr>
        <w:framePr w:w="768" w:h="437" w:hSpace="1291" w:wrap="notBeside" w:vAnchor="text" w:hAnchor="text" w:y="1"/>
        <w:widowControl w:val="0"/>
        <w:rPr>
          <w:sz w:val="2"/>
          <w:szCs w:val="2"/>
        </w:rPr>
      </w:pPr>
      <w:r>
        <w:drawing>
          <wp:inline>
            <wp:extent cx="487680" cy="280670"/>
            <wp:docPr id="83" name="Picutre 83"/>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3"/>
                    <a:stretch/>
                  </pic:blipFill>
                  <pic:spPr>
                    <a:xfrm>
                      <a:ext cx="487680" cy="280670"/>
                    </a:xfrm>
                    <a:prstGeom prst="rect"/>
                  </pic:spPr>
                </pic:pic>
              </a:graphicData>
            </a:graphic>
          </wp:inline>
        </w:drawing>
      </w:r>
    </w:p>
    <w:p>
      <w:pPr>
        <w:widowControl w:val="0"/>
        <w:spacing w:line="1" w:lineRule="exact"/>
      </w:pPr>
      <w:r>
        <mc:AlternateContent>
          <mc:Choice Requires="wps">
            <w:drawing>
              <wp:anchor distT="0" distB="0" distL="0" distR="5389245" simplePos="0" relativeHeight="125829390" behindDoc="0" locked="0" layoutInCell="1" allowOverlap="1">
                <wp:simplePos x="0" y="0"/>
                <wp:positionH relativeFrom="column">
                  <wp:posOffset>487680</wp:posOffset>
                </wp:positionH>
                <wp:positionV relativeFrom="paragraph">
                  <wp:posOffset>6350</wp:posOffset>
                </wp:positionV>
                <wp:extent cx="819785" cy="250190"/>
                <wp:wrapTopAndBottom/>
                <wp:docPr id="84" name="Shape 84"/>
                <a:graphic xmlns:a="http://schemas.openxmlformats.org/drawingml/2006/main">
                  <a:graphicData uri="http://schemas.microsoft.com/office/word/2010/wordprocessingShape">
                    <wps:wsp>
                      <wps:cNvSpPr txBox="1"/>
                      <wps:spPr>
                        <a:xfrm>
                          <a:ext cx="819785"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110" type="#_x0000_t202" style="position:absolute;margin-left:38.399999999999999pt;margin-top:0.5pt;width:64.549999999999997pt;height:19.699999999999999pt;z-index:-125829363;mso-wrap-distance-left:0;mso-wrap-distance-right:424.35000000000002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20"/>
        <w:keepNext/>
        <w:keepLines/>
        <w:widowControl w:val="0"/>
        <w:shd w:val="clear" w:color="auto" w:fill="auto"/>
        <w:bidi w:val="0"/>
        <w:spacing w:before="0" w:after="540" w:line="240" w:lineRule="auto"/>
        <w:ind w:left="0" w:right="0" w:firstLine="0"/>
        <w:jc w:val="center"/>
      </w:pPr>
      <w:bookmarkStart w:id="66" w:name="bookmark66"/>
      <w:bookmarkStart w:id="67" w:name="bookmark67"/>
      <w:bookmarkStart w:id="68" w:name="bookmark68"/>
      <w:r>
        <w:rPr>
          <w:color w:val="000000"/>
          <w:spacing w:val="0"/>
          <w:w w:val="100"/>
          <w:position w:val="0"/>
        </w:rPr>
        <w:t>第三节公司业务概要</w:t>
      </w:r>
      <w:bookmarkEnd w:id="66"/>
      <w:bookmarkEnd w:id="67"/>
      <w:bookmarkEnd w:id="68"/>
    </w:p>
    <w:p>
      <w:pPr>
        <w:pStyle w:val="Style47"/>
        <w:keepNext/>
        <w:keepLines/>
        <w:widowControl w:val="0"/>
        <w:shd w:val="clear" w:color="auto" w:fill="auto"/>
        <w:bidi w:val="0"/>
        <w:spacing w:before="0" w:after="260" w:line="240" w:lineRule="auto"/>
        <w:ind w:left="0" w:right="0" w:firstLine="0"/>
        <w:jc w:val="left"/>
      </w:pPr>
      <w:bookmarkStart w:id="69" w:name="bookmark69"/>
      <w:bookmarkStart w:id="70" w:name="bookmark70"/>
      <w:bookmarkStart w:id="71" w:name="bookmark71"/>
      <w:bookmarkStart w:id="72" w:name="bookmark72"/>
      <w:r>
        <w:rPr>
          <w:color w:val="000000"/>
          <w:spacing w:val="0"/>
          <w:w w:val="100"/>
          <w:position w:val="0"/>
          <w:sz w:val="24"/>
          <w:szCs w:val="24"/>
        </w:rPr>
        <w:t>一</w:t>
      </w:r>
      <w:bookmarkEnd w:id="71"/>
      <w:r>
        <w:rPr>
          <w:color w:val="000000"/>
          <w:spacing w:val="0"/>
          <w:w w:val="100"/>
          <w:position w:val="0"/>
          <w:sz w:val="24"/>
          <w:szCs w:val="24"/>
        </w:rPr>
        <w:t>、报告期内公司从事的主要业务</w:t>
      </w:r>
      <w:bookmarkEnd w:id="69"/>
      <w:bookmarkEnd w:id="70"/>
      <w:bookmarkEnd w:id="72"/>
    </w:p>
    <w:p>
      <w:pPr>
        <w:pStyle w:val="Style32"/>
        <w:keepNext w:val="0"/>
        <w:keepLines w:val="0"/>
        <w:widowControl w:val="0"/>
        <w:shd w:val="clear" w:color="auto" w:fill="auto"/>
        <w:bidi w:val="0"/>
        <w:spacing w:before="0" w:after="140" w:line="312" w:lineRule="exact"/>
        <w:ind w:left="0" w:right="0" w:firstLine="0"/>
        <w:jc w:val="both"/>
      </w:pPr>
      <w:r>
        <w:rPr>
          <w:color w:val="000000"/>
          <w:spacing w:val="0"/>
          <w:w w:val="100"/>
          <w:position w:val="0"/>
        </w:rPr>
        <w:t>报告期内，公司所从事的主要业务为智慧医疗、健康数据和智维云两个板块。智慧医疗、健康数据业务板块，主要是基于临 床信息化细分产品和健康大数据平台，为客户提供标准、高效的医疗信息化软件产品和服务；智维云业务板块，主要定位于 新一代云服务增值商，以智维云平台为核心，持续为金融、教育、医疗、政府、能源、通信等行业客户提供全栈式云增值服 务与标准增值服务相结合的双态服务支持，以及选云、上云、用云等解决方案。</w:t>
      </w:r>
    </w:p>
    <w:p>
      <w:pPr>
        <w:pStyle w:val="Style32"/>
        <w:keepNext w:val="0"/>
        <w:keepLines w:val="0"/>
        <w:widowControl w:val="0"/>
        <w:shd w:val="clear" w:color="auto" w:fill="auto"/>
        <w:tabs>
          <w:tab w:pos="334" w:val="left"/>
        </w:tabs>
        <w:bidi w:val="0"/>
        <w:spacing w:before="0" w:after="0"/>
        <w:ind w:left="0" w:right="0" w:firstLine="0"/>
        <w:jc w:val="both"/>
      </w:pPr>
      <w:bookmarkStart w:id="73" w:name="bookmark73"/>
      <w:r>
        <w:rPr>
          <w:rFonts w:ascii="Times New Roman" w:eastAsia="Times New Roman" w:hAnsi="Times New Roman" w:cs="Times New Roman"/>
          <w:color w:val="000000"/>
          <w:spacing w:val="0"/>
          <w:w w:val="100"/>
          <w:position w:val="0"/>
        </w:rPr>
        <w:t>1</w:t>
      </w:r>
      <w:bookmarkEnd w:id="73"/>
      <w:r>
        <w:rPr>
          <w:color w:val="000000"/>
          <w:spacing w:val="0"/>
          <w:w w:val="100"/>
          <w:position w:val="0"/>
        </w:rPr>
        <w:t>、</w:t>
        <w:tab/>
        <w:t>智慧医疗、健康数据</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公司成立了荣科医疗战略中心，加速新智慧医院、紧密型县域医共体、互联网医院、医养平台等解决方案的快速推进，以实 现荣科生态战略的全面升级。</w:t>
      </w:r>
    </w:p>
    <w:p>
      <w:pPr>
        <w:pStyle w:val="Style32"/>
        <w:keepNext w:val="0"/>
        <w:keepLines w:val="0"/>
        <w:widowControl w:val="0"/>
        <w:numPr>
          <w:ilvl w:val="0"/>
          <w:numId w:val="1"/>
        </w:numPr>
        <w:shd w:val="clear" w:color="auto" w:fill="auto"/>
        <w:tabs>
          <w:tab w:pos="399" w:val="left"/>
        </w:tabs>
        <w:bidi w:val="0"/>
        <w:spacing w:before="0" w:after="0" w:line="314" w:lineRule="exact"/>
        <w:ind w:left="0" w:right="0" w:firstLine="0"/>
        <w:jc w:val="both"/>
      </w:pPr>
      <w:bookmarkStart w:id="74" w:name="bookmark74"/>
      <w:bookmarkEnd w:id="74"/>
      <w:r>
        <w:rPr>
          <w:color w:val="000000"/>
          <w:spacing w:val="0"/>
          <w:w w:val="100"/>
          <w:position w:val="0"/>
        </w:rPr>
        <w:t>荣科智慧医院解决方案</w:t>
      </w:r>
    </w:p>
    <w:p>
      <w:pPr>
        <w:pStyle w:val="Style32"/>
        <w:keepNext w:val="0"/>
        <w:keepLines w:val="0"/>
        <w:widowControl w:val="0"/>
        <w:shd w:val="clear" w:color="auto" w:fill="auto"/>
        <w:bidi w:val="0"/>
        <w:spacing w:before="0" w:after="0" w:line="315" w:lineRule="exact"/>
        <w:ind w:left="0" w:right="0" w:firstLine="0"/>
        <w:jc w:val="both"/>
      </w:pPr>
      <w:r>
        <w:rPr>
          <w:color w:val="000000"/>
          <w:spacing w:val="0"/>
          <w:w w:val="100"/>
          <w:position w:val="0"/>
        </w:rPr>
        <w:t>建立以“数据驱动，生态赋能，开放一体”为特色，以医院数据为核心，依托大数据、</w:t>
      </w:r>
      <w:r>
        <w:rPr>
          <w:rFonts w:ascii="Times New Roman" w:eastAsia="Times New Roman" w:hAnsi="Times New Roman" w:cs="Times New Roman"/>
          <w:color w:val="000000"/>
          <w:spacing w:val="0"/>
          <w:w w:val="100"/>
          <w:position w:val="0"/>
        </w:rPr>
        <w:t>AI</w:t>
      </w:r>
      <w:r>
        <w:rPr>
          <w:color w:val="000000"/>
          <w:spacing w:val="0"/>
          <w:w w:val="100"/>
          <w:position w:val="0"/>
        </w:rPr>
        <w:t>、</w:t>
      </w:r>
      <w:r>
        <w:rPr>
          <w:color w:val="000000"/>
          <w:spacing w:val="0"/>
          <w:w w:val="100"/>
          <w:position w:val="0"/>
        </w:rPr>
        <w:t>区块链等核心能力的智慧化生 态赋能中台为牵引，提供包含智慧医疗、智慧管理、智慧服务、智慧科研、智慧健康的完整建设体系的智慧医院解决方案。 站在顶层设计的角度构建医院信息化，以数据中心与</w:t>
      </w:r>
      <w:r>
        <w:rPr>
          <w:rFonts w:ascii="Times New Roman" w:eastAsia="Times New Roman" w:hAnsi="Times New Roman" w:cs="Times New Roman"/>
          <w:color w:val="000000"/>
          <w:spacing w:val="0"/>
          <w:w w:val="100"/>
          <w:position w:val="0"/>
        </w:rPr>
        <w:t>SMARThis</w:t>
      </w:r>
      <w:r>
        <w:rPr>
          <w:color w:val="000000"/>
          <w:spacing w:val="0"/>
          <w:w w:val="100"/>
          <w:position w:val="0"/>
        </w:rPr>
        <w:t>为核心，打破传统建设思路，从数据层面出发，搭建起医 院信息化的框架，接下来继续建设系统功能，把所需要的医疗数据、科研数据收集上来，从而实现智慧医院建设的最终目标。</w:t>
      </w:r>
    </w:p>
    <w:p>
      <w:pPr>
        <w:pStyle w:val="Style32"/>
        <w:keepNext w:val="0"/>
        <w:keepLines w:val="0"/>
        <w:widowControl w:val="0"/>
        <w:numPr>
          <w:ilvl w:val="0"/>
          <w:numId w:val="1"/>
        </w:numPr>
        <w:shd w:val="clear" w:color="auto" w:fill="auto"/>
        <w:tabs>
          <w:tab w:pos="399" w:val="left"/>
        </w:tabs>
        <w:bidi w:val="0"/>
        <w:spacing w:before="0" w:after="0" w:line="314" w:lineRule="exact"/>
        <w:ind w:left="0" w:right="0" w:firstLine="0"/>
        <w:jc w:val="both"/>
      </w:pPr>
      <w:bookmarkStart w:id="75" w:name="bookmark75"/>
      <w:bookmarkEnd w:id="75"/>
      <w:r>
        <w:rPr>
          <w:color w:val="000000"/>
          <w:spacing w:val="0"/>
          <w:w w:val="100"/>
          <w:position w:val="0"/>
        </w:rPr>
        <w:t>荣科紧密型县域医共体解决方案</w:t>
      </w:r>
    </w:p>
    <w:p>
      <w:pPr>
        <w:pStyle w:val="Style32"/>
        <w:keepNext w:val="0"/>
        <w:keepLines w:val="0"/>
        <w:widowControl w:val="0"/>
        <w:shd w:val="clear" w:color="auto" w:fill="auto"/>
        <w:bidi w:val="0"/>
        <w:spacing w:before="0" w:after="0" w:line="315" w:lineRule="exact"/>
        <w:ind w:left="0" w:right="0" w:firstLine="0"/>
        <w:jc w:val="both"/>
      </w:pPr>
      <w:r>
        <w:rPr>
          <w:color w:val="000000"/>
          <w:spacing w:val="0"/>
          <w:w w:val="100"/>
          <w:position w:val="0"/>
        </w:rPr>
        <w:t>采用云计算、物联网、移动互联网及人工智能等技术，依托主体医院，整合区域内各类医疗卫生资源，搭建一个高效可行的 医共体业务信息平台。平台建立了电子病历、健康档案、全员人口、数据标准与术语四大数据库，形成全民健康大数据体系。 依托该平台，建立医学影像、心电诊断、临床检验、病理检验、消毒供应、远程会诊等中心，全面落实分级诊疗、双向转诊 等工作，保障群众更好更公平享有基本医疗卫生服务。</w:t>
      </w:r>
    </w:p>
    <w:p>
      <w:pPr>
        <w:pStyle w:val="Style32"/>
        <w:keepNext w:val="0"/>
        <w:keepLines w:val="0"/>
        <w:widowControl w:val="0"/>
        <w:numPr>
          <w:ilvl w:val="0"/>
          <w:numId w:val="1"/>
        </w:numPr>
        <w:shd w:val="clear" w:color="auto" w:fill="auto"/>
        <w:tabs>
          <w:tab w:pos="399" w:val="left"/>
        </w:tabs>
        <w:bidi w:val="0"/>
        <w:spacing w:before="0" w:after="0" w:line="315" w:lineRule="exact"/>
        <w:ind w:left="0" w:right="0" w:firstLine="0"/>
        <w:jc w:val="both"/>
      </w:pPr>
      <w:bookmarkStart w:id="76" w:name="bookmark76"/>
      <w:bookmarkEnd w:id="76"/>
      <w:r>
        <w:rPr>
          <w:color w:val="000000"/>
          <w:spacing w:val="0"/>
          <w:w w:val="100"/>
          <w:position w:val="0"/>
        </w:rPr>
        <w:t>荣科互联网医院解决方案</w:t>
      </w:r>
    </w:p>
    <w:p>
      <w:pPr>
        <w:pStyle w:val="Style32"/>
        <w:keepNext w:val="0"/>
        <w:keepLines w:val="0"/>
        <w:widowControl w:val="0"/>
        <w:shd w:val="clear" w:color="auto" w:fill="auto"/>
        <w:bidi w:val="0"/>
        <w:spacing w:before="0" w:after="0" w:line="318" w:lineRule="exact"/>
        <w:ind w:left="0" w:right="0" w:firstLine="0"/>
        <w:jc w:val="both"/>
      </w:pPr>
      <w:r>
        <w:rPr>
          <w:color w:val="000000"/>
          <w:spacing w:val="0"/>
          <w:w w:val="100"/>
          <w:position w:val="0"/>
        </w:rPr>
        <w:t xml:space="preserve">以居民为中心，基于“医联、健联、药联、险联” </w:t>
      </w:r>
      <w:r>
        <w:rPr>
          <w:rFonts w:ascii="Times New Roman" w:eastAsia="Times New Roman" w:hAnsi="Times New Roman" w:cs="Times New Roman"/>
          <w:color w:val="000000"/>
          <w:spacing w:val="0"/>
          <w:w w:val="100"/>
          <w:position w:val="0"/>
        </w:rPr>
        <w:t>4D</w:t>
      </w:r>
      <w:r>
        <w:rPr>
          <w:color w:val="000000"/>
          <w:spacing w:val="0"/>
          <w:w w:val="100"/>
          <w:position w:val="0"/>
        </w:rPr>
        <w:t>全景，建设“物联、数联、智联”智慧服务平台，通过托管或联合运 营，有机整合核心资源要素，为居民提供家庭医生签约、医护到家、远程问诊、线上开方、智慧云药房、远程会诊、线上转 诊、远程诊断、健康管理、智慧康养、健康商城、数维健康档案、金融保理、高端医疗等全方位、多元化医疗健康及增值服 务。</w:t>
      </w:r>
    </w:p>
    <w:p>
      <w:pPr>
        <w:pStyle w:val="Style32"/>
        <w:keepNext w:val="0"/>
        <w:keepLines w:val="0"/>
        <w:widowControl w:val="0"/>
        <w:numPr>
          <w:ilvl w:val="0"/>
          <w:numId w:val="1"/>
        </w:numPr>
        <w:shd w:val="clear" w:color="auto" w:fill="auto"/>
        <w:tabs>
          <w:tab w:pos="399" w:val="left"/>
        </w:tabs>
        <w:bidi w:val="0"/>
        <w:spacing w:before="0" w:after="0" w:line="318" w:lineRule="exact"/>
        <w:ind w:left="0" w:right="0" w:firstLine="0"/>
        <w:jc w:val="both"/>
      </w:pPr>
      <w:bookmarkStart w:id="77" w:name="bookmark77"/>
      <w:bookmarkEnd w:id="77"/>
      <w:r>
        <w:rPr>
          <w:color w:val="000000"/>
          <w:spacing w:val="0"/>
          <w:w w:val="100"/>
          <w:position w:val="0"/>
        </w:rPr>
        <w:t>荣科</w:t>
      </w:r>
      <w:r>
        <w:rPr>
          <w:rFonts w:ascii="Times New Roman" w:eastAsia="Times New Roman" w:hAnsi="Times New Roman" w:cs="Times New Roman"/>
          <w:color w:val="000000"/>
          <w:spacing w:val="0"/>
          <w:w w:val="100"/>
          <w:position w:val="0"/>
        </w:rPr>
        <w:t xml:space="preserve">Smart HIS </w:t>
      </w:r>
      <w:r>
        <w:rPr>
          <w:color w:val="000000"/>
          <w:spacing w:val="0"/>
          <w:w w:val="100"/>
          <w:position w:val="0"/>
        </w:rPr>
        <w:t>一体化智慧医院解决方案</w:t>
      </w:r>
    </w:p>
    <w:p>
      <w:pPr>
        <w:pStyle w:val="Style32"/>
        <w:keepNext w:val="0"/>
        <w:keepLines w:val="0"/>
        <w:widowControl w:val="0"/>
        <w:shd w:val="clear" w:color="auto" w:fill="auto"/>
        <w:bidi w:val="0"/>
        <w:spacing w:before="0" w:after="140" w:line="312" w:lineRule="exact"/>
        <w:ind w:left="0" w:right="0" w:firstLine="0"/>
        <w:jc w:val="both"/>
      </w:pPr>
      <w:r>
        <w:rPr>
          <w:color w:val="000000"/>
          <w:spacing w:val="0"/>
          <w:w w:val="100"/>
          <w:position w:val="0"/>
        </w:rPr>
        <w:t>围绕医疗机构的基础医疗服务，集成互联网医院、微服务平台、煎药系统、处方流转平台、远程急救平台五大产品体系，深 入打造智慧医院、医共体、患者、医院(人、财、物)等核心医疗环节。</w:t>
      </w:r>
    </w:p>
    <w:p>
      <w:pPr>
        <w:pStyle w:val="Style32"/>
        <w:keepNext w:val="0"/>
        <w:keepLines w:val="0"/>
        <w:widowControl w:val="0"/>
        <w:shd w:val="clear" w:color="auto" w:fill="auto"/>
        <w:tabs>
          <w:tab w:pos="334" w:val="left"/>
        </w:tabs>
        <w:bidi w:val="0"/>
        <w:spacing w:before="0" w:after="0"/>
        <w:ind w:left="0" w:right="0" w:firstLine="0"/>
        <w:jc w:val="both"/>
      </w:pPr>
      <w:bookmarkStart w:id="78" w:name="bookmark78"/>
      <w:r>
        <w:rPr>
          <w:rFonts w:ascii="Times New Roman" w:eastAsia="Times New Roman" w:hAnsi="Times New Roman" w:cs="Times New Roman"/>
          <w:color w:val="000000"/>
          <w:spacing w:val="0"/>
          <w:w w:val="100"/>
          <w:position w:val="0"/>
        </w:rPr>
        <w:t>2</w:t>
      </w:r>
      <w:bookmarkEnd w:id="78"/>
      <w:r>
        <w:rPr>
          <w:color w:val="000000"/>
          <w:spacing w:val="0"/>
          <w:w w:val="100"/>
          <w:position w:val="0"/>
        </w:rPr>
        <w:t>、</w:t>
        <w:tab/>
        <w:t>智维云业务板块</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公司努力构建全新的云服务生态体系，并积极开拓新的技术、产品与业务，在大数据、云计算及区块链等方面，产生强大的 协同效应，为智慧城市、人社、新医保、能源、教育、金融等重点行业客户信息化需求提供高价值、高性能的产品及行业解 决方案，简称“智维云服务”。智维云服务涵盖选云、上云、用云等行业解决方案、各类云增值服务以及具备多云管理、资 源监控、智能分析、流程管理、自动化运维等功能的运维产品，可以实现客户信息化需求与</w:t>
      </w:r>
      <w:r>
        <w:rPr>
          <w:rFonts w:ascii="Times New Roman" w:eastAsia="Times New Roman" w:hAnsi="Times New Roman" w:cs="Times New Roman"/>
          <w:color w:val="000000"/>
          <w:spacing w:val="0"/>
          <w:w w:val="100"/>
          <w:position w:val="0"/>
        </w:rPr>
        <w:t>IT</w:t>
      </w:r>
      <w:r>
        <w:rPr>
          <w:color w:val="000000"/>
          <w:spacing w:val="0"/>
          <w:w w:val="100"/>
          <w:position w:val="0"/>
        </w:rPr>
        <w:t>服务的无缝衔接。核心的主 营业务包括三大部分：</w:t>
      </w:r>
    </w:p>
    <w:p>
      <w:pPr>
        <w:pStyle w:val="Style32"/>
        <w:keepNext w:val="0"/>
        <w:keepLines w:val="0"/>
        <w:widowControl w:val="0"/>
        <w:numPr>
          <w:ilvl w:val="0"/>
          <w:numId w:val="3"/>
        </w:numPr>
        <w:shd w:val="clear" w:color="auto" w:fill="auto"/>
        <w:bidi w:val="0"/>
        <w:spacing w:before="0" w:after="0" w:line="314" w:lineRule="exact"/>
        <w:ind w:left="0" w:right="0" w:firstLine="0"/>
        <w:jc w:val="both"/>
      </w:pPr>
      <w:bookmarkStart w:id="79" w:name="bookmark79"/>
      <w:bookmarkEnd w:id="79"/>
      <w:r>
        <w:rPr>
          <w:color w:val="000000"/>
          <w:spacing w:val="0"/>
          <w:w w:val="100"/>
          <w:position w:val="0"/>
        </w:rPr>
        <w:t>智慧城市解决方案</w:t>
      </w:r>
    </w:p>
    <w:p>
      <w:pPr>
        <w:pStyle w:val="Style32"/>
        <w:keepNext w:val="0"/>
        <w:keepLines w:val="0"/>
        <w:widowControl w:val="0"/>
        <w:shd w:val="clear" w:color="auto" w:fill="auto"/>
        <w:bidi w:val="0"/>
        <w:spacing w:before="0" w:after="0" w:line="314" w:lineRule="exact"/>
        <w:ind w:left="0" w:right="0" w:firstLine="0"/>
        <w:jc w:val="both"/>
        <w:sectPr>
          <w:footnotePr>
            <w:pos w:val="pageBottom"/>
            <w:numFmt w:val="decimal"/>
            <w:numRestart w:val="continuous"/>
          </w:footnotePr>
          <w:pgSz w:w="11900" w:h="16840"/>
          <w:pgMar w:top="1114" w:right="1024" w:bottom="1528" w:left="1098" w:header="0" w:footer="3" w:gutter="0"/>
          <w:cols w:space="720"/>
          <w:noEndnote/>
          <w:rtlGutter w:val="0"/>
          <w:docGrid w:linePitch="360"/>
        </w:sectPr>
      </w:pPr>
      <w:r>
        <w:rPr>
          <w:color w:val="000000"/>
          <w:spacing w:val="0"/>
          <w:w w:val="100"/>
          <w:position w:val="0"/>
        </w:rPr>
        <w:t>随着国家治理体系和治理能力现代化的不断推进，传统意义上的智慧城市正在向“新型智慧城市”演进。报告期内，公司积 极对已有产品和项目进行升级，利用先进技术并结合国家相关政策打造“新型智慧城市”应用，先后参与和实施了一些地市 智慧城市的顶层设计工作与各类应用平台的建设，并作为牵头单位，与北京大学联合申报了关于“网络文化市场动态监管服 务系统”和“互联网</w:t>
      </w:r>
      <w:r>
        <w:rPr>
          <w:rFonts w:ascii="Times New Roman" w:eastAsia="Times New Roman" w:hAnsi="Times New Roman" w:cs="Times New Roman"/>
          <w:color w:val="000000"/>
          <w:spacing w:val="0"/>
          <w:w w:val="100"/>
          <w:position w:val="0"/>
        </w:rPr>
        <w:t>+</w:t>
      </w:r>
      <w:r>
        <w:rPr>
          <w:color w:val="000000"/>
          <w:spacing w:val="0"/>
          <w:w w:val="100"/>
          <w:position w:val="0"/>
        </w:rPr>
        <w:t>政务大数据透明管理与智能服务平台”两个国家课题。未来，将继续深入研究大数据、云计算、区块</w:t>
      </w:r>
    </w:p>
    <w:p>
      <w:pPr>
        <w:pStyle w:val="Style32"/>
        <w:keepNext w:val="0"/>
        <w:keepLines w:val="0"/>
        <w:widowControl w:val="0"/>
        <w:shd w:val="clear" w:color="auto" w:fill="auto"/>
        <w:bidi w:val="0"/>
        <w:spacing w:before="0" w:after="0" w:line="240" w:lineRule="auto"/>
        <w:ind w:left="0" w:right="0" w:firstLine="0"/>
        <w:jc w:val="both"/>
      </w:pPr>
      <w:r>
        <mc:AlternateContent>
          <mc:Choice Requires="wps">
            <w:drawing>
              <wp:anchor distT="0" distB="0" distL="114300" distR="114300" simplePos="0" relativeHeight="125829392" behindDoc="0" locked="0" layoutInCell="1" allowOverlap="1">
                <wp:simplePos x="0" y="0"/>
                <wp:positionH relativeFrom="page">
                  <wp:posOffset>802640</wp:posOffset>
                </wp:positionH>
                <wp:positionV relativeFrom="margin">
                  <wp:posOffset>-15240</wp:posOffset>
                </wp:positionV>
                <wp:extent cx="1243330" cy="298450"/>
                <wp:wrapTopAndBottom/>
                <wp:docPr id="86" name="Shape 86"/>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112" type="#_x0000_t202" style="position:absolute;margin-left:63.200000000000003pt;margin-top:-1.2pt;width:97.900000000000006pt;height:23.5pt;z-index:-125829361;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链、人工智能等方面的技术，聚焦国家政策，深化打造智慧城市、互联网</w:t>
      </w:r>
      <w:r>
        <w:rPr>
          <w:rFonts w:ascii="Times New Roman" w:eastAsia="Times New Roman" w:hAnsi="Times New Roman" w:cs="Times New Roman"/>
          <w:color w:val="000000"/>
          <w:spacing w:val="0"/>
          <w:w w:val="100"/>
          <w:position w:val="0"/>
        </w:rPr>
        <w:t>+</w:t>
      </w:r>
      <w:r>
        <w:rPr>
          <w:color w:val="000000"/>
          <w:spacing w:val="0"/>
          <w:w w:val="100"/>
          <w:position w:val="0"/>
        </w:rPr>
        <w:t xml:space="preserve">政务、智慧人社、智慧新医保、智慧民政等现有 </w:t>
      </w:r>
      <w:r>
        <w:rPr>
          <w:color w:val="000000"/>
          <w:spacing w:val="0"/>
          <w:w w:val="100"/>
          <w:position w:val="0"/>
        </w:rPr>
        <w:t>产品，并开辟新型智慧城市</w:t>
      </w:r>
      <w:r>
        <w:rPr>
          <w:rFonts w:ascii="Times New Roman" w:eastAsia="Times New Roman" w:hAnsi="Times New Roman" w:cs="Times New Roman"/>
          <w:color w:val="000000"/>
          <w:spacing w:val="0"/>
          <w:w w:val="100"/>
          <w:position w:val="0"/>
        </w:rPr>
        <w:t>+</w:t>
      </w:r>
      <w:r>
        <w:rPr>
          <w:color w:val="000000"/>
          <w:spacing w:val="0"/>
          <w:w w:val="100"/>
          <w:position w:val="0"/>
        </w:rPr>
        <w:t>人工智能、综合能源服务平台</w:t>
      </w:r>
      <w:r>
        <w:rPr>
          <w:rFonts w:ascii="Times New Roman" w:eastAsia="Times New Roman" w:hAnsi="Times New Roman" w:cs="Times New Roman"/>
          <w:color w:val="000000"/>
          <w:spacing w:val="0"/>
          <w:w w:val="100"/>
          <w:position w:val="0"/>
        </w:rPr>
        <w:t>+</w:t>
      </w:r>
      <w:r>
        <w:rPr>
          <w:color w:val="000000"/>
          <w:spacing w:val="0"/>
          <w:w w:val="100"/>
          <w:position w:val="0"/>
        </w:rPr>
        <w:t>大数据、智能云服务</w:t>
      </w:r>
      <w:r>
        <w:rPr>
          <w:rFonts w:ascii="Times New Roman" w:eastAsia="Times New Roman" w:hAnsi="Times New Roman" w:cs="Times New Roman"/>
          <w:color w:val="000000"/>
          <w:spacing w:val="0"/>
          <w:w w:val="100"/>
          <w:position w:val="0"/>
        </w:rPr>
        <w:t>+</w:t>
      </w:r>
      <w:r>
        <w:rPr>
          <w:color w:val="000000"/>
          <w:spacing w:val="0"/>
          <w:w w:val="100"/>
          <w:position w:val="0"/>
        </w:rPr>
        <w:t>物联网等新领域的应用。</w:t>
      </w:r>
    </w:p>
    <w:p>
      <w:pPr>
        <w:pStyle w:val="Style32"/>
        <w:keepNext w:val="0"/>
        <w:keepLines w:val="0"/>
        <w:widowControl w:val="0"/>
        <w:numPr>
          <w:ilvl w:val="0"/>
          <w:numId w:val="3"/>
        </w:numPr>
        <w:shd w:val="clear" w:color="auto" w:fill="auto"/>
        <w:tabs>
          <w:tab w:pos="385" w:val="left"/>
        </w:tabs>
        <w:bidi w:val="0"/>
        <w:spacing w:before="0" w:after="0" w:line="312" w:lineRule="exact"/>
        <w:ind w:left="0" w:right="0" w:firstLine="0"/>
        <w:jc w:val="both"/>
      </w:pPr>
      <w:bookmarkStart w:id="80" w:name="bookmark80"/>
      <w:bookmarkEnd w:id="80"/>
      <w:r>
        <w:rPr>
          <w:color w:val="000000"/>
          <w:spacing w:val="0"/>
          <w:w w:val="100"/>
          <w:position w:val="0"/>
        </w:rPr>
        <w:t>智维云平台以及增值服务</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在新基建、数字化、智能化的建设浪潮下，当前企业上云已经成为一个不可阻挡的趋势，随着业务系统向云端迁移，企业会 面临在选云、上云、用云过程中的一系列问题。报告期内，公司在智维云平台研发方面持续创新，全力打造新一代数字化运 维平台产品，平台以数据为基础，以算法为支撑，以场景为导向，打通传统的运维数据孤岛，萃取运维数据价值，助力行业 客户实现面向混合</w:t>
      </w:r>
      <w:r>
        <w:rPr>
          <w:rFonts w:ascii="Times New Roman" w:eastAsia="Times New Roman" w:hAnsi="Times New Roman" w:cs="Times New Roman"/>
          <w:color w:val="000000"/>
          <w:spacing w:val="0"/>
          <w:w w:val="100"/>
          <w:position w:val="0"/>
        </w:rPr>
        <w:t>IT</w:t>
      </w:r>
      <w:r>
        <w:rPr>
          <w:color w:val="000000"/>
          <w:spacing w:val="0"/>
          <w:w w:val="100"/>
          <w:position w:val="0"/>
        </w:rPr>
        <w:t>环境的一体化、数字化、智能化运维管控。同时，积极推进智维云产品国产化适配，核心产品已经完 成与芯片、操作系统、服务器、数据库、中间件等部分市场主流国产化软硬件系统的兼容适配，加速向国产化生态迈进。在 服务方面，依托智维云平台提供敏态在线</w:t>
      </w:r>
      <w:r>
        <w:rPr>
          <w:rFonts w:ascii="Times New Roman" w:eastAsia="Times New Roman" w:hAnsi="Times New Roman" w:cs="Times New Roman"/>
          <w:color w:val="000000"/>
          <w:spacing w:val="0"/>
          <w:w w:val="100"/>
          <w:position w:val="0"/>
        </w:rPr>
        <w:t>7*24</w:t>
      </w:r>
      <w:r>
        <w:rPr>
          <w:color w:val="000000"/>
          <w:spacing w:val="0"/>
          <w:w w:val="100"/>
          <w:position w:val="0"/>
        </w:rPr>
        <w:t>小时云增值服务与稳态线下标准增值服务相结合的双态服务，为客户数字化 转型与业务创新发展保驾护航。</w:t>
      </w:r>
    </w:p>
    <w:p>
      <w:pPr>
        <w:pStyle w:val="Style32"/>
        <w:keepNext w:val="0"/>
        <w:keepLines w:val="0"/>
        <w:widowControl w:val="0"/>
        <w:numPr>
          <w:ilvl w:val="0"/>
          <w:numId w:val="3"/>
        </w:numPr>
        <w:shd w:val="clear" w:color="auto" w:fill="auto"/>
        <w:tabs>
          <w:tab w:pos="385" w:val="left"/>
        </w:tabs>
        <w:bidi w:val="0"/>
        <w:spacing w:before="0" w:after="0" w:line="312" w:lineRule="exact"/>
        <w:ind w:left="0" w:right="0" w:firstLine="0"/>
        <w:jc w:val="both"/>
      </w:pPr>
      <w:bookmarkStart w:id="81" w:name="bookmark81"/>
      <w:bookmarkEnd w:id="81"/>
      <w:r>
        <w:rPr>
          <w:color w:val="000000"/>
          <w:spacing w:val="0"/>
          <w:w w:val="100"/>
          <w:position w:val="0"/>
        </w:rPr>
        <w:t xml:space="preserve">智维云解决方案 </w:t>
      </w:r>
      <w:r>
        <w:rPr>
          <w:color w:val="000000"/>
          <w:spacing w:val="0"/>
          <w:w w:val="100"/>
          <w:position w:val="0"/>
        </w:rPr>
        <w:t>面向智慧城市、政务、人社、新医保、能源、教育、金融等重点行业客户信息化建设，提供覆盖规划咨询、部署建设、交付 运营、灾难恢复等内容的全栈式云上解决方案，包括金融行业多地多中心最佳实践、金保工程私有云建设、基于物联网与云 计算的医疗新</w:t>
      </w:r>
      <w:r>
        <w:rPr>
          <w:rFonts w:ascii="Times New Roman" w:eastAsia="Times New Roman" w:hAnsi="Times New Roman" w:cs="Times New Roman"/>
          <w:color w:val="000000"/>
          <w:spacing w:val="0"/>
          <w:w w:val="100"/>
          <w:position w:val="0"/>
        </w:rPr>
        <w:t>IT</w:t>
      </w:r>
      <w:r>
        <w:rPr>
          <w:color w:val="000000"/>
          <w:spacing w:val="0"/>
          <w:w w:val="100"/>
          <w:position w:val="0"/>
        </w:rPr>
        <w:t>、政务云大数据的规划实施、城市超脑</w:t>
      </w:r>
      <w:r>
        <w:rPr>
          <w:rFonts w:ascii="Times New Roman" w:eastAsia="Times New Roman" w:hAnsi="Times New Roman" w:cs="Times New Roman"/>
          <w:color w:val="000000"/>
          <w:spacing w:val="0"/>
          <w:w w:val="100"/>
          <w:position w:val="0"/>
        </w:rPr>
        <w:t>IOC</w:t>
      </w:r>
      <w:r>
        <w:rPr>
          <w:color w:val="000000"/>
          <w:spacing w:val="0"/>
          <w:w w:val="100"/>
          <w:position w:val="0"/>
        </w:rPr>
        <w:t>解决方案等，加快实现政、企的智能化转型与智慧运营。 云服务时代下，信通产业研究院对当前的</w:t>
      </w:r>
      <w:r>
        <w:rPr>
          <w:rFonts w:ascii="Times New Roman" w:eastAsia="Times New Roman" w:hAnsi="Times New Roman" w:cs="Times New Roman"/>
          <w:color w:val="000000"/>
          <w:spacing w:val="0"/>
          <w:w w:val="100"/>
          <w:position w:val="0"/>
        </w:rPr>
        <w:t>IT</w:t>
      </w:r>
      <w:r>
        <w:rPr>
          <w:color w:val="000000"/>
          <w:spacing w:val="0"/>
          <w:w w:val="100"/>
          <w:position w:val="0"/>
        </w:rPr>
        <w:t>服务商从厂商、交付网络以及运营平台能力上都做了进一步规范。平台能力能 够增加服务商对于客户的粘性，是解决服务成本快速增长的核心要素；而产品平台的赋能能力，是生态建设中的一个基础要 素。目前传统行业现有的技术体系和架构比较陈旧，缺乏统一的技术规范和协议标准，智慧城市相关部门业务系统采用树状 纵向架构，横向互连互通采用点对点模式等等，导致业务升级效率低、运维成本高等现状，严重制约了业务发展，因此重构 新型智慧城市业务系统成为该领域的内在需求。报告期内，公司根据行业发展趋势和资本市场形势变化，积极调整业务结构 与内容，在以云计算、</w:t>
      </w:r>
      <w:r>
        <w:rPr>
          <w:rFonts w:ascii="Times New Roman" w:eastAsia="Times New Roman" w:hAnsi="Times New Roman" w:cs="Times New Roman"/>
          <w:color w:val="000000"/>
          <w:spacing w:val="0"/>
          <w:w w:val="100"/>
          <w:position w:val="0"/>
        </w:rPr>
        <w:t>AI</w:t>
      </w:r>
      <w:r>
        <w:rPr>
          <w:color w:val="000000"/>
          <w:spacing w:val="0"/>
          <w:w w:val="100"/>
          <w:position w:val="0"/>
        </w:rPr>
        <w:t>为代表的新技术趋势深刻变革</w:t>
      </w:r>
      <w:r>
        <w:rPr>
          <w:rFonts w:ascii="Times New Roman" w:eastAsia="Times New Roman" w:hAnsi="Times New Roman" w:cs="Times New Roman"/>
          <w:color w:val="000000"/>
          <w:spacing w:val="0"/>
          <w:w w:val="100"/>
          <w:position w:val="0"/>
        </w:rPr>
        <w:t>IT</w:t>
      </w:r>
      <w:r>
        <w:rPr>
          <w:color w:val="000000"/>
          <w:spacing w:val="0"/>
          <w:w w:val="100"/>
          <w:position w:val="0"/>
        </w:rPr>
        <w:t>产业的背景下，确立了 “成为云时代增值服务商”的智维云服务 经营战略，积极推进以智维云产品为核心并与服务相结合的业务体系，着力推动智维云一体化运维与新型智慧城市解决方案 的业务发展，推出并持续更新迭代智维云平台和以惠民、善政、兴业为方向的一系列智慧城市核心业务系统，并应用在各类 项目中，得到了市场与用户的较好反响。公司作为</w:t>
      </w:r>
      <w:r>
        <w:rPr>
          <w:rFonts w:ascii="Times New Roman" w:eastAsia="Times New Roman" w:hAnsi="Times New Roman" w:cs="Times New Roman"/>
          <w:color w:val="000000"/>
          <w:spacing w:val="0"/>
          <w:w w:val="100"/>
          <w:position w:val="0"/>
        </w:rPr>
        <w:t>IT</w:t>
      </w:r>
      <w:r>
        <w:rPr>
          <w:color w:val="000000"/>
          <w:spacing w:val="0"/>
          <w:w w:val="100"/>
          <w:position w:val="0"/>
        </w:rPr>
        <w:t>云增值服务商，以市场为导向，充分利用技术以及产品优势，实施产 品与服务叠加销售的经营模式。智维云服务实施一体化经营策略，专注于智维云平台产品的研发销售，通过扩展产品功能、 补充产品能力，完善产品生态，为行业客户提供更优质的运维产品与更可靠的交付服务。公司在第三方</w:t>
      </w:r>
      <w:r>
        <w:rPr>
          <w:rFonts w:ascii="Times New Roman" w:eastAsia="Times New Roman" w:hAnsi="Times New Roman" w:cs="Times New Roman"/>
          <w:color w:val="000000"/>
          <w:spacing w:val="0"/>
          <w:w w:val="100"/>
          <w:position w:val="0"/>
        </w:rPr>
        <w:t>IT</w:t>
      </w:r>
      <w:r>
        <w:rPr>
          <w:color w:val="000000"/>
          <w:spacing w:val="0"/>
          <w:w w:val="100"/>
          <w:position w:val="0"/>
        </w:rPr>
        <w:t>服务商中保持自 主可控的平台产品领先优势，在</w:t>
      </w:r>
      <w:r>
        <w:rPr>
          <w:rFonts w:ascii="Times New Roman" w:eastAsia="Times New Roman" w:hAnsi="Times New Roman" w:cs="Times New Roman"/>
          <w:color w:val="000000"/>
          <w:spacing w:val="0"/>
          <w:w w:val="100"/>
          <w:position w:val="0"/>
        </w:rPr>
        <w:t>IT</w:t>
      </w:r>
      <w:r>
        <w:rPr>
          <w:color w:val="000000"/>
          <w:spacing w:val="0"/>
          <w:w w:val="100"/>
          <w:position w:val="0"/>
        </w:rPr>
        <w:t>运维工具厂商中，公司采取叠加差异化服务策略提升竞争优势。</w:t>
      </w:r>
    </w:p>
    <w:p>
      <w:pPr>
        <w:pStyle w:val="Style32"/>
        <w:keepNext w:val="0"/>
        <w:keepLines w:val="0"/>
        <w:widowControl w:val="0"/>
        <w:shd w:val="clear" w:color="auto" w:fill="auto"/>
        <w:bidi w:val="0"/>
        <w:spacing w:before="0" w:after="360" w:line="314" w:lineRule="exact"/>
        <w:ind w:left="0" w:right="0" w:firstLine="0"/>
        <w:jc w:val="both"/>
      </w:pPr>
      <w:r>
        <w:rPr>
          <w:color w:val="000000"/>
          <w:spacing w:val="0"/>
          <w:w w:val="100"/>
          <w:position w:val="0"/>
        </w:rPr>
        <w:t>从行业角度来讲，目前国内的</w:t>
      </w:r>
      <w:r>
        <w:rPr>
          <w:rFonts w:ascii="Times New Roman" w:eastAsia="Times New Roman" w:hAnsi="Times New Roman" w:cs="Times New Roman"/>
          <w:color w:val="000000"/>
          <w:spacing w:val="0"/>
          <w:w w:val="100"/>
          <w:position w:val="0"/>
        </w:rPr>
        <w:t>IT</w:t>
      </w:r>
      <w:r>
        <w:rPr>
          <w:color w:val="000000"/>
          <w:spacing w:val="0"/>
          <w:w w:val="100"/>
          <w:position w:val="0"/>
        </w:rPr>
        <w:t>服务市场仍然是一个碎片化比较严重的离散型服务市场，智维云服务业务要想提高业务竞 争力，需要持续提升三个方面的能力：产品的能力、服务网络的能力与生态建设的能力。行业客户对于数字化转型与国产化 的迫切要求，以及需要重构智慧城市业务系统成为该领域的内在需求，在此背景下，智维云服务业务规模继续提升，自主可 控软件与服务业务收入增加逐步成为公司收入增长的重要驱动力。智维云服务核心产品有待进一步探索差异化、专业化、精 品化的发展道路，在开发效率、个性化需求、高可用、扩展性等方面带来质的提升，从而满足目标客户的业务发展需要。</w:t>
      </w:r>
    </w:p>
    <w:p>
      <w:pPr>
        <w:pStyle w:val="Style47"/>
        <w:keepNext/>
        <w:keepLines/>
        <w:widowControl w:val="0"/>
        <w:shd w:val="clear" w:color="auto" w:fill="auto"/>
        <w:bidi w:val="0"/>
        <w:spacing w:before="0" w:after="360" w:line="240" w:lineRule="auto"/>
        <w:ind w:left="0" w:right="0" w:firstLine="0"/>
        <w:jc w:val="both"/>
      </w:pPr>
      <w:bookmarkStart w:id="82" w:name="bookmark82"/>
      <w:bookmarkStart w:id="83" w:name="bookmark83"/>
      <w:bookmarkStart w:id="84" w:name="bookmark84"/>
      <w:bookmarkStart w:id="85" w:name="bookmark85"/>
      <w:r>
        <w:rPr>
          <w:color w:val="000000"/>
          <w:spacing w:val="0"/>
          <w:w w:val="100"/>
          <w:position w:val="0"/>
          <w:sz w:val="24"/>
          <w:szCs w:val="24"/>
        </w:rPr>
        <w:t>二</w:t>
      </w:r>
      <w:bookmarkEnd w:id="84"/>
      <w:r>
        <w:rPr>
          <w:color w:val="000000"/>
          <w:spacing w:val="0"/>
          <w:w w:val="100"/>
          <w:position w:val="0"/>
          <w:sz w:val="24"/>
          <w:szCs w:val="24"/>
        </w:rPr>
        <w:t>、主要资产重大变化情况</w:t>
      </w:r>
      <w:bookmarkEnd w:id="82"/>
      <w:bookmarkEnd w:id="83"/>
      <w:bookmarkEnd w:id="85"/>
    </w:p>
    <w:p>
      <w:pPr>
        <w:pStyle w:val="Style55"/>
        <w:keepNext/>
        <w:keepLines/>
        <w:widowControl w:val="0"/>
        <w:shd w:val="clear" w:color="auto" w:fill="auto"/>
        <w:bidi w:val="0"/>
        <w:spacing w:before="0" w:after="300" w:line="240" w:lineRule="auto"/>
        <w:ind w:left="0" w:right="0" w:firstLine="0"/>
        <w:jc w:val="both"/>
      </w:pPr>
      <w:bookmarkStart w:id="86" w:name="bookmark86"/>
      <w:bookmarkStart w:id="87" w:name="bookmark87"/>
      <w:bookmarkStart w:id="88" w:name="bookmark88"/>
      <w:bookmarkStart w:id="89" w:name="bookmark89"/>
      <w:r>
        <w:rPr>
          <w:rFonts w:ascii="Times New Roman" w:eastAsia="Times New Roman" w:hAnsi="Times New Roman" w:cs="Times New Roman"/>
          <w:color w:val="000000"/>
          <w:spacing w:val="0"/>
          <w:w w:val="100"/>
          <w:position w:val="0"/>
        </w:rPr>
        <w:t>1</w:t>
      </w:r>
      <w:bookmarkEnd w:id="88"/>
      <w:r>
        <w:rPr>
          <w:color w:val="000000"/>
          <w:spacing w:val="0"/>
          <w:w w:val="100"/>
          <w:position w:val="0"/>
        </w:rPr>
        <w:t>、主要资产重大变化情况</w:t>
      </w:r>
      <w:bookmarkEnd w:id="86"/>
      <w:bookmarkEnd w:id="87"/>
      <w:bookmarkEnd w:id="89"/>
    </w:p>
    <w:tbl>
      <w:tblPr>
        <w:tblOverlap w:val="never"/>
        <w:jc w:val="center"/>
        <w:tblLayout w:type="fixed"/>
      </w:tblPr>
      <w:tblGrid>
        <w:gridCol w:w="1853"/>
        <w:gridCol w:w="7733"/>
      </w:tblGrid>
      <w:tr>
        <w:trPr>
          <w:trHeight w:val="76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60"/>
              <w:jc w:val="left"/>
            </w:pPr>
            <w:r>
              <w:rPr>
                <w:color w:val="000000"/>
                <w:spacing w:val="0"/>
                <w:w w:val="100"/>
                <w:position w:val="0"/>
              </w:rPr>
              <w:t>主要资产</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重大变化说明</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股权资产</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期末长期股权投资较年初增长</w:t>
            </w:r>
            <w:r>
              <w:rPr>
                <w:rFonts w:ascii="Times New Roman" w:eastAsia="Times New Roman" w:hAnsi="Times New Roman" w:cs="Times New Roman"/>
                <w:color w:val="000000"/>
                <w:spacing w:val="0"/>
                <w:w w:val="100"/>
                <w:position w:val="0"/>
              </w:rPr>
              <w:t>100.00%</w:t>
            </w:r>
            <w:r>
              <w:rPr>
                <w:color w:val="000000"/>
                <w:spacing w:val="0"/>
                <w:w w:val="100"/>
                <w:position w:val="0"/>
              </w:rPr>
              <w:t>，主要系增加权益法核算的参股公司所致。</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期末固定资产较年初下降</w:t>
            </w:r>
            <w:r>
              <w:rPr>
                <w:rFonts w:ascii="Times New Roman" w:eastAsia="Times New Roman" w:hAnsi="Times New Roman" w:cs="Times New Roman"/>
                <w:color w:val="000000"/>
                <w:spacing w:val="0"/>
                <w:w w:val="100"/>
                <w:position w:val="0"/>
              </w:rPr>
              <w:t>10.94%</w:t>
            </w:r>
            <w:r>
              <w:rPr>
                <w:color w:val="000000"/>
                <w:spacing w:val="0"/>
                <w:w w:val="100"/>
                <w:position w:val="0"/>
              </w:rPr>
              <w:t>，主要系计提折旧所致。</w:t>
            </w:r>
          </w:p>
        </w:tc>
      </w:tr>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期末无形资产较年初增长</w:t>
            </w:r>
            <w:r>
              <w:rPr>
                <w:rFonts w:ascii="Times New Roman" w:eastAsia="Times New Roman" w:hAnsi="Times New Roman" w:cs="Times New Roman"/>
                <w:color w:val="000000"/>
                <w:spacing w:val="0"/>
                <w:w w:val="100"/>
                <w:position w:val="0"/>
              </w:rPr>
              <w:t>43.50%</w:t>
            </w:r>
            <w:r>
              <w:rPr>
                <w:color w:val="000000"/>
                <w:spacing w:val="0"/>
                <w:w w:val="100"/>
                <w:position w:val="0"/>
              </w:rPr>
              <w:t>，主要系纳入合并报表范围的子公司增加所致。</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期末在建工程较年初增长</w:t>
            </w:r>
            <w:r>
              <w:rPr>
                <w:rFonts w:ascii="Times New Roman" w:eastAsia="Times New Roman" w:hAnsi="Times New Roman" w:cs="Times New Roman"/>
                <w:color w:val="000000"/>
                <w:spacing w:val="0"/>
                <w:w w:val="100"/>
                <w:position w:val="0"/>
              </w:rPr>
              <w:t>200.99%</w:t>
            </w:r>
            <w:r>
              <w:rPr>
                <w:color w:val="000000"/>
                <w:spacing w:val="0"/>
                <w:w w:val="100"/>
                <w:position w:val="0"/>
              </w:rPr>
              <w:t>，主要系基于分级诊疗的远程视频服务平台项目建设投入所致。</w:t>
            </w:r>
          </w:p>
        </w:tc>
      </w:tr>
    </w:tbl>
    <w:p>
      <w:pPr>
        <w:sectPr>
          <w:headerReference w:type="default" r:id="rId45"/>
          <w:footerReference w:type="default" r:id="rId46"/>
          <w:headerReference w:type="even" r:id="rId47"/>
          <w:footerReference w:type="even" r:id="rId48"/>
          <w:footnotePr>
            <w:pos w:val="pageBottom"/>
            <w:numFmt w:val="decimal"/>
            <w:numRestart w:val="continuous"/>
          </w:footnotePr>
          <w:pgSz w:w="11900" w:h="16840"/>
          <w:pgMar w:top="1114" w:right="1024" w:bottom="1528" w:left="1098" w:header="0" w:footer="3" w:gutter="0"/>
          <w:cols w:space="720"/>
          <w:noEndnote/>
          <w:rtlGutter w:val="0"/>
          <w:docGrid w:linePitch="360"/>
        </w:sectPr>
      </w:pPr>
    </w:p>
    <w:p>
      <w:pPr>
        <w:widowControl w:val="0"/>
        <w:jc w:val="left"/>
        <w:rPr>
          <w:sz w:val="2"/>
          <w:szCs w:val="2"/>
        </w:rPr>
      </w:pPr>
      <w:r>
        <w:drawing>
          <wp:inline>
            <wp:extent cx="1134110" cy="262255"/>
            <wp:docPr id="100" name="Picutre 100"/>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9"/>
                    <a:stretch/>
                  </pic:blipFill>
                  <pic:spPr>
                    <a:xfrm>
                      <a:ext cx="1134110" cy="262255"/>
                    </a:xfrm>
                    <a:prstGeom prst="rect"/>
                  </pic:spPr>
                </pic:pic>
              </a:graphicData>
            </a:graphic>
          </wp:inline>
        </w:drawing>
      </w:r>
    </w:p>
    <w:p>
      <w:pPr>
        <w:pStyle w:val="Style49"/>
        <w:keepNext w:val="0"/>
        <w:keepLines w:val="0"/>
        <w:widowControl w:val="0"/>
        <w:shd w:val="clear" w:color="auto" w:fill="auto"/>
        <w:bidi w:val="0"/>
        <w:spacing w:before="0" w:after="0" w:line="240" w:lineRule="auto"/>
        <w:ind w:left="365" w:right="0" w:firstLine="0"/>
        <w:jc w:val="left"/>
        <w:rPr>
          <w:sz w:val="15"/>
          <w:szCs w:val="15"/>
        </w:rPr>
      </w:pP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768" w:val="left"/>
        </w:tabs>
        <w:bidi w:val="0"/>
        <w:spacing w:before="0" w:after="0" w:line="240" w:lineRule="auto"/>
        <w:ind w:left="365" w:right="0" w:firstLine="0"/>
        <w:jc w:val="left"/>
      </w:pPr>
      <w:r>
        <w:rPr>
          <w:rFonts w:ascii="Times New Roman" w:eastAsia="Times New Roman" w:hAnsi="Times New Roman" w:cs="Times New Roman"/>
          <w:b/>
          <w:bCs/>
          <w:color w:val="245994"/>
          <w:spacing w:val="0"/>
          <w:w w:val="100"/>
          <w:position w:val="0"/>
          <w:sz w:val="32"/>
          <w:szCs w:val="32"/>
        </w:rPr>
        <w:t>I</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1853"/>
        <w:gridCol w:w="7733"/>
      </w:tblGrid>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期末货币资金较年初增长</w:t>
            </w:r>
            <w:r>
              <w:rPr>
                <w:rFonts w:ascii="Times New Roman" w:eastAsia="Times New Roman" w:hAnsi="Times New Roman" w:cs="Times New Roman"/>
                <w:color w:val="000000"/>
                <w:spacing w:val="0"/>
                <w:w w:val="100"/>
                <w:position w:val="0"/>
              </w:rPr>
              <w:t>34.27%</w:t>
            </w:r>
            <w:r>
              <w:rPr>
                <w:color w:val="000000"/>
                <w:spacing w:val="0"/>
                <w:w w:val="100"/>
                <w:position w:val="0"/>
              </w:rPr>
              <w:t>，主要系经营活动产生的现金流量净额增加所致。</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期末存货较年初增长</w:t>
            </w:r>
            <w:r>
              <w:rPr>
                <w:rFonts w:ascii="Times New Roman" w:eastAsia="Times New Roman" w:hAnsi="Times New Roman" w:cs="Times New Roman"/>
                <w:color w:val="000000"/>
                <w:spacing w:val="0"/>
                <w:w w:val="100"/>
                <w:position w:val="0"/>
              </w:rPr>
              <w:t>30.59%</w:t>
            </w:r>
            <w:r>
              <w:rPr>
                <w:color w:val="000000"/>
                <w:spacing w:val="0"/>
                <w:w w:val="100"/>
                <w:position w:val="0"/>
              </w:rPr>
              <w:t>，主要系未完工项目增加及纳入合并报表范围的子公司增加所致。</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商誉</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期末商誉较年初增长</w:t>
            </w:r>
            <w:r>
              <w:rPr>
                <w:rFonts w:ascii="Times New Roman" w:eastAsia="Times New Roman" w:hAnsi="Times New Roman" w:cs="Times New Roman"/>
                <w:color w:val="000000"/>
                <w:spacing w:val="0"/>
                <w:w w:val="100"/>
                <w:position w:val="0"/>
              </w:rPr>
              <w:t>41.58%</w:t>
            </w:r>
            <w:r>
              <w:rPr>
                <w:color w:val="000000"/>
                <w:spacing w:val="0"/>
                <w:w w:val="100"/>
                <w:position w:val="0"/>
              </w:rPr>
              <w:t>，主要系收购上海今创信息技术有限公司股权所形成的商誉。</w:t>
            </w:r>
          </w:p>
        </w:tc>
      </w:tr>
    </w:tbl>
    <w:p>
      <w:pPr>
        <w:widowControl w:val="0"/>
        <w:spacing w:after="339" w:line="1" w:lineRule="exact"/>
      </w:pPr>
    </w:p>
    <w:p>
      <w:pPr>
        <w:pStyle w:val="Style55"/>
        <w:keepNext/>
        <w:keepLines/>
        <w:widowControl w:val="0"/>
        <w:shd w:val="clear" w:color="auto" w:fill="auto"/>
        <w:bidi w:val="0"/>
        <w:spacing w:before="0" w:after="340" w:line="240" w:lineRule="auto"/>
        <w:ind w:left="0" w:right="0" w:firstLine="0"/>
        <w:jc w:val="left"/>
      </w:pPr>
      <w:bookmarkStart w:id="90" w:name="bookmark90"/>
      <w:bookmarkStart w:id="91" w:name="bookmark91"/>
      <w:bookmarkStart w:id="92" w:name="bookmark92"/>
      <w:bookmarkStart w:id="93" w:name="bookmark93"/>
      <w:r>
        <w:rPr>
          <w:rFonts w:ascii="Times New Roman" w:eastAsia="Times New Roman" w:hAnsi="Times New Roman" w:cs="Times New Roman"/>
          <w:color w:val="000000"/>
          <w:spacing w:val="0"/>
          <w:w w:val="100"/>
          <w:position w:val="0"/>
        </w:rPr>
        <w:t>2</w:t>
      </w:r>
      <w:bookmarkEnd w:id="92"/>
      <w:r>
        <w:rPr>
          <w:color w:val="000000"/>
          <w:spacing w:val="0"/>
          <w:w w:val="100"/>
          <w:position w:val="0"/>
        </w:rPr>
        <w:t>、主要境外资产情况</w:t>
      </w:r>
      <w:bookmarkEnd w:id="90"/>
      <w:bookmarkEnd w:id="91"/>
      <w:bookmarkEnd w:id="93"/>
    </w:p>
    <w:p>
      <w:pPr>
        <w:pStyle w:val="Style32"/>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47"/>
        <w:keepNext/>
        <w:keepLines/>
        <w:widowControl w:val="0"/>
        <w:shd w:val="clear" w:color="auto" w:fill="auto"/>
        <w:bidi w:val="0"/>
        <w:spacing w:before="0" w:line="240" w:lineRule="auto"/>
        <w:ind w:left="0" w:right="0" w:firstLine="0"/>
        <w:jc w:val="left"/>
      </w:pPr>
      <w:bookmarkStart w:id="94" w:name="bookmark94"/>
      <w:bookmarkStart w:id="95" w:name="bookmark95"/>
      <w:bookmarkStart w:id="96" w:name="bookmark96"/>
      <w:bookmarkStart w:id="97" w:name="bookmark97"/>
      <w:r>
        <w:rPr>
          <w:color w:val="000000"/>
          <w:spacing w:val="0"/>
          <w:w w:val="100"/>
          <w:position w:val="0"/>
          <w:sz w:val="24"/>
          <w:szCs w:val="24"/>
        </w:rPr>
        <w:t>三</w:t>
      </w:r>
      <w:bookmarkEnd w:id="96"/>
      <w:r>
        <w:rPr>
          <w:color w:val="000000"/>
          <w:spacing w:val="0"/>
          <w:w w:val="100"/>
          <w:position w:val="0"/>
          <w:sz w:val="24"/>
          <w:szCs w:val="24"/>
        </w:rPr>
        <w:t>、核心竞争力分析</w:t>
      </w:r>
      <w:bookmarkEnd w:id="94"/>
      <w:bookmarkEnd w:id="95"/>
      <w:bookmarkEnd w:id="97"/>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报告期内，荣科及旗下子公司新增软件著作权</w:t>
      </w:r>
      <w:r>
        <w:rPr>
          <w:rFonts w:ascii="Times New Roman" w:eastAsia="Times New Roman" w:hAnsi="Times New Roman" w:cs="Times New Roman"/>
          <w:color w:val="000000"/>
          <w:spacing w:val="0"/>
          <w:w w:val="100"/>
          <w:position w:val="0"/>
        </w:rPr>
        <w:t>131</w:t>
      </w:r>
      <w:r>
        <w:rPr>
          <w:color w:val="000000"/>
          <w:spacing w:val="0"/>
          <w:w w:val="100"/>
          <w:position w:val="0"/>
        </w:rPr>
        <w:t>项，具体情况如下:</w:t>
      </w:r>
    </w:p>
    <w:tbl>
      <w:tblPr>
        <w:tblOverlap w:val="never"/>
        <w:jc w:val="center"/>
        <w:tblLayout w:type="fixed"/>
      </w:tblPr>
      <w:tblGrid>
        <w:gridCol w:w="696"/>
        <w:gridCol w:w="4512"/>
        <w:gridCol w:w="2448"/>
        <w:gridCol w:w="1555"/>
      </w:tblGrid>
      <w:tr>
        <w:trPr>
          <w:trHeight w:val="35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序号</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发证机关</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证书编号</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荣科综合审批管理系统（简称：审批管理系统）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2020SR0054587</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荣科资产运用管理系统（简称：资产运用管理系统）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2020SR0080948</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荣科快速开发系统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2020SR0080949</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w:t>
            </w:r>
            <w:r>
              <w:rPr>
                <w:color w:val="000000"/>
                <w:spacing w:val="0"/>
                <w:w w:val="100"/>
                <w:position w:val="0"/>
                <w:sz w:val="18"/>
                <w:szCs w:val="18"/>
              </w:rPr>
              <w:t>BI</w:t>
            </w:r>
            <w:r>
              <w:rPr>
                <w:color w:val="000000"/>
                <w:spacing w:val="0"/>
                <w:w w:val="100"/>
                <w:position w:val="0"/>
              </w:rPr>
              <w:t>数据管理系统（简称：荣科</w:t>
            </w:r>
            <w:r>
              <w:rPr>
                <w:color w:val="000000"/>
                <w:spacing w:val="0"/>
                <w:w w:val="100"/>
                <w:position w:val="0"/>
                <w:sz w:val="18"/>
                <w:szCs w:val="18"/>
              </w:rPr>
              <w:t>BI</w:t>
            </w:r>
            <w:r>
              <w:rPr>
                <w:color w:val="000000"/>
                <w:spacing w:val="0"/>
                <w:w w:val="100"/>
                <w:position w:val="0"/>
              </w:rPr>
              <w:t>管理）</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2020SR0080950</w:t>
            </w:r>
          </w:p>
        </w:tc>
      </w:tr>
      <w:tr>
        <w:trPr>
          <w:trHeight w:val="739"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荣科安全经营工作实绩考核管理系统（简称：工作实绩考 核管理系统）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2020SR0080951</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荣科二手房资金监管系统（简称：二手房资金监管系统）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2020SR0080952</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荣科存量房资金监管系统（简称：一手房资金监管系统）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2020SR0080953</w:t>
            </w:r>
          </w:p>
        </w:tc>
      </w:tr>
      <w:tr>
        <w:trPr>
          <w:trHeight w:val="739"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荣科安全经营实绩考核及问题督办管理系统</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（简称：安全经营实绩考核及问题督办管理系统）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2020SR0080954</w:t>
            </w:r>
          </w:p>
        </w:tc>
      </w:tr>
      <w:tr>
        <w:trPr>
          <w:trHeight w:val="739"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both"/>
            </w:pPr>
            <w:r>
              <w:rPr>
                <w:color w:val="000000"/>
                <w:spacing w:val="0"/>
                <w:w w:val="100"/>
                <w:position w:val="0"/>
              </w:rPr>
              <w:t>荣科办公组件文档防扩散关联系统（简称：本地安全算法 脚本）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2020SR0402794</w:t>
            </w:r>
          </w:p>
        </w:tc>
      </w:tr>
      <w:tr>
        <w:trPr>
          <w:trHeight w:val="422"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荣科电子文档加载优化管理系统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2020SR0396736</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荣科智维云运维管理系统（简称：智维云运维）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2020SR0396730</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荣科智维云运营管理系统（简称：智维云运营）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2020SR0396050</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荣科智维云服务中枢系统（简称：智维云中枢）</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2020SR0397548</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w:t>
            </w:r>
            <w:r>
              <w:rPr>
                <w:color w:val="000000"/>
                <w:spacing w:val="0"/>
                <w:w w:val="100"/>
                <w:position w:val="0"/>
                <w:sz w:val="18"/>
                <w:szCs w:val="18"/>
              </w:rPr>
              <w:t>DRG</w:t>
            </w:r>
            <w:r>
              <w:rPr>
                <w:color w:val="000000"/>
                <w:spacing w:val="0"/>
                <w:w w:val="100"/>
                <w:position w:val="0"/>
              </w:rPr>
              <w:t>医保监管平台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2020SR0536926</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w:t>
            </w:r>
            <w:r>
              <w:rPr>
                <w:color w:val="000000"/>
                <w:spacing w:val="0"/>
                <w:w w:val="100"/>
                <w:position w:val="0"/>
                <w:sz w:val="18"/>
                <w:szCs w:val="18"/>
              </w:rPr>
              <w:t>DRG</w:t>
            </w:r>
            <w:r>
              <w:rPr>
                <w:color w:val="000000"/>
                <w:spacing w:val="0"/>
                <w:w w:val="100"/>
                <w:position w:val="0"/>
              </w:rPr>
              <w:t>医保智能审核平台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2020SR0538685</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w:t>
            </w:r>
            <w:r>
              <w:rPr>
                <w:color w:val="000000"/>
                <w:spacing w:val="0"/>
                <w:w w:val="100"/>
                <w:position w:val="0"/>
                <w:sz w:val="18"/>
                <w:szCs w:val="18"/>
              </w:rPr>
              <w:t>DRG</w:t>
            </w:r>
            <w:r>
              <w:rPr>
                <w:color w:val="000000"/>
                <w:spacing w:val="0"/>
                <w:w w:val="100"/>
                <w:position w:val="0"/>
              </w:rPr>
              <w:t>医保结算平台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2020SR0538702</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荣科疫情健康数据采集系统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2020SR0597026</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w:t>
            </w:r>
            <w:r>
              <w:rPr>
                <w:color w:val="000000"/>
                <w:spacing w:val="0"/>
                <w:w w:val="100"/>
                <w:position w:val="0"/>
                <w:sz w:val="18"/>
                <w:szCs w:val="18"/>
              </w:rPr>
              <w:t>DRG</w:t>
            </w:r>
            <w:r>
              <w:rPr>
                <w:color w:val="000000"/>
                <w:spacing w:val="0"/>
                <w:w w:val="100"/>
                <w:position w:val="0"/>
              </w:rPr>
              <w:t>分组器软件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2020SR0670776</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19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w:t>
            </w:r>
            <w:r>
              <w:rPr>
                <w:color w:val="000000"/>
                <w:spacing w:val="0"/>
                <w:w w:val="100"/>
                <w:position w:val="0"/>
                <w:sz w:val="18"/>
                <w:szCs w:val="18"/>
              </w:rPr>
              <w:t>DRGs</w:t>
            </w:r>
            <w:r>
              <w:rPr>
                <w:color w:val="000000"/>
                <w:spacing w:val="0"/>
                <w:w w:val="100"/>
                <w:position w:val="0"/>
              </w:rPr>
              <w:t>区域分析平台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2020SR0757134</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20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w:t>
            </w:r>
            <w:r>
              <w:rPr>
                <w:color w:val="000000"/>
                <w:spacing w:val="0"/>
                <w:w w:val="100"/>
                <w:position w:val="0"/>
                <w:sz w:val="18"/>
                <w:szCs w:val="18"/>
              </w:rPr>
              <w:t>DRGs</w:t>
            </w:r>
            <w:r>
              <w:rPr>
                <w:color w:val="000000"/>
                <w:spacing w:val="0"/>
                <w:w w:val="100"/>
                <w:position w:val="0"/>
              </w:rPr>
              <w:t>数据上报分析系统</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2020SR0757431</w:t>
            </w:r>
          </w:p>
        </w:tc>
      </w:tr>
      <w:tr>
        <w:trPr>
          <w:trHeight w:val="437"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8"/>
                <w:szCs w:val="18"/>
              </w:rPr>
              <w:t>21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荣科基于</w:t>
            </w:r>
            <w:r>
              <w:rPr>
                <w:color w:val="000000"/>
                <w:spacing w:val="0"/>
                <w:w w:val="100"/>
                <w:position w:val="0"/>
                <w:sz w:val="18"/>
                <w:szCs w:val="18"/>
              </w:rPr>
              <w:t>DRGs</w:t>
            </w:r>
            <w:r>
              <w:rPr>
                <w:color w:val="000000"/>
                <w:spacing w:val="0"/>
                <w:w w:val="100"/>
                <w:position w:val="0"/>
              </w:rPr>
              <w:t>医疗服务绩效评价系统</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8"/>
                <w:szCs w:val="18"/>
              </w:rPr>
              <w:t>2020SR0757155</w:t>
            </w:r>
          </w:p>
        </w:tc>
      </w:tr>
    </w:tbl>
    <w:p>
      <w:pPr>
        <w:sectPr>
          <w:headerReference w:type="default" r:id="rId51"/>
          <w:footerReference w:type="default" r:id="rId52"/>
          <w:headerReference w:type="even" r:id="rId53"/>
          <w:footerReference w:type="even" r:id="rId54"/>
          <w:footnotePr>
            <w:pos w:val="pageBottom"/>
            <w:numFmt w:val="decimal"/>
            <w:numRestart w:val="continuous"/>
          </w:footnotePr>
          <w:pgSz w:w="11900" w:h="16840"/>
          <w:pgMar w:top="678" w:right="1195" w:bottom="1158" w:left="1104" w:header="0" w:footer="3" w:gutter="0"/>
          <w:cols w:space="720"/>
          <w:noEndnote/>
          <w:rtlGutter w:val="0"/>
          <w:docGrid w:linePitch="360"/>
        </w:sectPr>
      </w:pPr>
    </w:p>
    <w:tbl>
      <w:tblPr>
        <w:tblOverlap w:val="never"/>
        <w:jc w:val="left"/>
        <w:tblLayout w:type="fixed"/>
      </w:tblPr>
      <w:tblGrid>
        <w:gridCol w:w="696"/>
        <w:gridCol w:w="4512"/>
        <w:gridCol w:w="2448"/>
        <w:gridCol w:w="1555"/>
      </w:tblGrid>
      <w:tr>
        <w:trPr>
          <w:trHeight w:val="355" w:hRule="exact"/>
        </w:trPr>
        <w:tc>
          <w:tcPr>
            <w:tcBorders>
              <w:top w:val="single" w:sz="4"/>
              <w:lef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序号</w:t>
            </w:r>
          </w:p>
        </w:tc>
        <w:tc>
          <w:tcPr>
            <w:tcBorders>
              <w:top w:val="single" w:sz="4"/>
              <w:lef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证书名称</w:t>
            </w:r>
          </w:p>
        </w:tc>
        <w:tc>
          <w:tcPr>
            <w:tcBorders>
              <w:top w:val="single" w:sz="4"/>
              <w:lef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发证机关</w:t>
            </w:r>
          </w:p>
        </w:tc>
        <w:tc>
          <w:tcPr>
            <w:tcBorders>
              <w:top w:val="single" w:sz="4"/>
              <w:left w:val="single" w:sz="4"/>
              <w:righ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证书编号</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22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w:t>
            </w:r>
            <w:r>
              <w:rPr>
                <w:color w:val="000000"/>
                <w:spacing w:val="0"/>
                <w:w w:val="100"/>
                <w:position w:val="0"/>
                <w:sz w:val="18"/>
                <w:szCs w:val="18"/>
              </w:rPr>
              <w:t>DRGs</w:t>
            </w:r>
            <w:r>
              <w:rPr>
                <w:color w:val="000000"/>
                <w:spacing w:val="0"/>
                <w:w w:val="100"/>
                <w:position w:val="0"/>
              </w:rPr>
              <w:t>住院医疗费用监控与管理系统</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2020SR0757398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23</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荣科文控管理系统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2020SR0656494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24</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荣科文档云管理系统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2020SR0656486</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25</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荣科疫情防控信息管理系统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2020SR0773293</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26</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荣科医共体管理平台软件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2020SR0947474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27</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荣科区域远程心电诊断平台软件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2020SR0948844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28</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荣科区域远程医学影像平台软件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2020SR0947853</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29</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荣科远程会诊管理平台软件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2020SR0950240</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荣科区域分级诊疗系统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2020SR0950111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荣科手术室麻醉临床信息系统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2020SR0950175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荣科智能输液管理系统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2020SR0962635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33</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荣科自助机管理系统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2020SR0962628</w:t>
            </w:r>
          </w:p>
        </w:tc>
      </w:tr>
      <w:tr>
        <w:trPr>
          <w:trHeight w:val="422"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34</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荣科分诊导医平台软件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2020SR0965078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35</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荣科多媒体信息发布平台系统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2020SR0970391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36</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荣科门诊分诊排队系统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2020SR0970392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37</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荣科医技分诊排队系统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2020SR0970385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38</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荣科护士分诊台系统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2020SR0965085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39</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荣科医生工作站软件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2020SR0961686</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荣科院感和传染病上报系统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2020SR0961917</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荣科智慧医养平台软件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2020SR0961924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荣科基于云架构的海量数据智能分析管理系统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2020SR0986038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43</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荣科基于云架构的语音文件共享分析管理系统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2020SR0986046</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44</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荣科临床患者</w:t>
            </w:r>
            <w:r>
              <w:rPr>
                <w:color w:val="000000"/>
                <w:spacing w:val="0"/>
                <w:w w:val="100"/>
                <w:position w:val="0"/>
                <w:sz w:val="18"/>
                <w:szCs w:val="18"/>
              </w:rPr>
              <w:t>360</w:t>
            </w:r>
            <w:r>
              <w:rPr>
                <w:color w:val="000000"/>
                <w:spacing w:val="0"/>
                <w:w w:val="100"/>
                <w:position w:val="0"/>
              </w:rPr>
              <w:t>高级视图软件</w:t>
            </w:r>
            <w:r>
              <w:rPr>
                <w:color w:val="000000"/>
                <w:spacing w:val="0"/>
                <w:w w:val="100"/>
                <w:position w:val="0"/>
                <w:sz w:val="18"/>
                <w:szCs w:val="18"/>
              </w:rPr>
              <w:t xml:space="preserve">V3.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2020SR1063275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45</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荣科临床科研平台软件</w:t>
            </w:r>
            <w:r>
              <w:rPr>
                <w:color w:val="000000"/>
                <w:spacing w:val="0"/>
                <w:w w:val="100"/>
                <w:position w:val="0"/>
                <w:sz w:val="18"/>
                <w:szCs w:val="18"/>
              </w:rPr>
              <w:t>V3.0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2020SR1063289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46</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荣科统一随访平台软件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2020SR1057003</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47</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荣科智能数据管道软件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2020SR1063191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48</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荣科统一门户及大数据展示平台软件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2020SR1059065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49</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荣科精细化运营及医疗质量管理系统应用软件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2020SR1063272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荣科统一认证与单点登录软件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2020SR1059261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荣科多中心科研病例登记资料收集平台软件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2020SR1059227</w:t>
            </w:r>
          </w:p>
        </w:tc>
      </w:tr>
      <w:tr>
        <w:trPr>
          <w:trHeight w:val="437" w:hRule="exact"/>
        </w:trPr>
        <w:tc>
          <w:tcPr>
            <w:tcBorders>
              <w:top w:val="single" w:sz="4"/>
              <w:left w:val="single" w:sz="4"/>
              <w:bottom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52</w:t>
            </w:r>
          </w:p>
        </w:tc>
        <w:tc>
          <w:tcPr>
            <w:tcBorders>
              <w:top w:val="single" w:sz="4"/>
              <w:left w:val="single" w:sz="4"/>
              <w:bottom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荣科医院全院消息中心软件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bottom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2020SR1064247</w:t>
            </w:r>
          </w:p>
        </w:tc>
      </w:tr>
    </w:tbl>
    <w:p>
      <w:pPr>
        <w:pStyle w:val="Style49"/>
        <w:keepNext w:val="0"/>
        <w:keepLines w:val="0"/>
        <w:framePr w:w="1291" w:h="365" w:hSpace="194" w:wrap="notBeside" w:vAnchor="text" w:hAnchor="text" w:x="997"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r>
        <w:drawing>
          <wp:anchor distT="0" distB="0" distL="0" distR="0" simplePos="0" relativeHeight="125829394" behindDoc="0" locked="0" layoutInCell="1" allowOverlap="1">
            <wp:simplePos x="0" y="0"/>
            <wp:positionH relativeFrom="page">
              <wp:posOffset>647065</wp:posOffset>
            </wp:positionH>
            <wp:positionV relativeFrom="margin">
              <wp:posOffset>-6350</wp:posOffset>
            </wp:positionV>
            <wp:extent cx="487680" cy="237490"/>
            <wp:wrapTight wrapText="bothSides">
              <wp:wrapPolygon>
                <wp:start x="0" y="0"/>
                <wp:lineTo x="21600" y="0"/>
                <wp:lineTo x="21600" y="21600"/>
                <wp:lineTo x="0" y="21600"/>
                <wp:lineTo x="0" y="0"/>
              </wp:wrapPolygon>
            </wp:wrapTight>
            <wp:docPr id="111" name="Shape 111"/>
            <a:graphic xmlns:a="http://schemas.openxmlformats.org/drawingml/2006/main">
              <a:graphicData uri="http://schemas.openxmlformats.org/drawingml/2006/picture">
                <pic:pic xmlns:pic="http://schemas.openxmlformats.org/drawingml/2006/picture">
                  <pic:nvPicPr>
                    <pic:cNvPr id="112" name="Picture box 112"/>
                    <pic:cNvPicPr/>
                  </pic:nvPicPr>
                  <pic:blipFill>
                    <a:blip r:embed="rId55"/>
                    <a:stretch/>
                  </pic:blipFill>
                  <pic:spPr>
                    <a:xfrm>
                      <a:ext cx="487680" cy="237490"/>
                    </a:xfrm>
                    <a:prstGeom prst="rect"/>
                  </pic:spPr>
                </pic:pic>
              </a:graphicData>
            </a:graphic>
          </wp:anchor>
        </w:drawing>
      </w:r>
      <w:r>
        <w:br w:type="page"/>
      </w:r>
    </w:p>
    <w:tbl>
      <w:tblPr>
        <w:tblOverlap w:val="never"/>
        <w:jc w:val="left"/>
        <w:tblLayout w:type="fixed"/>
      </w:tblPr>
      <w:tblGrid>
        <w:gridCol w:w="696"/>
        <w:gridCol w:w="4512"/>
        <w:gridCol w:w="2448"/>
        <w:gridCol w:w="1555"/>
      </w:tblGrid>
      <w:tr>
        <w:trPr>
          <w:trHeight w:val="355" w:hRule="exact"/>
        </w:trPr>
        <w:tc>
          <w:tcPr>
            <w:tcBorders>
              <w:top w:val="single" w:sz="4"/>
              <w:lef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序号</w:t>
            </w:r>
          </w:p>
        </w:tc>
        <w:tc>
          <w:tcPr>
            <w:tcBorders>
              <w:top w:val="single" w:sz="4"/>
              <w:lef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证书名称</w:t>
            </w:r>
          </w:p>
        </w:tc>
        <w:tc>
          <w:tcPr>
            <w:tcBorders>
              <w:top w:val="single" w:sz="4"/>
              <w:lef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发证机关</w:t>
            </w:r>
          </w:p>
        </w:tc>
        <w:tc>
          <w:tcPr>
            <w:tcBorders>
              <w:top w:val="single" w:sz="4"/>
              <w:left w:val="single" w:sz="4"/>
              <w:righ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证书编号</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53</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荣科患者临床</w:t>
            </w:r>
            <w:r>
              <w:rPr>
                <w:color w:val="000000"/>
                <w:spacing w:val="0"/>
                <w:w w:val="100"/>
                <w:position w:val="0"/>
                <w:sz w:val="18"/>
                <w:szCs w:val="18"/>
              </w:rPr>
              <w:t>360</w:t>
            </w:r>
            <w:r>
              <w:rPr>
                <w:color w:val="000000"/>
                <w:spacing w:val="0"/>
                <w:w w:val="100"/>
                <w:position w:val="0"/>
              </w:rPr>
              <w:t>高级视图移动端软件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2020SR1069859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54</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荣科多中心</w:t>
            </w:r>
            <w:r>
              <w:rPr>
                <w:color w:val="000000"/>
                <w:spacing w:val="0"/>
                <w:w w:val="100"/>
                <w:position w:val="0"/>
                <w:sz w:val="18"/>
                <w:szCs w:val="18"/>
              </w:rPr>
              <w:t>EDC</w:t>
            </w:r>
            <w:r>
              <w:rPr>
                <w:color w:val="000000"/>
                <w:spacing w:val="0"/>
                <w:w w:val="100"/>
                <w:position w:val="0"/>
              </w:rPr>
              <w:t>随访平台软件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2020SR1069322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55</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荣科心血管多模态影像智能后处理工作平台软件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2020SR1068988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56</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荣科办公管理平台软件</w:t>
            </w:r>
            <w:r>
              <w:rPr>
                <w:color w:val="000000"/>
                <w:spacing w:val="0"/>
                <w:w w:val="100"/>
                <w:position w:val="0"/>
                <w:sz w:val="18"/>
                <w:szCs w:val="18"/>
              </w:rPr>
              <w:t>V2.0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2020SR1069867</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57</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荣科科研信息管理平台软件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2020SR1064372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58</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荣科集成平台和数据中心软件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2020SR1068996</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59</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w:t>
            </w:r>
            <w:r>
              <w:rPr>
                <w:color w:val="000000"/>
                <w:spacing w:val="0"/>
                <w:w w:val="100"/>
                <w:position w:val="0"/>
                <w:sz w:val="18"/>
                <w:szCs w:val="18"/>
              </w:rPr>
              <w:t>HQMS</w:t>
            </w:r>
            <w:r>
              <w:rPr>
                <w:color w:val="000000"/>
                <w:spacing w:val="0"/>
                <w:w w:val="100"/>
                <w:position w:val="0"/>
              </w:rPr>
              <w:t>数据上报系统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2020SR1069834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荣科病案示踪管理系统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2020SR1069842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荣科病案数字化管理系统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2020SR1069513</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荣科病案统计管理系统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2020SR1069851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63</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荣科病案质控管理系统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2020SR1069894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64</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荣科集成平台软件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2020SR1069766</w:t>
            </w:r>
          </w:p>
        </w:tc>
      </w:tr>
      <w:tr>
        <w:trPr>
          <w:trHeight w:val="422"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65</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荣科科研专病库平台软件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2020SR1069298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66</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荣科临床决策支持系统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2020SR1069290</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67</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荣科数据中心软件</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2020SR1069558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68</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荣科无纸化病案管理系统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2020SR1064255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69</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荣科医院等级评审系统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2020SR1069505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荣科智维云移动运维系统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2020SR1670319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荣科智维云机房监控系统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2020SR1671219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荣科基于云架构的视频文件共享分析管理系统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2020SR1732222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73</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荣科</w:t>
            </w:r>
            <w:r>
              <w:rPr>
                <w:color w:val="000000"/>
                <w:spacing w:val="0"/>
                <w:w w:val="100"/>
                <w:position w:val="0"/>
                <w:sz w:val="18"/>
                <w:szCs w:val="18"/>
              </w:rPr>
              <w:t>Web</w:t>
            </w:r>
            <w:r>
              <w:rPr>
                <w:color w:val="000000"/>
                <w:spacing w:val="0"/>
                <w:w w:val="100"/>
                <w:position w:val="0"/>
              </w:rPr>
              <w:t>在线文件管理系统</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2020SR1749667</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74</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连续性肾脏替代治疗管理系统</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2020SR0778371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75</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移动护理管理系统</w:t>
            </w:r>
            <w:r>
              <w:rPr>
                <w:color w:val="000000"/>
                <w:spacing w:val="0"/>
                <w:w w:val="100"/>
                <w:position w:val="0"/>
                <w:sz w:val="18"/>
                <w:szCs w:val="18"/>
              </w:rPr>
              <w:t>V1.0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2020SR0778427</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76</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肾内实验室管理系统</w:t>
            </w:r>
            <w:r>
              <w:rPr>
                <w:color w:val="000000"/>
                <w:spacing w:val="0"/>
                <w:w w:val="100"/>
                <w:position w:val="0"/>
                <w:sz w:val="18"/>
                <w:szCs w:val="18"/>
              </w:rPr>
              <w:t>V1.0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2020SR0778378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77</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护理管理系统</w:t>
            </w:r>
            <w:r>
              <w:rPr>
                <w:color w:val="000000"/>
                <w:spacing w:val="0"/>
                <w:w w:val="100"/>
                <w:position w:val="0"/>
                <w:sz w:val="18"/>
                <w:szCs w:val="18"/>
              </w:rPr>
              <w:t>V2.0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2020SR1164700</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78</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全景云视频会议系统</w:t>
            </w:r>
            <w:r>
              <w:rPr>
                <w:color w:val="000000"/>
                <w:spacing w:val="0"/>
                <w:w w:val="100"/>
                <w:position w:val="0"/>
                <w:sz w:val="18"/>
                <w:szCs w:val="18"/>
              </w:rPr>
              <w:t>V1.0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2020SR1164715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79</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慢性肾病管理系统</w:t>
            </w:r>
            <w:r>
              <w:rPr>
                <w:color w:val="000000"/>
                <w:spacing w:val="0"/>
                <w:w w:val="100"/>
                <w:position w:val="0"/>
                <w:sz w:val="18"/>
                <w:szCs w:val="18"/>
              </w:rPr>
              <w:t>V1.0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2020SR1164708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80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物联电子屏应用系统</w:t>
            </w:r>
            <w:r>
              <w:rPr>
                <w:color w:val="000000"/>
                <w:spacing w:val="0"/>
                <w:w w:val="100"/>
                <w:position w:val="0"/>
                <w:sz w:val="18"/>
                <w:szCs w:val="18"/>
              </w:rPr>
              <w:t>V4.0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2020SR1888692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81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手术示教信息系统</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2020SR1861770</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82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血透移动护士工作站系统</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2020SR1913414</w:t>
            </w:r>
          </w:p>
        </w:tc>
      </w:tr>
      <w:tr>
        <w:trPr>
          <w:trHeight w:val="437" w:hRule="exact"/>
        </w:trPr>
        <w:tc>
          <w:tcPr>
            <w:tcBorders>
              <w:top w:val="single" w:sz="4"/>
              <w:left w:val="single" w:sz="4"/>
              <w:bottom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60"/>
              <w:jc w:val="left"/>
            </w:pPr>
            <w:r>
              <w:rPr>
                <w:color w:val="000000"/>
                <w:spacing w:val="0"/>
                <w:w w:val="100"/>
                <w:position w:val="0"/>
                <w:sz w:val="18"/>
                <w:szCs w:val="18"/>
              </w:rPr>
              <w:t>83</w:t>
            </w:r>
          </w:p>
        </w:tc>
        <w:tc>
          <w:tcPr>
            <w:tcBorders>
              <w:top w:val="single" w:sz="4"/>
              <w:left w:val="single" w:sz="4"/>
              <w:bottom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血透移动医生工作站系统</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bottom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2020SR1913415</w:t>
            </w:r>
          </w:p>
        </w:tc>
      </w:tr>
    </w:tbl>
    <w:p>
      <w:pPr>
        <w:pStyle w:val="Style49"/>
        <w:keepNext w:val="0"/>
        <w:keepLines w:val="0"/>
        <w:framePr w:w="1291" w:h="365" w:hSpace="194" w:wrap="notBeside" w:vAnchor="text" w:hAnchor="text" w:x="997"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r>
        <w:drawing>
          <wp:anchor distT="0" distB="0" distL="0" distR="0" simplePos="0" relativeHeight="125829395" behindDoc="0" locked="0" layoutInCell="1" allowOverlap="1">
            <wp:simplePos x="0" y="0"/>
            <wp:positionH relativeFrom="page">
              <wp:posOffset>761365</wp:posOffset>
            </wp:positionH>
            <wp:positionV relativeFrom="margin">
              <wp:posOffset>-6350</wp:posOffset>
            </wp:positionV>
            <wp:extent cx="487680" cy="237490"/>
            <wp:wrapTight wrapText="bothSides">
              <wp:wrapPolygon>
                <wp:start x="0" y="0"/>
                <wp:lineTo x="21600" y="0"/>
                <wp:lineTo x="21600" y="21600"/>
                <wp:lineTo x="0" y="21600"/>
                <wp:lineTo x="0" y="0"/>
              </wp:wrapPolygon>
            </wp:wrapTight>
            <wp:docPr id="113" name="Shape 113"/>
            <a:graphic xmlns:a="http://schemas.openxmlformats.org/drawingml/2006/main">
              <a:graphicData uri="http://schemas.openxmlformats.org/drawingml/2006/picture">
                <pic:pic xmlns:pic="http://schemas.openxmlformats.org/drawingml/2006/picture">
                  <pic:nvPicPr>
                    <pic:cNvPr id="114" name="Picture box 114"/>
                    <pic:cNvPicPr/>
                  </pic:nvPicPr>
                  <pic:blipFill>
                    <a:blip r:embed="rId57"/>
                    <a:stretch/>
                  </pic:blipFill>
                  <pic:spPr>
                    <a:xfrm>
                      <a:ext cx="487680" cy="237490"/>
                    </a:xfrm>
                    <a:prstGeom prst="rect"/>
                  </pic:spPr>
                </pic:pic>
              </a:graphicData>
            </a:graphic>
          </wp:anchor>
        </w:drawing>
      </w:r>
      <w:r>
        <w:br w:type="page"/>
      </w:r>
    </w:p>
    <w:tbl>
      <w:tblPr>
        <w:tblOverlap w:val="never"/>
        <w:jc w:val="left"/>
        <w:tblLayout w:type="fixed"/>
      </w:tblPr>
      <w:tblGrid>
        <w:gridCol w:w="696"/>
        <w:gridCol w:w="4512"/>
        <w:gridCol w:w="2448"/>
        <w:gridCol w:w="1555"/>
      </w:tblGrid>
      <w:tr>
        <w:trPr>
          <w:trHeight w:val="355" w:hRule="exact"/>
        </w:trPr>
        <w:tc>
          <w:tcPr>
            <w:tcBorders>
              <w:top w:val="single" w:sz="4"/>
              <w:lef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序号</w:t>
            </w:r>
          </w:p>
        </w:tc>
        <w:tc>
          <w:tcPr>
            <w:tcBorders>
              <w:top w:val="single" w:sz="4"/>
              <w:lef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证书名称</w:t>
            </w:r>
          </w:p>
        </w:tc>
        <w:tc>
          <w:tcPr>
            <w:tcBorders>
              <w:top w:val="single" w:sz="4"/>
              <w:lef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发证机关</w:t>
            </w:r>
          </w:p>
        </w:tc>
        <w:tc>
          <w:tcPr>
            <w:tcBorders>
              <w:top w:val="single" w:sz="4"/>
              <w:left w:val="single" w:sz="4"/>
              <w:right w:val="single" w:sz="4"/>
            </w:tcBorders>
            <w:shd w:val="clear" w:color="auto" w:fill="D4D4D4"/>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证书编号</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84</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米健临床设备大数据管理平台软件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2020SR0230055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85</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米健手术室麻醉临床信息系统应用软件</w:t>
            </w:r>
            <w:r>
              <w:rPr>
                <w:color w:val="000000"/>
                <w:spacing w:val="0"/>
                <w:w w:val="100"/>
                <w:position w:val="0"/>
                <w:sz w:val="18"/>
                <w:szCs w:val="18"/>
              </w:rPr>
              <w:t xml:space="preserve">V7.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2020SR0886861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86</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米健围术期医学临床信息系统应用软件</w:t>
            </w:r>
            <w:r>
              <w:rPr>
                <w:color w:val="000000"/>
                <w:spacing w:val="0"/>
                <w:w w:val="100"/>
                <w:position w:val="0"/>
                <w:sz w:val="18"/>
                <w:szCs w:val="18"/>
              </w:rPr>
              <w:t xml:space="preserve">V7.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2020SR0875134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87</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米健创伤急救临床信息系统管理软件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2020SR1647579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88</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米健急性中毒急救临床信息系统管理软件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2020SR1647954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89</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米健上消化道出血急救临床信息系统管理软件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2020SR1647576</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米健危重新生儿急救临床信息系统管理软件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2020SR1647577</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米健危重孕产妇急救临床信息系统管理软件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2020SR1647580</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米健胸痛临床信息系统管理软件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2020SR1647988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93</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米健医共体及医联体多学科协同救治管理应用软件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2020SR1648866</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94</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米健院前急救病情评估软件</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2020SR1647989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95</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米健院前急救协作平台软件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2020SR1647990</w:t>
            </w:r>
          </w:p>
        </w:tc>
      </w:tr>
      <w:tr>
        <w:trPr>
          <w:trHeight w:val="422"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96</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米健专病病历管理软件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2020SR1647991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97</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米健专病数据采集上报软件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2020SR1647992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98</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米健专病统一急救地图应用软件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2020SR1647993</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99</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米健专病医嘱管理软件</w:t>
            </w:r>
            <w:r>
              <w:rPr>
                <w:color w:val="000000"/>
                <w:spacing w:val="0"/>
                <w:w w:val="100"/>
                <w:position w:val="0"/>
                <w:sz w:val="18"/>
                <w:szCs w:val="18"/>
              </w:rPr>
              <w:t>V4.0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2020SR1647995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米健专病质控管理软件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2020SR1647994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米健专病中心信息管理平台软件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2020SR1648865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米健卒中临床信息系统管理软件</w:t>
            </w:r>
            <w:r>
              <w:rPr>
                <w:color w:val="000000"/>
                <w:spacing w:val="0"/>
                <w:w w:val="100"/>
                <w:position w:val="0"/>
                <w:sz w:val="18"/>
                <w:szCs w:val="18"/>
              </w:rPr>
              <w:t xml:space="preserve">V4.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2020SR1648867</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103</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米健高危患者筛查与随访管理应用软件</w:t>
            </w:r>
            <w:r>
              <w:rPr>
                <w:color w:val="000000"/>
                <w:spacing w:val="0"/>
                <w:w w:val="100"/>
                <w:position w:val="0"/>
                <w:sz w:val="18"/>
                <w:szCs w:val="18"/>
              </w:rPr>
              <w:t xml:space="preserve">V4. </w:t>
            </w:r>
            <w:r>
              <w:rPr>
                <w:color w:val="000000"/>
                <w:spacing w:val="0"/>
                <w:w w:val="100"/>
                <w:position w:val="0"/>
                <w:sz w:val="18"/>
                <w:szCs w:val="18"/>
              </w:rPr>
              <w:t>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2020SR1730569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104</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三甲指标评测系统</w:t>
            </w:r>
            <w:r>
              <w:rPr>
                <w:color w:val="000000"/>
                <w:spacing w:val="0"/>
                <w:w w:val="100"/>
                <w:position w:val="0"/>
                <w:sz w:val="18"/>
                <w:szCs w:val="18"/>
              </w:rPr>
              <w:t>V2.0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2020SR0600889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105</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公立医院绩效考核与评价系统</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2020SR0621317</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106</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sz w:val="18"/>
                <w:szCs w:val="18"/>
              </w:rPr>
              <w:t>DRG</w:t>
            </w:r>
            <w:r>
              <w:rPr>
                <w:color w:val="000000"/>
                <w:spacing w:val="0"/>
                <w:w w:val="100"/>
                <w:position w:val="0"/>
              </w:rPr>
              <w:t>智能付费平台</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2020SR0829259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107</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sz w:val="18"/>
                <w:szCs w:val="18"/>
              </w:rPr>
              <w:t>DRG</w:t>
            </w:r>
            <w:r>
              <w:rPr>
                <w:color w:val="000000"/>
                <w:spacing w:val="0"/>
                <w:w w:val="100"/>
                <w:position w:val="0"/>
              </w:rPr>
              <w:t>智能审核与分组平台</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2020SR0829410</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108</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数据采集与质控平台</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2020SR0828025</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109</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今创发热门诊医疗服务监测系统数据对接软件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2020SR1165780</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sz w:val="18"/>
                <w:szCs w:val="18"/>
              </w:rPr>
              <w:t>DRG</w:t>
            </w:r>
            <w:r>
              <w:rPr>
                <w:color w:val="000000"/>
                <w:spacing w:val="0"/>
                <w:w w:val="100"/>
                <w:position w:val="0"/>
              </w:rPr>
              <w:t>医保监管平台</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2020SR0508501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sz w:val="18"/>
                <w:szCs w:val="18"/>
              </w:rPr>
              <w:t>DRG</w:t>
            </w:r>
            <w:r>
              <w:rPr>
                <w:color w:val="000000"/>
                <w:spacing w:val="0"/>
                <w:w w:val="100"/>
                <w:position w:val="0"/>
              </w:rPr>
              <w:t>医保结算平台</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2020SR0508114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112</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医保</w:t>
            </w:r>
            <w:r>
              <w:rPr>
                <w:color w:val="000000"/>
                <w:spacing w:val="0"/>
                <w:w w:val="100"/>
                <w:position w:val="0"/>
                <w:sz w:val="18"/>
                <w:szCs w:val="18"/>
              </w:rPr>
              <w:t>DRG</w:t>
            </w:r>
            <w:r>
              <w:rPr>
                <w:color w:val="000000"/>
                <w:spacing w:val="0"/>
                <w:w w:val="100"/>
                <w:position w:val="0"/>
              </w:rPr>
              <w:t>数据管理平台</w:t>
            </w:r>
            <w:r>
              <w:rPr>
                <w:color w:val="000000"/>
                <w:spacing w:val="0"/>
                <w:w w:val="100"/>
                <w:position w:val="0"/>
                <w:sz w:val="18"/>
                <w:szCs w:val="18"/>
              </w:rPr>
              <w:t>V1.1</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2020SR0383218</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113</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医疗费用智能审核系统</w:t>
            </w:r>
            <w:r>
              <w:rPr>
                <w:color w:val="000000"/>
                <w:spacing w:val="0"/>
                <w:w w:val="100"/>
                <w:position w:val="0"/>
                <w:sz w:val="18"/>
                <w:szCs w:val="18"/>
              </w:rPr>
              <w:t>3.0</w:t>
            </w:r>
          </w:p>
        </w:tc>
        <w:tc>
          <w:tcPr>
            <w:tcBorders>
              <w:top w:val="single" w:sz="4"/>
              <w:lef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2020SR0499162</w:t>
            </w:r>
          </w:p>
        </w:tc>
      </w:tr>
      <w:tr>
        <w:trPr>
          <w:trHeight w:val="437" w:hRule="exact"/>
        </w:trPr>
        <w:tc>
          <w:tcPr>
            <w:tcBorders>
              <w:top w:val="single" w:sz="4"/>
              <w:left w:val="single" w:sz="4"/>
              <w:bottom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114</w:t>
            </w:r>
          </w:p>
        </w:tc>
        <w:tc>
          <w:tcPr>
            <w:tcBorders>
              <w:top w:val="single" w:sz="4"/>
              <w:left w:val="single" w:sz="4"/>
              <w:bottom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sz w:val="18"/>
                <w:szCs w:val="18"/>
              </w:rPr>
              <w:t>DRG</w:t>
            </w:r>
            <w:r>
              <w:rPr>
                <w:color w:val="000000"/>
                <w:spacing w:val="0"/>
                <w:w w:val="100"/>
                <w:position w:val="0"/>
              </w:rPr>
              <w:t>医保智能审核平台</w:t>
            </w:r>
            <w:r>
              <w:rPr>
                <w:color w:val="000000"/>
                <w:spacing w:val="0"/>
                <w:w w:val="100"/>
                <w:position w:val="0"/>
                <w:sz w:val="18"/>
                <w:szCs w:val="18"/>
              </w:rPr>
              <w:t xml:space="preserve">2. </w:t>
            </w: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bottom w:val="single" w:sz="4"/>
              <w:right w:val="single" w:sz="4"/>
            </w:tcBorders>
            <w:shd w:val="clear" w:color="auto" w:fill="FFFFFF"/>
            <w:vAlign w:val="center"/>
          </w:tcPr>
          <w:p>
            <w:pPr>
              <w:pStyle w:val="Style44"/>
              <w:keepNext w:val="0"/>
              <w:keepLines w:val="0"/>
              <w:framePr w:w="9211" w:h="13603"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2020SR0508043</w:t>
            </w:r>
          </w:p>
        </w:tc>
      </w:tr>
    </w:tbl>
    <w:p>
      <w:pPr>
        <w:pStyle w:val="Style49"/>
        <w:keepNext w:val="0"/>
        <w:keepLines w:val="0"/>
        <w:framePr w:w="1291" w:h="365" w:hSpace="194" w:wrap="notBeside" w:vAnchor="text" w:hAnchor="text" w:x="997"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r>
        <w:drawing>
          <wp:anchor distT="0" distB="0" distL="0" distR="0" simplePos="0" relativeHeight="125829396" behindDoc="0" locked="0" layoutInCell="1" allowOverlap="1">
            <wp:simplePos x="0" y="0"/>
            <wp:positionH relativeFrom="page">
              <wp:posOffset>761365</wp:posOffset>
            </wp:positionH>
            <wp:positionV relativeFrom="margin">
              <wp:posOffset>-6350</wp:posOffset>
            </wp:positionV>
            <wp:extent cx="487680" cy="237490"/>
            <wp:wrapTight wrapText="bothSides">
              <wp:wrapPolygon>
                <wp:start x="0" y="0"/>
                <wp:lineTo x="21600" y="0"/>
                <wp:lineTo x="21600" y="21600"/>
                <wp:lineTo x="0" y="21600"/>
                <wp:lineTo x="0" y="0"/>
              </wp:wrapPolygon>
            </wp:wrapTight>
            <wp:docPr id="115" name="Shape 115"/>
            <a:graphic xmlns:a="http://schemas.openxmlformats.org/drawingml/2006/main">
              <a:graphicData uri="http://schemas.openxmlformats.org/drawingml/2006/picture">
                <pic:pic xmlns:pic="http://schemas.openxmlformats.org/drawingml/2006/picture">
                  <pic:nvPicPr>
                    <pic:cNvPr id="116" name="Picture box 116"/>
                    <pic:cNvPicPr/>
                  </pic:nvPicPr>
                  <pic:blipFill>
                    <a:blip r:embed="rId59"/>
                    <a:stretch/>
                  </pic:blipFill>
                  <pic:spPr>
                    <a:xfrm>
                      <a:ext cx="487680" cy="237490"/>
                    </a:xfrm>
                    <a:prstGeom prst="rect"/>
                  </pic:spPr>
                </pic:pic>
              </a:graphicData>
            </a:graphic>
          </wp:anchor>
        </w:drawing>
      </w:r>
      <w:r>
        <w:br w:type="page"/>
      </w:r>
    </w:p>
    <w:tbl>
      <w:tblPr>
        <w:tblOverlap w:val="never"/>
        <w:jc w:val="left"/>
        <w:tblLayout w:type="fixed"/>
      </w:tblPr>
      <w:tblGrid>
        <w:gridCol w:w="696"/>
        <w:gridCol w:w="4512"/>
        <w:gridCol w:w="2448"/>
        <w:gridCol w:w="1555"/>
      </w:tblGrid>
      <w:tr>
        <w:trPr>
          <w:trHeight w:val="355" w:hRule="exact"/>
        </w:trPr>
        <w:tc>
          <w:tcPr>
            <w:tcBorders>
              <w:top w:val="single" w:sz="4"/>
              <w:left w:val="single" w:sz="4"/>
            </w:tcBorders>
            <w:shd w:val="clear" w:color="auto" w:fill="D4D4D4"/>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序号</w:t>
            </w:r>
          </w:p>
        </w:tc>
        <w:tc>
          <w:tcPr>
            <w:tcBorders>
              <w:top w:val="single" w:sz="4"/>
              <w:left w:val="single" w:sz="4"/>
            </w:tcBorders>
            <w:shd w:val="clear" w:color="auto" w:fill="D4D4D4"/>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证书名称</w:t>
            </w:r>
          </w:p>
        </w:tc>
        <w:tc>
          <w:tcPr>
            <w:tcBorders>
              <w:top w:val="single" w:sz="4"/>
              <w:left w:val="single" w:sz="4"/>
            </w:tcBorders>
            <w:shd w:val="clear" w:color="auto" w:fill="D4D4D4"/>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发证机关</w:t>
            </w:r>
          </w:p>
        </w:tc>
        <w:tc>
          <w:tcPr>
            <w:tcBorders>
              <w:top w:val="single" w:sz="4"/>
              <w:left w:val="single" w:sz="4"/>
              <w:right w:val="single" w:sz="4"/>
            </w:tcBorders>
            <w:shd w:val="clear" w:color="auto" w:fill="D4D4D4"/>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证书编号</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115</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今创用于</w:t>
            </w:r>
            <w:r>
              <w:rPr>
                <w:color w:val="000000"/>
                <w:spacing w:val="0"/>
                <w:w w:val="100"/>
                <w:position w:val="0"/>
                <w:sz w:val="18"/>
                <w:szCs w:val="18"/>
              </w:rPr>
              <w:t>HQMS</w:t>
            </w:r>
            <w:r>
              <w:rPr>
                <w:color w:val="000000"/>
                <w:spacing w:val="0"/>
                <w:w w:val="100"/>
                <w:position w:val="0"/>
              </w:rPr>
              <w:t>医疗集成数据上报软件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2020SR0018544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116</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今创大数据决策支持支撑管理系统软件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2020SR0018019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117</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医疗服务监测上报系统</w:t>
            </w:r>
            <w:r>
              <w:rPr>
                <w:color w:val="000000"/>
                <w:spacing w:val="0"/>
                <w:w w:val="100"/>
                <w:position w:val="0"/>
                <w:sz w:val="18"/>
                <w:szCs w:val="18"/>
              </w:rPr>
              <w:t>V1.0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center"/>
            </w:pPr>
            <w:r>
              <w:rPr>
                <w:color w:val="000000"/>
                <w:spacing w:val="0"/>
                <w:w w:val="100"/>
                <w:position w:val="0"/>
                <w:sz w:val="18"/>
                <w:szCs w:val="18"/>
              </w:rPr>
              <w:t>2020SR330012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118</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sz w:val="18"/>
                <w:szCs w:val="18"/>
              </w:rPr>
              <w:t>DRG</w:t>
            </w:r>
            <w:r>
              <w:rPr>
                <w:color w:val="000000"/>
                <w:spacing w:val="0"/>
                <w:w w:val="100"/>
                <w:position w:val="0"/>
              </w:rPr>
              <w:t>医保平台数据上报系统</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2020SR0533580</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119</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单病种检测上报系统</w:t>
            </w:r>
            <w:r>
              <w:rPr>
                <w:color w:val="000000"/>
                <w:spacing w:val="0"/>
                <w:w w:val="100"/>
                <w:position w:val="0"/>
                <w:sz w:val="18"/>
                <w:szCs w:val="18"/>
              </w:rPr>
              <w:t xml:space="preserve">V3.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2020SR1639472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今创档案仓库综合管理系统软件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2020SR1760221</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121</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今创医疗</w:t>
            </w:r>
            <w:r>
              <w:rPr>
                <w:color w:val="000000"/>
                <w:spacing w:val="0"/>
                <w:w w:val="100"/>
                <w:position w:val="0"/>
                <w:sz w:val="18"/>
                <w:szCs w:val="18"/>
              </w:rPr>
              <w:t>DRGs</w:t>
            </w:r>
            <w:r>
              <w:rPr>
                <w:color w:val="000000"/>
                <w:spacing w:val="0"/>
                <w:w w:val="100"/>
                <w:position w:val="0"/>
              </w:rPr>
              <w:t>数据绩效分析软件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2020SR0017919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122</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今创医疗电子病历首页质控管理软件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2020SR0017912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123</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今创医疗患者数字化随访管理系统软件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2020SR0022000</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124</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今创医疗综合单病种管理质控系统软件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2020SR0021994</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125</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今创用于</w:t>
            </w:r>
            <w:r>
              <w:rPr>
                <w:color w:val="000000"/>
                <w:spacing w:val="0"/>
                <w:w w:val="100"/>
                <w:position w:val="0"/>
                <w:sz w:val="18"/>
                <w:szCs w:val="18"/>
              </w:rPr>
              <w:t>HQMS</w:t>
            </w:r>
            <w:r>
              <w:rPr>
                <w:color w:val="000000"/>
                <w:spacing w:val="0"/>
                <w:w w:val="100"/>
                <w:position w:val="0"/>
              </w:rPr>
              <w:t>医疗采集数据集成分析软件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2020SR0022006</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126</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今创院内病历示踪跟踪管理系统软件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2020SR0016439</w:t>
            </w:r>
          </w:p>
        </w:tc>
      </w:tr>
      <w:tr>
        <w:trPr>
          <w:trHeight w:val="422"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127</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今创院内医疗不良事件上报汇总管理软件</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2020SR0021982</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128</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今创病案分析管理软件</w:t>
            </w:r>
            <w:r>
              <w:rPr>
                <w:color w:val="000000"/>
                <w:spacing w:val="0"/>
                <w:w w:val="100"/>
                <w:position w:val="0"/>
                <w:sz w:val="18"/>
                <w:szCs w:val="18"/>
              </w:rPr>
              <w:t>V1.0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2020SR1229427</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129</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今创不良事件分析管理系统</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2020SR1229419</w:t>
            </w:r>
          </w:p>
        </w:tc>
      </w:tr>
      <w:tr>
        <w:trPr>
          <w:trHeight w:val="427" w:hRule="exact"/>
        </w:trPr>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130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今创数字化病历综合管理系统</w:t>
            </w:r>
            <w:r>
              <w:rPr>
                <w:color w:val="000000"/>
                <w:spacing w:val="0"/>
                <w:w w:val="100"/>
                <w:position w:val="0"/>
                <w:sz w:val="18"/>
                <w:szCs w:val="18"/>
              </w:rPr>
              <w:t xml:space="preserve">V1. </w:t>
            </w:r>
            <w:r>
              <w:rPr>
                <w:color w:val="000000"/>
                <w:spacing w:val="0"/>
                <w:w w:val="100"/>
                <w:position w:val="0"/>
                <w:sz w:val="18"/>
                <w:szCs w:val="18"/>
              </w:rPr>
              <w:t>0</w:t>
            </w:r>
          </w:p>
        </w:tc>
        <w:tc>
          <w:tcPr>
            <w:tcBorders>
              <w:top w:val="single" w:sz="4"/>
              <w:lef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2020SR1229423</w:t>
            </w:r>
          </w:p>
        </w:tc>
      </w:tr>
      <w:tr>
        <w:trPr>
          <w:trHeight w:val="437" w:hRule="exact"/>
        </w:trPr>
        <w:tc>
          <w:tcPr>
            <w:tcBorders>
              <w:top w:val="single" w:sz="4"/>
              <w:left w:val="single" w:sz="4"/>
              <w:bottom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220"/>
              <w:jc w:val="left"/>
            </w:pPr>
            <w:r>
              <w:rPr>
                <w:color w:val="000000"/>
                <w:spacing w:val="0"/>
                <w:w w:val="100"/>
                <w:position w:val="0"/>
                <w:sz w:val="18"/>
                <w:szCs w:val="18"/>
              </w:rPr>
              <w:t>131</w:t>
            </w:r>
          </w:p>
        </w:tc>
        <w:tc>
          <w:tcPr>
            <w:tcBorders>
              <w:top w:val="single" w:sz="4"/>
              <w:left w:val="single" w:sz="4"/>
              <w:bottom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left"/>
            </w:pPr>
            <w:r>
              <w:rPr>
                <w:color w:val="000000"/>
                <w:spacing w:val="0"/>
                <w:w w:val="100"/>
                <w:position w:val="0"/>
              </w:rPr>
              <w:t>今创日常统计学指标监测系统</w:t>
            </w:r>
            <w:r>
              <w:rPr>
                <w:color w:val="000000"/>
                <w:spacing w:val="0"/>
                <w:w w:val="100"/>
                <w:position w:val="0"/>
                <w:sz w:val="18"/>
                <w:szCs w:val="18"/>
              </w:rPr>
              <w:t xml:space="preserve">V2. </w:t>
            </w: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0"/>
              <w:jc w:val="both"/>
            </w:pPr>
            <w:r>
              <w:rPr>
                <w:color w:val="000000"/>
                <w:spacing w:val="0"/>
                <w:w w:val="100"/>
                <w:position w:val="0"/>
              </w:rPr>
              <w:t>中华人民共和国国家版权局</w:t>
            </w:r>
          </w:p>
        </w:tc>
        <w:tc>
          <w:tcPr>
            <w:tcBorders>
              <w:top w:val="single" w:sz="4"/>
              <w:left w:val="single" w:sz="4"/>
              <w:bottom w:val="single" w:sz="4"/>
              <w:right w:val="single" w:sz="4"/>
            </w:tcBorders>
            <w:shd w:val="clear" w:color="auto" w:fill="FFFFFF"/>
            <w:vAlign w:val="center"/>
          </w:tcPr>
          <w:p>
            <w:pPr>
              <w:pStyle w:val="Style44"/>
              <w:keepNext w:val="0"/>
              <w:keepLines w:val="0"/>
              <w:framePr w:w="9211" w:h="7622" w:vSpace="365" w:wrap="notBeside" w:vAnchor="text" w:hAnchor="text" w:x="195" w:y="366"/>
              <w:widowControl w:val="0"/>
              <w:shd w:val="clear" w:color="auto" w:fill="auto"/>
              <w:bidi w:val="0"/>
              <w:spacing w:before="0" w:after="0" w:line="240" w:lineRule="auto"/>
              <w:ind w:left="0" w:right="0" w:firstLine="180"/>
              <w:jc w:val="left"/>
            </w:pPr>
            <w:r>
              <w:rPr>
                <w:color w:val="000000"/>
                <w:spacing w:val="0"/>
                <w:w w:val="100"/>
                <w:position w:val="0"/>
                <w:sz w:val="18"/>
                <w:szCs w:val="18"/>
              </w:rPr>
              <w:t>2020SR1784939</w:t>
            </w:r>
          </w:p>
        </w:tc>
      </w:tr>
    </w:tbl>
    <w:p>
      <w:pPr>
        <w:pStyle w:val="Style49"/>
        <w:keepNext w:val="0"/>
        <w:keepLines w:val="0"/>
        <w:framePr w:w="1291" w:h="365" w:hSpace="194" w:wrap="notBeside" w:vAnchor="text" w:hAnchor="text" w:x="997"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报告期内，荣科及旗下子公司新增专利</w:t>
      </w:r>
      <w:r>
        <w:rPr>
          <w:rFonts w:ascii="Times New Roman" w:eastAsia="Times New Roman" w:hAnsi="Times New Roman" w:cs="Times New Roman"/>
          <w:color w:val="000000"/>
          <w:spacing w:val="0"/>
          <w:w w:val="100"/>
          <w:position w:val="0"/>
        </w:rPr>
        <w:t>5</w:t>
      </w:r>
      <w:r>
        <w:rPr>
          <w:color w:val="000000"/>
          <w:spacing w:val="0"/>
          <w:w w:val="100"/>
          <w:position w:val="0"/>
        </w:rPr>
        <w:t>项，具体情况如下:</w:t>
      </w:r>
    </w:p>
    <w:tbl>
      <w:tblPr>
        <w:tblOverlap w:val="never"/>
        <w:jc w:val="center"/>
        <w:tblLayout w:type="fixed"/>
      </w:tblPr>
      <w:tblGrid>
        <w:gridCol w:w="696"/>
        <w:gridCol w:w="3850"/>
        <w:gridCol w:w="1277"/>
        <w:gridCol w:w="1987"/>
        <w:gridCol w:w="1426"/>
      </w:tblGrid>
      <w:tr>
        <w:trPr>
          <w:trHeight w:val="36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序号</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专利名称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专利类型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专利号</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授权日期</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一种医院结构化排班系统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发明专利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201611005396.4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2020/12/15</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一种大数据实时处理方法及处理系统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发明专利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201710664834.6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2020/12/1</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电子信息显示屏</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外观专利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ZL201930199249.3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2020/4/14</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呼叫手柄</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外观专利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ZL201930289889.3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2020/6/9</w:t>
            </w:r>
          </w:p>
        </w:tc>
      </w:tr>
      <w:tr>
        <w:trPr>
          <w:trHeight w:val="437"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电脑的诊断编码选码图形用户界面</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外观专利</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ZL202030167363.0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2020/9/4</w:t>
            </w:r>
          </w:p>
        </w:tc>
      </w:tr>
    </w:tbl>
    <w:p>
      <w:pPr>
        <w:widowControl w:val="0"/>
        <w:spacing w:line="1" w:lineRule="exact"/>
        <w:sectPr>
          <w:headerReference w:type="default" r:id="rId61"/>
          <w:footerReference w:type="default" r:id="rId62"/>
          <w:headerReference w:type="even" r:id="rId63"/>
          <w:footerReference w:type="even" r:id="rId64"/>
          <w:footnotePr>
            <w:pos w:val="pageBottom"/>
            <w:numFmt w:val="decimal"/>
            <w:numRestart w:val="continuous"/>
          </w:footnotePr>
          <w:pgSz w:w="11900" w:h="16840"/>
          <w:pgMar w:top="1097" w:right="1328" w:bottom="1774" w:left="971" w:header="0" w:footer="3" w:gutter="0"/>
          <w:cols w:space="720"/>
          <w:noEndnote/>
          <w:rtlGutter w:val="0"/>
          <w:docGrid w:linePitch="360"/>
        </w:sectPr>
      </w:pPr>
      <w:r>
        <w:drawing>
          <wp:anchor distT="0" distB="0" distL="0" distR="0" simplePos="0" relativeHeight="125829397" behindDoc="0" locked="0" layoutInCell="1" allowOverlap="1">
            <wp:simplePos x="0" y="0"/>
            <wp:positionH relativeFrom="page">
              <wp:posOffset>756920</wp:posOffset>
            </wp:positionH>
            <wp:positionV relativeFrom="margin">
              <wp:posOffset>-60325</wp:posOffset>
            </wp:positionV>
            <wp:extent cx="487680" cy="237490"/>
            <wp:wrapTight wrapText="bothSides">
              <wp:wrapPolygon>
                <wp:start x="0" y="0"/>
                <wp:lineTo x="21600" y="0"/>
                <wp:lineTo x="21600" y="21600"/>
                <wp:lineTo x="0" y="21600"/>
                <wp:lineTo x="0" y="0"/>
              </wp:wrapPolygon>
            </wp:wrapTight>
            <wp:docPr id="125" name="Shape 125"/>
            <a:graphic xmlns:a="http://schemas.openxmlformats.org/drawingml/2006/main">
              <a:graphicData uri="http://schemas.openxmlformats.org/drawingml/2006/picture">
                <pic:pic xmlns:pic="http://schemas.openxmlformats.org/drawingml/2006/picture">
                  <pic:nvPicPr>
                    <pic:cNvPr id="126" name="Picture box 126"/>
                    <pic:cNvPicPr/>
                  </pic:nvPicPr>
                  <pic:blipFill>
                    <a:blip r:embed="rId65"/>
                    <a:stretch/>
                  </pic:blipFill>
                  <pic:spPr>
                    <a:xfrm>
                      <a:ext cx="487680" cy="237490"/>
                    </a:xfrm>
                    <a:prstGeom prst="rect"/>
                  </pic:spPr>
                </pic:pic>
              </a:graphicData>
            </a:graphic>
          </wp:anchor>
        </w:drawing>
      </w:r>
    </w:p>
    <w:p>
      <w:pPr>
        <w:framePr w:w="768" w:h="437" w:hSpace="1291" w:wrap="notBeside" w:vAnchor="text" w:hAnchor="text" w:y="1"/>
        <w:widowControl w:val="0"/>
        <w:rPr>
          <w:sz w:val="2"/>
          <w:szCs w:val="2"/>
        </w:rPr>
      </w:pPr>
      <w:r>
        <w:drawing>
          <wp:inline>
            <wp:extent cx="487680" cy="280670"/>
            <wp:docPr id="127" name="Picutre 127"/>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7"/>
                    <a:stretch/>
                  </pic:blipFill>
                  <pic:spPr>
                    <a:xfrm>
                      <a:ext cx="487680" cy="280670"/>
                    </a:xfrm>
                    <a:prstGeom prst="rect"/>
                  </pic:spPr>
                </pic:pic>
              </a:graphicData>
            </a:graphic>
          </wp:inline>
        </w:drawing>
      </w:r>
    </w:p>
    <w:p>
      <w:pPr>
        <w:widowControl w:val="0"/>
        <w:spacing w:line="1" w:lineRule="exact"/>
      </w:pPr>
      <w:r>
        <mc:AlternateContent>
          <mc:Choice Requires="wps">
            <w:drawing>
              <wp:anchor distT="0" distB="0" distL="0" distR="5577840" simplePos="0" relativeHeight="125829398" behindDoc="0" locked="0" layoutInCell="1" allowOverlap="1">
                <wp:simplePos x="0" y="0"/>
                <wp:positionH relativeFrom="column">
                  <wp:posOffset>487680</wp:posOffset>
                </wp:positionH>
                <wp:positionV relativeFrom="paragraph">
                  <wp:posOffset>6350</wp:posOffset>
                </wp:positionV>
                <wp:extent cx="819785" cy="250190"/>
                <wp:wrapTopAndBottom/>
                <wp:docPr id="128" name="Shape 128"/>
                <a:graphic xmlns:a="http://schemas.openxmlformats.org/drawingml/2006/main">
                  <a:graphicData uri="http://schemas.microsoft.com/office/word/2010/wordprocessingShape">
                    <wps:wsp>
                      <wps:cNvSpPr txBox="1"/>
                      <wps:spPr>
                        <a:xfrm>
                          <a:ext cx="819785"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154" type="#_x0000_t202" style="position:absolute;margin-left:38.399999999999999pt;margin-top:0.5pt;width:64.549999999999997pt;height:19.699999999999999pt;z-index:-125829355;mso-wrap-distance-left:0;mso-wrap-distance-right:439.19999999999999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20"/>
        <w:keepNext/>
        <w:keepLines/>
        <w:widowControl w:val="0"/>
        <w:shd w:val="clear" w:color="auto" w:fill="auto"/>
        <w:bidi w:val="0"/>
        <w:spacing w:before="0" w:after="540" w:line="240" w:lineRule="auto"/>
        <w:ind w:left="0" w:right="0" w:firstLine="0"/>
        <w:jc w:val="center"/>
      </w:pPr>
      <w:bookmarkStart w:id="100" w:name="bookmark100"/>
      <w:bookmarkStart w:id="98" w:name="bookmark98"/>
      <w:bookmarkStart w:id="99" w:name="bookmark99"/>
      <w:r>
        <w:rPr>
          <w:color w:val="000000"/>
          <w:spacing w:val="0"/>
          <w:w w:val="100"/>
          <w:position w:val="0"/>
        </w:rPr>
        <w:t>第四节经营情况讨论与分析</w:t>
      </w:r>
      <w:bookmarkEnd w:id="100"/>
      <w:bookmarkEnd w:id="98"/>
      <w:bookmarkEnd w:id="99"/>
    </w:p>
    <w:p>
      <w:pPr>
        <w:pStyle w:val="Style47"/>
        <w:keepNext/>
        <w:keepLines/>
        <w:widowControl w:val="0"/>
        <w:shd w:val="clear" w:color="auto" w:fill="auto"/>
        <w:bidi w:val="0"/>
        <w:spacing w:before="0" w:after="260" w:line="240" w:lineRule="auto"/>
        <w:ind w:left="0" w:right="0" w:firstLine="0"/>
        <w:jc w:val="left"/>
      </w:pPr>
      <w:bookmarkStart w:id="101" w:name="bookmark101"/>
      <w:bookmarkStart w:id="102" w:name="bookmark102"/>
      <w:bookmarkStart w:id="103" w:name="bookmark103"/>
      <w:bookmarkStart w:id="104" w:name="bookmark104"/>
      <w:r>
        <w:rPr>
          <w:color w:val="000000"/>
          <w:spacing w:val="0"/>
          <w:w w:val="100"/>
          <w:position w:val="0"/>
          <w:sz w:val="24"/>
          <w:szCs w:val="24"/>
        </w:rPr>
        <w:t>一</w:t>
      </w:r>
      <w:bookmarkEnd w:id="103"/>
      <w:r>
        <w:rPr>
          <w:color w:val="000000"/>
          <w:spacing w:val="0"/>
          <w:w w:val="100"/>
          <w:position w:val="0"/>
          <w:sz w:val="24"/>
          <w:szCs w:val="24"/>
        </w:rPr>
        <w:t>、概述</w:t>
      </w:r>
      <w:bookmarkEnd w:id="101"/>
      <w:bookmarkEnd w:id="102"/>
      <w:bookmarkEnd w:id="104"/>
    </w:p>
    <w:p>
      <w:pPr>
        <w:pStyle w:val="Style32"/>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年是公司持续推进战略转型发展的关键之年，公司开始全面布局控股子公司及办事处；依托云服务战略发展中心、智慧 医疗战略发展中心，加快新机制体制建设。秉承“医疗智能创新价值、健康数据共享未来”的医疗板块发展战略，致力于医 疗健康行业大数据应用解决方案的开发及服务。在智慧医疗领域，以集成平台、</w:t>
      </w:r>
      <w:r>
        <w:rPr>
          <w:rFonts w:ascii="Times New Roman" w:eastAsia="Times New Roman" w:hAnsi="Times New Roman" w:cs="Times New Roman"/>
          <w:color w:val="000000"/>
          <w:spacing w:val="0"/>
          <w:w w:val="100"/>
          <w:position w:val="0"/>
        </w:rPr>
        <w:t>Smart His</w:t>
      </w:r>
      <w:r>
        <w:rPr>
          <w:color w:val="000000"/>
          <w:spacing w:val="0"/>
          <w:w w:val="100"/>
          <w:position w:val="0"/>
        </w:rPr>
        <w:t>、</w:t>
      </w:r>
      <w:r>
        <w:rPr>
          <w:color w:val="000000"/>
          <w:spacing w:val="0"/>
          <w:w w:val="100"/>
          <w:position w:val="0"/>
        </w:rPr>
        <w:t>电子病历为系统核心，搭建了以 急诊、重症、手术麻醉、智慧门诊、数字病房，远程医疗、病案、互联网医院等为主的智慧医疗信息系统，以医院绩效考核 管理、数据中心、数据中台、</w:t>
      </w:r>
      <w:r>
        <w:rPr>
          <w:rFonts w:ascii="Times New Roman" w:eastAsia="Times New Roman" w:hAnsi="Times New Roman" w:cs="Times New Roman"/>
          <w:color w:val="000000"/>
          <w:spacing w:val="0"/>
          <w:w w:val="100"/>
          <w:position w:val="0"/>
        </w:rPr>
        <w:t>DRGs</w:t>
      </w:r>
      <w:r>
        <w:rPr>
          <w:color w:val="000000"/>
          <w:spacing w:val="0"/>
          <w:w w:val="100"/>
          <w:position w:val="0"/>
        </w:rPr>
        <w:t>、</w:t>
      </w:r>
      <w:r>
        <w:rPr>
          <w:color w:val="000000"/>
          <w:spacing w:val="0"/>
          <w:w w:val="100"/>
          <w:position w:val="0"/>
        </w:rPr>
        <w:t>护理管理、</w:t>
      </w:r>
      <w:r>
        <w:rPr>
          <w:rFonts w:ascii="Times New Roman" w:eastAsia="Times New Roman" w:hAnsi="Times New Roman" w:cs="Times New Roman"/>
          <w:color w:val="000000"/>
          <w:spacing w:val="0"/>
          <w:w w:val="100"/>
          <w:position w:val="0"/>
        </w:rPr>
        <w:t>360</w:t>
      </w:r>
      <w:r>
        <w:rPr>
          <w:color w:val="000000"/>
          <w:spacing w:val="0"/>
          <w:w w:val="100"/>
          <w:position w:val="0"/>
        </w:rPr>
        <w:t>视图、医疗数据上报、互联互通等为主的智慧管理信息系统，以及以互 联网医疗、主动健康管理平台等为主的智慧服务信息化系统，成为了国内临床医疗信息化产品最全的专业厂商，目前已服务 超</w:t>
      </w:r>
      <w:r>
        <w:rPr>
          <w:rFonts w:ascii="Times New Roman" w:eastAsia="Times New Roman" w:hAnsi="Times New Roman" w:cs="Times New Roman"/>
          <w:color w:val="000000"/>
          <w:spacing w:val="0"/>
          <w:w w:val="100"/>
          <w:position w:val="0"/>
        </w:rPr>
        <w:t>3,000</w:t>
      </w:r>
      <w:r>
        <w:rPr>
          <w:color w:val="000000"/>
          <w:spacing w:val="0"/>
          <w:w w:val="100"/>
          <w:position w:val="0"/>
        </w:rPr>
        <w:t>家医疗机构。荣科医疗精心打造智慧医院、紧密型县域医共体、互联网医院、专病科研数据中心、智慧医疗医养等 五大解决方案，紧扣行业发展趋势，积极领跑智慧医疗创新。在智慧城市领域，深入研究大数据、云计算、物联网、人工智 能等核心技术在行业中的应用模式，精心打造智慧城市建设数字化解决方案，为政府部门、大型企业等客户提供科学、规范、 专业、创新的一体化解决方案；践行“咨询</w:t>
      </w:r>
      <w:r>
        <w:rPr>
          <w:rFonts w:ascii="Times New Roman" w:eastAsia="Times New Roman" w:hAnsi="Times New Roman" w:cs="Times New Roman"/>
          <w:color w:val="000000"/>
          <w:spacing w:val="0"/>
          <w:w w:val="100"/>
          <w:position w:val="0"/>
        </w:rPr>
        <w:t>+</w:t>
      </w:r>
      <w:r>
        <w:rPr>
          <w:color w:val="000000"/>
          <w:spacing w:val="0"/>
          <w:w w:val="100"/>
          <w:position w:val="0"/>
        </w:rPr>
        <w:t>产品”的发展定位，为城市的管理、民生的服务、产业的扶植进行规划、评估、 咨询、项目实施和运营外包服务，并提供系列赋能产品与高端信息化解决方案的智库服务；承担国家、省、市政府和企事业 单位信息化建设项目近</w:t>
      </w:r>
      <w:r>
        <w:rPr>
          <w:rFonts w:ascii="Times New Roman" w:eastAsia="Times New Roman" w:hAnsi="Times New Roman" w:cs="Times New Roman"/>
          <w:color w:val="000000"/>
          <w:spacing w:val="0"/>
          <w:w w:val="100"/>
          <w:position w:val="0"/>
        </w:rPr>
        <w:t>500</w:t>
      </w:r>
      <w:r>
        <w:rPr>
          <w:color w:val="000000"/>
          <w:spacing w:val="0"/>
          <w:w w:val="100"/>
          <w:position w:val="0"/>
        </w:rPr>
        <w:t>项，已成功交付</w:t>
      </w:r>
      <w:r>
        <w:rPr>
          <w:rFonts w:ascii="Times New Roman" w:eastAsia="Times New Roman" w:hAnsi="Times New Roman" w:cs="Times New Roman"/>
          <w:color w:val="000000"/>
          <w:spacing w:val="0"/>
          <w:w w:val="100"/>
          <w:position w:val="0"/>
        </w:rPr>
        <w:t>300</w:t>
      </w:r>
      <w:r>
        <w:rPr>
          <w:color w:val="000000"/>
          <w:spacing w:val="0"/>
          <w:w w:val="100"/>
          <w:position w:val="0"/>
        </w:rPr>
        <w:t>余个智慧城市建设相关重大项目，在社保、医保、智慧政务、智慧民生、教育、 金融、应急指挥、城市运营等领域逐渐树立行业标杆。报告期内，公司实现主营业务收入</w:t>
      </w:r>
      <w:r>
        <w:rPr>
          <w:rFonts w:ascii="Times New Roman" w:eastAsia="Times New Roman" w:hAnsi="Times New Roman" w:cs="Times New Roman"/>
          <w:color w:val="000000"/>
          <w:spacing w:val="0"/>
          <w:w w:val="100"/>
          <w:position w:val="0"/>
        </w:rPr>
        <w:t>78,789.65</w:t>
      </w:r>
      <w:r>
        <w:rPr>
          <w:color w:val="000000"/>
          <w:spacing w:val="0"/>
          <w:w w:val="100"/>
          <w:position w:val="0"/>
        </w:rPr>
        <w:t>万元，同比增长</w:t>
      </w:r>
      <w:r>
        <w:rPr>
          <w:rFonts w:ascii="Times New Roman" w:eastAsia="Times New Roman" w:hAnsi="Times New Roman" w:cs="Times New Roman"/>
          <w:color w:val="000000"/>
          <w:spacing w:val="0"/>
          <w:w w:val="100"/>
          <w:position w:val="0"/>
        </w:rPr>
        <w:t>8.86%</w:t>
      </w:r>
      <w:r>
        <w:rPr>
          <w:color w:val="000000"/>
          <w:spacing w:val="0"/>
          <w:w w:val="100"/>
          <w:position w:val="0"/>
        </w:rPr>
        <w:t>； 实现归属于上市公司股东的净利润</w:t>
      </w:r>
      <w:r>
        <w:rPr>
          <w:rFonts w:ascii="Times New Roman" w:eastAsia="Times New Roman" w:hAnsi="Times New Roman" w:cs="Times New Roman"/>
          <w:color w:val="000000"/>
          <w:spacing w:val="0"/>
          <w:w w:val="100"/>
          <w:position w:val="0"/>
        </w:rPr>
        <w:t>8,036.85</w:t>
      </w:r>
      <w:r>
        <w:rPr>
          <w:color w:val="000000"/>
          <w:spacing w:val="0"/>
          <w:w w:val="100"/>
          <w:position w:val="0"/>
        </w:rPr>
        <w:t>万元，同比增长</w:t>
      </w:r>
      <w:r>
        <w:rPr>
          <w:rFonts w:ascii="Times New Roman" w:eastAsia="Times New Roman" w:hAnsi="Times New Roman" w:cs="Times New Roman"/>
          <w:color w:val="000000"/>
          <w:spacing w:val="0"/>
          <w:w w:val="100"/>
          <w:position w:val="0"/>
        </w:rPr>
        <w:t>86.24%</w:t>
      </w:r>
      <w:r>
        <w:rPr>
          <w:color w:val="000000"/>
          <w:spacing w:val="0"/>
          <w:w w:val="100"/>
          <w:position w:val="0"/>
        </w:rPr>
        <w:t>。</w:t>
      </w:r>
    </w:p>
    <w:p>
      <w:pPr>
        <w:pStyle w:val="Style32"/>
        <w:keepNext w:val="0"/>
        <w:keepLines w:val="0"/>
        <w:widowControl w:val="0"/>
        <w:shd w:val="clear" w:color="auto" w:fill="auto"/>
        <w:bidi w:val="0"/>
        <w:spacing w:before="0" w:after="0" w:line="322" w:lineRule="exact"/>
        <w:ind w:left="0" w:right="0" w:firstLine="0"/>
        <w:jc w:val="both"/>
      </w:pPr>
      <w:r>
        <w:rPr>
          <w:color w:val="000000"/>
          <w:spacing w:val="0"/>
          <w:w w:val="100"/>
          <w:position w:val="0"/>
        </w:rPr>
        <w:t>公司全面转型升级经营管理策略，在客户与市场、创新与研发、核心竞争力、人才与文化、成本管控等方面都取得了一定的 成绩，实现了年初预定的工作目标。</w:t>
      </w:r>
    </w:p>
    <w:p>
      <w:pPr>
        <w:pStyle w:val="Style32"/>
        <w:keepNext w:val="0"/>
        <w:keepLines w:val="0"/>
        <w:widowControl w:val="0"/>
        <w:shd w:val="clear" w:color="auto" w:fill="auto"/>
        <w:tabs>
          <w:tab w:pos="471" w:val="left"/>
        </w:tabs>
        <w:bidi w:val="0"/>
        <w:spacing w:before="0" w:after="0" w:line="312" w:lineRule="exact"/>
        <w:ind w:left="0" w:right="0" w:firstLine="0"/>
        <w:jc w:val="both"/>
      </w:pPr>
      <w:bookmarkStart w:id="105" w:name="bookmark105"/>
      <w:r>
        <w:rPr>
          <w:color w:val="000000"/>
          <w:spacing w:val="0"/>
          <w:w w:val="100"/>
          <w:position w:val="0"/>
        </w:rPr>
        <w:t>（</w:t>
      </w:r>
      <w:bookmarkEnd w:id="105"/>
      <w:r>
        <w:rPr>
          <w:color w:val="000000"/>
          <w:spacing w:val="0"/>
          <w:w w:val="100"/>
          <w:position w:val="0"/>
        </w:rPr>
        <w:t>一）</w:t>
        <w:tab/>
        <w:t>客户与市场</w:t>
      </w:r>
    </w:p>
    <w:p>
      <w:pPr>
        <w:pStyle w:val="Style32"/>
        <w:keepNext w:val="0"/>
        <w:keepLines w:val="0"/>
        <w:widowControl w:val="0"/>
        <w:shd w:val="clear" w:color="auto" w:fill="auto"/>
        <w:tabs>
          <w:tab w:pos="276" w:val="left"/>
        </w:tabs>
        <w:bidi w:val="0"/>
        <w:spacing w:before="0" w:after="0" w:line="312" w:lineRule="exact"/>
        <w:ind w:left="0" w:right="0" w:firstLine="0"/>
        <w:jc w:val="both"/>
      </w:pPr>
      <w:bookmarkStart w:id="106" w:name="bookmark106"/>
      <w:r>
        <w:rPr>
          <w:rFonts w:ascii="Times New Roman" w:eastAsia="Times New Roman" w:hAnsi="Times New Roman" w:cs="Times New Roman"/>
          <w:color w:val="000000"/>
          <w:spacing w:val="0"/>
          <w:w w:val="100"/>
          <w:position w:val="0"/>
        </w:rPr>
        <w:t>1</w:t>
      </w:r>
      <w:bookmarkEnd w:id="106"/>
      <w:r>
        <w:rPr>
          <w:color w:val="000000"/>
          <w:spacing w:val="0"/>
          <w:w w:val="100"/>
          <w:position w:val="0"/>
        </w:rPr>
        <w:t>、</w:t>
        <w:tab/>
        <w:t>市场开拓方面</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一方面不断完善荣科医疗的销售服务网络，将全国分为西北、西南、华北、东北、华东、华南六个大区，辐射全国</w:t>
      </w:r>
      <w:r>
        <w:rPr>
          <w:rFonts w:ascii="Times New Roman" w:eastAsia="Times New Roman" w:hAnsi="Times New Roman" w:cs="Times New Roman"/>
          <w:color w:val="000000"/>
          <w:spacing w:val="0"/>
          <w:w w:val="100"/>
          <w:position w:val="0"/>
        </w:rPr>
        <w:t>31</w:t>
      </w:r>
      <w:r>
        <w:rPr>
          <w:color w:val="000000"/>
          <w:spacing w:val="0"/>
          <w:w w:val="100"/>
          <w:position w:val="0"/>
        </w:rPr>
        <w:t>个省及 直辖市，加大人才培养及储备力度，构建完善的销售及服务保障体系。另一方面，不断加强荣科医疗生态的布局，打造强有 力的生态建设，强强联合，寻求业务共赢及产品互补的产业优势，不断加强市场占有率及产品竞争力。同时，进一步推进各 子公司及投资参股公司相互融合，以融合办公打开产品互补、交叉销售的发展趋势，加速荣科医疗项目持续孵化，打造核心 产品解决方案，以赢得市场口碑及竞争优势。目前，公司及子公司拥有十三大体系、五十多款产品，三千家客户（其中二甲 以上规模用户有二千八百多家）。公司制定了详细的业务融合方案并有序推进，共享客户资源、产品资源与销售资源，销售 协作已经初见成效。</w:t>
      </w:r>
    </w:p>
    <w:p>
      <w:pPr>
        <w:pStyle w:val="Style32"/>
        <w:keepNext w:val="0"/>
        <w:keepLines w:val="0"/>
        <w:widowControl w:val="0"/>
        <w:shd w:val="clear" w:color="auto" w:fill="auto"/>
        <w:tabs>
          <w:tab w:pos="294" w:val="left"/>
        </w:tabs>
        <w:bidi w:val="0"/>
        <w:spacing w:before="0" w:after="0" w:line="312" w:lineRule="exact"/>
        <w:ind w:left="0" w:right="0" w:firstLine="0"/>
        <w:jc w:val="both"/>
      </w:pPr>
      <w:bookmarkStart w:id="107" w:name="bookmark107"/>
      <w:r>
        <w:rPr>
          <w:rFonts w:ascii="Times New Roman" w:eastAsia="Times New Roman" w:hAnsi="Times New Roman" w:cs="Times New Roman"/>
          <w:color w:val="000000"/>
          <w:spacing w:val="0"/>
          <w:w w:val="100"/>
          <w:position w:val="0"/>
        </w:rPr>
        <w:t>2</w:t>
      </w:r>
      <w:bookmarkEnd w:id="107"/>
      <w:r>
        <w:rPr>
          <w:color w:val="000000"/>
          <w:spacing w:val="0"/>
          <w:w w:val="100"/>
          <w:position w:val="0"/>
        </w:rPr>
        <w:t>、</w:t>
        <w:tab/>
        <w:t>提高客户服务水平与项目管理能力</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报告期内，公司业务管理体系持续完善提升，在对部门的管理方面制定了全面的绩效考核制度，设定了详细的绩效目标，利 用绩效目标倒逼工作计划，并且做到了实质性的监督管理，完善了奖惩机制。公司利用绩效制度有效促进了技术部门人均工 作效率，利用项目风险防控体系，使项目安全风险得到有效的控制。</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在公司项目的监管方面，制定了一系列以客户满意度、风险管控、按时交付、交付质量、售后服务等方面的为主的服务优化 举措，各岗位人员明确了职责与定位。公司为切实提高客户满意度、提升项目管理水平与交付水平，开展了专项的岗位考试。 交付模式由传统交付向新型交付转变，逐步完善交付激励，实行项目经理负责制，项目经理及项目组成员一起分享由交付创 新带来成本节约而产生的利益，以提高项目组积极性，来促进交付质量的提升，降低交付成本。并且通过监督项目产值达成 状况，将人均绩效数值化，形成数据统计分析，实现精细化管理并促进持续改善。同时，通过项目风险防控体系，调动公司 上下资源协调努力，有效防范项目风险。通过以上措施的落实，有效提高了项目实施效率，很大程度地保证了客户满意度的 提升。</w:t>
      </w:r>
    </w:p>
    <w:p>
      <w:pPr>
        <w:pStyle w:val="Style32"/>
        <w:keepNext w:val="0"/>
        <w:keepLines w:val="0"/>
        <w:widowControl w:val="0"/>
        <w:shd w:val="clear" w:color="auto" w:fill="auto"/>
        <w:tabs>
          <w:tab w:pos="471" w:val="left"/>
        </w:tabs>
        <w:bidi w:val="0"/>
        <w:spacing w:before="0" w:after="0" w:line="312" w:lineRule="exact"/>
        <w:ind w:left="0" w:right="0" w:firstLine="0"/>
        <w:jc w:val="both"/>
        <w:sectPr>
          <w:footnotePr>
            <w:pos w:val="pageBottom"/>
            <w:numFmt w:val="decimal"/>
            <w:numRestart w:val="continuous"/>
          </w:footnotePr>
          <w:pgSz w:w="11900" w:h="16840"/>
          <w:pgMar w:top="1223" w:right="911" w:bottom="1375" w:left="914" w:header="0" w:footer="3" w:gutter="0"/>
          <w:cols w:space="720"/>
          <w:noEndnote/>
          <w:rtlGutter w:val="0"/>
          <w:docGrid w:linePitch="360"/>
        </w:sectPr>
      </w:pPr>
      <w:bookmarkStart w:id="108" w:name="bookmark108"/>
      <w:r>
        <w:rPr>
          <w:color w:val="000000"/>
          <w:spacing w:val="0"/>
          <w:w w:val="100"/>
          <w:position w:val="0"/>
        </w:rPr>
        <w:t>（</w:t>
      </w:r>
      <w:bookmarkEnd w:id="108"/>
      <w:r>
        <w:rPr>
          <w:color w:val="000000"/>
          <w:spacing w:val="0"/>
          <w:w w:val="100"/>
          <w:position w:val="0"/>
        </w:rPr>
        <w:t>二）</w:t>
        <w:tab/>
        <w:t>创新与研发</w:t>
      </w:r>
    </w:p>
    <w:p>
      <w:pPr>
        <w:pStyle w:val="Style32"/>
        <w:keepNext w:val="0"/>
        <w:keepLines w:val="0"/>
        <w:widowControl w:val="0"/>
        <w:shd w:val="clear" w:color="auto" w:fill="auto"/>
        <w:bidi w:val="0"/>
        <w:spacing w:before="0" w:after="100" w:line="240" w:lineRule="auto"/>
        <w:ind w:left="0" w:right="0" w:firstLine="0"/>
        <w:jc w:val="both"/>
      </w:pPr>
      <w:r>
        <mc:AlternateContent>
          <mc:Choice Requires="wps">
            <w:drawing>
              <wp:anchor distT="0" distB="0" distL="114300" distR="114300" simplePos="0" relativeHeight="125829400" behindDoc="0" locked="0" layoutInCell="1" allowOverlap="1">
                <wp:simplePos x="0" y="0"/>
                <wp:positionH relativeFrom="page">
                  <wp:posOffset>778510</wp:posOffset>
                </wp:positionH>
                <wp:positionV relativeFrom="margin">
                  <wp:posOffset>-75565</wp:posOffset>
                </wp:positionV>
                <wp:extent cx="1243330" cy="298450"/>
                <wp:wrapTopAndBottom/>
                <wp:docPr id="130" name="Shape 130"/>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156" type="#_x0000_t202" style="position:absolute;margin-left:61.300000000000004pt;margin-top:-5.9500000000000002pt;width:97.900000000000006pt;height:23.5pt;z-index:-125829353;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rFonts w:ascii="Times New Roman" w:eastAsia="Times New Roman" w:hAnsi="Times New Roman" w:cs="Times New Roman"/>
          <w:color w:val="000000"/>
          <w:spacing w:val="0"/>
          <w:w w:val="100"/>
          <w:position w:val="0"/>
        </w:rPr>
        <w:t>1</w:t>
      </w:r>
      <w:r>
        <w:rPr>
          <w:color w:val="000000"/>
          <w:spacing w:val="0"/>
          <w:w w:val="100"/>
          <w:position w:val="0"/>
        </w:rPr>
        <w:t>、为贯彻落实党中央、国务院和辽宁省委、辽宁省政府关于疫情防控工作部署，公司紧急研发“疫情防控信息管理系统”，</w:t>
      </w: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 xml:space="preserve">承担辽宁省第三批疫情防控应急科研攻关计划。该系统在葫芦岛等市疫情防控指挥部投入使用，充分发挥大数据、云计算等 </w:t>
      </w:r>
      <w:r>
        <w:rPr>
          <w:color w:val="000000"/>
          <w:spacing w:val="0"/>
          <w:w w:val="100"/>
          <w:position w:val="0"/>
        </w:rPr>
        <w:t>信息技术对疫情的防控保障作用，为抗击疫情贡献力量。</w:t>
      </w:r>
    </w:p>
    <w:p>
      <w:pPr>
        <w:pStyle w:val="Style32"/>
        <w:keepNext w:val="0"/>
        <w:keepLines w:val="0"/>
        <w:widowControl w:val="0"/>
        <w:shd w:val="clear" w:color="auto" w:fill="auto"/>
        <w:tabs>
          <w:tab w:pos="294" w:val="left"/>
        </w:tabs>
        <w:bidi w:val="0"/>
        <w:spacing w:before="0" w:line="315" w:lineRule="exact"/>
        <w:ind w:left="0" w:right="0" w:firstLine="0"/>
        <w:jc w:val="both"/>
      </w:pPr>
      <w:bookmarkStart w:id="109" w:name="bookmark109"/>
      <w:r>
        <w:rPr>
          <w:rFonts w:ascii="Times New Roman" w:eastAsia="Times New Roman" w:hAnsi="Times New Roman" w:cs="Times New Roman"/>
          <w:color w:val="000000"/>
          <w:spacing w:val="0"/>
          <w:w w:val="100"/>
          <w:position w:val="0"/>
        </w:rPr>
        <w:t>2</w:t>
      </w:r>
      <w:bookmarkEnd w:id="109"/>
      <w:r>
        <w:rPr>
          <w:color w:val="000000"/>
          <w:spacing w:val="0"/>
          <w:w w:val="100"/>
          <w:position w:val="0"/>
        </w:rPr>
        <w:t>、</w:t>
        <w:tab/>
        <w:t>整合子公司的研发力量，推出了基于物联网设备管理平台，在智慧医疗、智慧城市等行业的物联运维场景中可以快速应 用，通过深挖物联数据价值，适配多种运维规则，提供设备运行状态监控、多渠道预警告警通知、故障智能化定位分析与自 动化修复、资产全生命周期管理、运维流程规范化管理、可视化数据展示分析等场景化应用，助力行业客户在物联管理方面 降本增效、提升价值。</w:t>
      </w:r>
    </w:p>
    <w:p>
      <w:pPr>
        <w:pStyle w:val="Style32"/>
        <w:keepNext w:val="0"/>
        <w:keepLines w:val="0"/>
        <w:widowControl w:val="0"/>
        <w:shd w:val="clear" w:color="auto" w:fill="auto"/>
        <w:tabs>
          <w:tab w:pos="294" w:val="left"/>
        </w:tabs>
        <w:bidi w:val="0"/>
        <w:spacing w:before="0" w:line="314" w:lineRule="exact"/>
        <w:ind w:left="0" w:right="0" w:firstLine="0"/>
        <w:jc w:val="both"/>
      </w:pPr>
      <w:bookmarkStart w:id="110" w:name="bookmark110"/>
      <w:r>
        <w:rPr>
          <w:rFonts w:ascii="Times New Roman" w:eastAsia="Times New Roman" w:hAnsi="Times New Roman" w:cs="Times New Roman"/>
          <w:color w:val="000000"/>
          <w:spacing w:val="0"/>
          <w:w w:val="100"/>
          <w:position w:val="0"/>
        </w:rPr>
        <w:t>3</w:t>
      </w:r>
      <w:bookmarkEnd w:id="110"/>
      <w:r>
        <w:rPr>
          <w:color w:val="000000"/>
          <w:spacing w:val="0"/>
          <w:w w:val="100"/>
          <w:position w:val="0"/>
        </w:rPr>
        <w:t>、</w:t>
        <w:tab/>
        <w:t>公司承担的国家重点研发计划“互联网</w:t>
      </w:r>
      <w:r>
        <w:rPr>
          <w:rFonts w:ascii="Times New Roman" w:eastAsia="Times New Roman" w:hAnsi="Times New Roman" w:cs="Times New Roman"/>
          <w:color w:val="000000"/>
          <w:spacing w:val="0"/>
          <w:w w:val="100"/>
          <w:position w:val="0"/>
        </w:rPr>
        <w:t>+</w:t>
      </w:r>
      <w:r>
        <w:rPr>
          <w:color w:val="000000"/>
          <w:spacing w:val="0"/>
          <w:w w:val="100"/>
          <w:position w:val="0"/>
        </w:rPr>
        <w:t>政务大数据透明管理与智能服务平台”项目组到公司调研，将沈阳市信息中心、 丹东市社会保险事业服务中心作为该项目的应用试点单位。该项目的成功应用将实现跨部门、跨行业、跨领域的数据可控透 明管理和智能政务综合服务，有效提升相关政务数据的开放度、政务运行效率和应急相应能力，并可推动物联网与智慧城市 规模化发展和“三融五跨”共享，形成完善的产业生态链，促进我国物联网与智慧城市技术研究、标准规范与产业应用达到 国家规范。</w:t>
      </w:r>
    </w:p>
    <w:p>
      <w:pPr>
        <w:pStyle w:val="Style32"/>
        <w:keepNext w:val="0"/>
        <w:keepLines w:val="0"/>
        <w:widowControl w:val="0"/>
        <w:shd w:val="clear" w:color="auto" w:fill="auto"/>
        <w:tabs>
          <w:tab w:pos="294" w:val="left"/>
        </w:tabs>
        <w:bidi w:val="0"/>
        <w:spacing w:before="0" w:line="317" w:lineRule="exact"/>
        <w:ind w:left="0" w:right="0" w:firstLine="0"/>
        <w:jc w:val="both"/>
      </w:pPr>
      <w:bookmarkStart w:id="111" w:name="bookmark111"/>
      <w:r>
        <w:rPr>
          <w:rFonts w:ascii="Times New Roman" w:eastAsia="Times New Roman" w:hAnsi="Times New Roman" w:cs="Times New Roman"/>
          <w:color w:val="000000"/>
          <w:spacing w:val="0"/>
          <w:w w:val="100"/>
          <w:position w:val="0"/>
        </w:rPr>
        <w:t>4</w:t>
      </w:r>
      <w:bookmarkEnd w:id="111"/>
      <w:r>
        <w:rPr>
          <w:color w:val="000000"/>
          <w:spacing w:val="0"/>
          <w:w w:val="100"/>
          <w:position w:val="0"/>
        </w:rPr>
        <w:t>、</w:t>
        <w:tab/>
        <w:t>由公司牵头的国家重点研发计划专项“网络文化市场动态监管服务系统研发与应用示范”项目启动。通过开展网络文化 市场与市场主体自律管理相结合的动态服务应用示范，构建网络文化市场动态监管服务体系，为网络文化执法提供决策和办 案依据，为社会提供健康、清朗的网络环境，为网络文化市场发展提供健康土壤。</w:t>
      </w:r>
    </w:p>
    <w:p>
      <w:pPr>
        <w:pStyle w:val="Style32"/>
        <w:keepNext w:val="0"/>
        <w:keepLines w:val="0"/>
        <w:widowControl w:val="0"/>
        <w:shd w:val="clear" w:color="auto" w:fill="auto"/>
        <w:bidi w:val="0"/>
        <w:spacing w:before="0" w:line="310" w:lineRule="exact"/>
        <w:ind w:left="0" w:right="0" w:firstLine="0"/>
        <w:jc w:val="both"/>
      </w:pPr>
      <w:bookmarkStart w:id="112" w:name="bookmark112"/>
      <w:r>
        <w:rPr>
          <w:color w:val="000000"/>
          <w:spacing w:val="0"/>
          <w:w w:val="100"/>
          <w:position w:val="0"/>
        </w:rPr>
        <w:t>（</w:t>
      </w:r>
      <w:bookmarkEnd w:id="112"/>
      <w:r>
        <w:rPr>
          <w:color w:val="000000"/>
          <w:spacing w:val="0"/>
          <w:w w:val="100"/>
          <w:position w:val="0"/>
        </w:rPr>
        <w:t>三）核心竞争力</w:t>
      </w:r>
    </w:p>
    <w:p>
      <w:pPr>
        <w:pStyle w:val="Style32"/>
        <w:keepNext w:val="0"/>
        <w:keepLines w:val="0"/>
        <w:widowControl w:val="0"/>
        <w:shd w:val="clear" w:color="auto" w:fill="auto"/>
        <w:bidi w:val="0"/>
        <w:spacing w:before="0" w:line="310" w:lineRule="exact"/>
        <w:ind w:left="0" w:right="0" w:firstLine="0"/>
        <w:jc w:val="both"/>
      </w:pPr>
      <w:r>
        <w:rPr>
          <w:color w:val="000000"/>
          <w:spacing w:val="0"/>
          <w:w w:val="100"/>
          <w:position w:val="0"/>
        </w:rPr>
        <w:t>报告期内，公司进一步提升核心竞争力，被工业和信息化部认定为国家级“专精特新”小巨人企业，荣获辽宁省科技厅中央 引导地方科技发展专项《辽宁荣科医疗卫生大数据专业技术创新平台》、辽宁省科技计划《疫情防控信息管理系统研发与应 用》项目立项，成功入选《辽宁省疫情防控重点保障企业名单》；被中国软件行业协会认定为“中国软件诚信示范企业”； 在赛迪网主办的</w:t>
      </w:r>
      <w:r>
        <w:rPr>
          <w:rFonts w:ascii="Times New Roman" w:eastAsia="Times New Roman" w:hAnsi="Times New Roman" w:cs="Times New Roman"/>
          <w:color w:val="000000"/>
          <w:spacing w:val="0"/>
          <w:w w:val="100"/>
          <w:position w:val="0"/>
        </w:rPr>
        <w:t>2020</w:t>
      </w:r>
      <w:r>
        <w:rPr>
          <w:color w:val="000000"/>
          <w:spacing w:val="0"/>
          <w:w w:val="100"/>
          <w:position w:val="0"/>
        </w:rPr>
        <w:t>工业互联网创新峰会上，公司荣获</w:t>
      </w:r>
      <w:r>
        <w:rPr>
          <w:color w:val="000000"/>
          <w:spacing w:val="0"/>
          <w:w w:val="100"/>
          <w:position w:val="0"/>
        </w:rPr>
        <w:t>“</w:t>
      </w:r>
      <w:r>
        <w:rPr>
          <w:rFonts w:ascii="Times New Roman" w:eastAsia="Times New Roman" w:hAnsi="Times New Roman" w:cs="Times New Roman"/>
          <w:color w:val="000000"/>
          <w:spacing w:val="0"/>
          <w:w w:val="100"/>
          <w:position w:val="0"/>
        </w:rPr>
        <w:t>2019-2020</w:t>
      </w:r>
      <w:r>
        <w:rPr>
          <w:color w:val="000000"/>
          <w:spacing w:val="0"/>
          <w:w w:val="100"/>
          <w:position w:val="0"/>
        </w:rPr>
        <w:t>年度最佳云增值服务提供商”、</w:t>
      </w:r>
      <w:r>
        <w:rPr>
          <w:color w:val="000000"/>
          <w:spacing w:val="0"/>
          <w:w w:val="100"/>
          <w:position w:val="0"/>
        </w:rPr>
        <w:t>“</w:t>
      </w:r>
      <w:r>
        <w:rPr>
          <w:rFonts w:ascii="Times New Roman" w:eastAsia="Times New Roman" w:hAnsi="Times New Roman" w:cs="Times New Roman"/>
          <w:color w:val="000000"/>
          <w:spacing w:val="0"/>
          <w:w w:val="100"/>
          <w:position w:val="0"/>
        </w:rPr>
        <w:t>2019-2020</w:t>
      </w:r>
      <w:r>
        <w:rPr>
          <w:color w:val="000000"/>
          <w:spacing w:val="0"/>
          <w:w w:val="100"/>
          <w:position w:val="0"/>
        </w:rPr>
        <w:t>年度智慧医 院领域优秀解决方案奖”；在中国</w:t>
      </w:r>
      <w:r>
        <w:rPr>
          <w:rFonts w:ascii="Times New Roman" w:eastAsia="Times New Roman" w:hAnsi="Times New Roman" w:cs="Times New Roman"/>
          <w:color w:val="000000"/>
          <w:spacing w:val="0"/>
          <w:w w:val="100"/>
          <w:position w:val="0"/>
        </w:rPr>
        <w:t>IT</w:t>
      </w:r>
      <w:r>
        <w:rPr>
          <w:color w:val="000000"/>
          <w:spacing w:val="0"/>
          <w:w w:val="100"/>
          <w:position w:val="0"/>
        </w:rPr>
        <w:t>服务全媒体平台评选的</w:t>
      </w:r>
      <w:r>
        <w:rPr>
          <w:rFonts w:ascii="Times New Roman" w:eastAsia="Times New Roman" w:hAnsi="Times New Roman" w:cs="Times New Roman"/>
          <w:color w:val="000000"/>
          <w:spacing w:val="0"/>
          <w:w w:val="100"/>
          <w:position w:val="0"/>
        </w:rPr>
        <w:t>2020-2021</w:t>
      </w:r>
      <w:r>
        <w:rPr>
          <w:color w:val="000000"/>
          <w:spacing w:val="0"/>
          <w:w w:val="100"/>
          <w:position w:val="0"/>
        </w:rPr>
        <w:t>中国信息技术服务奖项评选中，公司获“智能运维</w:t>
      </w:r>
      <w:r>
        <w:rPr>
          <w:rFonts w:ascii="Times New Roman" w:eastAsia="Times New Roman" w:hAnsi="Times New Roman" w:cs="Times New Roman"/>
          <w:color w:val="000000"/>
          <w:spacing w:val="0"/>
          <w:w w:val="100"/>
          <w:position w:val="0"/>
        </w:rPr>
        <w:t xml:space="preserve">100 </w:t>
      </w:r>
      <w:r>
        <w:rPr>
          <w:color w:val="000000"/>
          <w:spacing w:val="0"/>
          <w:w w:val="100"/>
          <w:position w:val="0"/>
        </w:rPr>
        <w:t>强”、“</w:t>
      </w:r>
      <w:r>
        <w:rPr>
          <w:rFonts w:ascii="Times New Roman" w:eastAsia="Times New Roman" w:hAnsi="Times New Roman" w:cs="Times New Roman"/>
          <w:color w:val="000000"/>
          <w:spacing w:val="0"/>
          <w:w w:val="100"/>
          <w:position w:val="0"/>
        </w:rPr>
        <w:t>2020</w:t>
      </w:r>
      <w:r>
        <w:rPr>
          <w:color w:val="000000"/>
          <w:spacing w:val="0"/>
          <w:w w:val="100"/>
          <w:position w:val="0"/>
        </w:rPr>
        <w:t>中国区域</w:t>
      </w:r>
      <w:r>
        <w:rPr>
          <w:rFonts w:ascii="Times New Roman" w:eastAsia="Times New Roman" w:hAnsi="Times New Roman" w:cs="Times New Roman"/>
          <w:color w:val="000000"/>
          <w:spacing w:val="0"/>
          <w:w w:val="100"/>
          <w:position w:val="0"/>
        </w:rPr>
        <w:t>IT</w:t>
      </w:r>
      <w:r>
        <w:rPr>
          <w:color w:val="000000"/>
          <w:spacing w:val="0"/>
          <w:w w:val="100"/>
          <w:position w:val="0"/>
        </w:rPr>
        <w:t>服务领军企业”、“</w:t>
      </w:r>
      <w:r>
        <w:rPr>
          <w:rFonts w:ascii="Times New Roman" w:eastAsia="Times New Roman" w:hAnsi="Times New Roman" w:cs="Times New Roman"/>
          <w:color w:val="000000"/>
          <w:spacing w:val="0"/>
          <w:w w:val="100"/>
          <w:position w:val="0"/>
        </w:rPr>
        <w:t>2020</w:t>
      </w:r>
      <w:r>
        <w:rPr>
          <w:color w:val="000000"/>
          <w:spacing w:val="0"/>
          <w:w w:val="100"/>
          <w:position w:val="0"/>
        </w:rPr>
        <w:t>中国区域卓越</w:t>
      </w:r>
      <w:r>
        <w:rPr>
          <w:rFonts w:ascii="Times New Roman" w:eastAsia="Times New Roman" w:hAnsi="Times New Roman" w:cs="Times New Roman"/>
          <w:color w:val="000000"/>
          <w:spacing w:val="0"/>
          <w:w w:val="100"/>
          <w:position w:val="0"/>
        </w:rPr>
        <w:t>IT</w:t>
      </w:r>
      <w:r>
        <w:rPr>
          <w:color w:val="000000"/>
          <w:spacing w:val="0"/>
          <w:w w:val="100"/>
          <w:position w:val="0"/>
        </w:rPr>
        <w:t>服务商”等荣誉称号。</w:t>
      </w:r>
    </w:p>
    <w:p>
      <w:pPr>
        <w:pStyle w:val="Style32"/>
        <w:keepNext w:val="0"/>
        <w:keepLines w:val="0"/>
        <w:widowControl w:val="0"/>
        <w:shd w:val="clear" w:color="auto" w:fill="auto"/>
        <w:bidi w:val="0"/>
        <w:spacing w:before="0" w:line="315" w:lineRule="exact"/>
        <w:ind w:left="0" w:right="0" w:firstLine="0"/>
        <w:jc w:val="both"/>
      </w:pPr>
      <w:r>
        <w:rPr>
          <w:color w:val="000000"/>
          <w:spacing w:val="0"/>
          <w:w w:val="100"/>
          <w:position w:val="0"/>
        </w:rPr>
        <w:t>公司通过了行业最高等级软件能力成熟度五级评估</w:t>
      </w:r>
      <w:r>
        <w:rPr>
          <w:color w:val="000000"/>
          <w:spacing w:val="0"/>
          <w:w w:val="100"/>
          <w:position w:val="0"/>
        </w:rPr>
        <w:t>（</w:t>
      </w:r>
      <w:r>
        <w:rPr>
          <w:rFonts w:ascii="Times New Roman" w:eastAsia="Times New Roman" w:hAnsi="Times New Roman" w:cs="Times New Roman"/>
          <w:color w:val="000000"/>
          <w:spacing w:val="0"/>
          <w:w w:val="100"/>
          <w:position w:val="0"/>
        </w:rPr>
        <w:t>CMMI</w:t>
      </w:r>
      <w:r>
        <w:rPr>
          <w:color w:val="000000"/>
          <w:spacing w:val="0"/>
          <w:w w:val="100"/>
          <w:position w:val="0"/>
        </w:rPr>
        <w:t>五级），标志着公司在软件设计、研发、质量管理、过程改进等 方面的能力均达到了新的高度，拥有持续为行业共享更具价值和引导力的软件产品和管理经验，为客户提供安全、优质、高 效的产品和服务的能力。同时，公司完成</w:t>
      </w:r>
      <w:r>
        <w:rPr>
          <w:rFonts w:ascii="Times New Roman" w:eastAsia="Times New Roman" w:hAnsi="Times New Roman" w:cs="Times New Roman"/>
          <w:color w:val="000000"/>
          <w:spacing w:val="0"/>
          <w:w w:val="100"/>
          <w:position w:val="0"/>
        </w:rPr>
        <w:t>IS</w:t>
      </w:r>
      <w:r>
        <w:rPr>
          <w:rFonts w:ascii="Times New Roman" w:eastAsia="Times New Roman" w:hAnsi="Times New Roman" w:cs="Times New Roman"/>
          <w:color w:val="000000"/>
          <w:spacing w:val="0"/>
          <w:w w:val="100"/>
          <w:position w:val="0"/>
        </w:rPr>
        <w:t>045000</w:t>
      </w:r>
      <w:r>
        <w:rPr>
          <w:color w:val="000000"/>
          <w:spacing w:val="0"/>
          <w:w w:val="100"/>
          <w:position w:val="0"/>
        </w:rPr>
        <w:t>和</w:t>
      </w:r>
      <w:r>
        <w:rPr>
          <w:rFonts w:ascii="Times New Roman" w:eastAsia="Times New Roman" w:hAnsi="Times New Roman" w:cs="Times New Roman"/>
          <w:color w:val="000000"/>
          <w:spacing w:val="0"/>
          <w:w w:val="100"/>
          <w:position w:val="0"/>
        </w:rPr>
        <w:t>20000</w:t>
      </w:r>
      <w:r>
        <w:rPr>
          <w:color w:val="000000"/>
          <w:spacing w:val="0"/>
          <w:w w:val="100"/>
          <w:position w:val="0"/>
        </w:rPr>
        <w:t>转版及其他管理体系认证，以及高新技术企业、信用</w:t>
      </w:r>
      <w:r>
        <w:rPr>
          <w:rFonts w:ascii="Times New Roman" w:eastAsia="Times New Roman" w:hAnsi="Times New Roman" w:cs="Times New Roman"/>
          <w:color w:val="000000"/>
          <w:spacing w:val="0"/>
          <w:w w:val="100"/>
          <w:position w:val="0"/>
        </w:rPr>
        <w:t>3A</w:t>
      </w:r>
      <w:r>
        <w:rPr>
          <w:color w:val="000000"/>
          <w:spacing w:val="0"/>
          <w:w w:val="100"/>
          <w:position w:val="0"/>
        </w:rPr>
        <w:t>、</w:t>
      </w:r>
      <w:r>
        <w:rPr>
          <w:color w:val="000000"/>
          <w:spacing w:val="0"/>
          <w:w w:val="100"/>
          <w:position w:val="0"/>
        </w:rPr>
        <w:t>信息安 全服务等资质再认定工作。</w:t>
      </w:r>
    </w:p>
    <w:p>
      <w:pPr>
        <w:pStyle w:val="Style32"/>
        <w:keepNext w:val="0"/>
        <w:keepLines w:val="0"/>
        <w:widowControl w:val="0"/>
        <w:shd w:val="clear" w:color="auto" w:fill="auto"/>
        <w:bidi w:val="0"/>
        <w:spacing w:before="0" w:line="312" w:lineRule="exact"/>
        <w:ind w:left="0" w:right="0" w:firstLine="0"/>
        <w:jc w:val="both"/>
      </w:pPr>
      <w:bookmarkStart w:id="113" w:name="bookmark113"/>
      <w:r>
        <w:rPr>
          <w:color w:val="000000"/>
          <w:spacing w:val="0"/>
          <w:w w:val="100"/>
          <w:position w:val="0"/>
        </w:rPr>
        <w:t>（</w:t>
      </w:r>
      <w:bookmarkEnd w:id="113"/>
      <w:r>
        <w:rPr>
          <w:color w:val="000000"/>
          <w:spacing w:val="0"/>
          <w:w w:val="100"/>
          <w:position w:val="0"/>
        </w:rPr>
        <w:t>四）人才与文化</w:t>
      </w:r>
    </w:p>
    <w:p>
      <w:pPr>
        <w:pStyle w:val="Style32"/>
        <w:keepNext w:val="0"/>
        <w:keepLines w:val="0"/>
        <w:widowControl w:val="0"/>
        <w:shd w:val="clear" w:color="auto" w:fill="auto"/>
        <w:bidi w:val="0"/>
        <w:spacing w:before="0" w:line="312" w:lineRule="exact"/>
        <w:ind w:left="0" w:right="0" w:firstLine="0"/>
        <w:jc w:val="both"/>
      </w:pPr>
      <w:r>
        <w:rPr>
          <w:color w:val="000000"/>
          <w:spacing w:val="0"/>
          <w:w w:val="100"/>
          <w:position w:val="0"/>
        </w:rPr>
        <w:t>报告期内，公司进一步加强了管理建设和平台功能的优化，强化了管理平台对各分子公司及各经营单位的赋能和支持；明确 各业务条线的奖励机制的同时，完善分子公司及各业务单位的考核体系；公司加强对新员工的培训及梯队建设，并系统地搭 建领导力培养体系，解决公司战略发展、业务扩张和高潜人才发展培养的需求，增强前瞻性的人才能力储备。为了推动公司 学习型组织发展，培养管理与专业人才梯队，提高全体员工的职业发展，公司整体设立荣科学院、各公司设立学院分院。</w:t>
      </w:r>
    </w:p>
    <w:p>
      <w:pPr>
        <w:pStyle w:val="Style32"/>
        <w:keepNext w:val="0"/>
        <w:keepLines w:val="0"/>
        <w:widowControl w:val="0"/>
        <w:shd w:val="clear" w:color="auto" w:fill="auto"/>
        <w:bidi w:val="0"/>
        <w:spacing w:before="0" w:line="312" w:lineRule="exact"/>
        <w:ind w:left="0" w:right="0" w:firstLine="0"/>
        <w:jc w:val="both"/>
      </w:pPr>
      <w:r>
        <w:rPr>
          <w:color w:val="000000"/>
          <w:spacing w:val="0"/>
          <w:w w:val="100"/>
          <w:position w:val="0"/>
        </w:rPr>
        <w:t>目前，公司旗下赋能成员企业十余家，并在全国多地设立办事处，构建了覆盖中国主要地区的销售服务网络，能够持续为客 户提供放心、感动、祝福式的荣科服务。</w:t>
      </w:r>
    </w:p>
    <w:p>
      <w:pPr>
        <w:pStyle w:val="Style32"/>
        <w:keepNext w:val="0"/>
        <w:keepLines w:val="0"/>
        <w:widowControl w:val="0"/>
        <w:shd w:val="clear" w:color="auto" w:fill="auto"/>
        <w:bidi w:val="0"/>
        <w:spacing w:before="0" w:line="312" w:lineRule="exact"/>
        <w:ind w:left="0" w:right="0" w:firstLine="0"/>
        <w:jc w:val="both"/>
      </w:pPr>
      <w:bookmarkStart w:id="114" w:name="bookmark114"/>
      <w:r>
        <w:rPr>
          <w:color w:val="000000"/>
          <w:spacing w:val="0"/>
          <w:w w:val="100"/>
          <w:position w:val="0"/>
        </w:rPr>
        <w:t>（</w:t>
      </w:r>
      <w:bookmarkEnd w:id="114"/>
      <w:r>
        <w:rPr>
          <w:color w:val="000000"/>
          <w:spacing w:val="0"/>
          <w:w w:val="100"/>
          <w:position w:val="0"/>
        </w:rPr>
        <w:t>五）成本管控</w:t>
      </w:r>
    </w:p>
    <w:p>
      <w:pPr>
        <w:pStyle w:val="Style32"/>
        <w:keepNext w:val="0"/>
        <w:keepLines w:val="0"/>
        <w:widowControl w:val="0"/>
        <w:shd w:val="clear" w:color="auto" w:fill="auto"/>
        <w:bidi w:val="0"/>
        <w:spacing w:before="0" w:line="312" w:lineRule="exact"/>
        <w:ind w:left="0" w:right="0" w:firstLine="0"/>
        <w:jc w:val="both"/>
      </w:pPr>
      <w:r>
        <w:rPr>
          <w:color w:val="000000"/>
          <w:spacing w:val="0"/>
          <w:w w:val="100"/>
          <w:position w:val="0"/>
        </w:rPr>
        <w:t>报告期内，公司持续实施精细化管理，强化规划、预算的全面指引，通过对成本的事前预测、事中控制及事后分析这一完整 的成本管控体系来实现对成本的全方位管理。具体来说，一是实施目标管理，通过业绩目标和预算指标将成本费用指标层层 分解落实到责任部门，实现全员、全方位管理；二是实施过程管控，要事必立项、事前必预测、成本必受控，将成本责任落 实到研发、经营、管理的各环节；三是实施动态管理，定期进行成本分析和绩效考核，不断总结提高，完成公司成本闭环管 理，为公司实现整体战略目标提供保障。</w:t>
      </w:r>
      <w:r>
        <w:br w:type="page"/>
      </w:r>
    </w:p>
    <w:p>
      <w:pPr>
        <w:pStyle w:val="Style47"/>
        <w:keepNext/>
        <w:keepLines/>
        <w:widowControl w:val="0"/>
        <w:shd w:val="clear" w:color="auto" w:fill="auto"/>
        <w:bidi w:val="0"/>
        <w:spacing w:before="0" w:after="360" w:line="240" w:lineRule="auto"/>
        <w:ind w:left="0" w:right="0" w:firstLine="260"/>
        <w:jc w:val="left"/>
      </w:pPr>
      <w:bookmarkStart w:id="115" w:name="bookmark115"/>
      <w:bookmarkStart w:id="116" w:name="bookmark116"/>
      <w:bookmarkStart w:id="117" w:name="bookmark117"/>
      <w:bookmarkStart w:id="118" w:name="bookmark118"/>
      <w:r>
        <w:rPr>
          <w:color w:val="000000"/>
          <w:spacing w:val="0"/>
          <w:w w:val="100"/>
          <w:position w:val="0"/>
          <w:sz w:val="24"/>
          <w:szCs w:val="24"/>
        </w:rPr>
        <w:t>二</w:t>
      </w:r>
      <w:bookmarkEnd w:id="117"/>
      <w:r>
        <w:rPr>
          <w:color w:val="000000"/>
          <w:spacing w:val="0"/>
          <w:w w:val="100"/>
          <w:position w:val="0"/>
          <w:sz w:val="24"/>
          <w:szCs w:val="24"/>
        </w:rPr>
        <w:t>、主营业务分析</w:t>
      </w:r>
      <w:bookmarkEnd w:id="115"/>
      <w:bookmarkEnd w:id="116"/>
      <w:bookmarkEnd w:id="118"/>
    </w:p>
    <w:p>
      <w:pPr>
        <w:pStyle w:val="Style55"/>
        <w:keepNext/>
        <w:keepLines/>
        <w:widowControl w:val="0"/>
        <w:shd w:val="clear" w:color="auto" w:fill="auto"/>
        <w:bidi w:val="0"/>
        <w:spacing w:before="0" w:after="360" w:line="240" w:lineRule="auto"/>
        <w:ind w:left="0" w:right="0"/>
        <w:jc w:val="left"/>
      </w:pPr>
      <w:bookmarkStart w:id="119" w:name="bookmark119"/>
      <w:bookmarkStart w:id="120" w:name="bookmark120"/>
      <w:bookmarkStart w:id="121" w:name="bookmark121"/>
      <w:bookmarkStart w:id="122" w:name="bookmark122"/>
      <w:r>
        <w:rPr>
          <w:rFonts w:ascii="Times New Roman" w:eastAsia="Times New Roman" w:hAnsi="Times New Roman" w:cs="Times New Roman"/>
          <w:color w:val="000000"/>
          <w:spacing w:val="0"/>
          <w:w w:val="100"/>
          <w:position w:val="0"/>
        </w:rPr>
        <w:t>1</w:t>
      </w:r>
      <w:bookmarkEnd w:id="121"/>
      <w:r>
        <w:rPr>
          <w:color w:val="000000"/>
          <w:spacing w:val="0"/>
          <w:w w:val="100"/>
          <w:position w:val="0"/>
        </w:rPr>
        <w:t>、概述</w:t>
      </w:r>
      <w:bookmarkEnd w:id="119"/>
      <w:bookmarkEnd w:id="120"/>
      <w:bookmarkEnd w:id="122"/>
    </w:p>
    <w:p>
      <w:pPr>
        <w:pStyle w:val="Style32"/>
        <w:keepNext w:val="0"/>
        <w:keepLines w:val="0"/>
        <w:widowControl w:val="0"/>
        <w:shd w:val="clear" w:color="auto" w:fill="auto"/>
        <w:bidi w:val="0"/>
        <w:spacing w:before="0" w:after="360" w:line="240" w:lineRule="auto"/>
        <w:ind w:left="0" w:right="0" w:firstLine="260"/>
        <w:jc w:val="left"/>
      </w:pPr>
      <w:r>
        <w:rPr>
          <w:color w:val="000000"/>
          <w:spacing w:val="0"/>
          <w:w w:val="100"/>
          <w:position w:val="0"/>
        </w:rPr>
        <w:t>参见“经营情况讨论与分析”中的“一、概述”相关内容。</w:t>
      </w:r>
    </w:p>
    <w:p>
      <w:pPr>
        <w:pStyle w:val="Style55"/>
        <w:keepNext/>
        <w:keepLines/>
        <w:widowControl w:val="0"/>
        <w:shd w:val="clear" w:color="auto" w:fill="auto"/>
        <w:bidi w:val="0"/>
        <w:spacing w:before="0" w:after="360" w:line="240" w:lineRule="auto"/>
        <w:ind w:left="0" w:right="0"/>
        <w:jc w:val="left"/>
      </w:pPr>
      <w:bookmarkStart w:id="123" w:name="bookmark123"/>
      <w:bookmarkStart w:id="124" w:name="bookmark124"/>
      <w:bookmarkStart w:id="125" w:name="bookmark125"/>
      <w:bookmarkStart w:id="126" w:name="bookmark126"/>
      <w:r>
        <w:rPr>
          <w:rFonts w:ascii="Times New Roman" w:eastAsia="Times New Roman" w:hAnsi="Times New Roman" w:cs="Times New Roman"/>
          <w:color w:val="000000"/>
          <w:spacing w:val="0"/>
          <w:w w:val="100"/>
          <w:position w:val="0"/>
        </w:rPr>
        <w:t>2</w:t>
      </w:r>
      <w:bookmarkEnd w:id="125"/>
      <w:r>
        <w:rPr>
          <w:color w:val="000000"/>
          <w:spacing w:val="0"/>
          <w:w w:val="100"/>
          <w:position w:val="0"/>
        </w:rPr>
        <w:t>、收入与成本</w:t>
      </w:r>
      <w:bookmarkEnd w:id="123"/>
      <w:bookmarkEnd w:id="124"/>
      <w:bookmarkEnd w:id="126"/>
    </w:p>
    <w:p>
      <w:pPr>
        <w:pStyle w:val="Style55"/>
        <w:keepNext/>
        <w:keepLines/>
        <w:widowControl w:val="0"/>
        <w:numPr>
          <w:ilvl w:val="0"/>
          <w:numId w:val="5"/>
        </w:numPr>
        <w:shd w:val="clear" w:color="auto" w:fill="auto"/>
        <w:bidi w:val="0"/>
        <w:spacing w:before="0" w:after="360" w:line="240" w:lineRule="auto"/>
        <w:ind w:left="0" w:right="0" w:firstLine="400"/>
        <w:jc w:val="left"/>
      </w:pPr>
      <w:bookmarkStart w:id="123" w:name="bookmark123"/>
      <w:bookmarkStart w:id="124" w:name="bookmark124"/>
      <w:bookmarkStart w:id="127" w:name="bookmark127"/>
      <w:bookmarkStart w:id="128" w:name="bookmark128"/>
      <w:bookmarkEnd w:id="127"/>
      <w:r>
        <w:rPr>
          <w:color w:val="000000"/>
          <w:spacing w:val="0"/>
          <w:w w:val="100"/>
          <w:position w:val="0"/>
        </w:rPr>
        <w:t>营业收入构成</w:t>
      </w:r>
      <w:bookmarkEnd w:id="123"/>
      <w:bookmarkEnd w:id="124"/>
      <w:bookmarkEnd w:id="128"/>
    </w:p>
    <w:p>
      <w:pPr>
        <w:pStyle w:val="Style32"/>
        <w:keepNext w:val="0"/>
        <w:keepLines w:val="0"/>
        <w:widowControl w:val="0"/>
        <w:shd w:val="clear" w:color="auto" w:fill="auto"/>
        <w:bidi w:val="0"/>
        <w:spacing w:before="0" w:after="140" w:line="240" w:lineRule="auto"/>
        <w:ind w:left="0" w:right="0" w:firstLine="260"/>
        <w:jc w:val="left"/>
      </w:pPr>
      <w:r>
        <w:rPr>
          <w:color w:val="000000"/>
          <w:spacing w:val="0"/>
          <w:w w:val="100"/>
          <w:position w:val="0"/>
        </w:rPr>
        <w:t>营业收入整体情况</w:t>
      </w:r>
    </w:p>
    <w:p>
      <w:pPr>
        <w:pStyle w:val="Style32"/>
        <w:keepNext w:val="0"/>
        <w:keepLines w:val="0"/>
        <w:widowControl w:val="0"/>
        <w:shd w:val="clear" w:color="auto" w:fill="auto"/>
        <w:bidi w:val="0"/>
        <w:spacing w:before="0" w:after="100" w:line="240" w:lineRule="auto"/>
        <w:ind w:left="0" w:right="140" w:firstLine="0"/>
        <w:jc w:val="right"/>
      </w:pPr>
      <w:r>
        <w:rPr>
          <w:color w:val="000000"/>
          <w:spacing w:val="0"/>
          <w:w w:val="100"/>
          <w:position w:val="0"/>
        </w:rPr>
        <w:t>单位：元</w:t>
      </w:r>
    </w:p>
    <w:tbl>
      <w:tblPr>
        <w:tblOverlap w:val="never"/>
        <w:jc w:val="center"/>
        <w:tblLayout w:type="fixed"/>
      </w:tblPr>
      <w:tblGrid>
        <w:gridCol w:w="1603"/>
        <w:gridCol w:w="1594"/>
        <w:gridCol w:w="1594"/>
        <w:gridCol w:w="1598"/>
        <w:gridCol w:w="1594"/>
        <w:gridCol w:w="1603"/>
      </w:tblGrid>
      <w:tr>
        <w:trPr>
          <w:trHeight w:val="408" w:hRule="exact"/>
        </w:trPr>
        <w:tc>
          <w:tcPr>
            <w:vMerge w:val="restart"/>
            <w:tcBorders>
              <w:top w:val="single" w:sz="4"/>
              <w:left w:val="single" w:sz="4"/>
            </w:tcBorders>
            <w:shd w:val="clear" w:color="auto" w:fill="D4D4D4"/>
            <w:vAlign w:val="top"/>
          </w:tcPr>
          <w:p>
            <w:pPr>
              <w:widowControl w:val="0"/>
              <w:rPr>
                <w:sz w:val="10"/>
                <w:szCs w:val="10"/>
              </w:rPr>
            </w:pP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color w:val="000000"/>
                <w:spacing w:val="0"/>
                <w:w w:val="100"/>
                <w:position w:val="0"/>
              </w:rPr>
              <w:t>同比增减</w:t>
            </w:r>
          </w:p>
        </w:tc>
      </w:tr>
      <w:tr>
        <w:trPr>
          <w:trHeight w:val="398" w:hRule="exact"/>
        </w:trPr>
        <w:tc>
          <w:tcPr>
            <w:vMerge/>
            <w:tcBorders>
              <w:left w:val="single" w:sz="4"/>
            </w:tcBorders>
            <w:shd w:val="clear" w:color="auto" w:fill="D4D4D4"/>
            <w:vAlign w:val="top"/>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60"/>
              <w:jc w:val="left"/>
            </w:pPr>
            <w:r>
              <w:rPr>
                <w:color w:val="000000"/>
                <w:spacing w:val="0"/>
                <w:w w:val="100"/>
                <w:position w:val="0"/>
              </w:rPr>
              <w:t>占营业收入比重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60"/>
              <w:jc w:val="left"/>
            </w:pPr>
            <w:r>
              <w:rPr>
                <w:color w:val="000000"/>
                <w:spacing w:val="0"/>
                <w:w w:val="100"/>
                <w:position w:val="0"/>
              </w:rPr>
              <w:t>占营业收入比重</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787,896,467.61</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723,766,459.30</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8.86%</w:t>
            </w:r>
          </w:p>
        </w:tc>
      </w:tr>
      <w:tr>
        <w:trPr>
          <w:trHeight w:val="403" w:hRule="exact"/>
        </w:trPr>
        <w:tc>
          <w:tcPr>
            <w:gridSpan w:val="6"/>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分行业</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社保医疗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436,529,211.76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55.40%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377,964,094.07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52.22%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15.49%</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56,087,096.00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70,371,343.26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-20.30%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116,041,334.91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14.73%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86,681,737.40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33.87%</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27,171,747.05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55,611,868.72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-51.14%</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87,241,949.83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11.07%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101,162,741.22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-13.76%</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32,627,878.44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14,771,293.57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120.89%</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32,197,249.62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17,203,381.06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87.16%</w:t>
            </w:r>
          </w:p>
        </w:tc>
      </w:tr>
      <w:tr>
        <w:trPr>
          <w:trHeight w:val="403" w:hRule="exact"/>
        </w:trPr>
        <w:tc>
          <w:tcPr>
            <w:gridSpan w:val="6"/>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分产品</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健康数据服务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436,529,211.76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55.40%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377,964,094.07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52.22%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15.49%</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智能融合云服务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350,292,084.01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44.46%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344,723,712.83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47.63%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1.62%</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1,075,171.84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1,078,652.40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-0.32%</w:t>
            </w:r>
          </w:p>
        </w:tc>
      </w:tr>
      <w:tr>
        <w:trPr>
          <w:trHeight w:val="403" w:hRule="exact"/>
        </w:trPr>
        <w:tc>
          <w:tcPr>
            <w:gridSpan w:val="6"/>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分地区</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303,341,518.14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38.50%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343,195,964.33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47.42%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-11.61%</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吉林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30,695,080.23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28,779,525.48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黑龙江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18,032,216.76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9,482,798.76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90.16%</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31,942,843.85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47,538,311.00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-32.81%</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403,884,808.63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51.26%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294,769,859.73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40.72%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37.02%</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widowControl w:val="0"/>
        <w:spacing w:after="99" w:line="1" w:lineRule="exact"/>
      </w:pPr>
    </w:p>
    <w:p>
      <w:pPr>
        <w:widowControl w:val="0"/>
        <w:spacing w:line="1" w:lineRule="exact"/>
      </w:pP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421"/>
        <w:gridCol w:w="1277"/>
        <w:gridCol w:w="1123"/>
        <w:gridCol w:w="1013"/>
        <w:gridCol w:w="1013"/>
        <w:gridCol w:w="1003"/>
        <w:gridCol w:w="1003"/>
        <w:gridCol w:w="1003"/>
        <w:gridCol w:w="1219"/>
      </w:tblGrid>
      <w:tr>
        <w:trPr>
          <w:trHeight w:val="408" w:hRule="exact"/>
        </w:trPr>
        <w:tc>
          <w:tcPr>
            <w:vMerge w:val="restart"/>
            <w:tcBorders>
              <w:top w:val="single" w:sz="4"/>
              <w:left w:val="single" w:sz="4"/>
            </w:tcBorders>
            <w:shd w:val="clear" w:color="auto" w:fill="D4D4D4"/>
            <w:vAlign w:val="top"/>
          </w:tcPr>
          <w:p>
            <w:pPr>
              <w:widowControl w:val="0"/>
              <w:rPr>
                <w:sz w:val="10"/>
                <w:szCs w:val="10"/>
              </w:rPr>
            </w:pPr>
          </w:p>
        </w:tc>
        <w:tc>
          <w:tcPr>
            <w:gridSpan w:val="4"/>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gridSpan w:val="4"/>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8" w:hRule="exact"/>
        </w:trPr>
        <w:tc>
          <w:tcPr>
            <w:vMerge/>
            <w:tcBorders>
              <w:left w:val="single" w:sz="4"/>
              <w:bottom w:val="single" w:sz="4"/>
            </w:tcBorders>
            <w:shd w:val="clear" w:color="auto" w:fill="D4D4D4"/>
            <w:vAlign w:val="top"/>
          </w:tcPr>
          <w:p>
            <w:pP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第一季度</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第二季度</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第三季度</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第四季度</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第一季度</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第二季度</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第三季度</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第四季度</w:t>
            </w:r>
          </w:p>
        </w:tc>
      </w:tr>
    </w:tbl>
    <w:p>
      <w:pPr>
        <w:sectPr>
          <w:headerReference w:type="default" r:id="rId69"/>
          <w:footerReference w:type="default" r:id="rId70"/>
          <w:headerReference w:type="even" r:id="rId71"/>
          <w:footerReference w:type="even" r:id="rId72"/>
          <w:headerReference w:type="first" r:id="rId73"/>
          <w:footerReference w:type="first" r:id="rId74"/>
          <w:footnotePr>
            <w:pos w:val="pageBottom"/>
            <w:numFmt w:val="decimal"/>
            <w:numRestart w:val="continuous"/>
          </w:footnotePr>
          <w:pgSz w:w="11900" w:h="16840"/>
          <w:pgMar w:top="1223" w:right="911" w:bottom="1375" w:left="914" w:header="0" w:footer="3" w:gutter="0"/>
          <w:cols w:space="720"/>
          <w:noEndnote/>
          <w:titlePg/>
          <w:rtlGutter w:val="0"/>
          <w:docGrid w:linePitch="360"/>
        </w:sectPr>
      </w:pPr>
    </w:p>
    <w:p>
      <w:pPr>
        <w:widowControl w:val="0"/>
        <w:jc w:val="left"/>
        <w:rPr>
          <w:sz w:val="2"/>
          <w:szCs w:val="2"/>
        </w:rPr>
      </w:pPr>
      <w:r>
        <w:drawing>
          <wp:inline>
            <wp:extent cx="1304290" cy="481330"/>
            <wp:docPr id="150" name="Picutre 150"/>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75"/>
                    <a:stretch/>
                  </pic:blipFill>
                  <pic:spPr>
                    <a:xfrm>
                      <a:ext cx="1304290"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1430"/>
        <w:gridCol w:w="1267"/>
        <w:gridCol w:w="1123"/>
        <w:gridCol w:w="1013"/>
        <w:gridCol w:w="1013"/>
        <w:gridCol w:w="1003"/>
        <w:gridCol w:w="1003"/>
        <w:gridCol w:w="1003"/>
        <w:gridCol w:w="1219"/>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rPr>
                <w:sz w:val="15"/>
                <w:szCs w:val="15"/>
              </w:rPr>
            </w:pPr>
            <w:r>
              <w:rPr>
                <w:rFonts w:ascii="Times New Roman" w:eastAsia="Times New Roman" w:hAnsi="Times New Roman" w:cs="Times New Roman"/>
                <w:color w:val="000000"/>
                <w:spacing w:val="0"/>
                <w:w w:val="100"/>
                <w:position w:val="0"/>
                <w:sz w:val="15"/>
                <w:szCs w:val="15"/>
              </w:rPr>
              <w:t>96,971,018.34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184,127,875.95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199,524,143.52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307,273,429.80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137,522,293.94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157,261,599.03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165,809,329.03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263,173,237.30</w:t>
            </w:r>
          </w:p>
        </w:tc>
      </w:tr>
      <w:tr>
        <w:trPr>
          <w:trHeight w:val="725"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归属于上市公司 股东的净利润</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rPr>
              <w:t>-14,813,929.04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rPr>
              <w:t>24,603,104.75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8,364,642.84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62,214,643.82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7,037,897.03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1,894,243.60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rPr>
                <w:sz w:val="15"/>
                <w:szCs w:val="15"/>
              </w:rPr>
            </w:pPr>
            <w:r>
              <w:rPr>
                <w:rFonts w:ascii="Times New Roman" w:eastAsia="Times New Roman" w:hAnsi="Times New Roman" w:cs="Times New Roman"/>
                <w:color w:val="000000"/>
                <w:spacing w:val="0"/>
                <w:w w:val="100"/>
                <w:position w:val="0"/>
                <w:sz w:val="15"/>
                <w:szCs w:val="15"/>
              </w:rPr>
              <w:t>2,580,381.03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31,641,104.78</w:t>
            </w:r>
          </w:p>
        </w:tc>
      </w:tr>
    </w:tbl>
    <w:p>
      <w:pPr>
        <w:pStyle w:val="Style49"/>
        <w:keepNext w:val="0"/>
        <w:keepLines w:val="0"/>
        <w:widowControl w:val="0"/>
        <w:shd w:val="clear" w:color="auto" w:fill="auto"/>
        <w:bidi w:val="0"/>
        <w:spacing w:before="0" w:after="0" w:line="240" w:lineRule="auto"/>
        <w:ind w:left="269" w:right="0" w:firstLine="0"/>
        <w:jc w:val="left"/>
      </w:pPr>
      <w:r>
        <w:rPr>
          <w:color w:val="000000"/>
          <w:spacing w:val="0"/>
          <w:w w:val="100"/>
          <w:position w:val="0"/>
        </w:rPr>
        <w:t>说明经营季节性（或周期性）发生的原因及波动风险</w:t>
      </w:r>
    </w:p>
    <w:p>
      <w:pPr>
        <w:pStyle w:val="Style32"/>
        <w:keepNext w:val="0"/>
        <w:keepLines w:val="0"/>
        <w:widowControl w:val="0"/>
        <w:shd w:val="clear" w:color="auto" w:fill="auto"/>
        <w:bidi w:val="0"/>
        <w:spacing w:before="0" w:after="320" w:line="313" w:lineRule="exact"/>
        <w:ind w:left="260" w:right="0" w:firstLine="20"/>
        <w:jc w:val="both"/>
      </w:pPr>
      <w:r>
        <w:rPr>
          <w:color w:val="000000"/>
          <w:spacing w:val="0"/>
          <w:w w:val="100"/>
          <w:position w:val="0"/>
        </w:rPr>
        <w:t>公司的主要客户集中在社保医疗、金融、教育、电力、电信等行业及政府部门，这些客户通常采取预算管理和产品集中采购 制度，一般为当年四季度及次年一季度制订次年年度预算和投资计划，立项、招标通常集中在次年上半年，其招标、采购和 实施具有明显的季节性特征。公司除运营维护服务，其余各项业务受到客户的预算管理制度、招投标流程和项目实施周期等 因素的影响。公司的收入呈现较明显的季节性特征，主要在四季度实现，导致公司存在业绩及经营活动现金流季节性波动的 风险。针对此风险，公司将深耕业务线拓展产品线，平滑业绩波动水平；同时加大回款力度，改善经营活动现金流的季节性 波动。</w:t>
      </w:r>
    </w:p>
    <w:p>
      <w:pPr>
        <w:pStyle w:val="Style55"/>
        <w:keepNext/>
        <w:keepLines/>
        <w:widowControl w:val="0"/>
        <w:shd w:val="clear" w:color="auto" w:fill="auto"/>
        <w:bidi w:val="0"/>
        <w:spacing w:before="0" w:after="320" w:line="240" w:lineRule="auto"/>
        <w:ind w:left="260" w:right="0" w:firstLine="20"/>
        <w:jc w:val="both"/>
      </w:pPr>
      <w:bookmarkStart w:id="129" w:name="bookmark129"/>
      <w:bookmarkStart w:id="130" w:name="bookmark130"/>
      <w:bookmarkStart w:id="131" w:name="bookmark131"/>
      <w:bookmarkStart w:id="132" w:name="bookmark132"/>
      <w:r>
        <w:rPr>
          <w:color w:val="000000"/>
          <w:spacing w:val="0"/>
          <w:w w:val="100"/>
          <w:position w:val="0"/>
        </w:rPr>
        <w:t>（</w:t>
      </w:r>
      <w:bookmarkEnd w:id="131"/>
      <w:r>
        <w:rPr>
          <w:rFonts w:ascii="Times New Roman" w:eastAsia="Times New Roman" w:hAnsi="Times New Roman" w:cs="Times New Roman"/>
          <w:color w:val="000000"/>
          <w:spacing w:val="0"/>
          <w:w w:val="100"/>
          <w:position w:val="0"/>
        </w:rPr>
        <w:t>2</w:t>
      </w:r>
      <w:r>
        <w:rPr>
          <w:color w:val="000000"/>
          <w:spacing w:val="0"/>
          <w:w w:val="100"/>
          <w:position w:val="0"/>
        </w:rPr>
        <w:t>）占公司营业收入或营业利润</w:t>
      </w:r>
      <w:r>
        <w:rPr>
          <w:rFonts w:ascii="Times New Roman" w:eastAsia="Times New Roman" w:hAnsi="Times New Roman" w:cs="Times New Roman"/>
          <w:color w:val="000000"/>
          <w:spacing w:val="0"/>
          <w:w w:val="100"/>
          <w:position w:val="0"/>
        </w:rPr>
        <w:t>10%</w:t>
      </w:r>
      <w:r>
        <w:rPr>
          <w:color w:val="000000"/>
          <w:spacing w:val="0"/>
          <w:w w:val="100"/>
          <w:position w:val="0"/>
        </w:rPr>
        <w:t>以上的行业、产品或地区情况</w:t>
      </w:r>
      <w:bookmarkEnd w:id="129"/>
      <w:bookmarkEnd w:id="130"/>
      <w:bookmarkEnd w:id="132"/>
    </w:p>
    <w:p>
      <w:pPr>
        <w:pStyle w:val="Style32"/>
        <w:keepNext w:val="0"/>
        <w:keepLines w:val="0"/>
        <w:widowControl w:val="0"/>
        <w:shd w:val="clear" w:color="auto" w:fill="auto"/>
        <w:bidi w:val="0"/>
        <w:spacing w:before="0" w:after="120" w:line="240" w:lineRule="auto"/>
        <w:ind w:left="260" w:right="0" w:firstLine="2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260" w:right="0" w:firstLine="2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78"/>
        <w:gridCol w:w="1363"/>
        <w:gridCol w:w="1368"/>
        <w:gridCol w:w="1368"/>
        <w:gridCol w:w="1363"/>
        <w:gridCol w:w="1368"/>
        <w:gridCol w:w="1382"/>
      </w:tblGrid>
      <w:tr>
        <w:trPr>
          <w:trHeight w:val="720"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营业成本</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毛利率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营业收入比上年 同期增减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营业成本比上年 同期增减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毛利率比上年同 期增减</w:t>
            </w:r>
          </w:p>
        </w:tc>
      </w:tr>
      <w:tr>
        <w:trPr>
          <w:trHeight w:val="398" w:hRule="exact"/>
        </w:trPr>
        <w:tc>
          <w:tcPr>
            <w:gridSpan w:val="7"/>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分客户所处行业</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社保医疗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436,529,211.76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215,197,472.84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50.70%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116,041,334.91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98,825,019.92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33.87%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0.53%</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87,241,949.83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61,279,423.02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-16.25%</w:t>
            </w:r>
          </w:p>
        </w:tc>
      </w:tr>
      <w:tr>
        <w:trPr>
          <w:trHeight w:val="398" w:hRule="exact"/>
        </w:trPr>
        <w:tc>
          <w:tcPr>
            <w:gridSpan w:val="7"/>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分产品</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健康数据服务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436,529,211.76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215,197,472.84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50.70%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智能融合云服务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350,292,084.01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271,276,397.58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22.56%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w:t>
            </w:r>
          </w:p>
        </w:tc>
      </w:tr>
      <w:tr>
        <w:trPr>
          <w:trHeight w:val="403" w:hRule="exact"/>
        </w:trPr>
        <w:tc>
          <w:tcPr>
            <w:gridSpan w:val="7"/>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分地区</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303,341,518.14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252,473,689.92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-6.16%</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403,884,808.63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180,711,113.20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55.26%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37.02%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28.52%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2.96%</w:t>
            </w:r>
          </w:p>
        </w:tc>
      </w:tr>
    </w:tbl>
    <w:p>
      <w:pPr>
        <w:pStyle w:val="Style32"/>
        <w:keepNext w:val="0"/>
        <w:keepLines w:val="0"/>
        <w:widowControl w:val="0"/>
        <w:shd w:val="clear" w:color="auto" w:fill="auto"/>
        <w:bidi w:val="0"/>
        <w:spacing w:before="0" w:after="380" w:line="341" w:lineRule="exact"/>
        <w:ind w:left="260" w:right="0" w:firstLine="20"/>
        <w:jc w:val="left"/>
      </w:pPr>
      <w:r>
        <w:rPr>
          <w:color w:val="000000"/>
          <w:spacing w:val="0"/>
          <w:w w:val="100"/>
          <w:position w:val="0"/>
        </w:rPr>
        <w:t>公司主营业务数据统计口径在报告期发生调整的情况下，公司最近</w:t>
      </w:r>
      <w:r>
        <w:rPr>
          <w:rFonts w:ascii="Times New Roman" w:eastAsia="Times New Roman" w:hAnsi="Times New Roman" w:cs="Times New Roman"/>
          <w:color w:val="000000"/>
          <w:spacing w:val="0"/>
          <w:w w:val="100"/>
          <w:position w:val="0"/>
        </w:rPr>
        <w:t>1</w:t>
      </w:r>
      <w:r>
        <w:rPr>
          <w:color w:val="000000"/>
          <w:spacing w:val="0"/>
          <w:w w:val="100"/>
          <w:position w:val="0"/>
        </w:rPr>
        <w:t xml:space="preserve">年按报告期末口径调整后的主营业务数据 </w:t>
      </w: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tabs>
          <w:tab w:pos="773" w:val="left"/>
        </w:tabs>
        <w:bidi w:val="0"/>
        <w:spacing w:before="0" w:after="380" w:line="240" w:lineRule="auto"/>
        <w:ind w:left="260" w:right="0" w:firstLine="20"/>
        <w:jc w:val="left"/>
      </w:pPr>
      <w:bookmarkStart w:id="133" w:name="bookmark133"/>
      <w:bookmarkStart w:id="134" w:name="bookmark134"/>
      <w:bookmarkStart w:id="135" w:name="bookmark135"/>
      <w:bookmarkStart w:id="136" w:name="bookmark136"/>
      <w:r>
        <w:rPr>
          <w:color w:val="000000"/>
          <w:spacing w:val="0"/>
          <w:w w:val="100"/>
          <w:position w:val="0"/>
        </w:rPr>
        <w:t>（</w:t>
      </w:r>
      <w:bookmarkEnd w:id="135"/>
      <w:r>
        <w:rPr>
          <w:rFonts w:ascii="Times New Roman" w:eastAsia="Times New Roman" w:hAnsi="Times New Roman" w:cs="Times New Roman"/>
          <w:color w:val="000000"/>
          <w:spacing w:val="0"/>
          <w:w w:val="100"/>
          <w:position w:val="0"/>
        </w:rPr>
        <w:t>3</w:t>
      </w:r>
      <w:r>
        <w:rPr>
          <w:color w:val="000000"/>
          <w:spacing w:val="0"/>
          <w:w w:val="100"/>
          <w:position w:val="0"/>
        </w:rPr>
        <w:t>）</w:t>
        <w:tab/>
        <w:t>公司实物销售收入是否大于劳务收入</w:t>
      </w:r>
      <w:bookmarkEnd w:id="133"/>
      <w:bookmarkEnd w:id="134"/>
      <w:bookmarkEnd w:id="136"/>
    </w:p>
    <w:p>
      <w:pPr>
        <w:pStyle w:val="Style32"/>
        <w:keepNext w:val="0"/>
        <w:keepLines w:val="0"/>
        <w:widowControl w:val="0"/>
        <w:shd w:val="clear" w:color="auto" w:fill="auto"/>
        <w:bidi w:val="0"/>
        <w:spacing w:before="0" w:after="380" w:line="240" w:lineRule="auto"/>
        <w:ind w:left="0" w:right="0" w:firstLine="26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55"/>
        <w:keepNext/>
        <w:keepLines/>
        <w:widowControl w:val="0"/>
        <w:shd w:val="clear" w:color="auto" w:fill="auto"/>
        <w:tabs>
          <w:tab w:pos="753" w:val="left"/>
        </w:tabs>
        <w:bidi w:val="0"/>
        <w:spacing w:before="0" w:after="380" w:line="240" w:lineRule="auto"/>
        <w:ind w:left="0" w:right="0"/>
        <w:jc w:val="left"/>
      </w:pPr>
      <w:bookmarkStart w:id="137" w:name="bookmark137"/>
      <w:bookmarkStart w:id="138" w:name="bookmark138"/>
      <w:bookmarkStart w:id="139" w:name="bookmark139"/>
      <w:bookmarkStart w:id="140" w:name="bookmark140"/>
      <w:r>
        <w:rPr>
          <w:color w:val="000000"/>
          <w:spacing w:val="0"/>
          <w:w w:val="100"/>
          <w:position w:val="0"/>
        </w:rPr>
        <w:t>（</w:t>
      </w:r>
      <w:bookmarkEnd w:id="139"/>
      <w:r>
        <w:rPr>
          <w:rFonts w:ascii="Times New Roman" w:eastAsia="Times New Roman" w:hAnsi="Times New Roman" w:cs="Times New Roman"/>
          <w:color w:val="000000"/>
          <w:spacing w:val="0"/>
          <w:w w:val="100"/>
          <w:position w:val="0"/>
        </w:rPr>
        <w:t>4</w:t>
      </w:r>
      <w:r>
        <w:rPr>
          <w:color w:val="000000"/>
          <w:spacing w:val="0"/>
          <w:w w:val="100"/>
          <w:position w:val="0"/>
        </w:rPr>
        <w:t>）</w:t>
        <w:tab/>
        <w:t>公司已签订的重大销售合同截至本报告期的履行情况</w:t>
      </w:r>
      <w:bookmarkEnd w:id="137"/>
      <w:bookmarkEnd w:id="138"/>
      <w:bookmarkEnd w:id="140"/>
    </w:p>
    <w:p>
      <w:pPr>
        <w:pStyle w:val="Style32"/>
        <w:keepNext w:val="0"/>
        <w:keepLines w:val="0"/>
        <w:widowControl w:val="0"/>
        <w:shd w:val="clear" w:color="auto" w:fill="auto"/>
        <w:bidi w:val="0"/>
        <w:spacing w:before="0" w:after="340" w:line="240" w:lineRule="auto"/>
        <w:ind w:left="0" w:right="0" w:firstLine="260"/>
        <w:jc w:val="left"/>
        <w:sectPr>
          <w:headerReference w:type="default" r:id="rId77"/>
          <w:footerReference w:type="default" r:id="rId78"/>
          <w:headerReference w:type="even" r:id="rId79"/>
          <w:footerReference w:type="even" r:id="rId80"/>
          <w:footnotePr>
            <w:pos w:val="pageBottom"/>
            <w:numFmt w:val="decimal"/>
            <w:numRestart w:val="continuous"/>
          </w:footnotePr>
          <w:pgSz w:w="11900" w:h="16840"/>
          <w:pgMar w:top="692" w:right="984" w:bottom="1162" w:left="841" w:header="0" w:footer="3" w:gutter="0"/>
          <w:cols w:space="720"/>
          <w:noEndnote/>
          <w:rtlGutter w:val="0"/>
          <w:docGrid w:linePitch="360"/>
        </w:sectPr>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
        <w:keepNext/>
        <w:keepLines/>
        <w:widowControl w:val="0"/>
        <w:shd w:val="clear" w:color="auto" w:fill="auto"/>
        <w:bidi w:val="0"/>
        <w:spacing w:before="0" w:after="0" w:line="240" w:lineRule="auto"/>
        <w:ind w:left="0" w:right="0" w:firstLine="260"/>
        <w:jc w:val="left"/>
      </w:pPr>
      <w:bookmarkStart w:id="141" w:name="bookmark141"/>
      <w:bookmarkStart w:id="142" w:name="bookmark142"/>
      <w:bookmarkStart w:id="143" w:name="bookmark143"/>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某超和技</w:t>
      </w:r>
      <w:bookmarkEnd w:id="141"/>
      <w:bookmarkEnd w:id="142"/>
      <w:bookmarkEnd w:id="143"/>
    </w:p>
    <w:p>
      <w:pPr>
        <w:pStyle w:val="Style5"/>
        <w:keepNext w:val="0"/>
        <w:keepLines w:val="0"/>
        <w:widowControl w:val="0"/>
        <w:shd w:val="clear" w:color="auto" w:fill="auto"/>
        <w:bidi w:val="0"/>
        <w:spacing w:before="0" w:after="0" w:line="182" w:lineRule="exact"/>
        <w:ind w:left="1080" w:right="0" w:hanging="800"/>
        <w:jc w:val="both"/>
        <w:rPr>
          <w:sz w:val="18"/>
          <w:szCs w:val="18"/>
        </w:rPr>
      </w:pPr>
      <w:r>
        <w:rPr>
          <w:rFonts w:ascii="SimSun" w:eastAsia="SimSun" w:hAnsi="SimSun" w:cs="SimSun"/>
          <w:i/>
          <w:iCs/>
          <w:color w:val="245994"/>
          <w:spacing w:val="0"/>
          <w:w w:val="100"/>
          <w:position w:val="0"/>
          <w:sz w:val="24"/>
          <w:szCs w:val="24"/>
        </w:rPr>
        <w:t>，</w:t>
      </w:r>
      <w:r>
        <w:rPr>
          <w:color w:val="2D4562"/>
          <w:spacing w:val="0"/>
          <w:w w:val="100"/>
          <w:position w:val="0"/>
          <w:sz w:val="15"/>
          <w:szCs w:val="15"/>
        </w:rPr>
        <w:t>广</w:t>
      </w:r>
      <w:r>
        <w:rPr>
          <w:color w:val="2D2B2E"/>
          <w:spacing w:val="0"/>
          <w:w w:val="100"/>
          <w:position w:val="0"/>
          <w:sz w:val="15"/>
          <w:szCs w:val="15"/>
        </w:rPr>
        <w:t>i</w:t>
      </w: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pStyle w:val="Style55"/>
        <w:keepNext/>
        <w:keepLines/>
        <w:widowControl w:val="0"/>
        <w:shd w:val="clear" w:color="auto" w:fill="auto"/>
        <w:bidi w:val="0"/>
        <w:spacing w:before="0" w:after="380" w:line="240" w:lineRule="auto"/>
        <w:ind w:left="0" w:right="0" w:firstLine="400"/>
        <w:jc w:val="both"/>
      </w:pPr>
      <w:bookmarkStart w:id="144" w:name="bookmark144"/>
      <w:bookmarkStart w:id="145" w:name="bookmark145"/>
      <w:bookmarkStart w:id="146" w:name="bookmark146"/>
      <w:bookmarkStart w:id="147" w:name="bookmark147"/>
      <w:r>
        <w:rPr>
          <w:rFonts w:ascii="Times New Roman" w:eastAsia="Times New Roman" w:hAnsi="Times New Roman" w:cs="Times New Roman"/>
          <w:color w:val="000000"/>
          <w:spacing w:val="0"/>
          <w:w w:val="100"/>
          <w:position w:val="0"/>
        </w:rPr>
        <w:t>（</w:t>
      </w:r>
      <w:bookmarkEnd w:id="146"/>
      <w:r>
        <w:rPr>
          <w:rFonts w:ascii="Times New Roman" w:eastAsia="Times New Roman" w:hAnsi="Times New Roman" w:cs="Times New Roman"/>
          <w:color w:val="000000"/>
          <w:spacing w:val="0"/>
          <w:w w:val="100"/>
          <w:position w:val="0"/>
        </w:rPr>
        <w:t>5</w:t>
      </w:r>
      <w:r>
        <w:rPr>
          <w:color w:val="000000"/>
          <w:spacing w:val="0"/>
          <w:w w:val="100"/>
          <w:position w:val="0"/>
        </w:rPr>
        <w:t>）营业成本构成</w:t>
      </w:r>
      <w:bookmarkEnd w:id="144"/>
      <w:bookmarkEnd w:id="145"/>
      <w:bookmarkEnd w:id="147"/>
    </w:p>
    <w:p>
      <w:pPr>
        <w:pStyle w:val="Style32"/>
        <w:keepNext w:val="0"/>
        <w:keepLines w:val="0"/>
        <w:widowControl w:val="0"/>
        <w:shd w:val="clear" w:color="auto" w:fill="auto"/>
        <w:bidi w:val="0"/>
        <w:spacing w:before="0" w:after="120" w:line="240" w:lineRule="auto"/>
        <w:ind w:left="0" w:right="0" w:firstLine="260"/>
        <w:jc w:val="both"/>
      </w:pPr>
      <w:r>
        <w:rPr>
          <w:color w:val="000000"/>
          <w:spacing w:val="0"/>
          <w:w w:val="100"/>
          <w:position w:val="0"/>
        </w:rPr>
        <w:t>产品分类</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421"/>
        <w:gridCol w:w="1843"/>
        <w:gridCol w:w="1416"/>
        <w:gridCol w:w="1421"/>
        <w:gridCol w:w="1416"/>
        <w:gridCol w:w="1416"/>
        <w:gridCol w:w="936"/>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产品分类</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同比增减</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占营业成本比重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占营业成本比重</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健康数据服务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材料、人工成本及其他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215,197,472.84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194,321,946.01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42.96%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10.74%</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智能融合云服务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材料、人工成本及其他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271,276,397.58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55.74%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257,773,072.62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56.99%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5.24%</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材料、人工成本及其他</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257,580.84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257,070.84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0.05%</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0.20%</w:t>
            </w:r>
          </w:p>
        </w:tc>
      </w:tr>
    </w:tbl>
    <w:p>
      <w:pPr>
        <w:widowControl w:val="0"/>
        <w:spacing w:after="79" w:line="1" w:lineRule="exact"/>
      </w:pPr>
    </w:p>
    <w:p>
      <w:pPr>
        <w:pStyle w:val="Style32"/>
        <w:keepNext w:val="0"/>
        <w:keepLines w:val="0"/>
        <w:widowControl w:val="0"/>
        <w:shd w:val="clear" w:color="auto" w:fill="auto"/>
        <w:bidi w:val="0"/>
        <w:spacing w:before="0" w:after="120" w:line="240" w:lineRule="auto"/>
        <w:ind w:left="0" w:right="0" w:firstLine="26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32"/>
        <w:keepNext w:val="0"/>
        <w:keepLines w:val="0"/>
        <w:widowControl w:val="0"/>
        <w:shd w:val="clear" w:color="auto" w:fill="auto"/>
        <w:bidi w:val="0"/>
        <w:spacing w:before="0" w:after="120" w:line="240" w:lineRule="auto"/>
        <w:ind w:left="0" w:right="0" w:firstLine="260"/>
        <w:jc w:val="both"/>
      </w:pPr>
      <w:r>
        <w:rPr>
          <w:color w:val="000000"/>
          <w:spacing w:val="0"/>
          <w:w w:val="100"/>
          <w:position w:val="0"/>
        </w:rPr>
        <w:t>主营业务成本构成</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603"/>
        <w:gridCol w:w="1594"/>
        <w:gridCol w:w="1594"/>
        <w:gridCol w:w="1598"/>
        <w:gridCol w:w="1594"/>
        <w:gridCol w:w="1603"/>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成本构成</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本报告期</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color w:val="000000"/>
                <w:spacing w:val="0"/>
                <w:w w:val="100"/>
                <w:position w:val="0"/>
              </w:rPr>
              <w:t>同比增减</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60"/>
              <w:jc w:val="left"/>
            </w:pPr>
            <w:r>
              <w:rPr>
                <w:color w:val="000000"/>
                <w:spacing w:val="0"/>
                <w:w w:val="100"/>
                <w:position w:val="0"/>
              </w:rPr>
              <w:t>占营业成本比重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占营业成本比重</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社保医疗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215,197,472.84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44.21%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194,321,946.01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42.96%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10.74%</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43,982,753.78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left"/>
            </w:pPr>
            <w:r>
              <w:rPr>
                <w:rFonts w:ascii="Times New Roman" w:eastAsia="Times New Roman" w:hAnsi="Times New Roman" w:cs="Times New Roman"/>
                <w:color w:val="000000"/>
                <w:spacing w:val="0"/>
                <w:w w:val="100"/>
                <w:position w:val="0"/>
              </w:rPr>
              <w:t>9.04%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59,466,738.89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13.15%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-26.04%</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98,825,019.92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20.30%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74,280,605.35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16.42%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33.04%</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16,572,073.38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left"/>
            </w:pPr>
            <w:r>
              <w:rPr>
                <w:rFonts w:ascii="Times New Roman" w:eastAsia="Times New Roman" w:hAnsi="Times New Roman" w:cs="Times New Roman"/>
                <w:color w:val="000000"/>
                <w:spacing w:val="0"/>
                <w:w w:val="100"/>
                <w:position w:val="0"/>
              </w:rPr>
              <w:t>3.40%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42,724,622.65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9.44%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-61.21%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61,279,423.02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rPr>
              <w:t>12.59%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54,620,841.96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12.07%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12.19%</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23,341,793.40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left"/>
            </w:pPr>
            <w:r>
              <w:rPr>
                <w:rFonts w:ascii="Times New Roman" w:eastAsia="Times New Roman" w:hAnsi="Times New Roman" w:cs="Times New Roman"/>
                <w:color w:val="000000"/>
                <w:spacing w:val="0"/>
                <w:w w:val="100"/>
                <w:position w:val="0"/>
              </w:rPr>
              <w:t>4.80%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12,055,982.46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2.67%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93.61%</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27,532,914.92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left"/>
            </w:pPr>
            <w:r>
              <w:rPr>
                <w:rFonts w:ascii="Times New Roman" w:eastAsia="Times New Roman" w:hAnsi="Times New Roman" w:cs="Times New Roman"/>
                <w:color w:val="000000"/>
                <w:spacing w:val="0"/>
                <w:w w:val="100"/>
                <w:position w:val="0"/>
              </w:rPr>
              <w:t>5.66%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14,881,352.15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3.29%</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85.02%</w:t>
            </w:r>
          </w:p>
        </w:tc>
      </w:tr>
    </w:tbl>
    <w:p>
      <w:pPr>
        <w:widowControl w:val="0"/>
        <w:spacing w:after="679" w:line="1" w:lineRule="exact"/>
      </w:pPr>
    </w:p>
    <w:p>
      <w:pPr>
        <w:pStyle w:val="Style55"/>
        <w:keepNext/>
        <w:keepLines/>
        <w:widowControl w:val="0"/>
        <w:shd w:val="clear" w:color="auto" w:fill="auto"/>
        <w:tabs>
          <w:tab w:pos="753" w:val="left"/>
        </w:tabs>
        <w:bidi w:val="0"/>
        <w:spacing w:before="0" w:after="380" w:line="240" w:lineRule="auto"/>
        <w:ind w:left="0" w:right="0"/>
        <w:jc w:val="left"/>
      </w:pPr>
      <w:bookmarkStart w:id="148" w:name="bookmark148"/>
      <w:bookmarkStart w:id="149" w:name="bookmark149"/>
      <w:bookmarkStart w:id="150" w:name="bookmark150"/>
      <w:bookmarkStart w:id="151" w:name="bookmark151"/>
      <w:r>
        <w:rPr>
          <w:color w:val="000000"/>
          <w:spacing w:val="0"/>
          <w:w w:val="100"/>
          <w:position w:val="0"/>
        </w:rPr>
        <w:t>（</w:t>
      </w:r>
      <w:bookmarkEnd w:id="150"/>
      <w:r>
        <w:rPr>
          <w:rFonts w:ascii="Times New Roman" w:eastAsia="Times New Roman" w:hAnsi="Times New Roman" w:cs="Times New Roman"/>
          <w:color w:val="000000"/>
          <w:spacing w:val="0"/>
          <w:w w:val="100"/>
          <w:position w:val="0"/>
        </w:rPr>
        <w:t>6</w:t>
      </w:r>
      <w:r>
        <w:rPr>
          <w:color w:val="000000"/>
          <w:spacing w:val="0"/>
          <w:w w:val="100"/>
          <w:position w:val="0"/>
        </w:rPr>
        <w:t>）</w:t>
        <w:tab/>
        <w:t>报告期内合并范围是否发生变动</w:t>
      </w:r>
      <w:bookmarkEnd w:id="148"/>
      <w:bookmarkEnd w:id="149"/>
      <w:bookmarkEnd w:id="151"/>
    </w:p>
    <w:p>
      <w:pPr>
        <w:pStyle w:val="Style32"/>
        <w:keepNext w:val="0"/>
        <w:keepLines w:val="0"/>
        <w:widowControl w:val="0"/>
        <w:shd w:val="clear" w:color="auto" w:fill="auto"/>
        <w:bidi w:val="0"/>
        <w:spacing w:before="0" w:after="120" w:line="240" w:lineRule="auto"/>
        <w:ind w:left="0" w:right="0" w:firstLine="260"/>
        <w:jc w:val="left"/>
      </w:pPr>
      <w:r>
        <w:rPr>
          <w:rFonts w:ascii="Times New Roman" w:eastAsia="Times New Roman" w:hAnsi="Times New Roman" w:cs="Times New Roman"/>
          <w:color w:val="000000"/>
          <w:spacing w:val="0"/>
          <w:w w:val="100"/>
          <w:position w:val="0"/>
        </w:rPr>
        <w:t>V</w:t>
      </w:r>
      <w:r>
        <w:rPr>
          <w:color w:val="000000"/>
          <w:spacing w:val="0"/>
          <w:w w:val="100"/>
          <w:position w:val="0"/>
        </w:rPr>
        <w:t>是</w:t>
      </w:r>
      <w:r>
        <w:rPr>
          <w:color w:val="000000"/>
          <w:spacing w:val="0"/>
          <w:w w:val="100"/>
          <w:position w:val="0"/>
        </w:rPr>
        <w:t>口</w:t>
      </w:r>
      <w:r>
        <w:rPr>
          <w:color w:val="000000"/>
          <w:spacing w:val="0"/>
          <w:w w:val="100"/>
          <w:position w:val="0"/>
        </w:rPr>
        <w:t>否</w:t>
      </w:r>
    </w:p>
    <w:p>
      <w:pPr>
        <w:pStyle w:val="Style32"/>
        <w:keepNext w:val="0"/>
        <w:keepLines w:val="0"/>
        <w:widowControl w:val="0"/>
        <w:shd w:val="clear" w:color="auto" w:fill="auto"/>
        <w:bidi w:val="0"/>
        <w:spacing w:before="0" w:after="380" w:line="240" w:lineRule="auto"/>
        <w:ind w:left="0" w:right="0" w:firstLine="260"/>
        <w:jc w:val="left"/>
      </w:pPr>
      <w:r>
        <w:rPr>
          <w:color w:val="000000"/>
          <w:spacing w:val="0"/>
          <w:w w:val="100"/>
          <w:position w:val="0"/>
        </w:rPr>
        <w:t>公司本期合并财务报表范围的变化详见本报告第十二节、八、合并范围的变更。</w:t>
      </w:r>
    </w:p>
    <w:p>
      <w:pPr>
        <w:pStyle w:val="Style55"/>
        <w:keepNext/>
        <w:keepLines/>
        <w:widowControl w:val="0"/>
        <w:shd w:val="clear" w:color="auto" w:fill="auto"/>
        <w:tabs>
          <w:tab w:pos="753" w:val="left"/>
        </w:tabs>
        <w:bidi w:val="0"/>
        <w:spacing w:before="0" w:after="380" w:line="240" w:lineRule="auto"/>
        <w:ind w:left="0" w:right="0"/>
        <w:jc w:val="left"/>
      </w:pPr>
      <w:bookmarkStart w:id="152" w:name="bookmark152"/>
      <w:bookmarkStart w:id="153" w:name="bookmark153"/>
      <w:bookmarkStart w:id="154" w:name="bookmark154"/>
      <w:bookmarkStart w:id="155" w:name="bookmark155"/>
      <w:r>
        <w:rPr>
          <w:color w:val="000000"/>
          <w:spacing w:val="0"/>
          <w:w w:val="100"/>
          <w:position w:val="0"/>
        </w:rPr>
        <w:t>（</w:t>
      </w:r>
      <w:bookmarkEnd w:id="154"/>
      <w:r>
        <w:rPr>
          <w:rFonts w:ascii="Times New Roman" w:eastAsia="Times New Roman" w:hAnsi="Times New Roman" w:cs="Times New Roman"/>
          <w:color w:val="000000"/>
          <w:spacing w:val="0"/>
          <w:w w:val="100"/>
          <w:position w:val="0"/>
        </w:rPr>
        <w:t>7</w:t>
      </w:r>
      <w:r>
        <w:rPr>
          <w:color w:val="000000"/>
          <w:spacing w:val="0"/>
          <w:w w:val="100"/>
          <w:position w:val="0"/>
        </w:rPr>
        <w:t>）</w:t>
        <w:tab/>
        <w:t>公司报告期内业务、产品或服务发生重大变化或调整有关情况</w:t>
      </w:r>
      <w:bookmarkEnd w:id="152"/>
      <w:bookmarkEnd w:id="153"/>
      <w:bookmarkEnd w:id="155"/>
    </w:p>
    <w:p>
      <w:pPr>
        <w:pStyle w:val="Style32"/>
        <w:keepNext w:val="0"/>
        <w:keepLines w:val="0"/>
        <w:widowControl w:val="0"/>
        <w:shd w:val="clear" w:color="auto" w:fill="auto"/>
        <w:bidi w:val="0"/>
        <w:spacing w:before="0" w:after="380" w:line="240" w:lineRule="auto"/>
        <w:ind w:left="0" w:right="0" w:firstLine="2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tabs>
          <w:tab w:pos="753" w:val="left"/>
        </w:tabs>
        <w:bidi w:val="0"/>
        <w:spacing w:before="0" w:after="380" w:line="240" w:lineRule="auto"/>
        <w:ind w:left="0" w:right="0"/>
        <w:jc w:val="left"/>
      </w:pPr>
      <w:bookmarkStart w:id="156" w:name="bookmark156"/>
      <w:bookmarkStart w:id="157" w:name="bookmark157"/>
      <w:bookmarkStart w:id="158" w:name="bookmark158"/>
      <w:bookmarkStart w:id="159" w:name="bookmark159"/>
      <w:r>
        <w:rPr>
          <w:color w:val="000000"/>
          <w:spacing w:val="0"/>
          <w:w w:val="100"/>
          <w:position w:val="0"/>
        </w:rPr>
        <w:t>（</w:t>
      </w:r>
      <w:bookmarkEnd w:id="158"/>
      <w:r>
        <w:rPr>
          <w:rFonts w:ascii="Times New Roman" w:eastAsia="Times New Roman" w:hAnsi="Times New Roman" w:cs="Times New Roman"/>
          <w:color w:val="000000"/>
          <w:spacing w:val="0"/>
          <w:w w:val="100"/>
          <w:position w:val="0"/>
        </w:rPr>
        <w:t>8</w:t>
      </w:r>
      <w:r>
        <w:rPr>
          <w:color w:val="000000"/>
          <w:spacing w:val="0"/>
          <w:w w:val="100"/>
          <w:position w:val="0"/>
        </w:rPr>
        <w:t>）</w:t>
        <w:tab/>
        <w:t>主要销售客户和主要供应商情况</w:t>
      </w:r>
      <w:bookmarkEnd w:id="156"/>
      <w:bookmarkEnd w:id="157"/>
      <w:bookmarkEnd w:id="159"/>
    </w:p>
    <w:p>
      <w:pPr>
        <w:pStyle w:val="Style32"/>
        <w:keepNext w:val="0"/>
        <w:keepLines w:val="0"/>
        <w:widowControl w:val="0"/>
        <w:shd w:val="clear" w:color="auto" w:fill="auto"/>
        <w:bidi w:val="0"/>
        <w:spacing w:before="0" w:after="80" w:line="240" w:lineRule="auto"/>
        <w:ind w:left="0" w:right="0" w:firstLine="260"/>
        <w:jc w:val="both"/>
      </w:pPr>
      <w:r>
        <w:rPr>
          <w:color w:val="000000"/>
          <w:spacing w:val="0"/>
          <w:w w:val="100"/>
          <w:position w:val="0"/>
        </w:rPr>
        <w:t>公司主要销售客户情况</w:t>
      </w:r>
    </w:p>
    <w:tbl>
      <w:tblPr>
        <w:tblOverlap w:val="never"/>
        <w:jc w:val="center"/>
        <w:tblLayout w:type="fixed"/>
      </w:tblPr>
      <w:tblGrid>
        <w:gridCol w:w="4402"/>
        <w:gridCol w:w="5184"/>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前五名客户合计销售金额（元）</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75,729,783.40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前五名客户合计销售金额占年度销售总额比例</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9.61%</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前五名客户销售额中关联方销售额占年度销售总额比例</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sectPr>
          <w:footnotePr>
            <w:pos w:val="pageBottom"/>
            <w:numFmt w:val="decimal"/>
            <w:numRestart w:val="continuous"/>
          </w:footnotePr>
          <w:pgSz w:w="11900" w:h="16840"/>
          <w:pgMar w:top="678" w:right="1109" w:bottom="1158" w:left="841" w:header="0" w:footer="3" w:gutter="0"/>
          <w:cols w:space="720"/>
          <w:noEndnote/>
          <w:rtlGutter w:val="0"/>
          <w:docGrid w:linePitch="360"/>
        </w:sectPr>
      </w:pPr>
    </w:p>
    <w:p>
      <w:pPr>
        <w:widowControl w:val="0"/>
        <w:spacing w:line="1" w:lineRule="exact"/>
      </w:pPr>
      <w:r>
        <w:drawing>
          <wp:anchor distT="0" distB="0" distL="0" distR="0" simplePos="0" relativeHeight="125829402" behindDoc="0" locked="0" layoutInCell="1" allowOverlap="1">
            <wp:simplePos x="0" y="0"/>
            <wp:positionH relativeFrom="page">
              <wp:posOffset>722630</wp:posOffset>
            </wp:positionH>
            <wp:positionV relativeFrom="paragraph">
              <wp:posOffset>12700</wp:posOffset>
            </wp:positionV>
            <wp:extent cx="1298575" cy="518160"/>
            <wp:wrapTight wrapText="right">
              <wp:wrapPolygon>
                <wp:start x="0" y="0"/>
                <wp:lineTo x="8589" y="0"/>
                <wp:lineTo x="8589" y="254"/>
                <wp:lineTo x="21600" y="254"/>
                <wp:lineTo x="21600" y="11054"/>
                <wp:lineTo x="8742" y="11054"/>
                <wp:lineTo x="8742" y="16136"/>
                <wp:lineTo x="8589" y="16136"/>
                <wp:lineTo x="8589" y="21600"/>
                <wp:lineTo x="0" y="21600"/>
                <wp:lineTo x="0" y="0"/>
              </wp:wrapPolygon>
            </wp:wrapTight>
            <wp:docPr id="161" name="Shape 161"/>
            <a:graphic xmlns:a="http://schemas.openxmlformats.org/drawingml/2006/main">
              <a:graphicData uri="http://schemas.openxmlformats.org/drawingml/2006/picture">
                <pic:pic xmlns:pic="http://schemas.openxmlformats.org/drawingml/2006/picture">
                  <pic:nvPicPr>
                    <pic:cNvPr id="162" name="Picture box 162"/>
                    <pic:cNvPicPr/>
                  </pic:nvPicPr>
                  <pic:blipFill>
                    <a:blip r:embed="rId81"/>
                    <a:stretch/>
                  </pic:blipFill>
                  <pic:spPr>
                    <a:xfrm>
                      <a:ext cx="1298575" cy="518160"/>
                    </a:xfrm>
                    <a:prstGeom prst="rect"/>
                  </pic:spPr>
                </pic:pic>
              </a:graphicData>
            </a:graphic>
          </wp:anchor>
        </w:drawing>
      </w:r>
    </w:p>
    <w:p>
      <w:pPr>
        <w:pStyle w:val="Style5"/>
        <w:keepNext w:val="0"/>
        <w:keepLines w:val="0"/>
        <w:widowControl w:val="0"/>
        <w:shd w:val="clear" w:color="auto" w:fill="auto"/>
        <w:bidi w:val="0"/>
        <w:spacing w:before="0" w:after="100" w:line="206"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 xml:space="preserve">300290 </w:t>
      </w:r>
      <w:r>
        <w:rPr>
          <w:rFonts w:ascii="SimSun" w:eastAsia="SimSun" w:hAnsi="SimSun" w:cs="SimSun"/>
          <w:color w:val="000000"/>
          <w:spacing w:val="0"/>
          <w:w w:val="100"/>
          <w:position w:val="0"/>
          <w:sz w:val="18"/>
          <w:szCs w:val="18"/>
        </w:rPr>
        <w:t>公司前</w:t>
      </w:r>
      <w:r>
        <w:rPr>
          <w:rFonts w:ascii="Times New Roman" w:eastAsia="Times New Roman" w:hAnsi="Times New Roman" w:cs="Times New Roman"/>
          <w:color w:val="000000"/>
          <w:spacing w:val="0"/>
          <w:w w:val="100"/>
          <w:position w:val="0"/>
          <w:sz w:val="18"/>
          <w:szCs w:val="18"/>
        </w:rPr>
        <w:t>5</w:t>
      </w:r>
      <w:r>
        <w:rPr>
          <w:rFonts w:ascii="SimSun" w:eastAsia="SimSun" w:hAnsi="SimSun" w:cs="SimSun"/>
          <w:color w:val="000000"/>
          <w:spacing w:val="0"/>
          <w:w w:val="100"/>
          <w:position w:val="0"/>
          <w:sz w:val="18"/>
          <w:szCs w:val="18"/>
        </w:rPr>
        <w:t>大客户资料</w:t>
      </w:r>
    </w:p>
    <w:tbl>
      <w:tblPr>
        <w:tblOverlap w:val="never"/>
        <w:jc w:val="center"/>
        <w:tblLayout w:type="fixed"/>
      </w:tblPr>
      <w:tblGrid>
        <w:gridCol w:w="946"/>
        <w:gridCol w:w="4104"/>
        <w:gridCol w:w="2189"/>
        <w:gridCol w:w="234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序号</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销售额（元）</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60"/>
              <w:jc w:val="left"/>
            </w:pPr>
            <w:r>
              <w:rPr>
                <w:color w:val="000000"/>
                <w:spacing w:val="0"/>
                <w:w w:val="100"/>
                <w:position w:val="0"/>
              </w:rPr>
              <w:t>占年度销售总额比例</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18,348,469.96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2.33%</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17,731,736.52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2.25%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14,258,824.51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1.81%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第四名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13,387,911.02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1.70%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第五名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12,002,841.39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1.52%</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75,729,783.40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9.61%</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主要客户其他情况说明</w:t>
      </w:r>
    </w:p>
    <w:p>
      <w:pPr>
        <w:widowControl w:val="0"/>
        <w:spacing w:after="99" w:line="1" w:lineRule="exact"/>
      </w:pPr>
    </w:p>
    <w:p>
      <w:pPr>
        <w:pStyle w:val="Style32"/>
        <w:keepNext w:val="0"/>
        <w:keepLines w:val="0"/>
        <w:widowControl w:val="0"/>
        <w:shd w:val="clear" w:color="auto" w:fill="auto"/>
        <w:bidi w:val="0"/>
        <w:spacing w:before="0" w:after="100" w:line="240" w:lineRule="auto"/>
        <w:ind w:left="0" w:right="0" w:firstLine="4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公司主要供应商情况</w:t>
      </w:r>
    </w:p>
    <w:tbl>
      <w:tblPr>
        <w:tblOverlap w:val="never"/>
        <w:jc w:val="center"/>
        <w:tblLayout w:type="fixed"/>
      </w:tblPr>
      <w:tblGrid>
        <w:gridCol w:w="5050"/>
        <w:gridCol w:w="4536"/>
      </w:tblGrid>
      <w:tr>
        <w:trPr>
          <w:trHeight w:val="437"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前五名供应商合计采购金额（元）</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50,442,336.43</w:t>
            </w:r>
          </w:p>
        </w:tc>
      </w:tr>
      <w:tr>
        <w:trPr>
          <w:trHeight w:val="432"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前五名供应商合计采购金额占年度采购总额比例</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15.96%</w:t>
            </w:r>
          </w:p>
        </w:tc>
      </w:tr>
      <w:tr>
        <w:trPr>
          <w:trHeight w:val="442"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前五名供应商采购额中关联方采购额占年度采购总额比例</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widowControl w:val="0"/>
        <w:spacing w:after="99" w:line="1" w:lineRule="exact"/>
      </w:pPr>
    </w:p>
    <w:p>
      <w:pPr>
        <w:widowControl w:val="0"/>
        <w:spacing w:line="1" w:lineRule="exact"/>
      </w:pP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5</w:t>
      </w:r>
      <w:r>
        <w:rPr>
          <w:color w:val="000000"/>
          <w:spacing w:val="0"/>
          <w:w w:val="100"/>
          <w:position w:val="0"/>
        </w:rPr>
        <w:t>名供应商资料</w:t>
      </w:r>
    </w:p>
    <w:tbl>
      <w:tblPr>
        <w:tblOverlap w:val="never"/>
        <w:jc w:val="center"/>
        <w:tblLayout w:type="fixed"/>
      </w:tblPr>
      <w:tblGrid>
        <w:gridCol w:w="946"/>
        <w:gridCol w:w="4104"/>
        <w:gridCol w:w="2194"/>
        <w:gridCol w:w="2342"/>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序号</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40"/>
              <w:jc w:val="left"/>
            </w:pPr>
            <w:r>
              <w:rPr>
                <w:color w:val="000000"/>
                <w:spacing w:val="0"/>
                <w:w w:val="100"/>
                <w:position w:val="0"/>
              </w:rPr>
              <w:t>采购额（元）</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60"/>
              <w:jc w:val="left"/>
            </w:pPr>
            <w:r>
              <w:rPr>
                <w:color w:val="000000"/>
                <w:spacing w:val="0"/>
                <w:w w:val="100"/>
                <w:position w:val="0"/>
              </w:rPr>
              <w:t>占年度采购总额比例</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第一名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11,395,758.43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3.61%</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第二名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11,113,290.42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3.52%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第三名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11,067,305.22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3.50%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第四名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8,625,132.75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2.73%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第五名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8,240,849.61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2.60%</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rPr>
              <w:t>50,442,336.43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15.96%</w:t>
            </w:r>
          </w:p>
        </w:tc>
      </w:tr>
    </w:tbl>
    <w:p>
      <w:pPr>
        <w:widowControl w:val="0"/>
        <w:spacing w:after="99" w:line="1" w:lineRule="exact"/>
      </w:pPr>
    </w:p>
    <w:p>
      <w:pPr>
        <w:pStyle w:val="Style32"/>
        <w:keepNext w:val="0"/>
        <w:keepLines w:val="0"/>
        <w:widowControl w:val="0"/>
        <w:shd w:val="clear" w:color="auto" w:fill="auto"/>
        <w:bidi w:val="0"/>
        <w:spacing w:before="0" w:after="160" w:line="240" w:lineRule="auto"/>
        <w:ind w:left="0" w:right="0" w:firstLine="400"/>
        <w:jc w:val="left"/>
      </w:pPr>
      <w:r>
        <w:rPr>
          <w:color w:val="000000"/>
          <w:spacing w:val="0"/>
          <w:w w:val="100"/>
          <w:position w:val="0"/>
        </w:rPr>
        <w:t>主要供应商其他情况说明</w:t>
      </w:r>
    </w:p>
    <w:p>
      <w:pPr>
        <w:pStyle w:val="Style32"/>
        <w:keepNext w:val="0"/>
        <w:keepLines w:val="0"/>
        <w:widowControl w:val="0"/>
        <w:shd w:val="clear" w:color="auto" w:fill="auto"/>
        <w:bidi w:val="0"/>
        <w:spacing w:before="0" w:after="380" w:line="240" w:lineRule="auto"/>
        <w:ind w:left="0" w:right="0" w:firstLine="4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bidi w:val="0"/>
        <w:spacing w:before="0" w:after="380" w:line="240" w:lineRule="auto"/>
        <w:ind w:left="0" w:right="0" w:firstLine="400"/>
        <w:jc w:val="left"/>
      </w:pPr>
      <w:bookmarkStart w:id="160" w:name="bookmark160"/>
      <w:bookmarkStart w:id="161" w:name="bookmark161"/>
      <w:bookmarkStart w:id="162" w:name="bookmark162"/>
      <w:bookmarkStart w:id="163" w:name="bookmark163"/>
      <w:r>
        <w:rPr>
          <w:rFonts w:ascii="Times New Roman" w:eastAsia="Times New Roman" w:hAnsi="Times New Roman" w:cs="Times New Roman"/>
          <w:color w:val="000000"/>
          <w:spacing w:val="0"/>
          <w:w w:val="100"/>
          <w:position w:val="0"/>
        </w:rPr>
        <w:t>3</w:t>
      </w:r>
      <w:bookmarkEnd w:id="162"/>
      <w:r>
        <w:rPr>
          <w:color w:val="000000"/>
          <w:spacing w:val="0"/>
          <w:w w:val="100"/>
          <w:position w:val="0"/>
        </w:rPr>
        <w:t>、费用</w:t>
      </w:r>
      <w:bookmarkEnd w:id="160"/>
      <w:bookmarkEnd w:id="161"/>
      <w:bookmarkEnd w:id="163"/>
    </w:p>
    <w:p>
      <w:pPr>
        <w:pStyle w:val="Style32"/>
        <w:keepNext w:val="0"/>
        <w:keepLines w:val="0"/>
        <w:widowControl w:val="0"/>
        <w:shd w:val="clear" w:color="auto" w:fill="auto"/>
        <w:bidi w:val="0"/>
        <w:spacing w:before="0" w:after="380" w:line="240" w:lineRule="auto"/>
        <w:ind w:left="0" w:right="0" w:firstLine="0"/>
        <w:jc w:val="center"/>
      </w:pPr>
      <w:r>
        <w:rPr>
          <w:color w:val="000000"/>
          <w:spacing w:val="0"/>
          <w:w w:val="100"/>
          <w:position w:val="0"/>
        </w:rPr>
        <w:t>单位：元</w:t>
      </w:r>
    </w:p>
    <w:tbl>
      <w:tblPr>
        <w:tblOverlap w:val="never"/>
        <w:jc w:val="center"/>
        <w:tblLayout w:type="fixed"/>
      </w:tblPr>
      <w:tblGrid>
        <w:gridCol w:w="1027"/>
        <w:gridCol w:w="1560"/>
        <w:gridCol w:w="1560"/>
        <w:gridCol w:w="1416"/>
        <w:gridCol w:w="4022"/>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同比增减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77,087,604.75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72,051,338.26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93,353,205.42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91,486,444.93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5,190,239.31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7,799,500.94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-33.45%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主要系利息支出减少</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60,362,468.03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45,615,884.20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32.33%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主要系纳入合并报表范围的子公司增加所致。</w:t>
            </w:r>
          </w:p>
        </w:tc>
      </w:tr>
    </w:tbl>
    <w:p>
      <w:pPr>
        <w:sectPr>
          <w:footnotePr>
            <w:pos w:val="pageBottom"/>
            <w:numFmt w:val="decimal"/>
            <w:numRestart w:val="continuous"/>
          </w:footnotePr>
          <w:pgSz w:w="11900" w:h="16840"/>
          <w:pgMar w:top="1117" w:right="702" w:bottom="1428" w:left="692" w:header="0" w:footer="3" w:gutter="0"/>
          <w:cols w:space="720"/>
          <w:noEndnote/>
          <w:rtlGutter w:val="0"/>
          <w:docGrid w:linePitch="360"/>
        </w:sectPr>
      </w:pPr>
    </w:p>
    <w:p>
      <w:pPr>
        <w:pStyle w:val="Style5"/>
        <w:keepNext w:val="0"/>
        <w:keepLines w:val="0"/>
        <w:widowControl w:val="0"/>
        <w:shd w:val="clear" w:color="auto" w:fill="auto"/>
        <w:bidi w:val="0"/>
        <w:spacing w:before="0" w:after="60" w:line="240" w:lineRule="auto"/>
        <w:ind w:left="0" w:right="0" w:firstLine="40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580"/>
        <w:jc w:val="left"/>
      </w:pPr>
      <w:r>
        <w:rPr>
          <w:rFonts w:ascii="SimHei" w:eastAsia="SimHei" w:hAnsi="SimHei" w:cs="SimHei"/>
          <w:color w:val="245994"/>
          <w:spacing w:val="0"/>
          <w:w w:val="100"/>
          <w:position w:val="0"/>
          <w:sz w:val="15"/>
          <w:szCs w:val="15"/>
        </w:rPr>
        <w:t xml:space="preserve">，| </w:t>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280" w:line="240" w:lineRule="auto"/>
        <w:ind w:left="0" w:right="0" w:firstLine="400"/>
        <w:jc w:val="both"/>
      </w:pPr>
      <w:bookmarkStart w:id="164" w:name="bookmark164"/>
      <w:bookmarkStart w:id="165" w:name="bookmark165"/>
      <w:bookmarkStart w:id="166" w:name="bookmark166"/>
      <w:bookmarkStart w:id="167" w:name="bookmark167"/>
      <w:r>
        <w:rPr>
          <w:rFonts w:ascii="Times New Roman" w:eastAsia="Times New Roman" w:hAnsi="Times New Roman" w:cs="Times New Roman"/>
          <w:color w:val="000000"/>
          <w:spacing w:val="0"/>
          <w:w w:val="100"/>
          <w:position w:val="0"/>
        </w:rPr>
        <w:t>4</w:t>
      </w:r>
      <w:bookmarkEnd w:id="166"/>
      <w:r>
        <w:rPr>
          <w:color w:val="000000"/>
          <w:spacing w:val="0"/>
          <w:w w:val="100"/>
          <w:position w:val="0"/>
        </w:rPr>
        <w:t>、研发投入</w:t>
      </w:r>
      <w:bookmarkEnd w:id="164"/>
      <w:bookmarkEnd w:id="165"/>
      <w:bookmarkEnd w:id="167"/>
    </w:p>
    <w:p>
      <w:pPr>
        <w:pStyle w:val="Style32"/>
        <w:keepNext w:val="0"/>
        <w:keepLines w:val="0"/>
        <w:widowControl w:val="0"/>
        <w:shd w:val="clear" w:color="auto" w:fill="auto"/>
        <w:bidi w:val="0"/>
        <w:spacing w:before="0" w:after="0" w:line="312" w:lineRule="exact"/>
        <w:ind w:left="0" w:right="0" w:firstLine="40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500" w:line="312" w:lineRule="exact"/>
        <w:ind w:left="400" w:right="0" w:firstLine="20"/>
        <w:jc w:val="left"/>
      </w:pPr>
      <w:r>
        <w:rPr>
          <w:color w:val="000000"/>
          <w:spacing w:val="0"/>
          <w:w w:val="100"/>
          <w:position w:val="0"/>
        </w:rPr>
        <w:t>报告期公司研发投入</w:t>
      </w:r>
      <w:r>
        <w:rPr>
          <w:color w:val="000000"/>
          <w:spacing w:val="0"/>
          <w:w w:val="100"/>
          <w:position w:val="0"/>
          <w:sz w:val="18"/>
          <w:szCs w:val="18"/>
        </w:rPr>
        <w:t>75,819,173.95</w:t>
      </w:r>
      <w:r>
        <w:rPr>
          <w:color w:val="000000"/>
          <w:spacing w:val="0"/>
          <w:w w:val="100"/>
          <w:position w:val="0"/>
        </w:rPr>
        <w:t>元，占营业收入的比例</w:t>
      </w:r>
      <w:r>
        <w:rPr>
          <w:color w:val="000000"/>
          <w:spacing w:val="0"/>
          <w:w w:val="100"/>
          <w:position w:val="0"/>
          <w:sz w:val="18"/>
          <w:szCs w:val="18"/>
        </w:rPr>
        <w:t>9.62%</w:t>
      </w:r>
      <w:r>
        <w:rPr>
          <w:color w:val="000000"/>
          <w:spacing w:val="0"/>
          <w:w w:val="100"/>
          <w:position w:val="0"/>
        </w:rPr>
        <w:t>。报告期内公司及子公司新增专利</w:t>
      </w:r>
      <w:r>
        <w:rPr>
          <w:color w:val="000000"/>
          <w:spacing w:val="0"/>
          <w:w w:val="100"/>
          <w:position w:val="0"/>
          <w:sz w:val="18"/>
          <w:szCs w:val="18"/>
        </w:rPr>
        <w:t>5</w:t>
      </w:r>
      <w:r>
        <w:rPr>
          <w:color w:val="000000"/>
          <w:spacing w:val="0"/>
          <w:w w:val="100"/>
          <w:position w:val="0"/>
        </w:rPr>
        <w:t>件，取得授权的软件著 作权数量</w:t>
      </w:r>
      <w:r>
        <w:rPr>
          <w:color w:val="000000"/>
          <w:spacing w:val="0"/>
          <w:w w:val="100"/>
          <w:position w:val="0"/>
          <w:sz w:val="18"/>
          <w:szCs w:val="18"/>
        </w:rPr>
        <w:t>131</w:t>
      </w:r>
      <w:r>
        <w:rPr>
          <w:color w:val="000000"/>
          <w:spacing w:val="0"/>
          <w:w w:val="100"/>
          <w:position w:val="0"/>
        </w:rPr>
        <w:t>件。截至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日，公司及子公司已授权的专利</w:t>
      </w:r>
      <w:r>
        <w:rPr>
          <w:color w:val="000000"/>
          <w:spacing w:val="0"/>
          <w:w w:val="100"/>
          <w:position w:val="0"/>
          <w:sz w:val="18"/>
          <w:szCs w:val="18"/>
        </w:rPr>
        <w:t>48</w:t>
      </w:r>
      <w:r>
        <w:rPr>
          <w:color w:val="000000"/>
          <w:spacing w:val="0"/>
          <w:w w:val="100"/>
          <w:position w:val="0"/>
        </w:rPr>
        <w:t>件，已授权的软件著作权数量</w:t>
      </w:r>
      <w:r>
        <w:rPr>
          <w:color w:val="000000"/>
          <w:spacing w:val="0"/>
          <w:w w:val="100"/>
          <w:position w:val="0"/>
          <w:sz w:val="18"/>
          <w:szCs w:val="18"/>
        </w:rPr>
        <w:t>712</w:t>
      </w:r>
      <w:r>
        <w:rPr>
          <w:color w:val="000000"/>
          <w:spacing w:val="0"/>
          <w:w w:val="100"/>
          <w:position w:val="0"/>
        </w:rPr>
        <w:t>件。</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近三年公司研发投入金额及占营业收入的比例</w:t>
      </w:r>
    </w:p>
    <w:tbl>
      <w:tblPr>
        <w:tblOverlap w:val="never"/>
        <w:jc w:val="center"/>
        <w:tblLayout w:type="fixed"/>
      </w:tblPr>
      <w:tblGrid>
        <w:gridCol w:w="2986"/>
        <w:gridCol w:w="2410"/>
        <w:gridCol w:w="2126"/>
        <w:gridCol w:w="2064"/>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研发人员数量（人）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研发人员数量占比</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34.78%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left"/>
            </w:pPr>
            <w:r>
              <w:rPr>
                <w:rFonts w:ascii="Times New Roman" w:eastAsia="Times New Roman" w:hAnsi="Times New Roman" w:cs="Times New Roman"/>
                <w:color w:val="000000"/>
                <w:spacing w:val="0"/>
                <w:w w:val="100"/>
                <w:position w:val="0"/>
              </w:rPr>
              <w:t>31.39%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24.01%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研发投入金额（元）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75,819,173.95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65,881,830.02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53,784,782.43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研发投入占营业收入比例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8.58%</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研发支出资本化的金额（元）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15,456,705.92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20,265,945.82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14,877,350.77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资本化研发支出占研发投入的比例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20.39%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left"/>
            </w:pPr>
            <w:r>
              <w:rPr>
                <w:rFonts w:ascii="Times New Roman" w:eastAsia="Times New Roman" w:hAnsi="Times New Roman" w:cs="Times New Roman"/>
                <w:color w:val="000000"/>
                <w:spacing w:val="0"/>
                <w:w w:val="100"/>
                <w:position w:val="0"/>
              </w:rPr>
              <w:t>30.76%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27.66%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资本化研发支出占当期净利润的比重</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16.32%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left"/>
            </w:pPr>
            <w:r>
              <w:rPr>
                <w:rFonts w:ascii="Times New Roman" w:eastAsia="Times New Roman" w:hAnsi="Times New Roman" w:cs="Times New Roman"/>
                <w:color w:val="000000"/>
                <w:spacing w:val="0"/>
                <w:w w:val="100"/>
                <w:position w:val="0"/>
              </w:rPr>
              <w:t>45.66%</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rPr>
              <w:t>69.17%</w:t>
            </w:r>
          </w:p>
        </w:tc>
      </w:tr>
    </w:tbl>
    <w:p>
      <w:pPr>
        <w:widowControl w:val="0"/>
        <w:spacing w:after="59" w:line="1" w:lineRule="exact"/>
      </w:pPr>
    </w:p>
    <w:p>
      <w:pPr>
        <w:pStyle w:val="Style32"/>
        <w:keepNext w:val="0"/>
        <w:keepLines w:val="0"/>
        <w:widowControl w:val="0"/>
        <w:shd w:val="clear" w:color="auto" w:fill="auto"/>
        <w:bidi w:val="0"/>
        <w:spacing w:before="0" w:after="140" w:line="240" w:lineRule="auto"/>
        <w:ind w:left="0" w:right="0" w:firstLine="400"/>
        <w:jc w:val="left"/>
      </w:pPr>
      <w:r>
        <w:rPr>
          <w:color w:val="000000"/>
          <w:spacing w:val="0"/>
          <w:w w:val="100"/>
          <w:position w:val="0"/>
        </w:rPr>
        <w:t>研发投入总额占营业收入的比重较上年发生显著变化的原因</w:t>
      </w:r>
    </w:p>
    <w:p>
      <w:pPr>
        <w:pStyle w:val="Style32"/>
        <w:keepNext w:val="0"/>
        <w:keepLines w:val="0"/>
        <w:widowControl w:val="0"/>
        <w:shd w:val="clear" w:color="auto" w:fill="auto"/>
        <w:bidi w:val="0"/>
        <w:spacing w:before="0" w:after="140" w:line="240" w:lineRule="auto"/>
        <w:ind w:left="0" w:right="0" w:firstLine="4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140" w:line="240" w:lineRule="auto"/>
        <w:ind w:left="0" w:right="0" w:firstLine="400"/>
        <w:jc w:val="left"/>
      </w:pPr>
      <w:r>
        <w:rPr>
          <w:color w:val="000000"/>
          <w:spacing w:val="0"/>
          <w:w w:val="100"/>
          <w:position w:val="0"/>
        </w:rPr>
        <w:t>研发投入资本化率大幅变动的原因及其合理性说明</w:t>
      </w:r>
    </w:p>
    <w:p>
      <w:pPr>
        <w:pStyle w:val="Style32"/>
        <w:keepNext w:val="0"/>
        <w:keepLines w:val="0"/>
        <w:widowControl w:val="0"/>
        <w:shd w:val="clear" w:color="auto" w:fill="auto"/>
        <w:bidi w:val="0"/>
        <w:spacing w:before="0" w:after="140" w:line="240" w:lineRule="auto"/>
        <w:ind w:left="0" w:right="0" w:firstLine="4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140" w:line="240" w:lineRule="auto"/>
        <w:ind w:left="0" w:right="0" w:firstLine="40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853"/>
        <w:gridCol w:w="1560"/>
        <w:gridCol w:w="5952"/>
        <w:gridCol w:w="1142"/>
      </w:tblGrid>
      <w:tr>
        <w:trPr>
          <w:trHeight w:val="422" w:hRule="exact"/>
        </w:trPr>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研发资本化金额</w:t>
            </w:r>
          </w:p>
        </w:tc>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相关项目的基本情况</w:t>
            </w:r>
          </w:p>
        </w:tc>
        <w:tc>
          <w:tcPr>
            <w:tcBorders>
              <w:top w:val="single" w:sz="4"/>
              <w:left w:val="single" w:sz="4"/>
              <w:righ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实施进度</w:t>
            </w:r>
          </w:p>
        </w:tc>
      </w:tr>
      <w:tr>
        <w:trPr>
          <w:trHeight w:val="575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手术示教信息系统</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282,107.00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3" w:lineRule="exact"/>
              <w:ind w:left="0" w:right="0" w:firstLine="0"/>
              <w:jc w:val="both"/>
            </w:pPr>
            <w:r>
              <w:rPr>
                <w:color w:val="000000"/>
                <w:spacing w:val="0"/>
                <w:w w:val="100"/>
                <w:position w:val="0"/>
              </w:rPr>
              <w:t>医院手术示教系统集成了现代电子技术、</w:t>
            </w:r>
            <w:r>
              <w:rPr>
                <w:rFonts w:ascii="Times New Roman" w:eastAsia="Times New Roman" w:hAnsi="Times New Roman" w:cs="Times New Roman"/>
                <w:color w:val="000000"/>
                <w:spacing w:val="0"/>
                <w:w w:val="100"/>
                <w:position w:val="0"/>
              </w:rPr>
              <w:t>PLC</w:t>
            </w:r>
            <w:r>
              <w:rPr>
                <w:color w:val="000000"/>
                <w:spacing w:val="0"/>
                <w:w w:val="100"/>
                <w:position w:val="0"/>
              </w:rPr>
              <w:t>控制技术、计算机技术、视 频技术、和现代医疗科研技术的完美结合，在医疗科技领域展现了一个现 代化、科学技术的前沿技术产物。随着医学领域的不断发展</w:t>
            </w:r>
            <w:r>
              <w:rPr>
                <w:rFonts w:ascii="Times New Roman" w:eastAsia="Times New Roman" w:hAnsi="Times New Roman" w:cs="Times New Roman"/>
                <w:color w:val="000000"/>
                <w:spacing w:val="0"/>
                <w:w w:val="100"/>
                <w:position w:val="0"/>
              </w:rPr>
              <w:t>,</w:t>
            </w:r>
            <w:r>
              <w:rPr>
                <w:color w:val="000000"/>
                <w:spacing w:val="0"/>
                <w:w w:val="100"/>
                <w:position w:val="0"/>
              </w:rPr>
              <w:t>外科手术技术 也在日新月异</w:t>
            </w:r>
            <w:r>
              <w:rPr>
                <w:color w:val="000000"/>
                <w:spacing w:val="0"/>
                <w:w w:val="100"/>
                <w:position w:val="0"/>
              </w:rPr>
              <w:t>，</w:t>
            </w:r>
            <w:r>
              <w:rPr>
                <w:color w:val="000000"/>
                <w:spacing w:val="0"/>
                <w:w w:val="100"/>
                <w:position w:val="0"/>
              </w:rPr>
              <w:t>利用高端计算机科学技术，对各种手术全程画面影像的实时 记录，使之用于研究、教学和病例存档，已经得到非常的重视。有些具有 争议的手术，也可以利用这些视频资料作为科学的判断依据。手术后对照 这些影像资料进行学术探讨，对于提高手术的成功率能够起到很大的帮 助。并可通过网络，得到异地专家手术中的远程指导。这样即可以提高各 医院的手术水平，又可以提供手术的全部实时影像记录，使之成为提高手 术技术水平的必要资料和依据。</w:t>
            </w:r>
          </w:p>
          <w:p>
            <w:pPr>
              <w:pStyle w:val="Style44"/>
              <w:keepNext w:val="0"/>
              <w:keepLines w:val="0"/>
              <w:widowControl w:val="0"/>
              <w:shd w:val="clear" w:color="auto" w:fill="auto"/>
              <w:bidi w:val="0"/>
              <w:spacing w:before="0" w:after="0" w:line="311" w:lineRule="exact"/>
              <w:ind w:left="0" w:right="0" w:firstLine="0"/>
              <w:jc w:val="both"/>
            </w:pPr>
            <w:r>
              <w:rPr>
                <w:color w:val="000000"/>
                <w:spacing w:val="0"/>
                <w:w w:val="100"/>
                <w:position w:val="0"/>
              </w:rPr>
              <w:t>通过手术示教系统，采用视音频数字化编码转播示教系统可以在手术室外 通过大屏幕观摩手术过程，进行实时教学，既减少手术室内交叉感染，又 保障了手术室内无菌要求，同时也扩大了手术示教的范围，从而摆脱了传 统示教模式在时间、空间和人数上的限制。并实现了一个指导医师可以指 导多个示教室教学，避免教学资源的浪费，实现了教学的共享。每个示教 系统可同时观摩一个手术或诊室的视频图像，在远程医疗会诊应用中，医 生可以不用花费过多的时间在路途上，直接通过视频通信系统就可以完成 医疗诊断，还可以针对病人的病情展开远程多方会诊，可谓一举多得。</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02" w:lineRule="exact"/>
              <w:ind w:left="0" w:right="0" w:firstLine="0"/>
              <w:jc w:val="left"/>
            </w:pPr>
            <w:r>
              <w:rPr>
                <w:color w:val="000000"/>
                <w:spacing w:val="0"/>
                <w:w w:val="100"/>
                <w:position w:val="0"/>
              </w:rPr>
              <w:t>开发完毕已 经上线</w:t>
            </w:r>
          </w:p>
        </w:tc>
      </w:tr>
    </w:tbl>
    <w:p>
      <w:pPr>
        <w:widowControl w:val="0"/>
        <w:spacing w:line="1" w:lineRule="exact"/>
      </w:pPr>
      <w:r>
        <w:br w:type="page"/>
      </w:r>
    </w:p>
    <w:p>
      <w:pPr>
        <w:pStyle w:val="Style49"/>
        <w:keepNext w:val="0"/>
        <w:keepLines w:val="0"/>
        <w:widowControl w:val="0"/>
        <w:shd w:val="clear" w:color="auto" w:fill="auto"/>
        <w:bidi w:val="0"/>
        <w:spacing w:before="0" w:after="0" w:line="240" w:lineRule="auto"/>
        <w:ind w:left="1238" w:right="0" w:firstLine="0"/>
        <w:jc w:val="left"/>
        <w:rPr>
          <w:sz w:val="15"/>
          <w:szCs w:val="15"/>
        </w:rPr>
      </w:pPr>
      <w:r>
        <w:rPr>
          <w:rFonts w:ascii="SimHei" w:eastAsia="SimHei" w:hAnsi="SimHei" w:cs="SimHei"/>
          <w:color w:val="4E698D"/>
          <w:spacing w:val="0"/>
          <w:w w:val="100"/>
          <w:position w:val="0"/>
          <w:sz w:val="15"/>
          <w:szCs w:val="15"/>
        </w:rPr>
        <w:t>国家高新技术企业</w:t>
      </w:r>
    </w:p>
    <w:tbl>
      <w:tblPr>
        <w:tblOverlap w:val="never"/>
        <w:jc w:val="center"/>
        <w:tblLayout w:type="fixed"/>
      </w:tblPr>
      <w:tblGrid>
        <w:gridCol w:w="1853"/>
        <w:gridCol w:w="1560"/>
        <w:gridCol w:w="5952"/>
        <w:gridCol w:w="1142"/>
      </w:tblGrid>
      <w:tr>
        <w:trPr>
          <w:trHeight w:val="3418" w:hRule="exact"/>
        </w:trPr>
        <w:tc>
          <w:tcPr>
            <w:tcBorders>
              <w:left w:val="single" w:sz="4"/>
            </w:tcBorders>
            <w:shd w:val="clear" w:color="auto" w:fill="FFFFFF"/>
            <w:vAlign w:val="top"/>
          </w:tcPr>
          <w:p>
            <w:pPr>
              <w:pStyle w:val="Style44"/>
              <w:keepNext w:val="0"/>
              <w:keepLines w:val="0"/>
              <w:widowControl w:val="0"/>
              <w:shd w:val="clear" w:color="auto" w:fill="auto"/>
              <w:bidi w:val="0"/>
              <w:spacing w:before="0" w:after="1180" w:line="317" w:lineRule="exact"/>
              <w:ind w:left="0" w:right="0" w:firstLine="580"/>
              <w:jc w:val="left"/>
              <w:rPr>
                <w:sz w:val="15"/>
                <w:szCs w:val="15"/>
              </w:rPr>
            </w:pPr>
            <w:r>
              <w:rPr>
                <w:i/>
                <w:iCs/>
                <w:color w:val="245994"/>
                <w:spacing w:val="0"/>
                <w:w w:val="100"/>
                <w:position w:val="0"/>
                <w:sz w:val="24"/>
                <w:szCs w:val="24"/>
              </w:rPr>
              <w:t>，</w:t>
            </w:r>
            <w:r>
              <w:rPr>
                <w:rFonts w:ascii="Times New Roman" w:eastAsia="Times New Roman" w:hAnsi="Times New Roman" w:cs="Times New Roman"/>
                <w:b/>
                <w:bCs/>
                <w:color w:val="245994"/>
                <w:spacing w:val="0"/>
                <w:w w:val="100"/>
                <w:position w:val="0"/>
                <w:sz w:val="32"/>
                <w:szCs w:val="32"/>
              </w:rPr>
              <w:t xml:space="preserve">1 </w:t>
            </w:r>
            <w:r>
              <w:rPr>
                <w:rFonts w:ascii="SimHei" w:eastAsia="SimHei" w:hAnsi="SimHei" w:cs="SimHei"/>
                <w:color w:val="4E698D"/>
                <w:spacing w:val="0"/>
                <w:w w:val="100"/>
                <w:position w:val="0"/>
                <w:sz w:val="15"/>
                <w:szCs w:val="15"/>
              </w:rPr>
              <w:t>股票代包</w:t>
            </w:r>
          </w:p>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基于全景云的远程医 疗平台</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1480" w:line="240" w:lineRule="auto"/>
              <w:ind w:left="0" w:right="0" w:firstLine="0"/>
              <w:jc w:val="left"/>
            </w:pPr>
            <w:r>
              <w:rPr>
                <w:rFonts w:ascii="Times New Roman" w:eastAsia="Times New Roman" w:hAnsi="Times New Roman" w:cs="Times New Roman"/>
                <w:color w:val="4E698D"/>
                <w:spacing w:val="0"/>
                <w:w w:val="100"/>
                <w:position w:val="0"/>
              </w:rPr>
              <w:t>:300290</w:t>
            </w:r>
          </w:p>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1,122,877.58</w:t>
            </w:r>
          </w:p>
        </w:tc>
        <w:tc>
          <w:tcPr>
            <w:tcBorders>
              <w:left w:val="single" w:sz="4"/>
            </w:tcBorders>
            <w:shd w:val="clear" w:color="auto" w:fill="FFFFFF"/>
            <w:vAlign w:val="bottom"/>
          </w:tcPr>
          <w:p>
            <w:pPr>
              <w:pStyle w:val="Style44"/>
              <w:keepNext w:val="0"/>
              <w:keepLines w:val="0"/>
              <w:widowControl w:val="0"/>
              <w:shd w:val="clear" w:color="auto" w:fill="auto"/>
              <w:bidi w:val="0"/>
              <w:spacing w:before="0" w:after="0" w:line="313" w:lineRule="exact"/>
              <w:ind w:left="0" w:right="0" w:firstLine="0"/>
              <w:jc w:val="both"/>
            </w:pPr>
            <w:r>
              <w:rPr>
                <w:color w:val="000000"/>
                <w:spacing w:val="0"/>
                <w:w w:val="100"/>
                <w:position w:val="0"/>
              </w:rPr>
              <w:t>基于全景云的远程医疗平台是专为医联体提供的远程医疗网络服务业务， 针对各地医院网络建设参差不齐的现状，神州视翰依托阿里云，构建了专 注服务于远程医疗视频应用的云端服务系统，上、下级医院只需接入互联 网，通过安全认证后，即可实现远程医疗业务。全景云的出现，可让医联 体投资大幅降低，同时还可迅速开展业务。</w:t>
            </w:r>
          </w:p>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该项目平台采用“云”计算、“云”架构的先进设计理念，利用先进的编 解码技术，实现高清音视频码流在</w:t>
            </w:r>
            <w:r>
              <w:rPr>
                <w:rFonts w:ascii="Times New Roman" w:eastAsia="Times New Roman" w:hAnsi="Times New Roman" w:cs="Times New Roman"/>
                <w:color w:val="000000"/>
                <w:spacing w:val="0"/>
                <w:w w:val="100"/>
                <w:position w:val="0"/>
              </w:rPr>
              <w:t>IP</w:t>
            </w:r>
            <w:r>
              <w:rPr>
                <w:color w:val="000000"/>
                <w:spacing w:val="0"/>
                <w:w w:val="100"/>
                <w:position w:val="0"/>
              </w:rPr>
              <w:t>网络上的高速传输，同时云平台提供 开放的二次开发接口实现医院远程会诊等应用需要与医疗信息化系统的 融合。“云”平台具有很强的扩展性，可以根据医院业务的需要自由增删 业务子模块，如增加医师查房子模块实现主任医师查房的应用。</w:t>
            </w:r>
          </w:p>
        </w:tc>
        <w:tc>
          <w:tcPr>
            <w:tcBorders>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02" w:lineRule="exact"/>
              <w:ind w:left="0" w:right="0" w:firstLine="0"/>
              <w:jc w:val="left"/>
            </w:pPr>
            <w:r>
              <w:rPr>
                <w:color w:val="000000"/>
                <w:spacing w:val="0"/>
                <w:w w:val="100"/>
                <w:position w:val="0"/>
              </w:rPr>
              <w:t>开发完毕已 经上线</w:t>
            </w:r>
          </w:p>
        </w:tc>
      </w:tr>
      <w:tr>
        <w:trPr>
          <w:trHeight w:val="2894"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电子病房卡信息系统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95,848.81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随着医疗资源配置水平的不断提高，医院之间硬件资源配置的差异化逐步 降低，特别是对于大型医院，临床技术水平、医疗设备已经不再是医院最 终发展水平的瓶颈，医院之间的竞争当前已经开始表现为服务水平的竞 争。国家的相关政策也已经制订了 “以患者为中心”的导向，广大社会群 体在医疗服务机构的就医体验成为各大医院重点关注的核心。</w:t>
            </w:r>
          </w:p>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随着人们越来越重视隐私问题，每个病房或者床头都应该拥有独立的医疗 服务系统，电子病房卡系统正是满足上述需求而独立设计的一套全新系 统。紧紧围绕实际医院环境，从病房实际需求为出发点，满足患者、护士、 医生等不同层次的业务需求。</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阶段性研发 中期</w:t>
            </w:r>
          </w:p>
        </w:tc>
      </w:tr>
      <w:tr>
        <w:trPr>
          <w:trHeight w:val="1339"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物联电子屏应用系统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277,367.77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本项目是物联网技术应用深度落地应用的一款产品，它结合了当今最先进 的墨水屏显示技术和低功耗物联网数据传输技术，是信息显示的伟大创 新，国内乃至国际市场需求巨大。无线电子床头卡项目弥补国内空白，尤 其是大尺寸物联电子屏市场空间巨大。</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开发完毕已 经上线</w:t>
            </w:r>
          </w:p>
        </w:tc>
      </w:tr>
      <w:tr>
        <w:trPr>
          <w:trHeight w:val="3211"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血液透析服务平台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846,975.62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血液透析服务平台围绕血液净化中心工作流程，以患者血透过程安全管理 为核心，以建立完整的病人血液净化专科电子病历为指导，为血液净化中 心提供全方位的数字化服务。从血液净化中心的医疗业务流程出发，涵盖 了从患者预约排班开始，经过血透前准备、血透中检测、血透后管理的全 过程。以保障医疗安全为目标，在血液透析机的应用、设备复用、用药安 全、特殊患者管理、治疗过程监控等方面实现了智能化的质控管理，从而 保障患者在治疗过程中的安全。以无线网络为媒介，以移动设备为载体， 实现日常办公移动化。通过将科室的诊疗行为标准化、自动化，实现精细 化管理，有效的降低了医护人员的工作负担，提高了工作效率，保障了医 疗安全。</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阶段性研发</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中期</w:t>
            </w:r>
          </w:p>
        </w:tc>
      </w:tr>
      <w:tr>
        <w:trPr>
          <w:trHeight w:val="1651"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移动远程查房系统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485,528.78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3" w:lineRule="exact"/>
              <w:ind w:left="0" w:right="0" w:firstLine="0"/>
              <w:jc w:val="both"/>
            </w:pPr>
            <w:r>
              <w:rPr>
                <w:color w:val="000000"/>
                <w:spacing w:val="0"/>
                <w:w w:val="100"/>
                <w:position w:val="0"/>
              </w:rPr>
              <w:t>本系统主要分为移动远程查房的软件和远程查房车硬件俩部分。远程查房 车主要服务于医院临床业务，应用的业务范围包括：远程急诊指导，远程 重症指导，远程病区查房。目的在于平衡医疗资源，让高级别医生可以基 于远程医疗平台，通过远程查房车，在远端清晰查看病人体征、病历、监 护、检查等信息，第一时间为基层医生提供相对准确治疗方案。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阶段性研发</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中期</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病房看板系统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394,464.32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9" w:lineRule="exact"/>
              <w:ind w:left="0" w:right="0" w:firstLine="0"/>
              <w:jc w:val="both"/>
            </w:pPr>
            <w:r>
              <w:rPr>
                <w:color w:val="000000"/>
                <w:spacing w:val="0"/>
                <w:w w:val="100"/>
                <w:position w:val="0"/>
              </w:rPr>
              <w:t>通过对接医院</w:t>
            </w:r>
            <w:r>
              <w:rPr>
                <w:rFonts w:ascii="Times New Roman" w:eastAsia="Times New Roman" w:hAnsi="Times New Roman" w:cs="Times New Roman"/>
                <w:color w:val="000000"/>
                <w:spacing w:val="0"/>
                <w:w w:val="100"/>
                <w:position w:val="0"/>
              </w:rPr>
              <w:t>HIS</w:t>
            </w:r>
            <w:r>
              <w:rPr>
                <w:color w:val="000000"/>
                <w:spacing w:val="0"/>
                <w:w w:val="100"/>
                <w:position w:val="0"/>
              </w:rPr>
              <w:t>系统，实现对患者相关数据采集和整理，模块化显示在 护士站一体机上，实现了对医院病房看板系统的数字化、智能化、可视化 管理，弥补了医院护理信息化空缺。</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阶段性研发</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中期</w:t>
            </w:r>
          </w:p>
        </w:tc>
      </w:tr>
      <w:tr>
        <w:trPr>
          <w:trHeight w:val="427"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互联网医院系统</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3,005,654.62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允许依托医疗机构发展互联网医院。医疗机构可以使用互联网医院作为第</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阶段性研发</w:t>
            </w:r>
          </w:p>
        </w:tc>
      </w:tr>
    </w:tbl>
    <w:p>
      <w:pPr>
        <w:sectPr>
          <w:headerReference w:type="default" r:id="rId83"/>
          <w:footerReference w:type="default" r:id="rId84"/>
          <w:headerReference w:type="even" r:id="rId85"/>
          <w:footerReference w:type="even" r:id="rId86"/>
          <w:headerReference w:type="first" r:id="rId87"/>
          <w:footerReference w:type="first" r:id="rId88"/>
          <w:footnotePr>
            <w:pos w:val="pageBottom"/>
            <w:numFmt w:val="decimal"/>
            <w:numRestart w:val="continuous"/>
          </w:footnotePr>
          <w:pgSz w:w="11900" w:h="16840"/>
          <w:pgMar w:top="1117" w:right="702" w:bottom="1428" w:left="692" w:header="0" w:footer="3" w:gutter="0"/>
          <w:cols w:space="720"/>
          <w:noEndnote/>
          <w:titlePg/>
          <w:rtlGutter w:val="0"/>
          <w:docGrid w:linePitch="360"/>
        </w:sectPr>
      </w:pPr>
    </w:p>
    <w:p>
      <w:pPr>
        <w:widowControl w:val="0"/>
        <w:jc w:val="left"/>
        <w:rPr>
          <w:sz w:val="2"/>
          <w:szCs w:val="2"/>
        </w:rPr>
      </w:pPr>
      <w:r>
        <w:drawing>
          <wp:inline>
            <wp:extent cx="1298575" cy="389890"/>
            <wp:docPr id="179" name="Picutre 179"/>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89"/>
                    <a:stretch/>
                  </pic:blipFill>
                  <pic:spPr>
                    <a:xfrm>
                      <a:ext cx="1298575" cy="389890"/>
                    </a:xfrm>
                    <a:prstGeom prst="rect"/>
                  </pic:spPr>
                </pic:pic>
              </a:graphicData>
            </a:graphic>
          </wp:inline>
        </w:drawing>
      </w:r>
    </w:p>
    <w:p>
      <w:pPr>
        <w:pStyle w:val="Style26"/>
        <w:keepNext w:val="0"/>
        <w:keepLines w:val="0"/>
        <w:widowControl w:val="0"/>
        <w:shd w:val="clear" w:color="auto" w:fill="auto"/>
        <w:bidi w:val="0"/>
        <w:spacing w:before="0" w:after="0" w:line="240" w:lineRule="auto"/>
        <w:ind w:left="792" w:right="0" w:firstLine="0"/>
        <w:jc w:val="left"/>
      </w:pPr>
      <w:r>
        <w:rPr>
          <w:spacing w:val="0"/>
          <w:w w:val="100"/>
          <w:position w:val="0"/>
        </w:rPr>
        <w:t>国家高新技术企业</w:t>
      </w:r>
    </w:p>
    <w:tbl>
      <w:tblPr>
        <w:tblOverlap w:val="never"/>
        <w:jc w:val="center"/>
        <w:tblLayout w:type="fixed"/>
      </w:tblPr>
      <w:tblGrid>
        <w:gridCol w:w="1853"/>
        <w:gridCol w:w="1560"/>
        <w:gridCol w:w="5952"/>
        <w:gridCol w:w="1142"/>
      </w:tblGrid>
      <w:tr>
        <w:trPr>
          <w:trHeight w:val="2088" w:hRule="exact"/>
        </w:trPr>
        <w:tc>
          <w:tcPr>
            <w:tcBorders>
              <w:left w:val="single" w:sz="4"/>
            </w:tcBorders>
            <w:shd w:val="clear" w:color="auto" w:fill="FFFFFF"/>
            <w:vAlign w:val="top"/>
          </w:tcPr>
          <w:p>
            <w:pPr>
              <w:pStyle w:val="Style44"/>
              <w:keepNext w:val="0"/>
              <w:keepLines w:val="0"/>
              <w:widowControl w:val="0"/>
              <w:shd w:val="clear" w:color="auto" w:fill="auto"/>
              <w:tabs>
                <w:tab w:pos="1156" w:val="left"/>
              </w:tabs>
              <w:bidi w:val="0"/>
              <w:spacing w:before="0" w:after="0" w:line="240" w:lineRule="auto"/>
              <w:ind w:left="0" w:right="0" w:firstLine="580"/>
              <w:jc w:val="left"/>
              <w:rPr>
                <w:sz w:val="15"/>
                <w:szCs w:val="15"/>
              </w:rPr>
            </w:pPr>
            <w:r>
              <w:rPr>
                <w:i/>
                <w:iCs/>
                <w:color w:val="245994"/>
                <w:spacing w:val="0"/>
                <w:w w:val="100"/>
                <w:position w:val="0"/>
                <w:sz w:val="24"/>
                <w:szCs w:val="24"/>
              </w:rPr>
              <w:t>，</w:t>
            </w:r>
            <w:r>
              <w:rPr>
                <w:rFonts w:ascii="Times New Roman" w:eastAsia="Times New Roman" w:hAnsi="Times New Roman" w:cs="Times New Roman"/>
                <w:b/>
                <w:bCs/>
                <w:color w:val="245994"/>
                <w:spacing w:val="0"/>
                <w:w w:val="100"/>
                <w:position w:val="0"/>
                <w:sz w:val="32"/>
                <w:szCs w:val="32"/>
              </w:rPr>
              <w:t>1</w:t>
              <w:tab/>
            </w:r>
            <w:r>
              <w:rPr>
                <w:rFonts w:ascii="SimHei" w:eastAsia="SimHei" w:hAnsi="SimHei" w:cs="SimHei"/>
                <w:color w:val="4E698D"/>
                <w:spacing w:val="0"/>
                <w:w w:val="100"/>
                <w:position w:val="0"/>
                <w:sz w:val="15"/>
                <w:szCs w:val="15"/>
              </w:rPr>
              <w:t>股票代包</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pPr>
            <w:r>
              <w:rPr>
                <w:color w:val="4E698D"/>
                <w:spacing w:val="0"/>
                <w:w w:val="100"/>
                <w:position w:val="0"/>
                <w:sz w:val="18"/>
                <w:szCs w:val="18"/>
              </w:rPr>
              <w:t>:300290</w:t>
            </w:r>
          </w:p>
        </w:tc>
        <w:tc>
          <w:tcPr>
            <w:tcBorders>
              <w:left w:val="single" w:sz="4"/>
            </w:tcBorders>
            <w:shd w:val="clear" w:color="auto" w:fill="FFFFFF"/>
            <w:vAlign w:val="bottom"/>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二名称，在实体医院基础上，运用互联网技术提供安全适宜的医疗服务， 允许在线开展部分常见病、慢性病复诊。医师掌握患者病历资料后，允许 在线开具部分常见病、慢性病处方。</w:t>
            </w:r>
          </w:p>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支持医疗卫生机构、符合条件的第三方机构搭建互联网信息平台，开展远 程医疗、健康咨询、健康管理服务，促进医院、医务人员、患者之间的有 效沟通。</w:t>
            </w:r>
          </w:p>
        </w:tc>
        <w:tc>
          <w:tcPr>
            <w:tcBorders>
              <w:left w:val="single" w:sz="4"/>
              <w:right w:val="single" w:sz="4"/>
            </w:tcBorders>
            <w:shd w:val="clear" w:color="auto" w:fill="FFFFFF"/>
            <w:vAlign w:val="top"/>
          </w:tcPr>
          <w:p>
            <w:pPr>
              <w:pStyle w:val="Style44"/>
              <w:keepNext w:val="0"/>
              <w:keepLines w:val="0"/>
              <w:widowControl w:val="0"/>
              <w:shd w:val="clear" w:color="auto" w:fill="auto"/>
              <w:bidi w:val="0"/>
              <w:spacing w:before="200" w:after="0" w:line="240" w:lineRule="auto"/>
              <w:ind w:left="0" w:right="0" w:firstLine="0"/>
              <w:jc w:val="left"/>
            </w:pPr>
            <w:r>
              <w:rPr>
                <w:color w:val="000000"/>
                <w:spacing w:val="0"/>
                <w:w w:val="100"/>
                <w:position w:val="0"/>
              </w:rPr>
              <w:t>中期</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急诊医疗信息系统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2,672,912.76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both"/>
            </w:pPr>
            <w:r>
              <w:rPr>
                <w:color w:val="000000"/>
                <w:spacing w:val="0"/>
                <w:w w:val="100"/>
                <w:position w:val="0"/>
              </w:rPr>
              <w:t>在急诊</w:t>
            </w:r>
            <w:r>
              <w:rPr>
                <w:rFonts w:ascii="Times New Roman" w:eastAsia="Times New Roman" w:hAnsi="Times New Roman" w:cs="Times New Roman"/>
                <w:color w:val="000000"/>
                <w:spacing w:val="0"/>
                <w:w w:val="100"/>
                <w:position w:val="0"/>
              </w:rPr>
              <w:t>5.0</w:t>
            </w:r>
            <w:r>
              <w:rPr>
                <w:color w:val="000000"/>
                <w:spacing w:val="0"/>
                <w:w w:val="100"/>
                <w:position w:val="0"/>
              </w:rPr>
              <w:t>的基础上不断完善和改进以下功能。预检分诊、交接班、临床评 分、患者概览、电子医嘱。</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阶段性研发 中期</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手术室麻醉临床信息 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1,085,442.40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B/S</w:t>
            </w:r>
            <w:r>
              <w:rPr>
                <w:color w:val="000000"/>
                <w:spacing w:val="0"/>
                <w:w w:val="100"/>
                <w:position w:val="0"/>
              </w:rPr>
              <w:t>、</w:t>
            </w:r>
            <w:r>
              <w:rPr>
                <w:rFonts w:ascii="Times New Roman" w:eastAsia="Times New Roman" w:hAnsi="Times New Roman" w:cs="Times New Roman"/>
                <w:color w:val="000000"/>
                <w:spacing w:val="0"/>
                <w:w w:val="100"/>
                <w:position w:val="0"/>
              </w:rPr>
              <w:t>C/S</w:t>
            </w:r>
            <w:r>
              <w:rPr>
                <w:color w:val="000000"/>
                <w:spacing w:val="0"/>
                <w:w w:val="100"/>
                <w:position w:val="0"/>
              </w:rPr>
              <w:t>混合架构。</w:t>
            </w:r>
            <w:r>
              <w:rPr>
                <w:rFonts w:ascii="Times New Roman" w:eastAsia="Times New Roman" w:hAnsi="Times New Roman" w:cs="Times New Roman"/>
                <w:color w:val="000000"/>
                <w:spacing w:val="0"/>
                <w:w w:val="100"/>
                <w:position w:val="0"/>
              </w:rPr>
              <w:t>2</w:t>
            </w:r>
            <w:r>
              <w:rPr>
                <w:color w:val="000000"/>
                <w:spacing w:val="0"/>
                <w:w w:val="100"/>
                <w:position w:val="0"/>
              </w:rPr>
              <w:t>、手麻</w:t>
            </w:r>
            <w:r>
              <w:rPr>
                <w:rFonts w:ascii="Times New Roman" w:eastAsia="Times New Roman" w:hAnsi="Times New Roman" w:cs="Times New Roman"/>
                <w:color w:val="000000"/>
                <w:spacing w:val="0"/>
                <w:w w:val="100"/>
                <w:position w:val="0"/>
              </w:rPr>
              <w:t>6.1</w:t>
            </w:r>
            <w:r>
              <w:rPr>
                <w:color w:val="000000"/>
                <w:spacing w:val="0"/>
                <w:w w:val="100"/>
                <w:position w:val="0"/>
              </w:rPr>
              <w:t>功能迁移及优化。</w:t>
            </w:r>
            <w:r>
              <w:rPr>
                <w:rFonts w:ascii="Times New Roman" w:eastAsia="Times New Roman" w:hAnsi="Times New Roman" w:cs="Times New Roman"/>
                <w:color w:val="000000"/>
                <w:spacing w:val="0"/>
                <w:w w:val="100"/>
                <w:position w:val="0"/>
              </w:rPr>
              <w:t>3</w:t>
            </w:r>
            <w:r>
              <w:rPr>
                <w:color w:val="000000"/>
                <w:spacing w:val="0"/>
                <w:w w:val="100"/>
                <w:position w:val="0"/>
              </w:rPr>
              <w:t>、</w:t>
            </w:r>
            <w:r>
              <w:rPr>
                <w:rFonts w:ascii="Times New Roman" w:eastAsia="Times New Roman" w:hAnsi="Times New Roman" w:cs="Times New Roman"/>
                <w:color w:val="000000"/>
                <w:spacing w:val="0"/>
                <w:w w:val="100"/>
                <w:position w:val="0"/>
              </w:rPr>
              <w:t>ICIS</w:t>
            </w:r>
            <w:r>
              <w:rPr>
                <w:color w:val="000000"/>
                <w:spacing w:val="0"/>
                <w:w w:val="100"/>
                <w:position w:val="0"/>
              </w:rPr>
              <w:t>功能合并。</w:t>
            </w:r>
            <w:r>
              <w:rPr>
                <w:rFonts w:ascii="Times New Roman" w:eastAsia="Times New Roman" w:hAnsi="Times New Roman" w:cs="Times New Roman"/>
                <w:color w:val="000000"/>
                <w:spacing w:val="0"/>
                <w:w w:val="100"/>
                <w:position w:val="0"/>
              </w:rPr>
              <w:t>4</w:t>
            </w:r>
            <w:r>
              <w:rPr>
                <w:color w:val="000000"/>
                <w:spacing w:val="0"/>
                <w:w w:val="100"/>
                <w:position w:val="0"/>
              </w:rPr>
              <w:t>、 手术护理管理功能。</w:t>
            </w:r>
            <w:r>
              <w:rPr>
                <w:rFonts w:ascii="Times New Roman" w:eastAsia="Times New Roman" w:hAnsi="Times New Roman" w:cs="Times New Roman"/>
                <w:color w:val="000000"/>
                <w:spacing w:val="0"/>
                <w:w w:val="100"/>
                <w:position w:val="0"/>
              </w:rPr>
              <w:t>5</w:t>
            </w:r>
            <w:r>
              <w:rPr>
                <w:color w:val="000000"/>
                <w:spacing w:val="0"/>
                <w:w w:val="100"/>
                <w:position w:val="0"/>
              </w:rPr>
              <w:t>、手术排程升级。</w:t>
            </w:r>
            <w:r>
              <w:rPr>
                <w:rFonts w:ascii="Times New Roman" w:eastAsia="Times New Roman" w:hAnsi="Times New Roman" w:cs="Times New Roman"/>
                <w:color w:val="000000"/>
                <w:spacing w:val="0"/>
                <w:w w:val="100"/>
                <w:position w:val="0"/>
              </w:rPr>
              <w:t>6</w:t>
            </w:r>
            <w:r>
              <w:rPr>
                <w:color w:val="000000"/>
                <w:spacing w:val="0"/>
                <w:w w:val="100"/>
                <w:position w:val="0"/>
              </w:rPr>
              <w:t>、麻醉诱导。</w:t>
            </w:r>
            <w:r>
              <w:rPr>
                <w:rFonts w:ascii="Times New Roman" w:eastAsia="Times New Roman" w:hAnsi="Times New Roman" w:cs="Times New Roman"/>
                <w:color w:val="000000"/>
                <w:spacing w:val="0"/>
                <w:w w:val="100"/>
                <w:position w:val="0"/>
              </w:rPr>
              <w:t>7</w:t>
            </w:r>
            <w:r>
              <w:rPr>
                <w:color w:val="000000"/>
                <w:spacing w:val="0"/>
                <w:w w:val="100"/>
                <w:position w:val="0"/>
              </w:rPr>
              <w:t>、文书编辑工具。</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开发完毕已 经上线</w:t>
            </w:r>
          </w:p>
        </w:tc>
      </w:tr>
      <w:tr>
        <w:trPr>
          <w:trHeight w:val="1334"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312" w:lineRule="exact"/>
              <w:ind w:left="0" w:right="0" w:firstLine="0"/>
              <w:jc w:val="left"/>
            </w:pPr>
            <w:r>
              <w:rPr>
                <w:color w:val="000000"/>
                <w:spacing w:val="0"/>
                <w:w w:val="100"/>
                <w:position w:val="0"/>
              </w:rPr>
              <w:t>临床设备大数据管理 平台研发项目</w:t>
            </w:r>
          </w:p>
          <w:p>
            <w:pPr>
              <w:pStyle w:val="Style44"/>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rPr>
              <w:t>DCGW4.0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137,774.36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9" w:lineRule="exact"/>
              <w:ind w:left="0" w:right="0" w:firstLine="0"/>
              <w:jc w:val="both"/>
            </w:pPr>
            <w:r>
              <w:rPr>
                <w:color w:val="000000"/>
                <w:spacing w:val="0"/>
                <w:w w:val="100"/>
                <w:position w:val="0"/>
              </w:rPr>
              <w:t>程序架构支持旧设备的快速响应、维护；及新设备的无缝添加接入；通过 提供主要设备的解析能力，展示特定监护设备的图形，对急诊急救移动化 数据采集场景提供支持；同时为各事业部提供用于设备数据接入中间件来 简化对满足设备数据的自动化需求。</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02" w:lineRule="exact"/>
              <w:ind w:left="0" w:right="0" w:firstLine="0"/>
              <w:jc w:val="left"/>
            </w:pPr>
            <w:r>
              <w:rPr>
                <w:color w:val="000000"/>
                <w:spacing w:val="0"/>
                <w:w w:val="100"/>
                <w:position w:val="0"/>
              </w:rPr>
              <w:t>开发完毕已 经上线</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color w:val="000000"/>
                <w:spacing w:val="0"/>
                <w:w w:val="100"/>
                <w:position w:val="0"/>
              </w:rPr>
              <w:t>专病中心急救管理信</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息平台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1,213,705.17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通过平台，建立单一病种院前急救工作站，有针对性的管理一些病种的院 前病例；完成数据上报、质控统计、转诊、筛查、随访及康复管理工作； 开通绿色通道流程管理系统。</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color w:val="000000"/>
                <w:spacing w:val="0"/>
                <w:w w:val="100"/>
                <w:position w:val="0"/>
              </w:rPr>
              <w:t>开发完毕已</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经上线</w:t>
            </w:r>
          </w:p>
        </w:tc>
      </w:tr>
      <w:tr>
        <w:trPr>
          <w:trHeight w:val="1339"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color w:val="000000"/>
                <w:spacing w:val="0"/>
                <w:w w:val="100"/>
                <w:position w:val="0"/>
              </w:rPr>
              <w:t>急危重症诊疗辅助平</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台软件</w:t>
            </w:r>
            <w:r>
              <w:rPr>
                <w:rFonts w:ascii="Times New Roman" w:eastAsia="Times New Roman" w:hAnsi="Times New Roman" w:cs="Times New Roman"/>
                <w:color w:val="000000"/>
                <w:spacing w:val="0"/>
                <w:w w:val="100"/>
                <w:position w:val="0"/>
              </w:rPr>
              <w:t>V3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195,116.87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5" w:lineRule="exact"/>
              <w:ind w:left="0" w:right="0" w:firstLine="0"/>
              <w:jc w:val="both"/>
            </w:pPr>
            <w:r>
              <w:rPr>
                <w:color w:val="000000"/>
                <w:spacing w:val="0"/>
                <w:w w:val="100"/>
                <w:position w:val="0"/>
              </w:rPr>
              <w:t>基于</w:t>
            </w:r>
            <w:r>
              <w:rPr>
                <w:rFonts w:ascii="Times New Roman" w:eastAsia="Times New Roman" w:hAnsi="Times New Roman" w:cs="Times New Roman"/>
                <w:color w:val="000000"/>
                <w:spacing w:val="0"/>
                <w:w w:val="100"/>
                <w:position w:val="0"/>
              </w:rPr>
              <w:t>V2.1</w:t>
            </w:r>
            <w:r>
              <w:rPr>
                <w:color w:val="000000"/>
                <w:spacing w:val="0"/>
                <w:w w:val="100"/>
                <w:position w:val="0"/>
              </w:rPr>
              <w:t>增加</w:t>
            </w:r>
            <w:r>
              <w:rPr>
                <w:rFonts w:ascii="Times New Roman" w:eastAsia="Times New Roman" w:hAnsi="Times New Roman" w:cs="Times New Roman"/>
                <w:color w:val="000000"/>
                <w:spacing w:val="0"/>
                <w:w w:val="100"/>
                <w:position w:val="0"/>
              </w:rPr>
              <w:t>CDS</w:t>
            </w:r>
            <w:r>
              <w:rPr>
                <w:color w:val="000000"/>
                <w:spacing w:val="0"/>
                <w:w w:val="100"/>
                <w:position w:val="0"/>
              </w:rPr>
              <w:t>组件，封装为</w:t>
            </w:r>
            <w:r>
              <w:rPr>
                <w:rFonts w:ascii="Times New Roman" w:eastAsia="Times New Roman" w:hAnsi="Times New Roman" w:cs="Times New Roman"/>
                <w:color w:val="000000"/>
                <w:spacing w:val="0"/>
                <w:w w:val="100"/>
                <w:position w:val="0"/>
              </w:rPr>
              <w:t>V3.0</w:t>
            </w:r>
            <w:r>
              <w:rPr>
                <w:color w:val="000000"/>
                <w:spacing w:val="0"/>
                <w:w w:val="100"/>
                <w:position w:val="0"/>
              </w:rPr>
              <w:t>，支持从米健的急诊、重症、单病种 等业务系统或其他厂商系统接入患者信息及数据，通过逻辑引擎（支持用 户自定义规则）自动进行条件判断，动态提供诊疗提示，用于诊疗辅助； 同时通过保存接入的患者数据积累典型病例，用于教学培训。</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阶段性研发 中期</w:t>
            </w:r>
          </w:p>
        </w:tc>
      </w:tr>
      <w:tr>
        <w:trPr>
          <w:trHeight w:val="1651"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98" w:lineRule="exact"/>
              <w:ind w:left="0" w:right="0" w:firstLine="0"/>
              <w:jc w:val="left"/>
            </w:pPr>
            <w:r>
              <w:rPr>
                <w:color w:val="000000"/>
                <w:spacing w:val="0"/>
                <w:w w:val="100"/>
                <w:position w:val="0"/>
              </w:rPr>
              <w:t>重症医学临床信息系 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1,887,912.79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3" w:lineRule="exact"/>
              <w:ind w:left="0" w:right="0" w:firstLine="0"/>
              <w:jc w:val="both"/>
            </w:pPr>
            <w:r>
              <w:rPr>
                <w:color w:val="000000"/>
                <w:spacing w:val="0"/>
                <w:w w:val="100"/>
                <w:position w:val="0"/>
              </w:rPr>
              <w:t>通过完善产品功能，增强用户粘性，降低实施难度，缩短交付周期；增强 上一版本的功能。在原有</w:t>
            </w:r>
            <w:r>
              <w:rPr>
                <w:rFonts w:ascii="Times New Roman" w:eastAsia="Times New Roman" w:hAnsi="Times New Roman" w:cs="Times New Roman"/>
                <w:color w:val="000000"/>
                <w:spacing w:val="0"/>
                <w:w w:val="100"/>
                <w:position w:val="0"/>
              </w:rPr>
              <w:t>ICIS4.1</w:t>
            </w:r>
            <w:r>
              <w:rPr>
                <w:color w:val="000000"/>
                <w:spacing w:val="0"/>
                <w:w w:val="100"/>
                <w:position w:val="0"/>
              </w:rPr>
              <w:t>的基础上实现以下功能，</w:t>
            </w:r>
            <w:r>
              <w:rPr>
                <w:rFonts w:ascii="Times New Roman" w:eastAsia="Times New Roman" w:hAnsi="Times New Roman" w:cs="Times New Roman"/>
                <w:color w:val="000000"/>
                <w:spacing w:val="0"/>
                <w:w w:val="100"/>
                <w:position w:val="0"/>
              </w:rPr>
              <w:t>1</w:t>
            </w:r>
            <w:r>
              <w:rPr>
                <w:color w:val="000000"/>
                <w:spacing w:val="0"/>
                <w:w w:val="100"/>
                <w:position w:val="0"/>
              </w:rPr>
              <w:t>、报表、图表 分析工具。</w:t>
            </w:r>
            <w:r>
              <w:rPr>
                <w:rFonts w:ascii="Times New Roman" w:eastAsia="Times New Roman" w:hAnsi="Times New Roman" w:cs="Times New Roman"/>
                <w:color w:val="000000"/>
                <w:spacing w:val="0"/>
                <w:w w:val="100"/>
                <w:position w:val="0"/>
              </w:rPr>
              <w:t>2</w:t>
            </w:r>
            <w:r>
              <w:rPr>
                <w:color w:val="000000"/>
                <w:spacing w:val="0"/>
                <w:w w:val="100"/>
                <w:position w:val="0"/>
              </w:rPr>
              <w:t>、流程引擎。</w:t>
            </w:r>
            <w:r>
              <w:rPr>
                <w:rFonts w:ascii="Times New Roman" w:eastAsia="Times New Roman" w:hAnsi="Times New Roman" w:cs="Times New Roman"/>
                <w:color w:val="000000"/>
                <w:spacing w:val="0"/>
                <w:w w:val="100"/>
                <w:position w:val="0"/>
              </w:rPr>
              <w:t>3</w:t>
            </w:r>
            <w:r>
              <w:rPr>
                <w:color w:val="000000"/>
                <w:spacing w:val="0"/>
                <w:w w:val="100"/>
                <w:position w:val="0"/>
              </w:rPr>
              <w:t>、文书工具优化。</w:t>
            </w:r>
            <w:r>
              <w:rPr>
                <w:rFonts w:ascii="Times New Roman" w:eastAsia="Times New Roman" w:hAnsi="Times New Roman" w:cs="Times New Roman"/>
                <w:color w:val="000000"/>
                <w:spacing w:val="0"/>
                <w:w w:val="100"/>
                <w:position w:val="0"/>
              </w:rPr>
              <w:t>4</w:t>
            </w:r>
            <w:r>
              <w:rPr>
                <w:color w:val="000000"/>
                <w:spacing w:val="0"/>
                <w:w w:val="100"/>
                <w:position w:val="0"/>
              </w:rPr>
              <w:t>、信息读取配置。</w:t>
            </w:r>
            <w:r>
              <w:rPr>
                <w:rFonts w:ascii="Times New Roman" w:eastAsia="Times New Roman" w:hAnsi="Times New Roman" w:cs="Times New Roman"/>
                <w:color w:val="000000"/>
                <w:spacing w:val="0"/>
                <w:w w:val="100"/>
                <w:position w:val="0"/>
              </w:rPr>
              <w:t>5</w:t>
            </w:r>
            <w:r>
              <w:rPr>
                <w:color w:val="000000"/>
                <w:spacing w:val="0"/>
                <w:w w:val="100"/>
                <w:position w:val="0"/>
              </w:rPr>
              <w:t>、系统 配置信息适用范围。</w:t>
            </w:r>
            <w:r>
              <w:rPr>
                <w:rFonts w:ascii="Times New Roman" w:eastAsia="Times New Roman" w:hAnsi="Times New Roman" w:cs="Times New Roman"/>
                <w:color w:val="000000"/>
                <w:spacing w:val="0"/>
                <w:w w:val="100"/>
                <w:position w:val="0"/>
              </w:rPr>
              <w:t>6</w:t>
            </w:r>
            <w:r>
              <w:rPr>
                <w:color w:val="000000"/>
                <w:spacing w:val="0"/>
                <w:w w:val="100"/>
                <w:position w:val="0"/>
              </w:rPr>
              <w:t>、交班交接。</w:t>
            </w:r>
            <w:r>
              <w:rPr>
                <w:rFonts w:ascii="Times New Roman" w:eastAsia="Times New Roman" w:hAnsi="Times New Roman" w:cs="Times New Roman"/>
                <w:color w:val="000000"/>
                <w:spacing w:val="0"/>
                <w:w w:val="100"/>
                <w:position w:val="0"/>
              </w:rPr>
              <w:t>7</w:t>
            </w:r>
            <w:r>
              <w:rPr>
                <w:color w:val="000000"/>
                <w:spacing w:val="0"/>
                <w:w w:val="100"/>
                <w:position w:val="0"/>
              </w:rPr>
              <w:t>、预警提醒（标准通用配置）。</w:t>
            </w:r>
            <w:r>
              <w:rPr>
                <w:rFonts w:ascii="Times New Roman" w:eastAsia="Times New Roman" w:hAnsi="Times New Roman" w:cs="Times New Roman"/>
                <w:color w:val="000000"/>
                <w:spacing w:val="0"/>
                <w:w w:val="100"/>
                <w:position w:val="0"/>
              </w:rPr>
              <w:t>8</w:t>
            </w:r>
            <w:r>
              <w:rPr>
                <w:color w:val="000000"/>
                <w:spacing w:val="0"/>
                <w:w w:val="100"/>
                <w:position w:val="0"/>
              </w:rPr>
              <w:t>、驾 驶舱。</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color w:val="000000"/>
                <w:spacing w:val="0"/>
                <w:w w:val="100"/>
                <w:position w:val="0"/>
              </w:rPr>
              <w:t>开发完毕已</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经上线</w:t>
            </w:r>
          </w:p>
        </w:tc>
      </w:tr>
      <w:tr>
        <w:trPr>
          <w:trHeight w:val="1022"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临床危重事件早期预</w:t>
            </w:r>
          </w:p>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警与干预技术服务模</w:t>
            </w:r>
          </w:p>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式研发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1,753,017.07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病区内客制化的质控、统计的显示大屏和消息助手，用于提供可视化的病 区数据以及及时的病情预警；病情病历的结构化转化以及后续的科研数据 整合、检索，以可视化或其他方式呈现。</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阶段性研发 中期</w:t>
            </w:r>
          </w:p>
        </w:tc>
      </w:tr>
      <w:tr>
        <w:trPr>
          <w:trHeight w:val="427"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15,456,705.92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2"/>
        <w:keepNext w:val="0"/>
        <w:keepLines w:val="0"/>
        <w:widowControl w:val="0"/>
        <w:shd w:val="clear" w:color="auto" w:fill="auto"/>
        <w:bidi w:val="0"/>
        <w:spacing w:before="0" w:after="380" w:line="312" w:lineRule="exact"/>
        <w:ind w:left="420" w:right="0" w:firstLine="0"/>
        <w:jc w:val="both"/>
      </w:pPr>
      <w:r>
        <w:rPr>
          <w:color w:val="000000"/>
          <w:spacing w:val="0"/>
          <w:w w:val="100"/>
          <w:position w:val="0"/>
        </w:rPr>
        <w:t>评审形成立项报告后，研发项目组完成软件设计、代码编写、系统测试、通过内部的验收评审并完成了产品化需要的各类文 档等工作，可以达到可使用或可销售状态。</w:t>
      </w:r>
    </w:p>
    <w:p>
      <w:pPr>
        <w:pStyle w:val="Style55"/>
        <w:keepNext/>
        <w:keepLines/>
        <w:widowControl w:val="0"/>
        <w:shd w:val="clear" w:color="auto" w:fill="auto"/>
        <w:bidi w:val="0"/>
        <w:spacing w:before="0" w:after="380" w:line="240" w:lineRule="auto"/>
        <w:ind w:left="0" w:right="0" w:firstLine="420"/>
        <w:jc w:val="left"/>
      </w:pPr>
      <w:bookmarkStart w:id="168" w:name="bookmark168"/>
      <w:bookmarkStart w:id="169" w:name="bookmark169"/>
      <w:bookmarkStart w:id="170" w:name="bookmark170"/>
      <w:bookmarkStart w:id="171" w:name="bookmark171"/>
      <w:r>
        <w:rPr>
          <w:rFonts w:ascii="Times New Roman" w:eastAsia="Times New Roman" w:hAnsi="Times New Roman" w:cs="Times New Roman"/>
          <w:color w:val="000000"/>
          <w:spacing w:val="0"/>
          <w:w w:val="100"/>
          <w:position w:val="0"/>
        </w:rPr>
        <w:t>5</w:t>
      </w:r>
      <w:bookmarkEnd w:id="170"/>
      <w:r>
        <w:rPr>
          <w:color w:val="000000"/>
          <w:spacing w:val="0"/>
          <w:w w:val="100"/>
          <w:position w:val="0"/>
        </w:rPr>
        <w:t>、现金流</w:t>
      </w:r>
      <w:bookmarkEnd w:id="168"/>
      <w:bookmarkEnd w:id="169"/>
      <w:bookmarkEnd w:id="171"/>
    </w:p>
    <w:p>
      <w:pPr>
        <w:pStyle w:val="Style32"/>
        <w:keepNext w:val="0"/>
        <w:keepLines w:val="0"/>
        <w:widowControl w:val="0"/>
        <w:shd w:val="clear" w:color="auto" w:fill="auto"/>
        <w:bidi w:val="0"/>
        <w:spacing w:before="0" w:after="80" w:line="240" w:lineRule="auto"/>
        <w:ind w:left="0" w:right="420" w:firstLine="0"/>
        <w:jc w:val="right"/>
      </w:pPr>
      <w:r>
        <w:rPr>
          <w:color w:val="000000"/>
          <w:spacing w:val="0"/>
          <w:w w:val="100"/>
          <w:position w:val="0"/>
        </w:rPr>
        <w:t>单位：元</w:t>
      </w:r>
    </w:p>
    <w:tbl>
      <w:tblPr>
        <w:tblOverlap w:val="never"/>
        <w:jc w:val="center"/>
        <w:tblLayout w:type="fixed"/>
      </w:tblPr>
      <w:tblGrid>
        <w:gridCol w:w="2702"/>
        <w:gridCol w:w="2549"/>
        <w:gridCol w:w="2414"/>
        <w:gridCol w:w="1920"/>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同比增减</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928,138,756.49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60" w:right="0" w:firstLine="0"/>
              <w:jc w:val="left"/>
            </w:pPr>
            <w:r>
              <w:rPr>
                <w:rFonts w:ascii="Times New Roman" w:eastAsia="Times New Roman" w:hAnsi="Times New Roman" w:cs="Times New Roman"/>
                <w:color w:val="000000"/>
                <w:spacing w:val="0"/>
                <w:w w:val="100"/>
                <w:position w:val="0"/>
              </w:rPr>
              <w:t>825,223,926.87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814,305,535.89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60" w:right="0" w:firstLine="0"/>
              <w:jc w:val="left"/>
            </w:pPr>
            <w:r>
              <w:rPr>
                <w:rFonts w:ascii="Times New Roman" w:eastAsia="Times New Roman" w:hAnsi="Times New Roman" w:cs="Times New Roman"/>
                <w:color w:val="000000"/>
                <w:spacing w:val="0"/>
                <w:w w:val="100"/>
                <w:position w:val="0"/>
              </w:rPr>
              <w:t>744,921,036.69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9.31%</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113,833,220.60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80,302,890.18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41.75%</w:t>
            </w:r>
          </w:p>
        </w:tc>
      </w:tr>
    </w:tbl>
    <w:p>
      <w:pPr>
        <w:sectPr>
          <w:headerReference w:type="default" r:id="rId91"/>
          <w:footerReference w:type="default" r:id="rId92"/>
          <w:headerReference w:type="even" r:id="rId93"/>
          <w:footerReference w:type="even" r:id="rId94"/>
          <w:footnotePr>
            <w:pos w:val="pageBottom"/>
            <w:numFmt w:val="decimal"/>
            <w:numRestart w:val="continuous"/>
          </w:footnotePr>
          <w:pgSz w:w="11900" w:h="16840"/>
          <w:pgMar w:top="692" w:right="702" w:bottom="1158" w:left="692" w:header="0" w:footer="3" w:gutter="0"/>
          <w:cols w:space="720"/>
          <w:noEndnote/>
          <w:rtlGutter w:val="0"/>
          <w:docGrid w:linePitch="360"/>
        </w:sectPr>
      </w:pPr>
    </w:p>
    <w:p>
      <w:pPr>
        <w:widowControl w:val="0"/>
        <w:jc w:val="left"/>
        <w:rPr>
          <w:sz w:val="2"/>
          <w:szCs w:val="2"/>
        </w:rPr>
      </w:pPr>
      <w:r>
        <w:drawing>
          <wp:inline>
            <wp:extent cx="1298575" cy="481330"/>
            <wp:docPr id="190" name="Picutre 190"/>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95"/>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2702"/>
        <w:gridCol w:w="2549"/>
        <w:gridCol w:w="2414"/>
        <w:gridCol w:w="1920"/>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231,984,009.65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60" w:right="0" w:firstLine="0"/>
              <w:jc w:val="left"/>
            </w:pPr>
            <w:r>
              <w:rPr>
                <w:rFonts w:ascii="Times New Roman" w:eastAsia="Times New Roman" w:hAnsi="Times New Roman" w:cs="Times New Roman"/>
                <w:color w:val="000000"/>
                <w:spacing w:val="0"/>
                <w:w w:val="100"/>
                <w:position w:val="0"/>
              </w:rPr>
              <w:t>238,416,668.06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348,150,505.32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60" w:right="0" w:firstLine="0"/>
              <w:jc w:val="left"/>
            </w:pPr>
            <w:r>
              <w:rPr>
                <w:rFonts w:ascii="Times New Roman" w:eastAsia="Times New Roman" w:hAnsi="Times New Roman" w:cs="Times New Roman"/>
                <w:color w:val="000000"/>
                <w:spacing w:val="0"/>
                <w:w w:val="100"/>
                <w:position w:val="0"/>
              </w:rPr>
              <w:t>388,515,431.19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-10.39%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-116,166,495.67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-150,098,763.13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22.61%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246,845,587.86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60" w:right="0" w:firstLine="0"/>
              <w:jc w:val="left"/>
            </w:pPr>
            <w:r>
              <w:rPr>
                <w:rFonts w:ascii="Times New Roman" w:eastAsia="Times New Roman" w:hAnsi="Times New Roman" w:cs="Times New Roman"/>
                <w:color w:val="000000"/>
                <w:spacing w:val="0"/>
                <w:w w:val="100"/>
                <w:position w:val="0"/>
              </w:rPr>
              <w:t>261,602,435.57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144,293,536.13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60" w:right="0" w:firstLine="0"/>
              <w:jc w:val="left"/>
            </w:pPr>
            <w:r>
              <w:rPr>
                <w:rFonts w:ascii="Times New Roman" w:eastAsia="Times New Roman" w:hAnsi="Times New Roman" w:cs="Times New Roman"/>
                <w:color w:val="000000"/>
                <w:spacing w:val="0"/>
                <w:w w:val="100"/>
                <w:position w:val="0"/>
              </w:rPr>
              <w:t>102,014,088.58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41.44%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102,552,051.73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60" w:right="0" w:firstLine="0"/>
              <w:jc w:val="left"/>
            </w:pPr>
            <w:r>
              <w:rPr>
                <w:rFonts w:ascii="Times New Roman" w:eastAsia="Times New Roman" w:hAnsi="Times New Roman" w:cs="Times New Roman"/>
                <w:color w:val="000000"/>
                <w:spacing w:val="0"/>
                <w:w w:val="100"/>
                <w:position w:val="0"/>
              </w:rPr>
              <w:t>159,588,346.99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-35.74%</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100,209,658.78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89,802,394.81</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11.59%</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相关数据同比发生重大变动的主要影响因素说明</w:t>
      </w:r>
    </w:p>
    <w:p>
      <w:pPr>
        <w:widowControl w:val="0"/>
        <w:spacing w:after="99" w:line="1" w:lineRule="exact"/>
      </w:pPr>
    </w:p>
    <w:p>
      <w:pPr>
        <w:pStyle w:val="Style32"/>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V</w:t>
      </w:r>
      <w:r>
        <w:rPr>
          <w:color w:val="000000"/>
          <w:spacing w:val="0"/>
          <w:w w:val="100"/>
          <w:position w:val="0"/>
        </w:rPr>
        <w:t>适用口不适用</w:t>
      </w:r>
    </w:p>
    <w:p>
      <w:pPr>
        <w:pStyle w:val="Style32"/>
        <w:keepNext w:val="0"/>
        <w:keepLines w:val="0"/>
        <w:widowControl w:val="0"/>
        <w:shd w:val="clear" w:color="auto" w:fill="auto"/>
        <w:tabs>
          <w:tab w:pos="865" w:val="left"/>
        </w:tabs>
        <w:bidi w:val="0"/>
        <w:spacing w:before="0" w:after="0" w:line="365" w:lineRule="exact"/>
        <w:ind w:left="400" w:right="0" w:firstLine="20"/>
        <w:jc w:val="both"/>
      </w:pPr>
      <w:bookmarkStart w:id="172" w:name="bookmark172"/>
      <w:r>
        <w:rPr>
          <w:color w:val="000000"/>
          <w:spacing w:val="0"/>
          <w:w w:val="100"/>
          <w:position w:val="0"/>
        </w:rPr>
        <w:t>（</w:t>
      </w:r>
      <w:bookmarkEnd w:id="172"/>
      <w:r>
        <w:rPr>
          <w:rFonts w:ascii="Times New Roman" w:eastAsia="Times New Roman" w:hAnsi="Times New Roman" w:cs="Times New Roman"/>
          <w:color w:val="000000"/>
          <w:spacing w:val="0"/>
          <w:w w:val="100"/>
          <w:position w:val="0"/>
        </w:rPr>
        <w:t>1</w:t>
      </w:r>
      <w:r>
        <w:rPr>
          <w:color w:val="000000"/>
          <w:spacing w:val="0"/>
          <w:w w:val="100"/>
          <w:position w:val="0"/>
        </w:rPr>
        <w:t>）</w:t>
        <w:tab/>
        <w:t>经营活动产生的现金流量净额较上年同期增幅</w:t>
      </w:r>
      <w:r>
        <w:rPr>
          <w:rFonts w:ascii="Times New Roman" w:eastAsia="Times New Roman" w:hAnsi="Times New Roman" w:cs="Times New Roman"/>
          <w:color w:val="000000"/>
          <w:spacing w:val="0"/>
          <w:w w:val="100"/>
          <w:position w:val="0"/>
        </w:rPr>
        <w:t>41.75%</w:t>
      </w:r>
      <w:r>
        <w:rPr>
          <w:color w:val="000000"/>
          <w:spacing w:val="0"/>
          <w:w w:val="100"/>
          <w:position w:val="0"/>
        </w:rPr>
        <w:t>,主要系本报告期销售商品、提供劳务收到的现金增加所致。</w:t>
      </w:r>
    </w:p>
    <w:p>
      <w:pPr>
        <w:pStyle w:val="Style32"/>
        <w:keepNext w:val="0"/>
        <w:keepLines w:val="0"/>
        <w:widowControl w:val="0"/>
        <w:shd w:val="clear" w:color="auto" w:fill="auto"/>
        <w:tabs>
          <w:tab w:pos="865" w:val="left"/>
        </w:tabs>
        <w:bidi w:val="0"/>
        <w:spacing w:before="0" w:after="0" w:line="365" w:lineRule="exact"/>
        <w:ind w:left="400" w:right="0" w:firstLine="20"/>
        <w:jc w:val="both"/>
      </w:pPr>
      <w:bookmarkStart w:id="173" w:name="bookmark173"/>
      <w:r>
        <w:rPr>
          <w:color w:val="000000"/>
          <w:spacing w:val="0"/>
          <w:w w:val="100"/>
          <w:position w:val="0"/>
        </w:rPr>
        <w:t>（</w:t>
      </w:r>
      <w:bookmarkEnd w:id="173"/>
      <w:r>
        <w:rPr>
          <w:rFonts w:ascii="Times New Roman" w:eastAsia="Times New Roman" w:hAnsi="Times New Roman" w:cs="Times New Roman"/>
          <w:color w:val="000000"/>
          <w:spacing w:val="0"/>
          <w:w w:val="100"/>
          <w:position w:val="0"/>
        </w:rPr>
        <w:t>2</w:t>
      </w:r>
      <w:r>
        <w:rPr>
          <w:color w:val="000000"/>
          <w:spacing w:val="0"/>
          <w:w w:val="100"/>
          <w:position w:val="0"/>
        </w:rPr>
        <w:t>）</w:t>
        <w:tab/>
        <w:t>投资活动产生的现金流量净额较上年同期增幅</w:t>
      </w:r>
      <w:r>
        <w:rPr>
          <w:rFonts w:ascii="Times New Roman" w:eastAsia="Times New Roman" w:hAnsi="Times New Roman" w:cs="Times New Roman"/>
          <w:color w:val="000000"/>
          <w:spacing w:val="0"/>
          <w:w w:val="100"/>
          <w:position w:val="0"/>
        </w:rPr>
        <w:t>22.61%</w:t>
      </w:r>
      <w:r>
        <w:rPr>
          <w:color w:val="000000"/>
          <w:spacing w:val="0"/>
          <w:w w:val="100"/>
          <w:position w:val="0"/>
        </w:rPr>
        <w:t>,主要系本报告期投资支付的现金减少所致。</w:t>
      </w:r>
    </w:p>
    <w:p>
      <w:pPr>
        <w:pStyle w:val="Style32"/>
        <w:keepNext w:val="0"/>
        <w:keepLines w:val="0"/>
        <w:widowControl w:val="0"/>
        <w:shd w:val="clear" w:color="auto" w:fill="auto"/>
        <w:tabs>
          <w:tab w:pos="865" w:val="left"/>
        </w:tabs>
        <w:bidi w:val="0"/>
        <w:spacing w:before="0" w:after="0" w:line="365" w:lineRule="exact"/>
        <w:ind w:left="400" w:right="0" w:firstLine="20"/>
        <w:jc w:val="both"/>
      </w:pPr>
      <w:bookmarkStart w:id="174" w:name="bookmark174"/>
      <w:r>
        <w:rPr>
          <w:color w:val="000000"/>
          <w:spacing w:val="0"/>
          <w:w w:val="100"/>
          <w:position w:val="0"/>
        </w:rPr>
        <w:t>（</w:t>
      </w:r>
      <w:bookmarkEnd w:id="174"/>
      <w:r>
        <w:rPr>
          <w:rFonts w:ascii="Times New Roman" w:eastAsia="Times New Roman" w:hAnsi="Times New Roman" w:cs="Times New Roman"/>
          <w:color w:val="000000"/>
          <w:spacing w:val="0"/>
          <w:w w:val="100"/>
          <w:position w:val="0"/>
        </w:rPr>
        <w:t>3</w:t>
      </w:r>
      <w:r>
        <w:rPr>
          <w:color w:val="000000"/>
          <w:spacing w:val="0"/>
          <w:w w:val="100"/>
          <w:position w:val="0"/>
        </w:rPr>
        <w:t>）</w:t>
        <w:tab/>
        <w:t>筹资活动现金流出小计较上年同期增幅</w:t>
      </w:r>
      <w:r>
        <w:rPr>
          <w:rFonts w:ascii="Times New Roman" w:eastAsia="Times New Roman" w:hAnsi="Times New Roman" w:cs="Times New Roman"/>
          <w:color w:val="000000"/>
          <w:spacing w:val="0"/>
          <w:w w:val="100"/>
          <w:position w:val="0"/>
        </w:rPr>
        <w:t>41.44%</w:t>
      </w:r>
      <w:r>
        <w:rPr>
          <w:color w:val="000000"/>
          <w:spacing w:val="0"/>
          <w:w w:val="100"/>
          <w:position w:val="0"/>
        </w:rPr>
        <w:t>，主要系本报告期偿还债务支付的现金增加所致。</w:t>
      </w:r>
    </w:p>
    <w:p>
      <w:pPr>
        <w:pStyle w:val="Style32"/>
        <w:keepNext w:val="0"/>
        <w:keepLines w:val="0"/>
        <w:widowControl w:val="0"/>
        <w:shd w:val="clear" w:color="auto" w:fill="auto"/>
        <w:tabs>
          <w:tab w:pos="865" w:val="left"/>
        </w:tabs>
        <w:bidi w:val="0"/>
        <w:spacing w:before="0" w:after="0" w:line="365" w:lineRule="exact"/>
        <w:ind w:left="400" w:right="0" w:firstLine="20"/>
        <w:jc w:val="both"/>
      </w:pPr>
      <w:bookmarkStart w:id="175" w:name="bookmark175"/>
      <w:r>
        <w:rPr>
          <w:color w:val="000000"/>
          <w:spacing w:val="0"/>
          <w:w w:val="100"/>
          <w:position w:val="0"/>
        </w:rPr>
        <w:t>（</w:t>
      </w:r>
      <w:bookmarkEnd w:id="175"/>
      <w:r>
        <w:rPr>
          <w:rFonts w:ascii="Times New Roman" w:eastAsia="Times New Roman" w:hAnsi="Times New Roman" w:cs="Times New Roman"/>
          <w:color w:val="000000"/>
          <w:spacing w:val="0"/>
          <w:w w:val="100"/>
          <w:position w:val="0"/>
        </w:rPr>
        <w:t>4</w:t>
      </w:r>
      <w:r>
        <w:rPr>
          <w:color w:val="000000"/>
          <w:spacing w:val="0"/>
          <w:w w:val="100"/>
          <w:position w:val="0"/>
        </w:rPr>
        <w:t>）</w:t>
        <w:tab/>
        <w:t>筹资活动产生的现金流量净额较上年同期减幅</w:t>
      </w:r>
      <w:r>
        <w:rPr>
          <w:rFonts w:ascii="Times New Roman" w:eastAsia="Times New Roman" w:hAnsi="Times New Roman" w:cs="Times New Roman"/>
          <w:color w:val="000000"/>
          <w:spacing w:val="0"/>
          <w:w w:val="100"/>
          <w:position w:val="0"/>
        </w:rPr>
        <w:t>35.74%</w:t>
      </w:r>
      <w:r>
        <w:rPr>
          <w:color w:val="000000"/>
          <w:spacing w:val="0"/>
          <w:w w:val="100"/>
          <w:position w:val="0"/>
        </w:rPr>
        <w:t>，主要系本报告期筹资活动现金流出增加所致。</w:t>
      </w:r>
    </w:p>
    <w:p>
      <w:pPr>
        <w:pStyle w:val="Style32"/>
        <w:keepNext w:val="0"/>
        <w:keepLines w:val="0"/>
        <w:widowControl w:val="0"/>
        <w:shd w:val="clear" w:color="auto" w:fill="auto"/>
        <w:tabs>
          <w:tab w:pos="941" w:val="left"/>
        </w:tabs>
        <w:bidi w:val="0"/>
        <w:spacing w:before="0" w:after="0" w:line="365" w:lineRule="exact"/>
        <w:ind w:left="400" w:right="0" w:firstLine="20"/>
        <w:jc w:val="both"/>
      </w:pPr>
      <w:bookmarkStart w:id="176" w:name="bookmark176"/>
      <w:r>
        <w:rPr>
          <w:color w:val="000000"/>
          <w:spacing w:val="0"/>
          <w:w w:val="100"/>
          <w:position w:val="0"/>
        </w:rPr>
        <w:t>（</w:t>
      </w:r>
      <w:bookmarkEnd w:id="176"/>
      <w:r>
        <w:rPr>
          <w:rFonts w:ascii="Times New Roman" w:eastAsia="Times New Roman" w:hAnsi="Times New Roman" w:cs="Times New Roman"/>
          <w:color w:val="000000"/>
          <w:spacing w:val="0"/>
          <w:w w:val="100"/>
          <w:position w:val="0"/>
        </w:rPr>
        <w:t>5</w:t>
      </w:r>
      <w:r>
        <w:rPr>
          <w:color w:val="000000"/>
          <w:spacing w:val="0"/>
          <w:w w:val="100"/>
          <w:position w:val="0"/>
        </w:rPr>
        <w:t>）</w:t>
        <w:tab/>
        <w:t>现金及现金等价物净增加额较上年同期增幅</w:t>
      </w:r>
      <w:r>
        <w:rPr>
          <w:rFonts w:ascii="Times New Roman" w:eastAsia="Times New Roman" w:hAnsi="Times New Roman" w:cs="Times New Roman"/>
          <w:color w:val="000000"/>
          <w:spacing w:val="0"/>
          <w:w w:val="100"/>
          <w:position w:val="0"/>
        </w:rPr>
        <w:t>11.59%</w:t>
      </w:r>
      <w:r>
        <w:rPr>
          <w:color w:val="000000"/>
          <w:spacing w:val="0"/>
          <w:w w:val="100"/>
          <w:position w:val="0"/>
        </w:rPr>
        <w:t>，主要系本报告期经营活动现金流量及投资活动现金流量增加所致。 报告期内公司经营活动产生的现金净流量与本年度净利润存在重大差异的原因说明</w:t>
      </w:r>
    </w:p>
    <w:p>
      <w:pPr>
        <w:pStyle w:val="Style32"/>
        <w:keepNext w:val="0"/>
        <w:keepLines w:val="0"/>
        <w:widowControl w:val="0"/>
        <w:shd w:val="clear" w:color="auto" w:fill="auto"/>
        <w:bidi w:val="0"/>
        <w:spacing w:before="0" w:after="340" w:line="365" w:lineRule="exact"/>
        <w:ind w:left="400" w:right="0" w:firstLine="2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7"/>
        <w:keepNext/>
        <w:keepLines/>
        <w:widowControl w:val="0"/>
        <w:shd w:val="clear" w:color="auto" w:fill="auto"/>
        <w:bidi w:val="0"/>
        <w:spacing w:before="0" w:line="240" w:lineRule="auto"/>
        <w:ind w:left="400" w:right="0" w:firstLine="20"/>
        <w:jc w:val="both"/>
      </w:pPr>
      <w:bookmarkStart w:id="177" w:name="bookmark177"/>
      <w:bookmarkStart w:id="178" w:name="bookmark178"/>
      <w:bookmarkStart w:id="179" w:name="bookmark179"/>
      <w:bookmarkStart w:id="180" w:name="bookmark180"/>
      <w:r>
        <w:rPr>
          <w:color w:val="000000"/>
          <w:spacing w:val="0"/>
          <w:w w:val="100"/>
          <w:position w:val="0"/>
          <w:sz w:val="24"/>
          <w:szCs w:val="24"/>
        </w:rPr>
        <w:t>三</w:t>
      </w:r>
      <w:bookmarkEnd w:id="179"/>
      <w:r>
        <w:rPr>
          <w:color w:val="000000"/>
          <w:spacing w:val="0"/>
          <w:w w:val="100"/>
          <w:position w:val="0"/>
          <w:sz w:val="24"/>
          <w:szCs w:val="24"/>
        </w:rPr>
        <w:t>、非主营业务情况</w:t>
      </w:r>
      <w:bookmarkEnd w:id="177"/>
      <w:bookmarkEnd w:id="178"/>
      <w:bookmarkEnd w:id="180"/>
    </w:p>
    <w:p>
      <w:pPr>
        <w:pStyle w:val="Style32"/>
        <w:keepNext w:val="0"/>
        <w:keepLines w:val="0"/>
        <w:widowControl w:val="0"/>
        <w:shd w:val="clear" w:color="auto" w:fill="auto"/>
        <w:bidi w:val="0"/>
        <w:spacing w:before="0" w:after="100" w:line="240" w:lineRule="auto"/>
        <w:ind w:left="400" w:right="0" w:firstLine="2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702"/>
        <w:gridCol w:w="1560"/>
        <w:gridCol w:w="1416"/>
        <w:gridCol w:w="2270"/>
        <w:gridCol w:w="1637"/>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占利润总额比例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形成原因说明</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是否具有可持续性</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4,149,600.52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主要系理财收益等</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资产减值损失（损失以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-6,627,482.28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主要系存货跌价损失等</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营业外收入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467,186.41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主要系收到赔偿款等</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营业外支出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2,587,130.55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主要系支付赔款、滞纳金等</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信用减值损失（损失以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8,717,568.34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主要系计提的坏账准备减少</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widowControl w:val="0"/>
        <w:spacing w:after="339" w:line="1" w:lineRule="exact"/>
      </w:pPr>
    </w:p>
    <w:p>
      <w:pPr>
        <w:pStyle w:val="Style47"/>
        <w:keepNext/>
        <w:keepLines/>
        <w:widowControl w:val="0"/>
        <w:shd w:val="clear" w:color="auto" w:fill="auto"/>
        <w:bidi w:val="0"/>
        <w:spacing w:before="0" w:line="240" w:lineRule="auto"/>
        <w:ind w:left="0" w:right="0" w:firstLine="400"/>
        <w:jc w:val="both"/>
      </w:pPr>
      <w:bookmarkStart w:id="181" w:name="bookmark181"/>
      <w:bookmarkStart w:id="182" w:name="bookmark182"/>
      <w:bookmarkStart w:id="183" w:name="bookmark183"/>
      <w:bookmarkStart w:id="184" w:name="bookmark184"/>
      <w:r>
        <w:rPr>
          <w:color w:val="000000"/>
          <w:spacing w:val="0"/>
          <w:w w:val="100"/>
          <w:position w:val="0"/>
          <w:sz w:val="24"/>
          <w:szCs w:val="24"/>
        </w:rPr>
        <w:t>四</w:t>
      </w:r>
      <w:bookmarkEnd w:id="183"/>
      <w:r>
        <w:rPr>
          <w:color w:val="000000"/>
          <w:spacing w:val="0"/>
          <w:w w:val="100"/>
          <w:position w:val="0"/>
          <w:sz w:val="24"/>
          <w:szCs w:val="24"/>
        </w:rPr>
        <w:t>、资产及负债状况分析</w:t>
      </w:r>
      <w:bookmarkEnd w:id="181"/>
      <w:bookmarkEnd w:id="182"/>
      <w:bookmarkEnd w:id="184"/>
    </w:p>
    <w:p>
      <w:pPr>
        <w:pStyle w:val="Style55"/>
        <w:keepNext/>
        <w:keepLines/>
        <w:widowControl w:val="0"/>
        <w:shd w:val="clear" w:color="auto" w:fill="auto"/>
        <w:bidi w:val="0"/>
        <w:spacing w:before="0" w:after="340" w:line="240" w:lineRule="auto"/>
        <w:ind w:left="0" w:right="0" w:firstLine="400"/>
        <w:jc w:val="both"/>
      </w:pPr>
      <w:bookmarkStart w:id="185" w:name="bookmark185"/>
      <w:bookmarkStart w:id="186" w:name="bookmark186"/>
      <w:bookmarkStart w:id="187" w:name="bookmark187"/>
      <w:bookmarkStart w:id="188" w:name="bookmark188"/>
      <w:r>
        <w:rPr>
          <w:rFonts w:ascii="Times New Roman" w:eastAsia="Times New Roman" w:hAnsi="Times New Roman" w:cs="Times New Roman"/>
          <w:color w:val="000000"/>
          <w:spacing w:val="0"/>
          <w:w w:val="100"/>
          <w:position w:val="0"/>
        </w:rPr>
        <w:t>1</w:t>
      </w:r>
      <w:bookmarkEnd w:id="187"/>
      <w:r>
        <w:rPr>
          <w:color w:val="000000"/>
          <w:spacing w:val="0"/>
          <w:w w:val="100"/>
          <w:position w:val="0"/>
        </w:rPr>
        <w:t>、资产构成重大变动情况</w:t>
      </w:r>
      <w:bookmarkEnd w:id="185"/>
      <w:bookmarkEnd w:id="186"/>
      <w:bookmarkEnd w:id="188"/>
    </w:p>
    <w:p>
      <w:pPr>
        <w:pStyle w:val="Style32"/>
        <w:keepNext w:val="0"/>
        <w:keepLines w:val="0"/>
        <w:widowControl w:val="0"/>
        <w:shd w:val="clear" w:color="auto" w:fill="auto"/>
        <w:bidi w:val="0"/>
        <w:spacing w:before="0" w:after="100" w:line="240" w:lineRule="auto"/>
        <w:ind w:left="0" w:right="0" w:firstLine="400"/>
        <w:jc w:val="left"/>
      </w:pPr>
      <w:r>
        <w:rPr>
          <w:color w:val="000000"/>
          <w:spacing w:val="0"/>
          <w:w w:val="100"/>
          <w:position w:val="0"/>
        </w:rPr>
        <w:t>公司</w:t>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年起首次执行新收入准则或新租赁准则且调整执行当年年初财务报表相关项目</w:t>
      </w:r>
    </w:p>
    <w:p>
      <w:pPr>
        <w:pStyle w:val="Style32"/>
        <w:keepNext w:val="0"/>
        <w:keepLines w:val="0"/>
        <w:widowControl w:val="0"/>
        <w:shd w:val="clear" w:color="auto" w:fill="auto"/>
        <w:bidi w:val="0"/>
        <w:spacing w:before="0" w:after="100" w:line="240" w:lineRule="auto"/>
        <w:ind w:left="0" w:right="0" w:firstLine="40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570"/>
        <w:gridCol w:w="1397"/>
        <w:gridCol w:w="874"/>
        <w:gridCol w:w="1272"/>
        <w:gridCol w:w="854"/>
        <w:gridCol w:w="850"/>
        <w:gridCol w:w="3197"/>
      </w:tblGrid>
      <w:tr>
        <w:trPr>
          <w:trHeight w:val="403"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年末</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年初</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比重增减</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725" w:hRule="exact"/>
        </w:trPr>
        <w:tc>
          <w:tcPr>
            <w:vMerge/>
            <w:tcBorders>
              <w:left w:val="single" w:sz="4"/>
              <w:bottom w:val="single" w:sz="4"/>
            </w:tcBorders>
            <w:shd w:val="clear" w:color="auto" w:fill="D4D4D4"/>
            <w:vAlign w:val="center"/>
          </w:tcPr>
          <w:p>
            <w:pP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占总资产</w:t>
            </w:r>
          </w:p>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占总资产</w:t>
            </w:r>
          </w:p>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vMerge/>
            <w:tcBorders>
              <w:left w:val="single" w:sz="4"/>
              <w:bottom w:val="single" w:sz="4"/>
            </w:tcBorders>
            <w:shd w:val="clear" w:color="auto" w:fill="D4D4D4"/>
            <w:vAlign w:val="center"/>
          </w:tcPr>
          <w:p>
            <w:pPr/>
          </w:p>
        </w:tc>
        <w:tc>
          <w:tcPr>
            <w:vMerge/>
            <w:tcBorders>
              <w:left w:val="single" w:sz="4"/>
              <w:bottom w:val="single" w:sz="4"/>
              <w:right w:val="single" w:sz="4"/>
            </w:tcBorders>
            <w:shd w:val="clear" w:color="auto" w:fill="D4D4D4"/>
            <w:vAlign w:val="center"/>
          </w:tcPr>
          <w:p>
            <w:pPr/>
          </w:p>
        </w:tc>
      </w:tr>
    </w:tbl>
    <w:p>
      <w:pPr>
        <w:sectPr>
          <w:footnotePr>
            <w:pos w:val="pageBottom"/>
            <w:numFmt w:val="decimal"/>
            <w:numRestart w:val="continuous"/>
          </w:footnotePr>
          <w:pgSz w:w="11900" w:h="16840"/>
          <w:pgMar w:top="692" w:right="1022" w:bottom="1162" w:left="692" w:header="0" w:footer="3" w:gutter="0"/>
          <w:cols w:space="720"/>
          <w:noEndnote/>
          <w:rtlGutter w:val="0"/>
          <w:docGrid w:linePitch="360"/>
        </w:sectPr>
      </w:pPr>
    </w:p>
    <w:tbl>
      <w:tblPr>
        <w:tblOverlap w:val="never"/>
        <w:jc w:val="left"/>
        <w:tblLayout w:type="fixed"/>
      </w:tblPr>
      <w:tblGrid>
        <w:gridCol w:w="1579"/>
        <w:gridCol w:w="1387"/>
        <w:gridCol w:w="874"/>
        <w:gridCol w:w="1272"/>
        <w:gridCol w:w="854"/>
        <w:gridCol w:w="850"/>
        <w:gridCol w:w="3197"/>
      </w:tblGrid>
      <w:tr>
        <w:trPr>
          <w:trHeight w:val="715" w:hRule="exact"/>
        </w:trPr>
        <w:tc>
          <w:tcPr>
            <w:tcBorders>
              <w:top w:val="single" w:sz="4"/>
              <w:left w:val="single" w:sz="4"/>
            </w:tcBorders>
            <w:shd w:val="clear" w:color="auto" w:fill="D4D4D4"/>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383,850,263.97</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19.36%</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285,888,396.42</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18.02%</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w:t>
            </w:r>
          </w:p>
        </w:tc>
        <w:tc>
          <w:tcPr>
            <w:tcBorders>
              <w:top w:val="single" w:sz="4"/>
              <w:left w:val="single" w:sz="4"/>
              <w:righ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312" w:lineRule="exact"/>
              <w:ind w:left="0" w:right="0" w:firstLine="0"/>
              <w:jc w:val="both"/>
            </w:pPr>
            <w:r>
              <w:rPr>
                <w:color w:val="000000"/>
                <w:spacing w:val="0"/>
                <w:w w:val="100"/>
                <w:position w:val="0"/>
              </w:rPr>
              <w:t>主要系本报告期经营活动产生的现金流 量净额增加所致。</w:t>
            </w:r>
          </w:p>
        </w:tc>
      </w:tr>
      <w:tr>
        <w:trPr>
          <w:trHeight w:val="403" w:hRule="exact"/>
        </w:trPr>
        <w:tc>
          <w:tcPr>
            <w:tcBorders>
              <w:top w:val="single" w:sz="4"/>
              <w:left w:val="single" w:sz="4"/>
            </w:tcBorders>
            <w:shd w:val="clear" w:color="auto" w:fill="D4D4D4"/>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519,317,597.44</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26.19%</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471,472,230.23</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29.72%</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-3.53%</w:t>
            </w:r>
          </w:p>
        </w:tc>
        <w:tc>
          <w:tcPr>
            <w:tcBorders>
              <w:top w:val="single" w:sz="4"/>
              <w:left w:val="single" w:sz="4"/>
              <w:right w:val="single" w:sz="4"/>
            </w:tcBorders>
            <w:shd w:val="clear" w:color="auto" w:fill="FFFFFF"/>
            <w:vAlign w:val="top"/>
          </w:tcPr>
          <w:p>
            <w:pPr>
              <w:framePr w:w="10013" w:h="7426" w:vSpace="365" w:wrap="none" w:hAnchor="page" w:x="696" w:y="285"/>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126,107,583.51</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6.36%</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96,567,129.62</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6.09%</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0.27%</w:t>
            </w:r>
          </w:p>
        </w:tc>
        <w:tc>
          <w:tcPr>
            <w:tcBorders>
              <w:top w:val="single" w:sz="4"/>
              <w:left w:val="single" w:sz="4"/>
              <w:righ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312" w:lineRule="exact"/>
              <w:ind w:left="0" w:right="0" w:firstLine="0"/>
              <w:jc w:val="left"/>
            </w:pPr>
            <w:r>
              <w:rPr>
                <w:color w:val="000000"/>
                <w:spacing w:val="0"/>
                <w:w w:val="100"/>
                <w:position w:val="0"/>
              </w:rPr>
              <w:t>主要系本报告期未完工项目增加及纳入 合并报表范围的子公司增加所致。</w:t>
            </w:r>
          </w:p>
        </w:tc>
      </w:tr>
      <w:tr>
        <w:trPr>
          <w:trHeight w:val="403" w:hRule="exact"/>
        </w:trPr>
        <w:tc>
          <w:tcPr>
            <w:tcBorders>
              <w:top w:val="single" w:sz="4"/>
              <w:left w:val="single" w:sz="4"/>
            </w:tcBorders>
            <w:shd w:val="clear" w:color="auto" w:fill="D4D4D4"/>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6,187,087.17</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0.31%</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6,379,939.53</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0.40%</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-0.09%</w:t>
            </w:r>
          </w:p>
        </w:tc>
        <w:tc>
          <w:tcPr>
            <w:tcBorders>
              <w:top w:val="single" w:sz="4"/>
              <w:left w:val="single" w:sz="4"/>
              <w:right w:val="single" w:sz="4"/>
            </w:tcBorders>
            <w:shd w:val="clear" w:color="auto" w:fill="FFFFFF"/>
            <w:vAlign w:val="top"/>
          </w:tcPr>
          <w:p>
            <w:pPr>
              <w:framePr w:w="10013" w:h="7426" w:vSpace="365" w:wrap="none" w:hAnchor="page" w:x="696" w:y="285"/>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195,893.26</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0.01%</w:t>
            </w:r>
          </w:p>
        </w:tc>
        <w:tc>
          <w:tcPr>
            <w:tcBorders>
              <w:top w:val="single" w:sz="4"/>
              <w:left w:val="single" w:sz="4"/>
            </w:tcBorders>
            <w:shd w:val="clear" w:color="auto" w:fill="FFFFFF"/>
            <w:vAlign w:val="top"/>
          </w:tcPr>
          <w:p>
            <w:pPr>
              <w:framePr w:w="10013" w:h="7426" w:vSpace="365" w:wrap="none" w:hAnchor="page" w:x="696"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0.01%</w:t>
            </w:r>
          </w:p>
        </w:tc>
        <w:tc>
          <w:tcPr>
            <w:tcBorders>
              <w:top w:val="single" w:sz="4"/>
              <w:left w:val="single" w:sz="4"/>
              <w:right w:val="single" w:sz="4"/>
            </w:tcBorders>
            <w:shd w:val="clear" w:color="auto" w:fill="FFFFFF"/>
            <w:vAlign w:val="top"/>
          </w:tcPr>
          <w:p>
            <w:pPr>
              <w:framePr w:w="10013" w:h="7426" w:vSpace="365" w:wrap="none" w:hAnchor="page" w:x="696"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105,481,564.59</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5.32%</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118,445,101.06</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7.47%</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w:t>
            </w:r>
          </w:p>
        </w:tc>
        <w:tc>
          <w:tcPr>
            <w:tcBorders>
              <w:top w:val="single" w:sz="4"/>
              <w:left w:val="single" w:sz="4"/>
              <w:right w:val="single" w:sz="4"/>
            </w:tcBorders>
            <w:shd w:val="clear" w:color="auto" w:fill="FFFFFF"/>
            <w:vAlign w:val="top"/>
          </w:tcPr>
          <w:p>
            <w:pPr>
              <w:framePr w:w="10013" w:h="7426" w:vSpace="365" w:wrap="none" w:hAnchor="page" w:x="696" w:y="285"/>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11,206,129.82</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0.57%</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3,723,101.47</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0.23%</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0.34%</w:t>
            </w:r>
          </w:p>
        </w:tc>
        <w:tc>
          <w:tcPr>
            <w:tcBorders>
              <w:top w:val="single" w:sz="4"/>
              <w:left w:val="single" w:sz="4"/>
              <w:righ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310" w:lineRule="exact"/>
              <w:ind w:left="0" w:right="0" w:firstLine="0"/>
              <w:jc w:val="both"/>
            </w:pPr>
            <w:r>
              <w:rPr>
                <w:color w:val="000000"/>
                <w:spacing w:val="0"/>
                <w:w w:val="100"/>
                <w:position w:val="0"/>
              </w:rPr>
              <w:t>主要系本报告期子公司神州视翰基于分 级诊疗的远程视频服务平台项目建设投 入增加所致。</w:t>
            </w:r>
          </w:p>
        </w:tc>
      </w:tr>
      <w:tr>
        <w:trPr>
          <w:trHeight w:val="715" w:hRule="exact"/>
        </w:trPr>
        <w:tc>
          <w:tcPr>
            <w:tcBorders>
              <w:top w:val="single" w:sz="4"/>
              <w:left w:val="single" w:sz="4"/>
            </w:tcBorders>
            <w:shd w:val="clear" w:color="auto" w:fill="D4D4D4"/>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108,327,969.32</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5.46%</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76,827,924.93</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4.84%</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0.62%</w:t>
            </w:r>
          </w:p>
        </w:tc>
        <w:tc>
          <w:tcPr>
            <w:tcBorders>
              <w:top w:val="single" w:sz="4"/>
              <w:left w:val="single" w:sz="4"/>
              <w:righ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312" w:lineRule="exact"/>
              <w:ind w:left="0" w:right="0" w:firstLine="0"/>
              <w:jc w:val="both"/>
            </w:pPr>
            <w:r>
              <w:rPr>
                <w:color w:val="000000"/>
                <w:spacing w:val="0"/>
                <w:w w:val="100"/>
                <w:position w:val="0"/>
              </w:rPr>
              <w:t>主要系本报告期取得银行借款增加所 致。</w:t>
            </w:r>
          </w:p>
        </w:tc>
      </w:tr>
      <w:tr>
        <w:trPr>
          <w:trHeight w:val="398" w:hRule="exact"/>
        </w:trPr>
        <w:tc>
          <w:tcPr>
            <w:tcBorders>
              <w:top w:val="single" w:sz="4"/>
              <w:left w:val="single" w:sz="4"/>
            </w:tcBorders>
            <w:shd w:val="clear" w:color="auto" w:fill="D4D4D4"/>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24,646,000.00</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1.24%</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52,234,500.00</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3.29%</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-2.05%</w:t>
            </w:r>
          </w:p>
        </w:tc>
        <w:tc>
          <w:tcPr>
            <w:tcBorders>
              <w:top w:val="single" w:sz="4"/>
              <w:left w:val="single" w:sz="4"/>
              <w:righ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both"/>
            </w:pPr>
            <w:r>
              <w:rPr>
                <w:color w:val="000000"/>
                <w:spacing w:val="0"/>
                <w:w w:val="100"/>
                <w:position w:val="0"/>
              </w:rPr>
              <w:t>主要系本报告期偿还到期借款所致。</w:t>
            </w:r>
          </w:p>
        </w:tc>
      </w:tr>
      <w:tr>
        <w:trPr>
          <w:trHeight w:val="403" w:hRule="exact"/>
        </w:trPr>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85,450,790.14</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4.31%</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81,434,696.40</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5.13%</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-0.82%</w:t>
            </w:r>
          </w:p>
        </w:tc>
        <w:tc>
          <w:tcPr>
            <w:tcBorders>
              <w:top w:val="single" w:sz="4"/>
              <w:left w:val="single" w:sz="4"/>
              <w:right w:val="single" w:sz="4"/>
            </w:tcBorders>
            <w:shd w:val="clear" w:color="auto" w:fill="FFFFFF"/>
            <w:vAlign w:val="top"/>
          </w:tcPr>
          <w:p>
            <w:pPr>
              <w:framePr w:w="10013" w:h="7426" w:vSpace="365" w:wrap="none" w:hAnchor="page" w:x="696" w:y="285"/>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商誉</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467,158,739.00</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23.56%</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329,950,878.75</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20.80%</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2.76%</w:t>
            </w:r>
          </w:p>
        </w:tc>
        <w:tc>
          <w:tcPr>
            <w:tcBorders>
              <w:top w:val="single" w:sz="4"/>
              <w:left w:val="single" w:sz="4"/>
              <w:righ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307" w:lineRule="exact"/>
              <w:ind w:left="0" w:right="0" w:firstLine="0"/>
              <w:jc w:val="left"/>
            </w:pPr>
            <w:r>
              <w:rPr>
                <w:color w:val="000000"/>
                <w:spacing w:val="0"/>
                <w:w w:val="100"/>
                <w:position w:val="0"/>
              </w:rPr>
              <w:t>主要系本报告期收购上海今创信息技术 有限公司股权所形成的商誉。</w:t>
            </w:r>
          </w:p>
        </w:tc>
      </w:tr>
      <w:tr>
        <w:trPr>
          <w:trHeight w:val="403" w:hRule="exact"/>
        </w:trPr>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180,952,896.63</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9.13%</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153,463,464.58</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9.68%</w:t>
            </w:r>
          </w:p>
        </w:tc>
        <w:tc>
          <w:tcPr>
            <w:tcBorders>
              <w:top w:val="single" w:sz="4"/>
              <w:lef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-0.55%</w:t>
            </w:r>
          </w:p>
        </w:tc>
        <w:tc>
          <w:tcPr>
            <w:tcBorders>
              <w:top w:val="single" w:sz="4"/>
              <w:left w:val="single" w:sz="4"/>
              <w:right w:val="single" w:sz="4"/>
            </w:tcBorders>
            <w:shd w:val="clear" w:color="auto" w:fill="FFFFFF"/>
            <w:vAlign w:val="top"/>
          </w:tcPr>
          <w:p>
            <w:pPr>
              <w:framePr w:w="10013" w:h="7426" w:vSpace="365" w:wrap="none" w:hAnchor="page" w:x="696" w:y="285"/>
              <w:widowControl w:val="0"/>
              <w:rPr>
                <w:sz w:val="10"/>
                <w:szCs w:val="10"/>
              </w:rPr>
            </w:pPr>
          </w:p>
        </w:tc>
      </w:tr>
      <w:tr>
        <w:trPr>
          <w:trHeight w:val="725" w:hRule="exact"/>
        </w:trPr>
        <w:tc>
          <w:tcPr>
            <w:tcBorders>
              <w:top w:val="single" w:sz="4"/>
              <w:left w:val="single" w:sz="4"/>
              <w:bottom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bottom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106,717,946.62</w:t>
            </w:r>
          </w:p>
        </w:tc>
        <w:tc>
          <w:tcPr>
            <w:tcBorders>
              <w:top w:val="single" w:sz="4"/>
              <w:left w:val="single" w:sz="4"/>
              <w:bottom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5.38%</w:t>
            </w:r>
          </w:p>
        </w:tc>
        <w:tc>
          <w:tcPr>
            <w:tcBorders>
              <w:top w:val="single" w:sz="4"/>
              <w:left w:val="single" w:sz="4"/>
              <w:bottom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80,657,844.43</w:t>
            </w:r>
          </w:p>
        </w:tc>
        <w:tc>
          <w:tcPr>
            <w:tcBorders>
              <w:top w:val="single" w:sz="4"/>
              <w:left w:val="single" w:sz="4"/>
              <w:bottom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5.09%</w:t>
            </w:r>
          </w:p>
        </w:tc>
        <w:tc>
          <w:tcPr>
            <w:tcBorders>
              <w:top w:val="single" w:sz="4"/>
              <w:left w:val="single" w:sz="4"/>
              <w:bottom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c>
          <w:tcPr>
            <w:tcBorders>
              <w:top w:val="single" w:sz="4"/>
              <w:left w:val="single" w:sz="4"/>
              <w:bottom w:val="single" w:sz="4"/>
              <w:right w:val="single" w:sz="4"/>
            </w:tcBorders>
            <w:shd w:val="clear" w:color="auto" w:fill="FFFFFF"/>
            <w:vAlign w:val="center"/>
          </w:tcPr>
          <w:p>
            <w:pPr>
              <w:pStyle w:val="Style44"/>
              <w:keepNext w:val="0"/>
              <w:keepLines w:val="0"/>
              <w:framePr w:w="10013" w:h="7426" w:vSpace="365" w:wrap="none" w:hAnchor="page" w:x="696" w:y="285"/>
              <w:widowControl w:val="0"/>
              <w:shd w:val="clear" w:color="auto" w:fill="auto"/>
              <w:bidi w:val="0"/>
              <w:spacing w:before="0" w:after="0" w:line="312" w:lineRule="exact"/>
              <w:ind w:left="0" w:right="0" w:firstLine="0"/>
              <w:jc w:val="left"/>
            </w:pPr>
            <w:r>
              <w:rPr>
                <w:color w:val="000000"/>
                <w:spacing w:val="0"/>
                <w:w w:val="100"/>
                <w:position w:val="0"/>
              </w:rPr>
              <w:t>主要系本报告期软件开发、产品化软件 销售及系统集成项目预收款增加所致。</w:t>
            </w:r>
          </w:p>
        </w:tc>
      </w:tr>
    </w:tbl>
    <w:p>
      <w:pPr>
        <w:framePr w:w="10013" w:h="7426" w:vSpace="365" w:wrap="none" w:hAnchor="page" w:x="696" w:y="285"/>
        <w:widowControl w:val="0"/>
        <w:spacing w:line="1" w:lineRule="exact"/>
      </w:pPr>
    </w:p>
    <w:p>
      <w:pPr>
        <w:pStyle w:val="Style49"/>
        <w:keepNext w:val="0"/>
        <w:keepLines w:val="0"/>
        <w:framePr w:w="1291" w:h="408" w:wrap="none" w:hAnchor="page" w:x="1925" w:y="-80"/>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pStyle w:val="Style55"/>
        <w:keepNext/>
        <w:keepLines/>
        <w:framePr w:w="3101" w:h="864" w:wrap="none" w:hAnchor="page" w:x="1109" w:y="8387"/>
        <w:widowControl w:val="0"/>
        <w:shd w:val="clear" w:color="auto" w:fill="auto"/>
        <w:bidi w:val="0"/>
        <w:spacing w:before="0" w:after="380" w:line="240" w:lineRule="auto"/>
        <w:ind w:left="0" w:right="0" w:firstLine="0"/>
        <w:jc w:val="left"/>
      </w:pPr>
      <w:bookmarkStart w:id="189" w:name="bookmark189"/>
      <w:bookmarkStart w:id="190" w:name="bookmark190"/>
      <w:bookmarkStart w:id="191" w:name="bookmark191"/>
      <w:r>
        <w:rPr>
          <w:rFonts w:ascii="Times New Roman" w:eastAsia="Times New Roman" w:hAnsi="Times New Roman" w:cs="Times New Roman"/>
          <w:color w:val="000000"/>
          <w:spacing w:val="0"/>
          <w:w w:val="100"/>
          <w:position w:val="0"/>
        </w:rPr>
        <w:t>2</w:t>
      </w:r>
      <w:r>
        <w:rPr>
          <w:color w:val="000000"/>
          <w:spacing w:val="0"/>
          <w:w w:val="100"/>
          <w:position w:val="0"/>
        </w:rPr>
        <w:t>、以公允价值计量的资产和负债</w:t>
      </w:r>
      <w:bookmarkEnd w:id="189"/>
      <w:bookmarkEnd w:id="190"/>
      <w:bookmarkEnd w:id="191"/>
    </w:p>
    <w:p>
      <w:pPr>
        <w:pStyle w:val="Style32"/>
        <w:keepNext w:val="0"/>
        <w:keepLines w:val="0"/>
        <w:framePr w:w="3101" w:h="864" w:wrap="none" w:hAnchor="page" w:x="1109" w:y="8387"/>
        <w:widowControl w:val="0"/>
        <w:shd w:val="clear" w:color="auto" w:fill="auto"/>
        <w:bidi w:val="0"/>
        <w:spacing w:before="0" w:after="0" w:line="240" w:lineRule="auto"/>
        <w:ind w:left="0" w:right="0" w:firstLine="0"/>
        <w:jc w:val="left"/>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framePr w:w="758" w:h="230" w:wrap="none" w:hAnchor="page" w:x="10037" w:y="9367"/>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left"/>
        <w:tblLayout w:type="fixed"/>
      </w:tblPr>
      <w:tblGrid>
        <w:gridCol w:w="1565"/>
        <w:gridCol w:w="1133"/>
        <w:gridCol w:w="1133"/>
        <w:gridCol w:w="1421"/>
        <w:gridCol w:w="931"/>
        <w:gridCol w:w="1195"/>
        <w:gridCol w:w="1061"/>
        <w:gridCol w:w="917"/>
        <w:gridCol w:w="1219"/>
      </w:tblGrid>
      <w:tr>
        <w:trPr>
          <w:trHeight w:val="442" w:hRule="exact"/>
        </w:trPr>
        <w:tc>
          <w:tcPr>
            <w:vMerge w:val="restart"/>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600"/>
              <w:jc w:val="left"/>
            </w:pPr>
            <w:r>
              <w:rPr>
                <w:color w:val="000000"/>
                <w:spacing w:val="0"/>
                <w:w w:val="100"/>
                <w:position w:val="0"/>
              </w:rPr>
              <w:t>项目</w:t>
            </w:r>
          </w:p>
        </w:tc>
        <w:tc>
          <w:tcPr>
            <w:vMerge w:val="restart"/>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center"/>
            </w:pPr>
            <w:r>
              <w:rPr>
                <w:color w:val="000000"/>
                <w:spacing w:val="0"/>
                <w:w w:val="100"/>
                <w:position w:val="0"/>
              </w:rPr>
              <w:t>本期公允价</w:t>
            </w:r>
          </w:p>
        </w:tc>
        <w:tc>
          <w:tcPr>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center"/>
            </w:pPr>
            <w:r>
              <w:rPr>
                <w:color w:val="000000"/>
                <w:spacing w:val="0"/>
                <w:w w:val="100"/>
                <w:position w:val="0"/>
              </w:rPr>
              <w:t>计入权益的累计</w:t>
            </w:r>
          </w:p>
        </w:tc>
        <w:tc>
          <w:tcPr>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center"/>
            </w:pPr>
            <w:r>
              <w:rPr>
                <w:color w:val="000000"/>
                <w:spacing w:val="0"/>
                <w:w w:val="100"/>
                <w:position w:val="0"/>
              </w:rPr>
              <w:t>本期计提</w:t>
            </w:r>
          </w:p>
        </w:tc>
        <w:tc>
          <w:tcPr>
            <w:vMerge w:val="restart"/>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right"/>
            </w:pPr>
            <w:r>
              <w:rPr>
                <w:color w:val="000000"/>
                <w:spacing w:val="0"/>
                <w:w w:val="100"/>
                <w:position w:val="0"/>
              </w:rPr>
              <w:t>本期购买金额</w:t>
            </w:r>
          </w:p>
        </w:tc>
        <w:tc>
          <w:tcPr>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center"/>
            </w:pPr>
            <w:r>
              <w:rPr>
                <w:color w:val="000000"/>
                <w:spacing w:val="0"/>
                <w:w w:val="100"/>
                <w:position w:val="0"/>
              </w:rPr>
              <w:t>本期出售金</w:t>
            </w:r>
          </w:p>
        </w:tc>
        <w:tc>
          <w:tcPr>
            <w:vMerge w:val="restart"/>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color w:val="000000"/>
                <w:spacing w:val="0"/>
                <w:w w:val="100"/>
                <w:position w:val="0"/>
              </w:rPr>
              <w:t>其他变动</w:t>
            </w:r>
          </w:p>
        </w:tc>
        <w:tc>
          <w:tcPr>
            <w:vMerge w:val="restart"/>
            <w:tcBorders>
              <w:top w:val="single" w:sz="4"/>
              <w:left w:val="single" w:sz="4"/>
              <w:righ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340" w:firstLine="0"/>
              <w:jc w:val="right"/>
            </w:pPr>
            <w:r>
              <w:rPr>
                <w:color w:val="000000"/>
                <w:spacing w:val="0"/>
                <w:w w:val="100"/>
                <w:position w:val="0"/>
              </w:rPr>
              <w:t>期末数</w:t>
            </w:r>
          </w:p>
        </w:tc>
      </w:tr>
      <w:tr>
        <w:trPr>
          <w:trHeight w:val="278" w:hRule="exact"/>
        </w:trPr>
        <w:tc>
          <w:tcPr>
            <w:vMerge/>
            <w:tcBorders>
              <w:left w:val="single" w:sz="4"/>
            </w:tcBorders>
            <w:shd w:val="clear" w:color="auto" w:fill="D4D4D4"/>
            <w:vAlign w:val="center"/>
          </w:tcPr>
          <w:p>
            <w:pPr>
              <w:framePr w:w="10574" w:h="2736" w:wrap="none" w:hAnchor="page" w:x="134" w:y="9674"/>
            </w:pPr>
          </w:p>
        </w:tc>
        <w:tc>
          <w:tcPr>
            <w:vMerge/>
            <w:tcBorders>
              <w:left w:val="single" w:sz="4"/>
            </w:tcBorders>
            <w:shd w:val="clear" w:color="auto" w:fill="D4D4D4"/>
            <w:vAlign w:val="center"/>
          </w:tcPr>
          <w:p>
            <w:pPr>
              <w:framePr w:w="10574" w:h="2736" w:wrap="none" w:hAnchor="page" w:x="134" w:y="9674"/>
            </w:pPr>
          </w:p>
        </w:tc>
        <w:tc>
          <w:tcPr>
            <w:tcBorders>
              <w:left w:val="single" w:sz="4"/>
            </w:tcBorders>
            <w:shd w:val="clear" w:color="auto" w:fill="D4D4D4"/>
            <w:vAlign w:val="top"/>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center"/>
            </w:pPr>
            <w:r>
              <w:rPr>
                <w:color w:val="000000"/>
                <w:spacing w:val="0"/>
                <w:w w:val="100"/>
                <w:position w:val="0"/>
              </w:rPr>
              <w:t>值变动损益</w:t>
            </w:r>
          </w:p>
        </w:tc>
        <w:tc>
          <w:tcPr>
            <w:tcBorders>
              <w:left w:val="single" w:sz="4"/>
            </w:tcBorders>
            <w:shd w:val="clear" w:color="auto" w:fill="D4D4D4"/>
            <w:vAlign w:val="top"/>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center"/>
            </w:pPr>
            <w:r>
              <w:rPr>
                <w:color w:val="000000"/>
                <w:spacing w:val="0"/>
                <w:w w:val="100"/>
                <w:position w:val="0"/>
              </w:rPr>
              <w:t>公允价值变动</w:t>
            </w:r>
          </w:p>
        </w:tc>
        <w:tc>
          <w:tcPr>
            <w:tcBorders>
              <w:left w:val="single" w:sz="4"/>
            </w:tcBorders>
            <w:shd w:val="clear" w:color="auto" w:fill="D4D4D4"/>
            <w:vAlign w:val="top"/>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center"/>
            </w:pPr>
            <w:r>
              <w:rPr>
                <w:color w:val="000000"/>
                <w:spacing w:val="0"/>
                <w:w w:val="100"/>
                <w:position w:val="0"/>
              </w:rPr>
              <w:t>的减值</w:t>
            </w:r>
          </w:p>
        </w:tc>
        <w:tc>
          <w:tcPr>
            <w:vMerge/>
            <w:tcBorders>
              <w:left w:val="single" w:sz="4"/>
            </w:tcBorders>
            <w:shd w:val="clear" w:color="auto" w:fill="D4D4D4"/>
            <w:vAlign w:val="center"/>
          </w:tcPr>
          <w:p>
            <w:pPr>
              <w:framePr w:w="10574" w:h="2736" w:wrap="none" w:hAnchor="page" w:x="134" w:y="9674"/>
            </w:pPr>
          </w:p>
        </w:tc>
        <w:tc>
          <w:tcPr>
            <w:tcBorders>
              <w:left w:val="single" w:sz="4"/>
            </w:tcBorders>
            <w:shd w:val="clear" w:color="auto" w:fill="D4D4D4"/>
            <w:vAlign w:val="top"/>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center"/>
            </w:pPr>
            <w:r>
              <w:rPr>
                <w:color w:val="000000"/>
                <w:spacing w:val="0"/>
                <w:w w:val="100"/>
                <w:position w:val="0"/>
              </w:rPr>
              <w:t>额</w:t>
            </w:r>
          </w:p>
        </w:tc>
        <w:tc>
          <w:tcPr>
            <w:vMerge/>
            <w:tcBorders>
              <w:left w:val="single" w:sz="4"/>
            </w:tcBorders>
            <w:shd w:val="clear" w:color="auto" w:fill="D4D4D4"/>
            <w:vAlign w:val="center"/>
          </w:tcPr>
          <w:p>
            <w:pPr>
              <w:framePr w:w="10574" w:h="2736" w:wrap="none" w:hAnchor="page" w:x="134" w:y="9674"/>
            </w:pPr>
          </w:p>
        </w:tc>
        <w:tc>
          <w:tcPr>
            <w:vMerge/>
            <w:tcBorders>
              <w:left w:val="single" w:sz="4"/>
              <w:right w:val="single" w:sz="4"/>
            </w:tcBorders>
            <w:shd w:val="clear" w:color="auto" w:fill="D4D4D4"/>
            <w:vAlign w:val="center"/>
          </w:tcPr>
          <w:p>
            <w:pPr>
              <w:framePr w:w="10574" w:h="2736" w:wrap="none" w:hAnchor="page" w:x="134" w:y="9674"/>
            </w:pPr>
          </w:p>
        </w:tc>
      </w:tr>
      <w:tr>
        <w:trPr>
          <w:trHeight w:val="398" w:hRule="exact"/>
        </w:trPr>
        <w:tc>
          <w:tcPr>
            <w:gridSpan w:val="9"/>
            <w:tcBorders>
              <w:top w:val="single" w:sz="4"/>
              <w:left w:val="single" w:sz="4"/>
              <w:righ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color w:val="000000"/>
                <w:spacing w:val="0"/>
                <w:w w:val="100"/>
                <w:position w:val="0"/>
              </w:rPr>
              <w:t>金融资产</w:t>
            </w:r>
          </w:p>
        </w:tc>
      </w:tr>
      <w:tr>
        <w:trPr>
          <w:trHeight w:val="403" w:hRule="exact"/>
        </w:trPr>
        <w:tc>
          <w:tcPr>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81,434,696.40</w:t>
            </w: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-17,483,098.86</w:t>
            </w: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25,700,000.00</w:t>
            </w: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85,450,790.14</w:t>
            </w:r>
          </w:p>
        </w:tc>
      </w:tr>
      <w:tr>
        <w:trPr>
          <w:trHeight w:val="403" w:hRule="exact"/>
        </w:trPr>
        <w:tc>
          <w:tcPr>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color w:val="000000"/>
                <w:spacing w:val="0"/>
                <w:w w:val="100"/>
                <w:position w:val="0"/>
              </w:rPr>
              <w:t>金融资产小计</w:t>
            </w:r>
          </w:p>
        </w:tc>
        <w:tc>
          <w:tcPr>
            <w:tcBorders>
              <w:top w:val="single" w:sz="4"/>
              <w:lef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81,434,696.40</w:t>
            </w: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-17,483,098.86</w:t>
            </w: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25,700,000.00</w:t>
            </w: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85,450,790.14</w:t>
            </w:r>
          </w:p>
        </w:tc>
      </w:tr>
      <w:tr>
        <w:trPr>
          <w:trHeight w:val="403" w:hRule="exact"/>
        </w:trPr>
        <w:tc>
          <w:tcPr>
            <w:tcBorders>
              <w:top w:val="single" w:sz="4"/>
              <w:left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color w:val="000000"/>
                <w:spacing w:val="0"/>
                <w:w w:val="100"/>
                <w:position w:val="0"/>
              </w:rPr>
              <w:t>上述合计</w:t>
            </w:r>
          </w:p>
        </w:tc>
        <w:tc>
          <w:tcPr>
            <w:tcBorders>
              <w:top w:val="single" w:sz="4"/>
              <w:lef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81,434,696.40</w:t>
            </w: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-17,483,098.86</w:t>
            </w: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25,700,000.00</w:t>
            </w: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85,450,790.14</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framePr w:w="10574" w:h="2736" w:wrap="none" w:hAnchor="page" w:x="134" w:y="9674"/>
              <w:widowControl w:val="0"/>
              <w:shd w:val="clear" w:color="auto" w:fill="auto"/>
              <w:bidi w:val="0"/>
              <w:spacing w:before="0" w:after="0" w:line="240" w:lineRule="auto"/>
              <w:ind w:left="0" w:right="0" w:firstLine="0"/>
              <w:jc w:val="left"/>
            </w:pPr>
            <w:r>
              <w:rPr>
                <w:color w:val="000000"/>
                <w:spacing w:val="0"/>
                <w:w w:val="100"/>
                <w:position w:val="0"/>
              </w:rPr>
              <w:t>金融负债</w:t>
            </w:r>
          </w:p>
        </w:tc>
        <w:tc>
          <w:tcPr>
            <w:tcBorders>
              <w:top w:val="single" w:sz="4"/>
              <w:left w:val="single" w:sz="4"/>
              <w:bottom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bottom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bottom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bottom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bottom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bottom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bottom w:val="single" w:sz="4"/>
            </w:tcBorders>
            <w:shd w:val="clear" w:color="auto" w:fill="FFFFFF"/>
            <w:vAlign w:val="top"/>
          </w:tcPr>
          <w:p>
            <w:pPr>
              <w:framePr w:w="10574" w:h="2736" w:wrap="none" w:hAnchor="page" w:x="134" w:y="9674"/>
              <w:widowControl w:val="0"/>
              <w:rPr>
                <w:sz w:val="10"/>
                <w:szCs w:val="10"/>
              </w:rPr>
            </w:pPr>
          </w:p>
        </w:tc>
        <w:tc>
          <w:tcPr>
            <w:tcBorders>
              <w:top w:val="single" w:sz="4"/>
              <w:left w:val="single" w:sz="4"/>
              <w:bottom w:val="single" w:sz="4"/>
              <w:right w:val="single" w:sz="4"/>
            </w:tcBorders>
            <w:shd w:val="clear" w:color="auto" w:fill="FFFFFF"/>
            <w:vAlign w:val="top"/>
          </w:tcPr>
          <w:p>
            <w:pPr>
              <w:framePr w:w="10574" w:h="2736" w:wrap="none" w:hAnchor="page" w:x="134" w:y="9674"/>
              <w:widowControl w:val="0"/>
              <w:rPr>
                <w:sz w:val="10"/>
                <w:szCs w:val="10"/>
              </w:rPr>
            </w:pPr>
          </w:p>
        </w:tc>
      </w:tr>
    </w:tbl>
    <w:p>
      <w:pPr>
        <w:framePr w:w="10574" w:h="2736" w:wrap="none" w:hAnchor="page" w:x="134" w:y="9674"/>
        <w:widowControl w:val="0"/>
        <w:spacing w:line="1" w:lineRule="exact"/>
      </w:pPr>
    </w:p>
    <w:p>
      <w:pPr>
        <w:pStyle w:val="Style32"/>
        <w:keepNext w:val="0"/>
        <w:keepLines w:val="0"/>
        <w:framePr w:w="3998" w:h="1310" w:wrap="none" w:hAnchor="page" w:x="1114" w:y="12491"/>
        <w:widowControl w:val="0"/>
        <w:shd w:val="clear" w:color="auto" w:fill="auto"/>
        <w:bidi w:val="0"/>
        <w:spacing w:before="0" w:after="140" w:line="240" w:lineRule="auto"/>
        <w:ind w:left="0" w:right="0" w:firstLine="0"/>
        <w:jc w:val="left"/>
      </w:pPr>
      <w:r>
        <w:rPr>
          <w:color w:val="000000"/>
          <w:spacing w:val="0"/>
          <w:w w:val="100"/>
          <w:position w:val="0"/>
        </w:rPr>
        <w:t>其他变动的内容</w:t>
      </w:r>
    </w:p>
    <w:p>
      <w:pPr>
        <w:pStyle w:val="Style32"/>
        <w:keepNext w:val="0"/>
        <w:keepLines w:val="0"/>
        <w:framePr w:w="3998" w:h="1310" w:wrap="none" w:hAnchor="page" w:x="1114" w:y="12491"/>
        <w:widowControl w:val="0"/>
        <w:shd w:val="clear" w:color="auto" w:fill="auto"/>
        <w:bidi w:val="0"/>
        <w:spacing w:before="0" w:after="140" w:line="240" w:lineRule="auto"/>
        <w:ind w:left="0" w:right="0" w:firstLine="0"/>
        <w:jc w:val="left"/>
      </w:pPr>
      <w:r>
        <w:rPr>
          <w:color w:val="000000"/>
          <w:spacing w:val="0"/>
          <w:w w:val="100"/>
          <w:position w:val="0"/>
        </w:rPr>
        <w:t>无</w:t>
      </w:r>
    </w:p>
    <w:p>
      <w:pPr>
        <w:pStyle w:val="Style32"/>
        <w:keepNext w:val="0"/>
        <w:keepLines w:val="0"/>
        <w:framePr w:w="3998" w:h="1310" w:wrap="none" w:hAnchor="page" w:x="1114" w:y="12491"/>
        <w:widowControl w:val="0"/>
        <w:shd w:val="clear" w:color="auto" w:fill="auto"/>
        <w:bidi w:val="0"/>
        <w:spacing w:before="0" w:after="140" w:line="240" w:lineRule="auto"/>
        <w:ind w:left="0" w:right="0" w:firstLine="0"/>
        <w:jc w:val="left"/>
      </w:pPr>
      <w:r>
        <w:rPr>
          <w:color w:val="000000"/>
          <w:spacing w:val="0"/>
          <w:w w:val="100"/>
          <w:position w:val="0"/>
        </w:rPr>
        <w:t>报告期内公司主要资产计量属性是否发生重大变化</w:t>
      </w:r>
    </w:p>
    <w:p>
      <w:pPr>
        <w:pStyle w:val="Style32"/>
        <w:keepNext w:val="0"/>
        <w:keepLines w:val="0"/>
        <w:framePr w:w="3998" w:h="1310" w:wrap="none" w:hAnchor="page" w:x="1114" w:y="12491"/>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color w:val="000000"/>
          <w:spacing w:val="0"/>
          <w:w w:val="100"/>
          <w:position w:val="0"/>
        </w:rPr>
        <w:t>寸</w:t>
      </w:r>
      <w:r>
        <w:rPr>
          <w:color w:val="000000"/>
          <w:spacing w:val="0"/>
          <w:w w:val="100"/>
          <w:position w:val="0"/>
        </w:rPr>
        <w:t>否</w:t>
      </w:r>
    </w:p>
    <w:p>
      <w:pPr>
        <w:widowControl w:val="0"/>
        <w:spacing w:line="360" w:lineRule="exact"/>
      </w:pPr>
      <w:r>
        <w:drawing>
          <wp:anchor distT="0" distB="0" distL="0" distR="0" simplePos="0" relativeHeight="62914825" behindDoc="1" locked="0" layoutInCell="1" allowOverlap="1">
            <wp:simplePos x="0" y="0"/>
            <wp:positionH relativeFrom="page">
              <wp:posOffset>724535</wp:posOffset>
            </wp:positionH>
            <wp:positionV relativeFrom="margin">
              <wp:posOffset>-295275</wp:posOffset>
            </wp:positionV>
            <wp:extent cx="1298575" cy="481330"/>
            <wp:wrapNone/>
            <wp:docPr id="191" name="Shape 191"/>
            <a:graphic xmlns:a="http://schemas.openxmlformats.org/drawingml/2006/main">
              <a:graphicData uri="http://schemas.openxmlformats.org/drawingml/2006/picture">
                <pic:pic xmlns:pic="http://schemas.openxmlformats.org/drawingml/2006/picture">
                  <pic:nvPicPr>
                    <pic:cNvPr id="192" name="Picture box 192"/>
                    <pic:cNvPicPr/>
                  </pic:nvPicPr>
                  <pic:blipFill>
                    <a:blip r:embed="rId97"/>
                    <a:stretch/>
                  </pic:blipFill>
                  <pic:spPr>
                    <a:xfrm>
                      <a:ext cx="1298575" cy="4813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0" w:line="1" w:lineRule="exact"/>
      </w:pPr>
    </w:p>
    <w:p>
      <w:pPr>
        <w:widowControl w:val="0"/>
        <w:spacing w:line="1" w:lineRule="exact"/>
        <w:sectPr>
          <w:footnotePr>
            <w:pos w:val="pageBottom"/>
            <w:numFmt w:val="decimal"/>
            <w:numRestart w:val="continuous"/>
          </w:footnotePr>
          <w:pgSz w:w="11900" w:h="16840"/>
          <w:pgMar w:top="1157" w:right="1105" w:bottom="1158" w:left="133"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403" behindDoc="0" locked="0" layoutInCell="1" allowOverlap="1">
                <wp:simplePos x="0" y="0"/>
                <wp:positionH relativeFrom="page">
                  <wp:posOffset>699135</wp:posOffset>
                </wp:positionH>
                <wp:positionV relativeFrom="paragraph">
                  <wp:posOffset>12700</wp:posOffset>
                </wp:positionV>
                <wp:extent cx="1301750" cy="323215"/>
                <wp:wrapTopAndBottom/>
                <wp:docPr id="193" name="Shape 193"/>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1219" type="#_x0000_t202" style="position:absolute;margin-left:55.050000000000004pt;margin-top:1.pt;width:102.5pt;height:25.449999999999999pt;z-index:-125829350;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topAndBottom" anchorx="page"/>
              </v:shape>
            </w:pict>
          </mc:Fallback>
        </mc:AlternateContent>
      </w:r>
    </w:p>
    <w:p>
      <w:pPr>
        <w:pStyle w:val="Style5"/>
        <w:keepNext w:val="0"/>
        <w:keepLines w:val="0"/>
        <w:widowControl w:val="0"/>
        <w:shd w:val="clear" w:color="auto" w:fill="auto"/>
        <w:tabs>
          <w:tab w:pos="1730" w:val="left"/>
        </w:tabs>
        <w:bidi w:val="0"/>
        <w:spacing w:before="0" w:after="0" w:line="240" w:lineRule="auto"/>
        <w:ind w:left="1340" w:right="0" w:firstLine="0"/>
        <w:jc w:val="left"/>
      </w:pPr>
      <w:r>
        <w:rPr>
          <w:b/>
          <w:bCs/>
          <w:spacing w:val="0"/>
          <w:w w:val="100"/>
          <w:position w:val="0"/>
        </w:rPr>
        <w:t>A</w:t>
        <w:tab/>
      </w:r>
      <w:r>
        <w:rPr>
          <w:spacing w:val="0"/>
          <w:w w:val="100"/>
          <w:position w:val="0"/>
        </w:rPr>
        <w:t>国家高新技术企业</w:t>
      </w:r>
    </w:p>
    <w:p>
      <w:pPr>
        <w:pStyle w:val="Style32"/>
        <w:keepNext w:val="0"/>
        <w:keepLines w:val="0"/>
        <w:widowControl w:val="0"/>
        <w:shd w:val="clear" w:color="auto" w:fill="auto"/>
        <w:tabs>
          <w:tab w:pos="1730" w:val="left"/>
        </w:tabs>
        <w:bidi w:val="0"/>
        <w:spacing w:before="0" w:after="0" w:line="240" w:lineRule="auto"/>
        <w:ind w:left="1140" w:right="0" w:firstLine="0"/>
        <w:jc w:val="left"/>
      </w:pPr>
      <w:r>
        <w:rPr>
          <w:rFonts w:ascii="SimHei" w:eastAsia="SimHei" w:hAnsi="SimHei" w:cs="SimHei"/>
          <w:b/>
          <w:bCs/>
          <w:color w:val="4E698D"/>
          <w:spacing w:val="0"/>
          <w:w w:val="100"/>
          <w:position w:val="0"/>
          <w:sz w:val="15"/>
          <w:szCs w:val="15"/>
        </w:rPr>
        <w:t xml:space="preserve">r </w:t>
      </w:r>
      <w:r>
        <w:rPr>
          <w:rFonts w:ascii="SimHei" w:eastAsia="SimHei" w:hAnsi="SimHei" w:cs="SimHei"/>
          <w:b/>
          <w:bCs/>
          <w:color w:val="4E698D"/>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340" w:line="240" w:lineRule="auto"/>
        <w:ind w:left="0" w:right="0" w:firstLine="960"/>
        <w:jc w:val="both"/>
      </w:pPr>
      <w:bookmarkStart w:id="192" w:name="bookmark192"/>
      <w:bookmarkStart w:id="193" w:name="bookmark193"/>
      <w:bookmarkStart w:id="194" w:name="bookmark194"/>
      <w:bookmarkStart w:id="195" w:name="bookmark195"/>
      <w:r>
        <w:rPr>
          <w:rFonts w:ascii="Times New Roman" w:eastAsia="Times New Roman" w:hAnsi="Times New Roman" w:cs="Times New Roman"/>
          <w:color w:val="000000"/>
          <w:spacing w:val="0"/>
          <w:w w:val="100"/>
          <w:position w:val="0"/>
        </w:rPr>
        <w:t>3</w:t>
      </w:r>
      <w:bookmarkEnd w:id="194"/>
      <w:r>
        <w:rPr>
          <w:color w:val="000000"/>
          <w:spacing w:val="0"/>
          <w:w w:val="100"/>
          <w:position w:val="0"/>
        </w:rPr>
        <w:t>、截至报告期末的资产权利受限情况</w:t>
      </w:r>
      <w:bookmarkEnd w:id="192"/>
      <w:bookmarkEnd w:id="193"/>
      <w:bookmarkEnd w:id="195"/>
    </w:p>
    <w:tbl>
      <w:tblPr>
        <w:tblOverlap w:val="never"/>
        <w:jc w:val="right"/>
        <w:tblLayout w:type="fixed"/>
      </w:tblPr>
      <w:tblGrid>
        <w:gridCol w:w="1584"/>
        <w:gridCol w:w="1262"/>
        <w:gridCol w:w="2837"/>
        <w:gridCol w:w="4704"/>
      </w:tblGrid>
      <w:tr>
        <w:trPr>
          <w:trHeight w:val="360" w:hRule="exact"/>
        </w:trPr>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620"/>
              <w:jc w:val="left"/>
            </w:pPr>
            <w:r>
              <w:rPr>
                <w:color w:val="000000"/>
                <w:spacing w:val="0"/>
                <w:w w:val="100"/>
                <w:position w:val="0"/>
              </w:rPr>
              <w:t>项目</w:t>
            </w:r>
          </w:p>
        </w:tc>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受限原因</w:t>
            </w:r>
          </w:p>
        </w:tc>
        <w:tc>
          <w:tcPr>
            <w:tcBorders>
              <w:top w:val="single" w:sz="4"/>
              <w:left w:val="single" w:sz="4"/>
              <w:righ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相关索引</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1,665,386.29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保证金，详见第十二节、七、</w:t>
            </w:r>
            <w:r>
              <w:rPr>
                <w:rFonts w:ascii="Times New Roman" w:eastAsia="Times New Roman" w:hAnsi="Times New Roman" w:cs="Times New Roman"/>
                <w:color w:val="000000"/>
                <w:spacing w:val="0"/>
                <w:w w:val="100"/>
                <w:position w:val="0"/>
              </w:rPr>
              <w:t>1</w:t>
            </w:r>
          </w:p>
        </w:tc>
        <w:tc>
          <w:tcPr>
            <w:tcBorders>
              <w:top w:val="single" w:sz="4"/>
              <w:left w:val="single" w:sz="4"/>
              <w:right w:val="single" w:sz="4"/>
            </w:tcBorders>
            <w:shd w:val="clear" w:color="auto" w:fill="FFFFFF"/>
            <w:vAlign w:val="top"/>
          </w:tcPr>
          <w:p>
            <w:pPr>
              <w:widowControl w:val="0"/>
              <w:rPr>
                <w:sz w:val="10"/>
                <w:szCs w:val="10"/>
              </w:rPr>
            </w:pPr>
          </w:p>
        </w:tc>
      </w:tr>
      <w:tr>
        <w:trPr>
          <w:trHeight w:val="235"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5,358,532.41</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质押担保，详见第十二节、七、</w:t>
            </w:r>
            <w:r>
              <w:rPr>
                <w:rFonts w:ascii="Times New Roman" w:eastAsia="Times New Roman" w:hAnsi="Times New Roman" w:cs="Times New Roman"/>
                <w:color w:val="000000"/>
                <w:spacing w:val="0"/>
                <w:w w:val="100"/>
                <w:position w:val="0"/>
              </w:rPr>
              <w:t>81</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http: //www. cninfo .</w:t>
            </w:r>
            <w:r>
              <w:rPr>
                <w:rFonts w:ascii="Times New Roman" w:eastAsia="Times New Roman" w:hAnsi="Times New Roman" w:cs="Times New Roman"/>
                <w:color w:val="000000"/>
                <w:spacing w:val="0"/>
                <w:w w:val="100"/>
                <w:position w:val="0"/>
              </w:rPr>
              <w:t>com.cn/new/disclo</w:t>
            </w:r>
            <w:r>
              <w:rPr>
                <w:rFonts w:ascii="Times New Roman" w:eastAsia="Times New Roman" w:hAnsi="Times New Roman" w:cs="Times New Roman"/>
                <w:color w:val="000000"/>
                <w:spacing w:val="0"/>
                <w:w w:val="100"/>
                <w:position w:val="0"/>
              </w:rPr>
              <w:t xml:space="preserve"> sure/detail?stockCode= 3 0</w:t>
            </w:r>
          </w:p>
        </w:tc>
      </w:tr>
      <w:tr>
        <w:trPr>
          <w:trHeight w:val="24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0290&amp;announcementId=1207311307&amp;oraId=9900021761&amp;ann</w:t>
            </w:r>
          </w:p>
        </w:tc>
      </w:tr>
      <w:tr>
        <w:trPr>
          <w:trHeight w:val="27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ouncementTime=2020-02-18</w:t>
            </w:r>
          </w:p>
        </w:tc>
      </w:tr>
      <w:tr>
        <w:trPr>
          <w:trHeight w:val="250"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473,928.00</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质押担保，详见第十二节、七、</w:t>
            </w:r>
            <w:r>
              <w:rPr>
                <w:rFonts w:ascii="Times New Roman" w:eastAsia="Times New Roman" w:hAnsi="Times New Roman" w:cs="Times New Roman"/>
                <w:color w:val="000000"/>
                <w:spacing w:val="0"/>
                <w:w w:val="100"/>
                <w:position w:val="0"/>
              </w:rPr>
              <w:t>81</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"http://www.cninfb.com.cn/new/disclosure/detail?stockCode=30" </w:instrText>
            </w:r>
            <w:r>
              <w:fldChar w:fldCharType="separate"/>
            </w:r>
            <w:r>
              <w:rPr>
                <w:rFonts w:ascii="Times New Roman" w:eastAsia="Times New Roman" w:hAnsi="Times New Roman" w:cs="Times New Roman"/>
                <w:color w:val="000000"/>
                <w:spacing w:val="0"/>
                <w:w w:val="100"/>
                <w:position w:val="0"/>
              </w:rPr>
              <w:t>http://www.cninfb.com.cn/new/disclosure/detail?stockCode=30</w:t>
            </w:r>
            <w:r>
              <w:fldChar w:fldCharType="end"/>
            </w:r>
          </w:p>
        </w:tc>
      </w:tr>
      <w:tr>
        <w:trPr>
          <w:trHeight w:val="23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0290&amp;announcementId=1207311307&amp;orgId=9900021761&amp;ann</w:t>
            </w:r>
          </w:p>
        </w:tc>
      </w:tr>
      <w:tr>
        <w:trPr>
          <w:trHeight w:val="27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ouncementTime=2020-02-18</w:t>
            </w:r>
          </w:p>
        </w:tc>
      </w:tr>
      <w:tr>
        <w:trPr>
          <w:trHeight w:val="245"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72,056,455.45</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抵押担保，详见第十二节、七、</w:t>
            </w:r>
            <w:r>
              <w:rPr>
                <w:rFonts w:ascii="Times New Roman" w:eastAsia="Times New Roman" w:hAnsi="Times New Roman" w:cs="Times New Roman"/>
                <w:color w:val="000000"/>
                <w:spacing w:val="0"/>
                <w:w w:val="100"/>
                <w:position w:val="0"/>
              </w:rPr>
              <w:t>81</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"http://www.cninfo.com.cn/new/disclosure/detail?plate=szse&amp;orgId=9900021761&amp;stockCode=300290&amp;announcementId=1207168673&amp;announcementTime=2019-12-16" </w:instrText>
            </w:r>
            <w:r>
              <w:fldChar w:fldCharType="separate"/>
            </w:r>
            <w:r>
              <w:rPr>
                <w:rFonts w:ascii="Times New Roman" w:eastAsia="Times New Roman" w:hAnsi="Times New Roman" w:cs="Times New Roman"/>
                <w:color w:val="000000"/>
                <w:spacing w:val="0"/>
                <w:w w:val="100"/>
                <w:position w:val="0"/>
              </w:rPr>
              <w:t>http: //www. cninfo .com.cn/new/disclo sure/detail?plate=sz se&amp;or</w:t>
            </w:r>
            <w:r>
              <w:fldChar w:fldCharType="end"/>
            </w:r>
          </w:p>
        </w:tc>
      </w:tr>
      <w:tr>
        <w:trPr>
          <w:trHeight w:val="24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"http://www.cninfo.com.cn/new/disclosure/detail?plate=szse&amp;orgId=9900021761&amp;stockCode=300290&amp;announcementId=1207168673&amp;announcementTime=2019-12-16" </w:instrText>
            </w:r>
            <w:r>
              <w:fldChar w:fldCharType="separate"/>
            </w:r>
            <w:r>
              <w:rPr>
                <w:rFonts w:ascii="Times New Roman" w:eastAsia="Times New Roman" w:hAnsi="Times New Roman" w:cs="Times New Roman"/>
                <w:color w:val="000000"/>
                <w:spacing w:val="0"/>
                <w:w w:val="100"/>
                <w:position w:val="0"/>
              </w:rPr>
              <w:t>gId=9900021761&amp;stockCode=300290&amp;announcementId=1207</w:t>
            </w:r>
            <w:r>
              <w:fldChar w:fldCharType="end"/>
            </w:r>
          </w:p>
        </w:tc>
      </w:tr>
      <w:tr>
        <w:trPr>
          <w:trHeight w:val="27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"http://www.cninfo.com.cn/new/disclosure/detail?plate=szse&amp;orgId=9900021761&amp;stockCode=300290&amp;announcementId=1207168673&amp;announcementTime=2019-12-16" </w:instrText>
            </w:r>
            <w:r>
              <w:fldChar w:fldCharType="separate"/>
            </w:r>
            <w:r>
              <w:rPr>
                <w:rFonts w:ascii="Times New Roman" w:eastAsia="Times New Roman" w:hAnsi="Times New Roman" w:cs="Times New Roman"/>
                <w:color w:val="000000"/>
                <w:spacing w:val="0"/>
                <w:w w:val="100"/>
                <w:position w:val="0"/>
              </w:rPr>
              <w:t>168673&amp;announcementTime=2019-12-16</w:t>
            </w:r>
            <w:r>
              <w:fldChar w:fldCharType="end"/>
            </w:r>
          </w:p>
        </w:tc>
      </w:tr>
      <w:tr>
        <w:trPr>
          <w:trHeight w:val="245"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投资性房地产</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6,187,087.17</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抵押担保，详见第十二节、七、</w:t>
            </w:r>
            <w:r>
              <w:rPr>
                <w:rFonts w:ascii="Times New Roman" w:eastAsia="Times New Roman" w:hAnsi="Times New Roman" w:cs="Times New Roman"/>
                <w:color w:val="000000"/>
                <w:spacing w:val="0"/>
                <w:w w:val="100"/>
                <w:position w:val="0"/>
              </w:rPr>
              <w:t>81</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"http://www.cninfo.com.cn/new/disclosure/detail?plate=szse&amp;orgId=9900021761&amp;stockCode=300290&amp;announcementId=1207168673&amp;announcementTime=2019-12-16" </w:instrText>
            </w:r>
            <w:r>
              <w:fldChar w:fldCharType="separate"/>
            </w:r>
            <w:r>
              <w:rPr>
                <w:rFonts w:ascii="Times New Roman" w:eastAsia="Times New Roman" w:hAnsi="Times New Roman" w:cs="Times New Roman"/>
                <w:color w:val="000000"/>
                <w:spacing w:val="0"/>
                <w:w w:val="100"/>
                <w:position w:val="0"/>
              </w:rPr>
              <w:t>http: //www. cninfo .com.cn/new/disclo sure/detail?plate=sz se&amp;or</w:t>
            </w:r>
            <w:r>
              <w:fldChar w:fldCharType="end"/>
            </w:r>
          </w:p>
        </w:tc>
      </w:tr>
      <w:tr>
        <w:trPr>
          <w:trHeight w:val="24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"http://www.cninfo.com.cn/new/disclosure/detail?plate=szse&amp;orgId=9900021761&amp;stockCode=300290&amp;announcementId=1207168673&amp;announcementTime=2019-12-16" </w:instrText>
            </w:r>
            <w:r>
              <w:fldChar w:fldCharType="separate"/>
            </w:r>
            <w:r>
              <w:rPr>
                <w:rFonts w:ascii="Times New Roman" w:eastAsia="Times New Roman" w:hAnsi="Times New Roman" w:cs="Times New Roman"/>
                <w:color w:val="000000"/>
                <w:spacing w:val="0"/>
                <w:w w:val="100"/>
                <w:position w:val="0"/>
              </w:rPr>
              <w:t>gId=9900021761&amp;stockCode=300290&amp;announcementId=1207</w:t>
            </w:r>
            <w:r>
              <w:fldChar w:fldCharType="end"/>
            </w:r>
          </w:p>
        </w:tc>
      </w:tr>
      <w:tr>
        <w:trPr>
          <w:trHeight w:val="27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"http://www.cninfo.com.cn/new/disclosure/detail?plate=szse&amp;orgId=9900021761&amp;stockCode=300290&amp;announcementId=1207168673&amp;announcementTime=2019-12-16" </w:instrText>
            </w:r>
            <w:r>
              <w:fldChar w:fldCharType="separate"/>
            </w:r>
            <w:r>
              <w:rPr>
                <w:rFonts w:ascii="Times New Roman" w:eastAsia="Times New Roman" w:hAnsi="Times New Roman" w:cs="Times New Roman"/>
                <w:color w:val="000000"/>
                <w:spacing w:val="0"/>
                <w:w w:val="100"/>
                <w:position w:val="0"/>
              </w:rPr>
              <w:t>168673&amp;announcementTime=2019-12-16</w:t>
            </w:r>
            <w:r>
              <w:fldChar w:fldCharType="end"/>
            </w:r>
          </w:p>
        </w:tc>
      </w:tr>
      <w:tr>
        <w:trPr>
          <w:trHeight w:val="250"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11,730,789.75</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抵押担保，详见第十二节、七、</w:t>
            </w:r>
            <w:r>
              <w:rPr>
                <w:rFonts w:ascii="Times New Roman" w:eastAsia="Times New Roman" w:hAnsi="Times New Roman" w:cs="Times New Roman"/>
                <w:color w:val="000000"/>
                <w:spacing w:val="0"/>
                <w:w w:val="100"/>
                <w:position w:val="0"/>
              </w:rPr>
              <w:t>81</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"http://www.cninfo.com.cn/new/disclosure/detail?plate=szse&amp;orgId=9900021761&amp;stockCode=300290&amp;announcementId=1207168673&amp;announcementTime=2019-12-16" </w:instrText>
            </w:r>
            <w:r>
              <w:fldChar w:fldCharType="separate"/>
            </w:r>
            <w:r>
              <w:rPr>
                <w:rFonts w:ascii="Times New Roman" w:eastAsia="Times New Roman" w:hAnsi="Times New Roman" w:cs="Times New Roman"/>
                <w:color w:val="000000"/>
                <w:spacing w:val="0"/>
                <w:w w:val="100"/>
                <w:position w:val="0"/>
              </w:rPr>
              <w:t>http</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rPr>
              <w:t>//www. cninfo .com.cn/new/disclo sure/detail?plate=sz se&amp;or</w:t>
            </w:r>
            <w:r>
              <w:fldChar w:fldCharType="end"/>
            </w:r>
          </w:p>
        </w:tc>
      </w:tr>
      <w:tr>
        <w:trPr>
          <w:trHeight w:val="23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"http://www.cninfo.com.cn/new/disclosure/detail?plate=szse&amp;orgId=9900021761&amp;stockCode=300290&amp;announcementId=1207168673&amp;announcementTime=2019-12-16" </w:instrText>
            </w:r>
            <w:r>
              <w:fldChar w:fldCharType="separate"/>
            </w:r>
            <w:r>
              <w:rPr>
                <w:rFonts w:ascii="Times New Roman" w:eastAsia="Times New Roman" w:hAnsi="Times New Roman" w:cs="Times New Roman"/>
                <w:color w:val="000000"/>
                <w:spacing w:val="0"/>
                <w:w w:val="100"/>
                <w:position w:val="0"/>
              </w:rPr>
              <w:t>gId=9900021761&amp;stockCode=300290&amp;announcementId=1207</w:t>
            </w:r>
            <w:r>
              <w:fldChar w:fldCharType="end"/>
            </w:r>
          </w:p>
        </w:tc>
      </w:tr>
      <w:tr>
        <w:trPr>
          <w:trHeight w:val="27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fldChar w:fldCharType="begin"/>
            </w:r>
            <w:r>
              <w:rPr/>
              <w:instrText> HYPERLINK "http://www.cninfo.com.cn/new/disclosure/detail?plate=szse&amp;orgId=9900021761&amp;stockCode=300290&amp;announcementId=1207168673&amp;announcementTime=2019-12-16" </w:instrText>
            </w:r>
            <w:r>
              <w:fldChar w:fldCharType="separate"/>
            </w:r>
            <w:r>
              <w:rPr>
                <w:rFonts w:ascii="Times New Roman" w:eastAsia="Times New Roman" w:hAnsi="Times New Roman" w:cs="Times New Roman"/>
                <w:color w:val="000000"/>
                <w:spacing w:val="0"/>
                <w:w w:val="100"/>
                <w:position w:val="0"/>
              </w:rPr>
              <w:t>168673&amp;announcementTime=2019-12-16</w:t>
            </w:r>
            <w:r>
              <w:fldChar w:fldCharType="end"/>
            </w:r>
          </w:p>
        </w:tc>
      </w:tr>
      <w:tr>
        <w:trPr>
          <w:trHeight w:val="374"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97,472,179.07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47"/>
        <w:keepNext/>
        <w:keepLines/>
        <w:widowControl w:val="0"/>
        <w:shd w:val="clear" w:color="auto" w:fill="auto"/>
        <w:bidi w:val="0"/>
        <w:spacing w:before="0" w:line="240" w:lineRule="auto"/>
        <w:ind w:left="0" w:right="0" w:firstLine="960"/>
        <w:jc w:val="both"/>
      </w:pPr>
      <w:bookmarkStart w:id="196" w:name="bookmark196"/>
      <w:bookmarkStart w:id="197" w:name="bookmark197"/>
      <w:bookmarkStart w:id="198" w:name="bookmark198"/>
      <w:bookmarkStart w:id="199" w:name="bookmark199"/>
      <w:r>
        <w:rPr>
          <w:color w:val="000000"/>
          <w:spacing w:val="0"/>
          <w:w w:val="100"/>
          <w:position w:val="0"/>
          <w:sz w:val="24"/>
          <w:szCs w:val="24"/>
        </w:rPr>
        <w:t>五</w:t>
      </w:r>
      <w:bookmarkEnd w:id="198"/>
      <w:r>
        <w:rPr>
          <w:color w:val="000000"/>
          <w:spacing w:val="0"/>
          <w:w w:val="100"/>
          <w:position w:val="0"/>
          <w:sz w:val="24"/>
          <w:szCs w:val="24"/>
        </w:rPr>
        <w:t>、投资状况分析</w:t>
      </w:r>
      <w:bookmarkEnd w:id="196"/>
      <w:bookmarkEnd w:id="197"/>
      <w:bookmarkEnd w:id="199"/>
    </w:p>
    <w:p>
      <w:pPr>
        <w:pStyle w:val="Style55"/>
        <w:keepNext/>
        <w:keepLines/>
        <w:widowControl w:val="0"/>
        <w:shd w:val="clear" w:color="auto" w:fill="auto"/>
        <w:bidi w:val="0"/>
        <w:spacing w:before="0" w:after="340" w:line="240" w:lineRule="auto"/>
        <w:ind w:left="0" w:right="0" w:firstLine="960"/>
        <w:jc w:val="both"/>
      </w:pPr>
      <w:bookmarkStart w:id="200" w:name="bookmark200"/>
      <w:bookmarkStart w:id="201" w:name="bookmark201"/>
      <w:bookmarkStart w:id="202" w:name="bookmark202"/>
      <w:bookmarkStart w:id="203" w:name="bookmark203"/>
      <w:r>
        <w:rPr>
          <w:rFonts w:ascii="Times New Roman" w:eastAsia="Times New Roman" w:hAnsi="Times New Roman" w:cs="Times New Roman"/>
          <w:color w:val="000000"/>
          <w:spacing w:val="0"/>
          <w:w w:val="100"/>
          <w:position w:val="0"/>
        </w:rPr>
        <w:t>1</w:t>
      </w:r>
      <w:bookmarkEnd w:id="202"/>
      <w:r>
        <w:rPr>
          <w:color w:val="000000"/>
          <w:spacing w:val="0"/>
          <w:w w:val="100"/>
          <w:position w:val="0"/>
        </w:rPr>
        <w:t>、总体情况</w:t>
      </w:r>
      <w:bookmarkEnd w:id="200"/>
      <w:bookmarkEnd w:id="201"/>
      <w:bookmarkEnd w:id="203"/>
    </w:p>
    <w:p>
      <w:pPr>
        <w:pStyle w:val="Style32"/>
        <w:keepNext w:val="0"/>
        <w:keepLines w:val="0"/>
        <w:widowControl w:val="0"/>
        <w:shd w:val="clear" w:color="auto" w:fill="auto"/>
        <w:bidi w:val="0"/>
        <w:spacing w:before="0" w:after="400" w:line="240" w:lineRule="auto"/>
        <w:ind w:left="0" w:right="0" w:firstLine="960"/>
        <w:jc w:val="both"/>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报告期投资额（元）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上年同期投资额（元）</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变动幅度</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255,799,991.60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91,583,889.00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179.31%</w:t>
            </w:r>
          </w:p>
        </w:tc>
      </w:tr>
    </w:tbl>
    <w:p>
      <w:pPr>
        <w:widowControl w:val="0"/>
        <w:spacing w:after="339" w:line="1" w:lineRule="exact"/>
      </w:pPr>
    </w:p>
    <w:p>
      <w:pPr>
        <w:pStyle w:val="Style55"/>
        <w:keepNext/>
        <w:keepLines/>
        <w:widowControl w:val="0"/>
        <w:shd w:val="clear" w:color="auto" w:fill="auto"/>
        <w:bidi w:val="0"/>
        <w:spacing w:before="0" w:after="340" w:line="240" w:lineRule="auto"/>
        <w:ind w:left="0" w:right="0" w:firstLine="960"/>
        <w:jc w:val="both"/>
      </w:pPr>
      <w:bookmarkStart w:id="204" w:name="bookmark204"/>
      <w:bookmarkStart w:id="205" w:name="bookmark205"/>
      <w:bookmarkStart w:id="206" w:name="bookmark206"/>
      <w:bookmarkStart w:id="207" w:name="bookmark207"/>
      <w:r>
        <w:rPr>
          <w:rFonts w:ascii="Times New Roman" w:eastAsia="Times New Roman" w:hAnsi="Times New Roman" w:cs="Times New Roman"/>
          <w:color w:val="000000"/>
          <w:spacing w:val="0"/>
          <w:w w:val="100"/>
          <w:position w:val="0"/>
        </w:rPr>
        <w:t>2</w:t>
      </w:r>
      <w:bookmarkEnd w:id="206"/>
      <w:r>
        <w:rPr>
          <w:color w:val="000000"/>
          <w:spacing w:val="0"/>
          <w:w w:val="100"/>
          <w:position w:val="0"/>
        </w:rPr>
        <w:t>、报告期内获取的重大的股权投资情况</w:t>
      </w:r>
      <w:bookmarkEnd w:id="204"/>
      <w:bookmarkEnd w:id="205"/>
      <w:bookmarkEnd w:id="207"/>
    </w:p>
    <w:p>
      <w:pPr>
        <w:pStyle w:val="Style32"/>
        <w:keepNext w:val="0"/>
        <w:keepLines w:val="0"/>
        <w:widowControl w:val="0"/>
        <w:shd w:val="clear" w:color="auto" w:fill="auto"/>
        <w:bidi w:val="0"/>
        <w:spacing w:before="0" w:after="140" w:line="240" w:lineRule="auto"/>
        <w:ind w:left="0" w:right="0" w:firstLine="960"/>
        <w:jc w:val="both"/>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854"/>
        <w:gridCol w:w="994"/>
        <w:gridCol w:w="427"/>
        <w:gridCol w:w="1133"/>
        <w:gridCol w:w="566"/>
        <w:gridCol w:w="427"/>
        <w:gridCol w:w="566"/>
        <w:gridCol w:w="566"/>
        <w:gridCol w:w="566"/>
        <w:gridCol w:w="710"/>
        <w:gridCol w:w="566"/>
        <w:gridCol w:w="989"/>
        <w:gridCol w:w="427"/>
        <w:gridCol w:w="710"/>
        <w:gridCol w:w="1142"/>
      </w:tblGrid>
      <w:tr>
        <w:trPr>
          <w:trHeight w:val="1339"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被投资公司</w:t>
            </w:r>
          </w:p>
          <w:p>
            <w:pPr>
              <w:pStyle w:val="Style44"/>
              <w:keepNext w:val="0"/>
              <w:keepLines w:val="0"/>
              <w:widowControl w:val="0"/>
              <w:shd w:val="clear" w:color="auto" w:fill="auto"/>
              <w:bidi w:val="0"/>
              <w:spacing w:before="0" w:after="0" w:line="240" w:lineRule="auto"/>
              <w:ind w:left="0" w:right="0" w:firstLine="260"/>
              <w:jc w:val="both"/>
              <w:rPr>
                <w:sz w:val="15"/>
                <w:szCs w:val="15"/>
              </w:rPr>
            </w:pPr>
            <w:r>
              <w:rPr>
                <w:color w:val="000000"/>
                <w:spacing w:val="0"/>
                <w:w w:val="100"/>
                <w:position w:val="0"/>
                <w:sz w:val="15"/>
                <w:szCs w:val="15"/>
              </w:rPr>
              <w:t>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主要业务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投资</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方式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投资金额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持股比</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资金</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来源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合作方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投资期</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产品类</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0" w:lineRule="exact"/>
              <w:ind w:left="0" w:right="0" w:firstLine="0"/>
              <w:jc w:val="left"/>
              <w:rPr>
                <w:sz w:val="15"/>
                <w:szCs w:val="15"/>
              </w:rPr>
            </w:pPr>
            <w:r>
              <w:rPr>
                <w:color w:val="000000"/>
                <w:spacing w:val="0"/>
                <w:w w:val="100"/>
                <w:position w:val="0"/>
                <w:sz w:val="15"/>
                <w:szCs w:val="15"/>
              </w:rPr>
              <w:t>截至资产 负债表日 的进展情</w:t>
            </w:r>
          </w:p>
          <w:p>
            <w:pPr>
              <w:pStyle w:val="Style44"/>
              <w:keepNext w:val="0"/>
              <w:keepLines w:val="0"/>
              <w:widowControl w:val="0"/>
              <w:shd w:val="clear" w:color="auto" w:fill="auto"/>
              <w:bidi w:val="0"/>
              <w:spacing w:before="0" w:after="0" w:line="310" w:lineRule="exact"/>
              <w:ind w:left="0" w:right="0" w:firstLine="260"/>
              <w:jc w:val="left"/>
              <w:rPr>
                <w:sz w:val="15"/>
                <w:szCs w:val="15"/>
              </w:rPr>
            </w:pPr>
            <w:r>
              <w:rPr>
                <w:color w:val="000000"/>
                <w:spacing w:val="0"/>
                <w:w w:val="100"/>
                <w:position w:val="0"/>
                <w:sz w:val="15"/>
                <w:szCs w:val="15"/>
              </w:rPr>
              <w:t>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预计收</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益</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本期投资盈亏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right"/>
              <w:rPr>
                <w:sz w:val="15"/>
                <w:szCs w:val="15"/>
              </w:rPr>
            </w:pPr>
            <w:r>
              <w:rPr>
                <w:color w:val="000000"/>
                <w:spacing w:val="0"/>
                <w:w w:val="100"/>
                <w:position w:val="0"/>
                <w:sz w:val="15"/>
                <w:szCs w:val="15"/>
              </w:rPr>
              <w:t>是否</w:t>
            </w:r>
          </w:p>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涉诉</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披露日期</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（如有）</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披露索引（如有）</w:t>
            </w:r>
          </w:p>
        </w:tc>
      </w:tr>
      <w:tr>
        <w:trPr>
          <w:trHeight w:val="228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上海今创信</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息技术有限</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4" w:lineRule="exact"/>
              <w:ind w:left="0" w:right="0" w:firstLine="0"/>
              <w:jc w:val="both"/>
              <w:rPr>
                <w:sz w:val="15"/>
                <w:szCs w:val="15"/>
              </w:rPr>
            </w:pPr>
            <w:r>
              <w:rPr>
                <w:color w:val="000000"/>
                <w:spacing w:val="0"/>
                <w:w w:val="100"/>
                <w:position w:val="0"/>
                <w:sz w:val="15"/>
                <w:szCs w:val="15"/>
              </w:rPr>
              <w:t>从事信息技</w:t>
            </w:r>
          </w:p>
          <w:p>
            <w:pPr>
              <w:pStyle w:val="Style44"/>
              <w:keepNext w:val="0"/>
              <w:keepLines w:val="0"/>
              <w:widowControl w:val="0"/>
              <w:shd w:val="clear" w:color="auto" w:fill="auto"/>
              <w:bidi w:val="0"/>
              <w:spacing w:before="0" w:after="0" w:line="314" w:lineRule="exact"/>
              <w:ind w:left="0" w:right="0" w:firstLine="0"/>
              <w:jc w:val="both"/>
              <w:rPr>
                <w:sz w:val="15"/>
                <w:szCs w:val="15"/>
              </w:rPr>
            </w:pPr>
            <w:r>
              <w:rPr>
                <w:color w:val="000000"/>
                <w:spacing w:val="0"/>
                <w:w w:val="100"/>
                <w:position w:val="0"/>
                <w:sz w:val="15"/>
                <w:szCs w:val="15"/>
              </w:rPr>
              <w:t>术、计算机技 术、网络技术 领域内的技术 开发、技术转 让、技术咨询、 技术服务等</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收购</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209,999,991.60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70.00%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募集</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资金</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不适用</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不适用</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1" w:lineRule="exact"/>
              <w:ind w:left="0" w:right="0" w:firstLine="0"/>
              <w:jc w:val="both"/>
              <w:rPr>
                <w:sz w:val="15"/>
                <w:szCs w:val="15"/>
              </w:rPr>
            </w:pPr>
            <w:r>
              <w:rPr>
                <w:color w:val="000000"/>
                <w:spacing w:val="0"/>
                <w:w w:val="100"/>
                <w:position w:val="0"/>
                <w:sz w:val="15"/>
                <w:szCs w:val="15"/>
              </w:rPr>
              <w:t>标的资产 过户手续 已经完</w:t>
            </w:r>
          </w:p>
          <w:p>
            <w:pPr>
              <w:pStyle w:val="Style44"/>
              <w:keepNext w:val="0"/>
              <w:keepLines w:val="0"/>
              <w:widowControl w:val="0"/>
              <w:shd w:val="clear" w:color="auto" w:fill="auto"/>
              <w:bidi w:val="0"/>
              <w:spacing w:before="0" w:after="0" w:line="311" w:lineRule="exact"/>
              <w:ind w:left="0" w:right="0" w:firstLine="0"/>
              <w:jc w:val="both"/>
              <w:rPr>
                <w:sz w:val="15"/>
                <w:szCs w:val="15"/>
              </w:rPr>
            </w:pPr>
            <w:r>
              <w:rPr>
                <w:color w:val="000000"/>
                <w:spacing w:val="0"/>
                <w:w w:val="100"/>
                <w:position w:val="0"/>
                <w:sz w:val="15"/>
                <w:szCs w:val="15"/>
              </w:rPr>
              <w:t>成，已持 有</w:t>
            </w:r>
            <w:r>
              <w:rPr>
                <w:rFonts w:ascii="Times New Roman" w:eastAsia="Times New Roman" w:hAnsi="Times New Roman" w:cs="Times New Roman"/>
                <w:color w:val="000000"/>
                <w:spacing w:val="0"/>
                <w:w w:val="100"/>
                <w:position w:val="0"/>
                <w:sz w:val="15"/>
                <w:szCs w:val="15"/>
              </w:rPr>
              <w:t>70%</w:t>
            </w:r>
            <w:r>
              <w:rPr>
                <w:color w:val="000000"/>
                <w:spacing w:val="0"/>
                <w:w w:val="100"/>
                <w:position w:val="0"/>
                <w:sz w:val="15"/>
                <w:szCs w:val="15"/>
              </w:rPr>
              <w:t>的 股权</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21,220,742.20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否</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 xml:space="preserve">2020 </w:t>
            </w:r>
            <w:r>
              <w:rPr>
                <w:color w:val="000000"/>
                <w:spacing w:val="0"/>
                <w:w w:val="100"/>
                <w:position w:val="0"/>
                <w:sz w:val="15"/>
                <w:szCs w:val="15"/>
              </w:rPr>
              <w:t xml:space="preserve">年 </w:t>
            </w:r>
            <w:r>
              <w:rPr>
                <w:rFonts w:ascii="Times New Roman" w:eastAsia="Times New Roman" w:hAnsi="Times New Roman" w:cs="Times New Roman"/>
                <w:color w:val="000000"/>
                <w:spacing w:val="0"/>
                <w:w w:val="100"/>
                <w:position w:val="0"/>
                <w:sz w:val="15"/>
                <w:szCs w:val="15"/>
              </w:rPr>
              <w:t>03</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月</w:t>
            </w:r>
            <w:r>
              <w:rPr>
                <w:rFonts w:ascii="Times New Roman" w:eastAsia="Times New Roman" w:hAnsi="Times New Roman" w:cs="Times New Roman"/>
                <w:color w:val="000000"/>
                <w:spacing w:val="0"/>
                <w:w w:val="100"/>
                <w:position w:val="0"/>
                <w:sz w:val="15"/>
                <w:szCs w:val="15"/>
              </w:rPr>
              <w:t>03</w:t>
            </w:r>
            <w:r>
              <w:rPr>
                <w:color w:val="000000"/>
                <w:spacing w:val="0"/>
                <w:w w:val="100"/>
                <w:position w:val="0"/>
                <w:sz w:val="15"/>
                <w:szCs w:val="15"/>
              </w:rPr>
              <w:t>日</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76"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rPr>
              <w:t xml:space="preserve">http://www. cninf </w:t>
            </w:r>
            <w:r>
              <w:rPr>
                <w:rFonts w:ascii="Times New Roman" w:eastAsia="Times New Roman" w:hAnsi="Times New Roman" w:cs="Times New Roman"/>
                <w:color w:val="000000"/>
                <w:spacing w:val="0"/>
                <w:w w:val="100"/>
                <w:position w:val="0"/>
                <w:sz w:val="15"/>
                <w:szCs w:val="15"/>
              </w:rPr>
              <w:t>o.com</w:t>
            </w:r>
            <w:r>
              <w:rPr>
                <w:rFonts w:ascii="Times New Roman" w:eastAsia="Times New Roman" w:hAnsi="Times New Roman" w:cs="Times New Roman"/>
                <w:color w:val="000000"/>
                <w:spacing w:val="0"/>
                <w:w w:val="100"/>
                <w:position w:val="0"/>
                <w:sz w:val="15"/>
                <w:szCs w:val="15"/>
              </w:rPr>
              <w:t>. cn/new/dis closure/detail?pla te=szse&amp;orgId=9 900021761&amp;stoc kCode=300290</w:t>
            </w:r>
            <w:r>
              <w:rPr>
                <w:rFonts w:ascii="Times New Roman" w:eastAsia="Times New Roman" w:hAnsi="Times New Roman" w:cs="Times New Roman"/>
                <w:color w:val="000000"/>
                <w:spacing w:val="0"/>
                <w:w w:val="100"/>
                <w:position w:val="0"/>
                <w:sz w:val="15"/>
                <w:szCs w:val="15"/>
              </w:rPr>
              <w:t xml:space="preserve">&amp; </w:t>
            </w:r>
            <w:r>
              <w:rPr>
                <w:rFonts w:ascii="Times New Roman" w:eastAsia="Times New Roman" w:hAnsi="Times New Roman" w:cs="Times New Roman"/>
                <w:color w:val="000000"/>
                <w:spacing w:val="0"/>
                <w:w w:val="100"/>
                <w:position w:val="0"/>
                <w:sz w:val="15"/>
                <w:szCs w:val="15"/>
              </w:rPr>
              <w:t>announcementId =1207341808&amp;a nnouncementTim e=2020-03-03%2 017:18</w:t>
            </w:r>
          </w:p>
        </w:tc>
      </w:tr>
    </w:tbl>
    <w:p>
      <w:pPr>
        <w:widowControl w:val="0"/>
        <w:spacing w:line="1" w:lineRule="exact"/>
        <w:sectPr>
          <w:footnotePr>
            <w:pos w:val="pageBottom"/>
            <w:numFmt w:val="decimal"/>
            <w:numRestart w:val="continuous"/>
          </w:footnotePr>
          <w:pgSz w:w="11900" w:h="16840"/>
          <w:pgMar w:top="1079" w:right="474" w:bottom="1395" w:left="54" w:header="0" w:footer="3" w:gutter="0"/>
          <w:cols w:space="720"/>
          <w:noEndnote/>
          <w:rtlGutter w:val="0"/>
          <w:docGrid w:linePitch="360"/>
        </w:sectPr>
      </w:pPr>
    </w:p>
    <w:p>
      <w:pPr>
        <w:pStyle w:val="Style49"/>
        <w:keepNext w:val="0"/>
        <w:keepLines w:val="0"/>
        <w:widowControl w:val="0"/>
        <w:shd w:val="clear" w:color="auto" w:fill="auto"/>
        <w:bidi w:val="0"/>
        <w:spacing w:before="0" w:after="0" w:line="240" w:lineRule="auto"/>
        <w:ind w:left="1133" w:right="0" w:firstLine="0"/>
        <w:jc w:val="left"/>
        <w:rPr>
          <w:sz w:val="15"/>
          <w:szCs w:val="15"/>
        </w:rPr>
      </w:pPr>
      <w:r>
        <w:rPr>
          <w:rFonts w:ascii="SimHei" w:eastAsia="SimHei" w:hAnsi="SimHei" w:cs="SimHei"/>
          <w:color w:val="245994"/>
          <w:spacing w:val="0"/>
          <w:w w:val="100"/>
          <w:position w:val="0"/>
          <w:sz w:val="30"/>
          <w:szCs w:val="30"/>
        </w:rPr>
        <w:t>七一</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1728" w:val="left"/>
        </w:tabs>
        <w:bidi w:val="0"/>
        <w:spacing w:before="0" w:after="0" w:line="240" w:lineRule="auto"/>
        <w:ind w:left="1133"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854"/>
        <w:gridCol w:w="998"/>
        <w:gridCol w:w="422"/>
        <w:gridCol w:w="1133"/>
        <w:gridCol w:w="566"/>
        <w:gridCol w:w="427"/>
        <w:gridCol w:w="566"/>
        <w:gridCol w:w="566"/>
        <w:gridCol w:w="566"/>
        <w:gridCol w:w="710"/>
        <w:gridCol w:w="566"/>
        <w:gridCol w:w="989"/>
        <w:gridCol w:w="427"/>
        <w:gridCol w:w="710"/>
        <w:gridCol w:w="1142"/>
      </w:tblGrid>
      <w:tr>
        <w:trPr>
          <w:trHeight w:val="41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209,999,991.60</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21,220,742.20</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980"/>
        <w:jc w:val="left"/>
      </w:pPr>
      <w:bookmarkStart w:id="208" w:name="bookmark208"/>
      <w:bookmarkStart w:id="209" w:name="bookmark209"/>
      <w:bookmarkStart w:id="210" w:name="bookmark210"/>
      <w:bookmarkStart w:id="211" w:name="bookmark211"/>
      <w:r>
        <w:rPr>
          <w:rFonts w:ascii="Times New Roman" w:eastAsia="Times New Roman" w:hAnsi="Times New Roman" w:cs="Times New Roman"/>
          <w:color w:val="000000"/>
          <w:spacing w:val="0"/>
          <w:w w:val="100"/>
          <w:position w:val="0"/>
        </w:rPr>
        <w:t>3</w:t>
      </w:r>
      <w:bookmarkEnd w:id="210"/>
      <w:r>
        <w:rPr>
          <w:color w:val="000000"/>
          <w:spacing w:val="0"/>
          <w:w w:val="100"/>
          <w:position w:val="0"/>
        </w:rPr>
        <w:t>、报告期内正在进行的重大的非股权投资情况</w:t>
      </w:r>
      <w:bookmarkEnd w:id="208"/>
      <w:bookmarkEnd w:id="209"/>
      <w:bookmarkEnd w:id="211"/>
    </w:p>
    <w:p>
      <w:pPr>
        <w:pStyle w:val="Style32"/>
        <w:keepNext w:val="0"/>
        <w:keepLines w:val="0"/>
        <w:widowControl w:val="0"/>
        <w:shd w:val="clear" w:color="auto" w:fill="auto"/>
        <w:bidi w:val="0"/>
        <w:spacing w:before="0" w:after="360" w:line="240" w:lineRule="auto"/>
        <w:ind w:left="0" w:right="0" w:firstLine="98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55"/>
        <w:keepNext/>
        <w:keepLines/>
        <w:widowControl w:val="0"/>
        <w:shd w:val="clear" w:color="auto" w:fill="auto"/>
        <w:bidi w:val="0"/>
        <w:spacing w:before="0" w:after="360" w:line="240" w:lineRule="auto"/>
        <w:ind w:left="0" w:right="0" w:firstLine="980"/>
        <w:jc w:val="left"/>
      </w:pPr>
      <w:bookmarkStart w:id="212" w:name="bookmark212"/>
      <w:bookmarkStart w:id="213" w:name="bookmark213"/>
      <w:bookmarkStart w:id="214" w:name="bookmark214"/>
      <w:bookmarkStart w:id="215" w:name="bookmark215"/>
      <w:r>
        <w:rPr>
          <w:rFonts w:ascii="Times New Roman" w:eastAsia="Times New Roman" w:hAnsi="Times New Roman" w:cs="Times New Roman"/>
          <w:color w:val="000000"/>
          <w:spacing w:val="0"/>
          <w:w w:val="100"/>
          <w:position w:val="0"/>
        </w:rPr>
        <w:t>4</w:t>
      </w:r>
      <w:bookmarkEnd w:id="214"/>
      <w:r>
        <w:rPr>
          <w:color w:val="000000"/>
          <w:spacing w:val="0"/>
          <w:w w:val="100"/>
          <w:position w:val="0"/>
        </w:rPr>
        <w:t>、以公允价值计量的金融资产</w:t>
      </w:r>
      <w:bookmarkEnd w:id="212"/>
      <w:bookmarkEnd w:id="213"/>
      <w:bookmarkEnd w:id="215"/>
    </w:p>
    <w:p>
      <w:pPr>
        <w:pStyle w:val="Style32"/>
        <w:keepNext w:val="0"/>
        <w:keepLines w:val="0"/>
        <w:widowControl w:val="0"/>
        <w:shd w:val="clear" w:color="auto" w:fill="auto"/>
        <w:bidi w:val="0"/>
        <w:spacing w:before="0" w:after="140" w:line="240" w:lineRule="auto"/>
        <w:ind w:left="0" w:right="0" w:firstLine="980"/>
        <w:jc w:val="both"/>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center"/>
        <w:tblLayout w:type="fixed"/>
      </w:tblPr>
      <w:tblGrid>
        <w:gridCol w:w="1138"/>
        <w:gridCol w:w="1133"/>
        <w:gridCol w:w="994"/>
        <w:gridCol w:w="1416"/>
        <w:gridCol w:w="1138"/>
        <w:gridCol w:w="989"/>
        <w:gridCol w:w="850"/>
        <w:gridCol w:w="1243"/>
        <w:gridCol w:w="965"/>
      </w:tblGrid>
      <w:tr>
        <w:trPr>
          <w:trHeight w:val="437"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资产类别</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初始投资成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本期公允价</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计入权益的累计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报告期内购</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报告期内售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累计投资</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rPr>
              <w:t>期末金额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资金来源</w:t>
            </w:r>
          </w:p>
        </w:tc>
      </w:tr>
      <w:tr>
        <w:trPr>
          <w:trHeight w:val="283" w:hRule="exact"/>
        </w:trPr>
        <w:tc>
          <w:tcPr>
            <w:vMerge/>
            <w:tcBorders>
              <w:left w:val="single" w:sz="4"/>
            </w:tcBorders>
            <w:shd w:val="clear" w:color="auto" w:fill="D4D4D4"/>
            <w:vAlign w:val="center"/>
          </w:tcPr>
          <w:p>
            <w:pPr/>
          </w:p>
        </w:tc>
        <w:tc>
          <w:tcPr>
            <w:tcBorders>
              <w:left w:val="single" w:sz="4"/>
            </w:tcBorders>
            <w:shd w:val="clear" w:color="auto" w:fill="D4D4D4"/>
            <w:vAlign w:val="top"/>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w:t>
            </w:r>
          </w:p>
        </w:tc>
        <w:tc>
          <w:tcPr>
            <w:tcBorders>
              <w:left w:val="single" w:sz="4"/>
            </w:tcBorders>
            <w:shd w:val="clear" w:color="auto" w:fill="D4D4D4"/>
            <w:vAlign w:val="top"/>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值变动损益</w:t>
            </w:r>
          </w:p>
        </w:tc>
        <w:tc>
          <w:tcPr>
            <w:tcBorders>
              <w:left w:val="single" w:sz="4"/>
            </w:tcBorders>
            <w:shd w:val="clear" w:color="auto" w:fill="D4D4D4"/>
            <w:vAlign w:val="top"/>
          </w:tcPr>
          <w:p>
            <w:pPr>
              <w:pStyle w:val="Style44"/>
              <w:keepNext w:val="0"/>
              <w:keepLines w:val="0"/>
              <w:widowControl w:val="0"/>
              <w:shd w:val="clear" w:color="auto" w:fill="auto"/>
              <w:bidi w:val="0"/>
              <w:spacing w:before="0" w:after="0" w:line="240" w:lineRule="auto"/>
              <w:ind w:left="0" w:right="0" w:firstLine="160"/>
              <w:jc w:val="left"/>
            </w:pPr>
            <w:r>
              <w:rPr>
                <w:color w:val="000000"/>
                <w:spacing w:val="0"/>
                <w:w w:val="100"/>
                <w:position w:val="0"/>
              </w:rPr>
              <w:t>公允价值变动</w:t>
            </w:r>
          </w:p>
        </w:tc>
        <w:tc>
          <w:tcPr>
            <w:tcBorders>
              <w:left w:val="single" w:sz="4"/>
            </w:tcBorders>
            <w:shd w:val="clear" w:color="auto" w:fill="D4D4D4"/>
            <w:vAlign w:val="top"/>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入金额</w:t>
            </w:r>
          </w:p>
        </w:tc>
        <w:tc>
          <w:tcPr>
            <w:tcBorders>
              <w:left w:val="single" w:sz="4"/>
            </w:tcBorders>
            <w:shd w:val="clear" w:color="auto" w:fill="D4D4D4"/>
            <w:vAlign w:val="top"/>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出金额</w:t>
            </w:r>
          </w:p>
        </w:tc>
        <w:tc>
          <w:tcPr>
            <w:tcBorders>
              <w:left w:val="single" w:sz="4"/>
            </w:tcBorders>
            <w:shd w:val="clear" w:color="auto" w:fill="D4D4D4"/>
            <w:vAlign w:val="top"/>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收益</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75,233,889.00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-21,243,098.86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25,700,000.00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79,690,790.14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自筹资金</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3,760,000.00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5,760,000.00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自筹资金</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77,233,889.00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-17,483,098.86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25,700,000.00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85,450,790.14</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420" w:firstLine="0"/>
              <w:jc w:val="right"/>
            </w:pPr>
            <w:r>
              <w:rPr>
                <w:rFonts w:ascii="Times New Roman" w:eastAsia="Times New Roman" w:hAnsi="Times New Roman" w:cs="Times New Roman"/>
                <w:color w:val="000000"/>
                <w:spacing w:val="0"/>
                <w:w w:val="100"/>
                <w:position w:val="0"/>
              </w:rPr>
              <w:t>--</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980"/>
        <w:jc w:val="left"/>
      </w:pPr>
      <w:bookmarkStart w:id="216" w:name="bookmark216"/>
      <w:bookmarkStart w:id="217" w:name="bookmark217"/>
      <w:bookmarkStart w:id="218" w:name="bookmark218"/>
      <w:bookmarkStart w:id="219" w:name="bookmark219"/>
      <w:r>
        <w:rPr>
          <w:rFonts w:ascii="Times New Roman" w:eastAsia="Times New Roman" w:hAnsi="Times New Roman" w:cs="Times New Roman"/>
          <w:color w:val="000000"/>
          <w:spacing w:val="0"/>
          <w:w w:val="100"/>
          <w:position w:val="0"/>
        </w:rPr>
        <w:t>5</w:t>
      </w:r>
      <w:bookmarkEnd w:id="218"/>
      <w:r>
        <w:rPr>
          <w:color w:val="000000"/>
          <w:spacing w:val="0"/>
          <w:w w:val="100"/>
          <w:position w:val="0"/>
        </w:rPr>
        <w:t>、募集资金使用情况</w:t>
      </w:r>
      <w:bookmarkEnd w:id="216"/>
      <w:bookmarkEnd w:id="217"/>
      <w:bookmarkEnd w:id="219"/>
    </w:p>
    <w:p>
      <w:pPr>
        <w:pStyle w:val="Style32"/>
        <w:keepNext w:val="0"/>
        <w:keepLines w:val="0"/>
        <w:widowControl w:val="0"/>
        <w:shd w:val="clear" w:color="auto" w:fill="auto"/>
        <w:bidi w:val="0"/>
        <w:spacing w:before="0" w:after="360" w:line="240" w:lineRule="auto"/>
        <w:ind w:left="0" w:right="0" w:firstLine="980"/>
        <w:jc w:val="both"/>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55"/>
        <w:keepNext/>
        <w:keepLines/>
        <w:widowControl w:val="0"/>
        <w:shd w:val="clear" w:color="auto" w:fill="auto"/>
        <w:bidi w:val="0"/>
        <w:spacing w:before="0" w:after="360" w:line="240" w:lineRule="auto"/>
        <w:ind w:left="0" w:right="0" w:firstLine="980"/>
        <w:jc w:val="both"/>
      </w:pPr>
      <w:bookmarkStart w:id="220" w:name="bookmark220"/>
      <w:bookmarkStart w:id="221" w:name="bookmark221"/>
      <w:bookmarkStart w:id="222" w:name="bookmark222"/>
      <w:bookmarkStart w:id="223" w:name="bookmark223"/>
      <w:r>
        <w:rPr>
          <w:color w:val="000000"/>
          <w:spacing w:val="0"/>
          <w:w w:val="100"/>
          <w:position w:val="0"/>
        </w:rPr>
        <w:t>（</w:t>
      </w:r>
      <w:bookmarkEnd w:id="222"/>
      <w:r>
        <w:rPr>
          <w:rFonts w:ascii="Times New Roman" w:eastAsia="Times New Roman" w:hAnsi="Times New Roman" w:cs="Times New Roman"/>
          <w:color w:val="000000"/>
          <w:spacing w:val="0"/>
          <w:w w:val="100"/>
          <w:position w:val="0"/>
        </w:rPr>
        <w:t>1</w:t>
      </w:r>
      <w:r>
        <w:rPr>
          <w:color w:val="000000"/>
          <w:spacing w:val="0"/>
          <w:w w:val="100"/>
          <w:position w:val="0"/>
        </w:rPr>
        <w:t>）募集资金总体使用情况</w:t>
      </w:r>
      <w:bookmarkEnd w:id="220"/>
      <w:bookmarkEnd w:id="221"/>
      <w:bookmarkEnd w:id="223"/>
    </w:p>
    <w:p>
      <w:pPr>
        <w:pStyle w:val="Style32"/>
        <w:keepNext w:val="0"/>
        <w:keepLines w:val="0"/>
        <w:widowControl w:val="0"/>
        <w:shd w:val="clear" w:color="auto" w:fill="auto"/>
        <w:bidi w:val="0"/>
        <w:spacing w:before="0" w:after="140" w:line="240" w:lineRule="auto"/>
        <w:ind w:left="0" w:right="0" w:firstLine="980"/>
        <w:jc w:val="both"/>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80" w:line="240" w:lineRule="auto"/>
        <w:ind w:left="9720" w:right="0" w:firstLine="0"/>
        <w:jc w:val="left"/>
      </w:pPr>
      <w:r>
        <w:rPr>
          <w:color w:val="000000"/>
          <w:spacing w:val="0"/>
          <w:w w:val="100"/>
          <w:position w:val="0"/>
        </w:rPr>
        <w:t>单位：万元</w:t>
      </w:r>
    </w:p>
    <w:tbl>
      <w:tblPr>
        <w:tblOverlap w:val="never"/>
        <w:jc w:val="center"/>
        <w:tblLayout w:type="fixed"/>
      </w:tblPr>
      <w:tblGrid>
        <w:gridCol w:w="859"/>
        <w:gridCol w:w="989"/>
        <w:gridCol w:w="994"/>
        <w:gridCol w:w="994"/>
        <w:gridCol w:w="994"/>
        <w:gridCol w:w="989"/>
        <w:gridCol w:w="994"/>
        <w:gridCol w:w="994"/>
        <w:gridCol w:w="850"/>
        <w:gridCol w:w="1037"/>
        <w:gridCol w:w="955"/>
      </w:tblGrid>
      <w:tr>
        <w:trPr>
          <w:trHeight w:val="1032"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募集年份</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募集方式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募集资金总 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本期已使用 募集资金总 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已累计使用 募集资金总 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报告期内变 更用途的募 集资金总额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0" w:lineRule="exact"/>
              <w:ind w:left="0" w:right="0" w:firstLine="0"/>
              <w:jc w:val="center"/>
            </w:pPr>
            <w:r>
              <w:rPr>
                <w:color w:val="000000"/>
                <w:spacing w:val="0"/>
                <w:w w:val="100"/>
                <w:position w:val="0"/>
              </w:rPr>
              <w:t>累计变更用 途的募集资 金总额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0" w:lineRule="exact"/>
              <w:ind w:left="0" w:right="0" w:firstLine="0"/>
              <w:jc w:val="left"/>
            </w:pPr>
            <w:r>
              <w:rPr>
                <w:color w:val="000000"/>
                <w:spacing w:val="0"/>
                <w:w w:val="100"/>
                <w:position w:val="0"/>
              </w:rPr>
              <w:t>累计变更用 途的募集资 金总额比例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尚未使用 募集资金 总额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尚未使用募 集资金用途 及去向</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闲置两年 以上募集 资金金额</w:t>
            </w:r>
          </w:p>
        </w:tc>
      </w:tr>
      <w:tr>
        <w:trPr>
          <w:trHeight w:val="811" w:hRule="exact"/>
        </w:trPr>
        <w:tc>
          <w:tcPr>
            <w:tcBorders>
              <w:top w:val="single" w:sz="4"/>
              <w:left w:val="single" w:sz="4"/>
            </w:tcBorders>
            <w:shd w:val="clear" w:color="auto" w:fill="FFFFFF"/>
            <w:vAlign w:val="center"/>
          </w:tcPr>
          <w:p>
            <w:pPr>
              <w:pStyle w:val="Style44"/>
              <w:keepNext w:val="0"/>
              <w:keepLines w:val="0"/>
              <w:widowControl w:val="0"/>
              <w:numPr>
                <w:ilvl w:val="0"/>
                <w:numId w:val="7"/>
              </w:numPr>
              <w:shd w:val="clear" w:color="auto" w:fill="auto"/>
              <w:tabs>
                <w:tab w:pos="413" w:val="left"/>
              </w:tabs>
              <w:bidi w:val="0"/>
              <w:spacing w:before="0" w:after="80" w:line="240" w:lineRule="auto"/>
              <w:ind w:left="0" w:right="0" w:firstLine="0"/>
              <w:jc w:val="left"/>
            </w:pPr>
            <w:r>
              <w:rPr>
                <w:color w:val="000000"/>
                <w:spacing w:val="0"/>
                <w:w w:val="100"/>
                <w:position w:val="0"/>
              </w:rPr>
              <w:t>年、</w:t>
            </w:r>
          </w:p>
          <w:p>
            <w:pPr>
              <w:pStyle w:val="Style44"/>
              <w:keepNext w:val="0"/>
              <w:keepLines w:val="0"/>
              <w:widowControl w:val="0"/>
              <w:numPr>
                <w:ilvl w:val="0"/>
                <w:numId w:val="7"/>
              </w:numPr>
              <w:shd w:val="clear" w:color="auto" w:fill="auto"/>
              <w:tabs>
                <w:tab w:pos="413" w:val="left"/>
              </w:tabs>
              <w:bidi w:val="0"/>
              <w:spacing w:before="0" w:after="0" w:line="240" w:lineRule="auto"/>
              <w:ind w:left="0" w:right="0" w:firstLine="0"/>
              <w:jc w:val="left"/>
            </w:pPr>
            <w:r>
              <w:rPr>
                <w:color w:val="000000"/>
                <w:spacing w:val="0"/>
                <w:w w:val="100"/>
                <w:position w:val="0"/>
              </w:rPr>
              <w:t>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非公开发行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33,090.00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rPr>
              <w:t>507.00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30,708.00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2,382.00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exact"/>
              <w:ind w:left="0" w:right="0" w:firstLine="0"/>
              <w:jc w:val="left"/>
            </w:pPr>
            <w:r>
              <w:rPr>
                <w:color w:val="000000"/>
                <w:spacing w:val="0"/>
                <w:w w:val="100"/>
                <w:position w:val="0"/>
              </w:rPr>
              <w:t>以存款形式 存放募集资 金专户中</w:t>
            </w:r>
          </w:p>
        </w:tc>
        <w:tc>
          <w:tcPr>
            <w:tcBorders>
              <w:top w:val="single" w:sz="4"/>
              <w:left w:val="single" w:sz="4"/>
              <w:right w:val="single" w:sz="4"/>
            </w:tcBorders>
            <w:shd w:val="clear" w:color="auto" w:fill="FFFFFF"/>
            <w:vAlign w:val="top"/>
          </w:tcPr>
          <w:p>
            <w:pPr>
              <w:widowControl w:val="0"/>
              <w:rPr>
                <w:sz w:val="10"/>
                <w:szCs w:val="10"/>
              </w:rPr>
            </w:pPr>
          </w:p>
        </w:tc>
      </w:tr>
      <w:tr>
        <w:trPr>
          <w:trHeight w:val="80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非公开发行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23,520.00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23,519.89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23,519.89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exact"/>
              <w:ind w:left="0" w:right="0" w:firstLine="0"/>
              <w:jc w:val="left"/>
            </w:pPr>
            <w:r>
              <w:rPr>
                <w:color w:val="000000"/>
                <w:spacing w:val="0"/>
                <w:w w:val="100"/>
                <w:position w:val="0"/>
              </w:rPr>
              <w:t>以存款形式 存放募集资 金专户中</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56,610.00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24,026.89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54,227.89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2,382.11</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11"/>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募集资金总体使用情况说明</w:t>
            </w:r>
          </w:p>
        </w:tc>
      </w:tr>
      <w:tr>
        <w:trPr>
          <w:trHeight w:val="2362" w:hRule="exact"/>
        </w:trPr>
        <w:tc>
          <w:tcPr>
            <w:gridSpan w:val="11"/>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tabs>
                <w:tab w:pos="432" w:val="left"/>
              </w:tabs>
              <w:bidi w:val="0"/>
              <w:spacing w:before="0" w:after="0" w:line="313" w:lineRule="exact"/>
              <w:ind w:left="0" w:right="0" w:firstLine="0"/>
              <w:jc w:val="both"/>
            </w:pPr>
            <w:r>
              <w:rPr>
                <w:color w:val="000000"/>
                <w:spacing w:val="0"/>
                <w:w w:val="100"/>
                <w:position w:val="0"/>
              </w:rPr>
              <w:t>（一）</w:t>
              <w:tab/>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2019</w:t>
            </w:r>
            <w:r>
              <w:rPr>
                <w:color w:val="000000"/>
                <w:spacing w:val="0"/>
                <w:w w:val="100"/>
                <w:position w:val="0"/>
              </w:rPr>
              <w:t>年非公开发行股票募集资金</w:t>
            </w:r>
          </w:p>
          <w:p>
            <w:pPr>
              <w:pStyle w:val="Style44"/>
              <w:keepNext w:val="0"/>
              <w:keepLines w:val="0"/>
              <w:widowControl w:val="0"/>
              <w:shd w:val="clear" w:color="auto" w:fill="auto"/>
              <w:bidi w:val="0"/>
              <w:spacing w:before="0" w:after="0" w:line="313" w:lineRule="exact"/>
              <w:ind w:left="0" w:right="0" w:firstLine="0"/>
              <w:jc w:val="both"/>
            </w:pPr>
            <w:r>
              <w:rPr>
                <w:color w:val="000000"/>
                <w:spacing w:val="0"/>
                <w:w w:val="100"/>
                <w:position w:val="0"/>
              </w:rPr>
              <w:t>根据中国证券监督管理委员会证监许可</w:t>
            </w:r>
            <w:r>
              <w:rPr>
                <w:rFonts w:ascii="Times New Roman" w:eastAsia="Times New Roman" w:hAnsi="Times New Roman" w:cs="Times New Roman"/>
                <w:color w:val="000000"/>
                <w:spacing w:val="0"/>
                <w:w w:val="100"/>
                <w:position w:val="0"/>
              </w:rPr>
              <w:t>[2018]218</w:t>
            </w:r>
            <w:r>
              <w:rPr>
                <w:color w:val="000000"/>
                <w:spacing w:val="0"/>
                <w:w w:val="100"/>
                <w:position w:val="0"/>
              </w:rPr>
              <w:t>号文件核准：（</w:t>
            </w:r>
            <w:r>
              <w:rPr>
                <w:rFonts w:ascii="Times New Roman" w:eastAsia="Times New Roman" w:hAnsi="Times New Roman" w:cs="Times New Roman"/>
                <w:color w:val="000000"/>
                <w:spacing w:val="0"/>
                <w:w w:val="100"/>
                <w:position w:val="0"/>
              </w:rPr>
              <w:t>1</w:t>
            </w:r>
            <w:r>
              <w:rPr>
                <w:color w:val="000000"/>
                <w:spacing w:val="0"/>
                <w:w w:val="100"/>
                <w:position w:val="0"/>
              </w:rPr>
              <w:t xml:space="preserve">） </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日公司以发行股票形式购买神州视翰股权，发行股票 共计</w:t>
            </w:r>
            <w:r>
              <w:rPr>
                <w:rFonts w:ascii="Times New Roman" w:eastAsia="Times New Roman" w:hAnsi="Times New Roman" w:cs="Times New Roman"/>
                <w:color w:val="000000"/>
                <w:spacing w:val="0"/>
                <w:w w:val="100"/>
                <w:position w:val="0"/>
              </w:rPr>
              <w:t>17,142,855</w:t>
            </w:r>
            <w:r>
              <w:rPr>
                <w:color w:val="000000"/>
                <w:spacing w:val="0"/>
                <w:w w:val="100"/>
                <w:position w:val="0"/>
              </w:rPr>
              <w:t>股，每股发行价为</w:t>
            </w:r>
            <w:r>
              <w:rPr>
                <w:rFonts w:ascii="Times New Roman" w:eastAsia="Times New Roman" w:hAnsi="Times New Roman" w:cs="Times New Roman"/>
                <w:color w:val="000000"/>
                <w:spacing w:val="0"/>
                <w:w w:val="100"/>
                <w:position w:val="0"/>
              </w:rPr>
              <w:t>9.8</w:t>
            </w:r>
            <w:r>
              <w:rPr>
                <w:color w:val="000000"/>
                <w:spacing w:val="0"/>
                <w:w w:val="100"/>
                <w:position w:val="0"/>
              </w:rPr>
              <w:t>元，募集资金总额</w:t>
            </w:r>
            <w:r>
              <w:rPr>
                <w:rFonts w:ascii="Times New Roman" w:eastAsia="Times New Roman" w:hAnsi="Times New Roman" w:cs="Times New Roman"/>
                <w:color w:val="000000"/>
                <w:spacing w:val="0"/>
                <w:w w:val="100"/>
                <w:position w:val="0"/>
              </w:rPr>
              <w:t>16,800.00</w:t>
            </w:r>
            <w:r>
              <w:rPr>
                <w:color w:val="000000"/>
                <w:spacing w:val="0"/>
                <w:w w:val="100"/>
                <w:position w:val="0"/>
              </w:rPr>
              <w:t>万元，本次非公开发行股票仅涉及以发行股票形式购买视翰公司</w:t>
            </w:r>
            <w:r>
              <w:rPr>
                <w:rFonts w:ascii="Times New Roman" w:eastAsia="Times New Roman" w:hAnsi="Times New Roman" w:cs="Times New Roman"/>
                <w:color w:val="000000"/>
                <w:spacing w:val="0"/>
                <w:w w:val="100"/>
                <w:position w:val="0"/>
              </w:rPr>
              <w:t xml:space="preserve">60% </w:t>
            </w:r>
            <w:r>
              <w:rPr>
                <w:color w:val="000000"/>
                <w:spacing w:val="0"/>
                <w:w w:val="100"/>
                <w:position w:val="0"/>
              </w:rPr>
              <w:t>股权，未涉及募集资金的实际流入；（</w:t>
            </w:r>
            <w:r>
              <w:rPr>
                <w:rFonts w:ascii="Times New Roman" w:eastAsia="Times New Roman" w:hAnsi="Times New Roman" w:cs="Times New Roman"/>
                <w:color w:val="000000"/>
                <w:spacing w:val="0"/>
                <w:w w:val="100"/>
                <w:position w:val="0"/>
              </w:rPr>
              <w:t>2</w:t>
            </w:r>
            <w:r>
              <w:rPr>
                <w:color w:val="000000"/>
                <w:spacing w:val="0"/>
                <w:w w:val="100"/>
                <w:position w:val="0"/>
              </w:rPr>
              <w:t>）截至</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日止，公司向特定对象非公开发行人民币普通股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w:t>
            </w:r>
            <w:r>
              <w:rPr>
                <w:rFonts w:ascii="Times New Roman" w:eastAsia="Times New Roman" w:hAnsi="Times New Roman" w:cs="Times New Roman"/>
                <w:color w:val="000000"/>
                <w:spacing w:val="0"/>
                <w:w w:val="100"/>
                <w:position w:val="0"/>
              </w:rPr>
              <w:t>27,798,634</w:t>
            </w:r>
            <w:r>
              <w:rPr>
                <w:color w:val="000000"/>
                <w:spacing w:val="0"/>
                <w:w w:val="100"/>
                <w:position w:val="0"/>
              </w:rPr>
              <w:t>股， 每股发行价为</w:t>
            </w:r>
            <w:r>
              <w:rPr>
                <w:rFonts w:ascii="Times New Roman" w:eastAsia="Times New Roman" w:hAnsi="Times New Roman" w:cs="Times New Roman"/>
                <w:color w:val="000000"/>
                <w:spacing w:val="0"/>
                <w:w w:val="100"/>
                <w:position w:val="0"/>
              </w:rPr>
              <w:t>5.86</w:t>
            </w:r>
            <w:r>
              <w:rPr>
                <w:color w:val="000000"/>
                <w:spacing w:val="0"/>
                <w:w w:val="100"/>
                <w:position w:val="0"/>
              </w:rPr>
              <w:t>元，募集资金总额为人民币</w:t>
            </w:r>
            <w:r>
              <w:rPr>
                <w:rFonts w:ascii="Times New Roman" w:eastAsia="Times New Roman" w:hAnsi="Times New Roman" w:cs="Times New Roman"/>
                <w:color w:val="000000"/>
                <w:spacing w:val="0"/>
                <w:w w:val="100"/>
                <w:position w:val="0"/>
              </w:rPr>
              <w:t>16,290.00</w:t>
            </w:r>
            <w:r>
              <w:rPr>
                <w:color w:val="000000"/>
                <w:spacing w:val="0"/>
                <w:w w:val="100"/>
                <w:position w:val="0"/>
              </w:rPr>
              <w:t>万元，扣除与发行有关的费用</w:t>
            </w:r>
            <w:r>
              <w:rPr>
                <w:rFonts w:ascii="Times New Roman" w:eastAsia="Times New Roman" w:hAnsi="Times New Roman" w:cs="Times New Roman"/>
                <w:color w:val="000000"/>
                <w:spacing w:val="0"/>
                <w:w w:val="100"/>
                <w:position w:val="0"/>
              </w:rPr>
              <w:t>657.78</w:t>
            </w:r>
            <w:r>
              <w:rPr>
                <w:color w:val="000000"/>
                <w:spacing w:val="0"/>
                <w:w w:val="100"/>
                <w:position w:val="0"/>
              </w:rPr>
              <w:t>万元后的募集资金净额为人民币</w:t>
            </w:r>
            <w:r>
              <w:rPr>
                <w:rFonts w:ascii="Times New Roman" w:eastAsia="Times New Roman" w:hAnsi="Times New Roman" w:cs="Times New Roman"/>
                <w:color w:val="000000"/>
                <w:spacing w:val="0"/>
                <w:w w:val="100"/>
                <w:position w:val="0"/>
              </w:rPr>
              <w:t xml:space="preserve">15,632.22 </w:t>
            </w:r>
            <w:r>
              <w:rPr>
                <w:color w:val="000000"/>
                <w:spacing w:val="0"/>
                <w:w w:val="100"/>
                <w:position w:val="0"/>
              </w:rPr>
              <w:t>万元。本报告期投入使用的募集资金为</w:t>
            </w:r>
            <w:r>
              <w:rPr>
                <w:rFonts w:ascii="Times New Roman" w:eastAsia="Times New Roman" w:hAnsi="Times New Roman" w:cs="Times New Roman"/>
                <w:color w:val="000000"/>
                <w:spacing w:val="0"/>
                <w:w w:val="100"/>
                <w:position w:val="0"/>
              </w:rPr>
              <w:t>507.00</w:t>
            </w:r>
            <w:r>
              <w:rPr>
                <w:color w:val="000000"/>
                <w:spacing w:val="0"/>
                <w:w w:val="100"/>
                <w:position w:val="0"/>
              </w:rPr>
              <w:t>万元，已累计投入募集资金总额</w:t>
            </w:r>
            <w:r>
              <w:rPr>
                <w:rFonts w:ascii="Times New Roman" w:eastAsia="Times New Roman" w:hAnsi="Times New Roman" w:cs="Times New Roman"/>
                <w:color w:val="000000"/>
                <w:spacing w:val="0"/>
                <w:w w:val="100"/>
                <w:position w:val="0"/>
              </w:rPr>
              <w:t>30,708.00</w:t>
            </w:r>
            <w:r>
              <w:rPr>
                <w:color w:val="000000"/>
                <w:spacing w:val="0"/>
                <w:w w:val="100"/>
                <w:position w:val="0"/>
              </w:rPr>
              <w:t>万元。</w:t>
            </w:r>
          </w:p>
          <w:p>
            <w:pPr>
              <w:pStyle w:val="Style44"/>
              <w:keepNext w:val="0"/>
              <w:keepLines w:val="0"/>
              <w:widowControl w:val="0"/>
              <w:shd w:val="clear" w:color="auto" w:fill="auto"/>
              <w:tabs>
                <w:tab w:pos="432" w:val="left"/>
              </w:tabs>
              <w:bidi w:val="0"/>
              <w:spacing w:before="0" w:after="0" w:line="313" w:lineRule="exact"/>
              <w:ind w:left="0" w:right="0" w:firstLine="0"/>
              <w:jc w:val="both"/>
            </w:pPr>
            <w:r>
              <w:rPr>
                <w:color w:val="000000"/>
                <w:spacing w:val="0"/>
                <w:w w:val="100"/>
                <w:position w:val="0"/>
              </w:rPr>
              <w:t>（二）</w:t>
              <w:tab/>
            </w:r>
            <w:r>
              <w:rPr>
                <w:rFonts w:ascii="Times New Roman" w:eastAsia="Times New Roman" w:hAnsi="Times New Roman" w:cs="Times New Roman"/>
                <w:color w:val="000000"/>
                <w:spacing w:val="0"/>
                <w:w w:val="100"/>
                <w:position w:val="0"/>
              </w:rPr>
              <w:t>2020</w:t>
            </w:r>
            <w:r>
              <w:rPr>
                <w:color w:val="000000"/>
                <w:spacing w:val="0"/>
                <w:w w:val="100"/>
                <w:position w:val="0"/>
              </w:rPr>
              <w:t>年非公开发行股票募集资金</w:t>
            </w:r>
          </w:p>
        </w:tc>
      </w:tr>
    </w:tbl>
    <w:p>
      <w:pPr>
        <w:widowControl w:val="0"/>
        <w:spacing w:line="1" w:lineRule="exact"/>
      </w:pPr>
      <w:r>
        <w:br w:type="page"/>
      </w:r>
    </w:p>
    <w:p>
      <w:pPr>
        <w:framePr w:w="768" w:h="370" w:hSpace="1296" w:vSpace="29" w:wrap="notBeside" w:vAnchor="text" w:hAnchor="text" w:x="1028" w:y="1"/>
        <w:widowControl w:val="0"/>
        <w:rPr>
          <w:sz w:val="2"/>
          <w:szCs w:val="2"/>
        </w:rPr>
      </w:pPr>
      <w:r>
        <w:drawing>
          <wp:inline>
            <wp:extent cx="487680" cy="237490"/>
            <wp:docPr id="195" name="Picutre 195"/>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99"/>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652145" distR="5108575" simplePos="0" relativeHeight="125829405" behindDoc="0" locked="0" layoutInCell="1" allowOverlap="1">
                <wp:simplePos x="0" y="0"/>
                <wp:positionH relativeFrom="column">
                  <wp:posOffset>1139825</wp:posOffset>
                </wp:positionH>
                <wp:positionV relativeFrom="paragraph">
                  <wp:posOffset>6350</wp:posOffset>
                </wp:positionV>
                <wp:extent cx="822960" cy="247015"/>
                <wp:wrapTopAndBottom/>
                <wp:docPr id="196" name="Shape 196"/>
                <a:graphic xmlns:a="http://schemas.openxmlformats.org/drawingml/2006/main">
                  <a:graphicData uri="http://schemas.microsoft.com/office/word/2010/wordprocessingShape">
                    <wps:wsp>
                      <wps:cNvSpPr txBox="1"/>
                      <wps:spPr>
                        <a:xfrm>
                          <a:ext cx="822960" cy="247015"/>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222" type="#_x0000_t202" style="position:absolute;margin-left:89.75pt;margin-top:0.5pt;width:64.799999999999997pt;height:19.449999999999999pt;z-index:-125829348;mso-wrap-distance-left:51.350000000000001pt;mso-wrap-distance-right:402.25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3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313" w:lineRule="exact"/>
        <w:ind w:left="520" w:right="0" w:firstLine="0"/>
        <w:jc w:val="both"/>
      </w:pPr>
      <w:r>
        <w:rPr>
          <w:color w:val="000000"/>
          <w:spacing w:val="0"/>
          <w:w w:val="100"/>
          <w:position w:val="0"/>
        </w:rPr>
        <w:t>根据中国证券监督管理委员会证监许可</w:t>
      </w:r>
      <w:r>
        <w:rPr>
          <w:rFonts w:ascii="Times New Roman" w:eastAsia="Times New Roman" w:hAnsi="Times New Roman" w:cs="Times New Roman"/>
          <w:color w:val="000000"/>
          <w:spacing w:val="0"/>
          <w:w w:val="100"/>
          <w:position w:val="0"/>
        </w:rPr>
        <w:t>[2020]115</w:t>
      </w:r>
      <w:r>
        <w:rPr>
          <w:color w:val="000000"/>
          <w:spacing w:val="0"/>
          <w:w w:val="100"/>
          <w:position w:val="0"/>
        </w:rPr>
        <w:t>号文件核准：（</w:t>
      </w:r>
      <w:r>
        <w:rPr>
          <w:rFonts w:ascii="Times New Roman" w:eastAsia="Times New Roman" w:hAnsi="Times New Roman" w:cs="Times New Roman"/>
          <w:color w:val="000000"/>
          <w:spacing w:val="0"/>
          <w:w w:val="100"/>
          <w:position w:val="0"/>
        </w:rPr>
        <w:t>1</w:t>
      </w:r>
      <w:r>
        <w:rPr>
          <w:color w:val="000000"/>
          <w:spacing w:val="0"/>
          <w:w w:val="100"/>
          <w:position w:val="0"/>
        </w:rPr>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日公司以发行股票形式购买上海今创股权，发行股票 共计</w:t>
      </w:r>
      <w:r>
        <w:rPr>
          <w:rFonts w:ascii="Times New Roman" w:eastAsia="Times New Roman" w:hAnsi="Times New Roman" w:cs="Times New Roman"/>
          <w:color w:val="000000"/>
          <w:spacing w:val="0"/>
          <w:w w:val="100"/>
          <w:position w:val="0"/>
        </w:rPr>
        <w:t>21,538,460</w:t>
      </w:r>
      <w:r>
        <w:rPr>
          <w:color w:val="000000"/>
          <w:spacing w:val="0"/>
          <w:w w:val="100"/>
          <w:position w:val="0"/>
        </w:rPr>
        <w:t>股，每股发行价为</w:t>
      </w:r>
      <w:r>
        <w:rPr>
          <w:rFonts w:ascii="Times New Roman" w:eastAsia="Times New Roman" w:hAnsi="Times New Roman" w:cs="Times New Roman"/>
          <w:color w:val="000000"/>
          <w:spacing w:val="0"/>
          <w:w w:val="100"/>
          <w:position w:val="0"/>
        </w:rPr>
        <w:t>5.46</w:t>
      </w:r>
      <w:r>
        <w:rPr>
          <w:color w:val="000000"/>
          <w:spacing w:val="0"/>
          <w:w w:val="100"/>
          <w:position w:val="0"/>
        </w:rPr>
        <w:t>元，募集资金总额</w:t>
      </w:r>
      <w:r>
        <w:rPr>
          <w:rFonts w:ascii="Times New Roman" w:eastAsia="Times New Roman" w:hAnsi="Times New Roman" w:cs="Times New Roman"/>
          <w:color w:val="000000"/>
          <w:spacing w:val="0"/>
          <w:w w:val="100"/>
          <w:position w:val="0"/>
        </w:rPr>
        <w:t>11,760.00</w:t>
      </w:r>
      <w:r>
        <w:rPr>
          <w:color w:val="000000"/>
          <w:spacing w:val="0"/>
          <w:w w:val="100"/>
          <w:position w:val="0"/>
        </w:rPr>
        <w:t>万元，本次非公开发行股票仅涉及以发行股票形式购买上海今创股 权，未涉及募集资金的实际流入；（</w:t>
      </w:r>
      <w:r>
        <w:rPr>
          <w:rFonts w:ascii="Times New Roman" w:eastAsia="Times New Roman" w:hAnsi="Times New Roman" w:cs="Times New Roman"/>
          <w:color w:val="000000"/>
          <w:spacing w:val="0"/>
          <w:w w:val="100"/>
          <w:position w:val="0"/>
        </w:rPr>
        <w:t>2</w:t>
      </w:r>
      <w:r>
        <w:rPr>
          <w:color w:val="000000"/>
          <w:spacing w:val="0"/>
          <w:w w:val="100"/>
          <w:position w:val="0"/>
        </w:rPr>
        <w:t>）截至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日止，公司向特定对象非公开发行人民币普通股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w:t>
      </w:r>
      <w:r>
        <w:rPr>
          <w:rFonts w:ascii="Times New Roman" w:eastAsia="Times New Roman" w:hAnsi="Times New Roman" w:cs="Times New Roman"/>
          <w:color w:val="000000"/>
          <w:spacing w:val="0"/>
          <w:w w:val="100"/>
          <w:position w:val="0"/>
        </w:rPr>
        <w:t>20,068,259</w:t>
      </w:r>
      <w:r>
        <w:rPr>
          <w:color w:val="000000"/>
          <w:spacing w:val="0"/>
          <w:w w:val="100"/>
          <w:position w:val="0"/>
        </w:rPr>
        <w:t>股，每 股发行价为</w:t>
      </w:r>
      <w:r>
        <w:rPr>
          <w:rFonts w:ascii="Times New Roman" w:eastAsia="Times New Roman" w:hAnsi="Times New Roman" w:cs="Times New Roman"/>
          <w:color w:val="000000"/>
          <w:spacing w:val="0"/>
          <w:w w:val="100"/>
          <w:position w:val="0"/>
        </w:rPr>
        <w:t>5.86</w:t>
      </w:r>
      <w:r>
        <w:rPr>
          <w:color w:val="000000"/>
          <w:spacing w:val="0"/>
          <w:w w:val="100"/>
          <w:position w:val="0"/>
        </w:rPr>
        <w:t>元，募集资金总额为人民币</w:t>
      </w:r>
      <w:r>
        <w:rPr>
          <w:rFonts w:ascii="Times New Roman" w:eastAsia="Times New Roman" w:hAnsi="Times New Roman" w:cs="Times New Roman"/>
          <w:color w:val="000000"/>
          <w:spacing w:val="0"/>
          <w:w w:val="100"/>
          <w:position w:val="0"/>
        </w:rPr>
        <w:t>11,760.00</w:t>
      </w:r>
      <w:r>
        <w:rPr>
          <w:color w:val="000000"/>
          <w:spacing w:val="0"/>
          <w:w w:val="100"/>
          <w:position w:val="0"/>
        </w:rPr>
        <w:t>万元，扣除与发行有关的费用</w:t>
      </w:r>
      <w:r>
        <w:rPr>
          <w:rFonts w:ascii="Times New Roman" w:eastAsia="Times New Roman" w:hAnsi="Times New Roman" w:cs="Times New Roman"/>
          <w:color w:val="000000"/>
          <w:spacing w:val="0"/>
          <w:w w:val="100"/>
          <w:position w:val="0"/>
        </w:rPr>
        <w:t>973.59</w:t>
      </w:r>
      <w:r>
        <w:rPr>
          <w:color w:val="000000"/>
          <w:spacing w:val="0"/>
          <w:w w:val="100"/>
          <w:position w:val="0"/>
        </w:rPr>
        <w:t>万元后的募集资金净额为人民币</w:t>
      </w:r>
      <w:r>
        <w:rPr>
          <w:rFonts w:ascii="Times New Roman" w:eastAsia="Times New Roman" w:hAnsi="Times New Roman" w:cs="Times New Roman"/>
          <w:color w:val="000000"/>
          <w:spacing w:val="0"/>
          <w:w w:val="100"/>
          <w:position w:val="0"/>
        </w:rPr>
        <w:t xml:space="preserve">10,786.41 </w:t>
      </w:r>
      <w:r>
        <w:rPr>
          <w:color w:val="000000"/>
          <w:spacing w:val="0"/>
          <w:w w:val="100"/>
          <w:position w:val="0"/>
        </w:rPr>
        <w:t>万元。本报告期投入使用的募集资金为</w:t>
      </w:r>
      <w:r>
        <w:rPr>
          <w:rFonts w:ascii="Times New Roman" w:eastAsia="Times New Roman" w:hAnsi="Times New Roman" w:cs="Times New Roman"/>
          <w:color w:val="000000"/>
          <w:spacing w:val="0"/>
          <w:w w:val="100"/>
          <w:position w:val="0"/>
        </w:rPr>
        <w:t>23,519.89</w:t>
      </w:r>
      <w:r>
        <w:rPr>
          <w:color w:val="000000"/>
          <w:spacing w:val="0"/>
          <w:w w:val="100"/>
          <w:position w:val="0"/>
        </w:rPr>
        <w:t>万元，已累计投入募集资金总额</w:t>
      </w:r>
      <w:r>
        <w:rPr>
          <w:rFonts w:ascii="Times New Roman" w:eastAsia="Times New Roman" w:hAnsi="Times New Roman" w:cs="Times New Roman"/>
          <w:color w:val="000000"/>
          <w:spacing w:val="0"/>
          <w:w w:val="100"/>
          <w:position w:val="0"/>
        </w:rPr>
        <w:t>23,519.89</w:t>
      </w:r>
      <w:r>
        <w:rPr>
          <w:color w:val="000000"/>
          <w:spacing w:val="0"/>
          <w:w w:val="100"/>
          <w:position w:val="0"/>
        </w:rPr>
        <w:t>万元。</w:t>
      </w:r>
    </w:p>
    <w:p>
      <w:pPr>
        <w:pStyle w:val="Style55"/>
        <w:keepNext/>
        <w:keepLines/>
        <w:widowControl w:val="0"/>
        <w:shd w:val="clear" w:color="auto" w:fill="auto"/>
        <w:bidi w:val="0"/>
        <w:spacing w:before="0" w:after="360" w:line="240" w:lineRule="auto"/>
        <w:ind w:left="1120" w:right="0" w:firstLine="0"/>
        <w:jc w:val="left"/>
      </w:pPr>
      <w:bookmarkStart w:id="224" w:name="bookmark224"/>
      <w:bookmarkStart w:id="225" w:name="bookmark225"/>
      <w:bookmarkStart w:id="226" w:name="bookmark226"/>
      <w:bookmarkStart w:id="227" w:name="bookmark227"/>
      <w:r>
        <w:rPr>
          <w:color w:val="000000"/>
          <w:spacing w:val="0"/>
          <w:w w:val="100"/>
          <w:position w:val="0"/>
        </w:rPr>
        <w:t>（</w:t>
      </w:r>
      <w:bookmarkEnd w:id="226"/>
      <w:r>
        <w:rPr>
          <w:rFonts w:ascii="Times New Roman" w:eastAsia="Times New Roman" w:hAnsi="Times New Roman" w:cs="Times New Roman"/>
          <w:color w:val="000000"/>
          <w:spacing w:val="0"/>
          <w:w w:val="100"/>
          <w:position w:val="0"/>
        </w:rPr>
        <w:t>2</w:t>
      </w:r>
      <w:r>
        <w:rPr>
          <w:color w:val="000000"/>
          <w:spacing w:val="0"/>
          <w:w w:val="100"/>
          <w:position w:val="0"/>
        </w:rPr>
        <w:t>）募集资金承诺项目情况</w:t>
      </w:r>
      <w:bookmarkEnd w:id="224"/>
      <w:bookmarkEnd w:id="225"/>
      <w:bookmarkEnd w:id="227"/>
    </w:p>
    <w:p>
      <w:pPr>
        <w:pStyle w:val="Style32"/>
        <w:keepNext w:val="0"/>
        <w:keepLines w:val="0"/>
        <w:widowControl w:val="0"/>
        <w:shd w:val="clear" w:color="auto" w:fill="auto"/>
        <w:bidi w:val="0"/>
        <w:spacing w:before="0" w:after="120" w:line="240" w:lineRule="auto"/>
        <w:ind w:left="0" w:right="0" w:firstLine="100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1709"/>
        <w:gridCol w:w="710"/>
        <w:gridCol w:w="850"/>
        <w:gridCol w:w="854"/>
        <w:gridCol w:w="850"/>
        <w:gridCol w:w="850"/>
        <w:gridCol w:w="710"/>
        <w:gridCol w:w="850"/>
        <w:gridCol w:w="835"/>
        <w:gridCol w:w="864"/>
        <w:gridCol w:w="710"/>
        <w:gridCol w:w="859"/>
      </w:tblGrid>
      <w:tr>
        <w:trPr>
          <w:trHeight w:val="1344"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500" w:right="0" w:hanging="500"/>
              <w:jc w:val="both"/>
            </w:pPr>
            <w:r>
              <w:rPr>
                <w:color w:val="000000"/>
                <w:spacing w:val="0"/>
                <w:w w:val="100"/>
                <w:position w:val="0"/>
              </w:rPr>
              <w:t>承诺投资项目和超募 资金投向</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是否已 变更项 目</w:t>
            </w:r>
            <w:r>
              <w:rPr>
                <w:rFonts w:ascii="Times New Roman" w:eastAsia="Times New Roman" w:hAnsi="Times New Roman" w:cs="Times New Roman"/>
                <w:color w:val="000000"/>
                <w:spacing w:val="0"/>
                <w:w w:val="100"/>
                <w:position w:val="0"/>
              </w:rPr>
              <w:t>（</w:t>
            </w:r>
            <w:r>
              <w:rPr>
                <w:color w:val="000000"/>
                <w:spacing w:val="0"/>
                <w:w w:val="100"/>
                <w:position w:val="0"/>
              </w:rPr>
              <w:t>含部 分变更</w:t>
            </w: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募集资金 承诺投资 总额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调整后投</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资总额</w:t>
            </w: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本报告期</w:t>
            </w:r>
          </w:p>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投入金额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截至期末 累计投入 金额</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5" w:lineRule="exact"/>
              <w:ind w:left="0" w:right="0" w:firstLine="0"/>
              <w:jc w:val="center"/>
            </w:pPr>
            <w:r>
              <w:rPr>
                <w:color w:val="000000"/>
                <w:spacing w:val="0"/>
                <w:w w:val="100"/>
                <w:position w:val="0"/>
              </w:rPr>
              <w:t>截至期 末投资 进度</w:t>
            </w:r>
            <w:r>
              <w:rPr>
                <w:rFonts w:ascii="Times New Roman" w:eastAsia="Times New Roman" w:hAnsi="Times New Roman" w:cs="Times New Roman"/>
                <w:color w:val="000000"/>
                <w:spacing w:val="0"/>
                <w:w w:val="100"/>
                <w:position w:val="0"/>
              </w:rPr>
              <w:t xml:space="preserve">（3） </w:t>
            </w:r>
            <w:r>
              <w:rPr>
                <w:color w:val="000000"/>
                <w:spacing w:val="0"/>
                <w:w w:val="100"/>
                <w:position w:val="0"/>
              </w:rPr>
              <w:t>=</w:t>
            </w:r>
            <w:r>
              <w:rPr>
                <w:rFonts w:ascii="Times New Roman" w:eastAsia="Times New Roman" w:hAnsi="Times New Roman" w:cs="Times New Roman"/>
                <w:color w:val="000000"/>
                <w:spacing w:val="0"/>
                <w:w w:val="100"/>
                <w:position w:val="0"/>
              </w:rPr>
              <w:t>（2）/（1）</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项目达到 预定可使 用状态日</w:t>
            </w:r>
          </w:p>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2" w:lineRule="exact"/>
              <w:ind w:left="0" w:right="0" w:firstLine="0"/>
              <w:jc w:val="center"/>
            </w:pPr>
            <w:r>
              <w:rPr>
                <w:color w:val="000000"/>
                <w:spacing w:val="0"/>
                <w:w w:val="100"/>
                <w:position w:val="0"/>
              </w:rPr>
              <w:t xml:space="preserve">本报告期 实现的效 </w:t>
            </w:r>
            <w:r>
              <w:rPr>
                <w:color w:val="000000"/>
                <w:spacing w:val="0"/>
                <w:w w:val="100"/>
                <w:position w:val="0"/>
                <w:u w:val="single"/>
              </w:rPr>
              <w:t>益</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0" w:lineRule="exact"/>
              <w:ind w:left="0" w:right="0" w:firstLine="0"/>
              <w:jc w:val="center"/>
            </w:pPr>
            <w:r>
              <w:rPr>
                <w:color w:val="000000"/>
                <w:spacing w:val="0"/>
                <w:w w:val="100"/>
                <w:position w:val="0"/>
              </w:rPr>
              <w:t xml:space="preserve">截止报告 期末累计 实现的效 </w:t>
            </w:r>
            <w:r>
              <w:rPr>
                <w:color w:val="000000"/>
                <w:spacing w:val="0"/>
                <w:w w:val="100"/>
                <w:position w:val="0"/>
                <w:u w:val="single"/>
              </w:rPr>
              <w:t>益</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是否达 到预计 效益</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10" w:lineRule="exact"/>
              <w:ind w:left="0" w:right="0" w:firstLine="0"/>
              <w:jc w:val="left"/>
            </w:pPr>
            <w:r>
              <w:rPr>
                <w:color w:val="000000"/>
                <w:spacing w:val="0"/>
                <w:w w:val="100"/>
                <w:position w:val="0"/>
              </w:rPr>
              <w:t>项目可行 性是否发 生重大变</w:t>
            </w:r>
          </w:p>
          <w:p>
            <w:pPr>
              <w:pStyle w:val="Style44"/>
              <w:keepNext w:val="0"/>
              <w:keepLines w:val="0"/>
              <w:widowControl w:val="0"/>
              <w:shd w:val="clear" w:color="auto" w:fill="auto"/>
              <w:bidi w:val="0"/>
              <w:spacing w:before="0" w:after="0" w:line="310" w:lineRule="exact"/>
              <w:ind w:left="0" w:right="0" w:firstLine="320"/>
              <w:jc w:val="both"/>
            </w:pPr>
            <w:r>
              <w:rPr>
                <w:color w:val="000000"/>
                <w:spacing w:val="0"/>
                <w:w w:val="100"/>
                <w:position w:val="0"/>
              </w:rPr>
              <w:t>化</w:t>
            </w:r>
          </w:p>
        </w:tc>
      </w:tr>
      <w:tr>
        <w:trPr>
          <w:trHeight w:val="403" w:hRule="exact"/>
        </w:trPr>
        <w:tc>
          <w:tcPr>
            <w:gridSpan w:val="1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承诺投资项目</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购买视翰公司股权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28,000.00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28,000.00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5,507.15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12,480.54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93" w:lineRule="exact"/>
              <w:ind w:left="0" w:right="0" w:firstLine="0"/>
              <w:jc w:val="both"/>
            </w:pPr>
            <w:r>
              <w:rPr>
                <w:color w:val="000000"/>
                <w:spacing w:val="0"/>
                <w:w w:val="100"/>
                <w:position w:val="0"/>
              </w:rPr>
              <w:t>支付相关中介机构费 用（</w:t>
            </w:r>
            <w:r>
              <w:rPr>
                <w:rFonts w:ascii="Times New Roman" w:eastAsia="Times New Roman" w:hAnsi="Times New Roman" w:cs="Times New Roman"/>
                <w:color w:val="000000"/>
                <w:spacing w:val="0"/>
                <w:w w:val="100"/>
                <w:position w:val="0"/>
              </w:rPr>
              <w:t>2019</w:t>
            </w:r>
            <w:r>
              <w:rPr>
                <w:color w:val="000000"/>
                <w:spacing w:val="0"/>
                <w:w w:val="100"/>
                <w:position w:val="0"/>
              </w:rPr>
              <w:t>年非公开）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1,490.00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1,490.00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1,490.00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4" w:lineRule="exact"/>
              <w:ind w:left="0" w:right="0" w:firstLine="0"/>
              <w:jc w:val="both"/>
            </w:pPr>
            <w:r>
              <w:rPr>
                <w:color w:val="000000"/>
                <w:spacing w:val="0"/>
                <w:w w:val="100"/>
                <w:position w:val="0"/>
              </w:rPr>
              <w:t>基于分级诊疗的远程 视频服务平台项目建 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3,600.00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3,600.00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507.00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1,218.00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33.83%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2022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03</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购买今创信息股权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21,000.00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3,151.62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5,740.97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归还银行借款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1,217.50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1,217.50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1,217.50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1,217.50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93" w:lineRule="exact"/>
              <w:ind w:left="0" w:right="0" w:firstLine="0"/>
              <w:jc w:val="both"/>
            </w:pPr>
            <w:r>
              <w:rPr>
                <w:color w:val="000000"/>
                <w:spacing w:val="0"/>
                <w:w w:val="100"/>
                <w:position w:val="0"/>
              </w:rPr>
              <w:t>支付相关中介机构费 用（</w:t>
            </w:r>
            <w:r>
              <w:rPr>
                <w:rFonts w:ascii="Times New Roman" w:eastAsia="Times New Roman" w:hAnsi="Times New Roman" w:cs="Times New Roman"/>
                <w:color w:val="000000"/>
                <w:spacing w:val="0"/>
                <w:w w:val="100"/>
                <w:position w:val="0"/>
              </w:rPr>
              <w:t>2020</w:t>
            </w:r>
            <w:r>
              <w:rPr>
                <w:color w:val="000000"/>
                <w:spacing w:val="0"/>
                <w:w w:val="100"/>
                <w:position w:val="0"/>
              </w:rPr>
              <w:t>年非公开）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1,302.50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1,302.50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1,302.39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1,302.39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承诺投资项目小计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56,610.00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56,610.00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24,026.89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54,227.89</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8,658.77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18,221.51</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w:t>
            </w:r>
          </w:p>
        </w:tc>
      </w:tr>
      <w:tr>
        <w:trPr>
          <w:trHeight w:val="403" w:hRule="exact"/>
        </w:trPr>
        <w:tc>
          <w:tcPr>
            <w:gridSpan w:val="1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超募资金投向</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56,610.00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56,610.00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24,026.89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54,227.89</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8,658.77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18,221.51</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w:t>
            </w:r>
          </w:p>
        </w:tc>
      </w:tr>
      <w:tr>
        <w:trPr>
          <w:trHeight w:val="1027"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未达到计划进度或预</w:t>
            </w:r>
          </w:p>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计收益的情况和原因</w:t>
            </w:r>
          </w:p>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（分具体项目）</w:t>
            </w:r>
          </w:p>
        </w:tc>
        <w:tc>
          <w:tcPr>
            <w:gridSpan w:val="11"/>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项目可行性发生重大 变化的情况说明</w:t>
            </w:r>
          </w:p>
        </w:tc>
        <w:tc>
          <w:tcPr>
            <w:gridSpan w:val="11"/>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募集资金投资项目可行性未发生重大变化。</w:t>
            </w:r>
          </w:p>
        </w:tc>
      </w:tr>
      <w:tr>
        <w:trPr>
          <w:trHeight w:val="71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both"/>
            </w:pPr>
            <w:r>
              <w:rPr>
                <w:color w:val="000000"/>
                <w:spacing w:val="0"/>
                <w:w w:val="100"/>
                <w:position w:val="0"/>
              </w:rPr>
              <w:t>超募资金的金额、用 途及使用进展情况</w:t>
            </w:r>
          </w:p>
        </w:tc>
        <w:tc>
          <w:tcPr>
            <w:gridSpan w:val="11"/>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both"/>
            </w:pPr>
            <w:r>
              <w:rPr>
                <w:color w:val="000000"/>
                <w:spacing w:val="0"/>
                <w:w w:val="100"/>
                <w:position w:val="0"/>
              </w:rPr>
              <w:t>募集资金投资项目实 施地点变更情况</w:t>
            </w:r>
          </w:p>
        </w:tc>
        <w:tc>
          <w:tcPr>
            <w:gridSpan w:val="11"/>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募集资金投资项目实</w:t>
            </w:r>
          </w:p>
        </w:tc>
        <w:tc>
          <w:tcPr>
            <w:gridSpan w:val="11"/>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bl>
    <w:p>
      <w:pPr>
        <w:sectPr>
          <w:headerReference w:type="default" r:id="rId101"/>
          <w:footerReference w:type="default" r:id="rId102"/>
          <w:headerReference w:type="even" r:id="rId103"/>
          <w:footerReference w:type="even" r:id="rId104"/>
          <w:headerReference w:type="first" r:id="rId105"/>
          <w:footerReference w:type="first" r:id="rId106"/>
          <w:footnotePr>
            <w:pos w:val="pageBottom"/>
            <w:numFmt w:val="decimal"/>
            <w:numRestart w:val="continuous"/>
          </w:footnotePr>
          <w:pgSz w:w="11900" w:h="16840"/>
          <w:pgMar w:top="1079" w:right="474" w:bottom="1395" w:left="54" w:header="0" w:footer="3" w:gutter="0"/>
          <w:cols w:space="720"/>
          <w:noEndnote/>
          <w:titlePg/>
          <w:rtlGutter w:val="0"/>
          <w:docGrid w:linePitch="360"/>
        </w:sectPr>
      </w:pPr>
    </w:p>
    <w:tbl>
      <w:tblPr>
        <w:tblOverlap w:val="never"/>
        <w:jc w:val="left"/>
        <w:tblLayout w:type="fixed"/>
      </w:tblPr>
      <w:tblGrid>
        <w:gridCol w:w="1704"/>
        <w:gridCol w:w="8942"/>
      </w:tblGrid>
      <w:tr>
        <w:trPr>
          <w:trHeight w:val="446" w:hRule="exact"/>
        </w:trPr>
        <w:tc>
          <w:tcPr>
            <w:vMerge w:val="restart"/>
            <w:tcBorders>
              <w:left w:val="single" w:sz="4"/>
            </w:tcBorders>
            <w:shd w:val="clear" w:color="auto" w:fill="D4D4D4"/>
            <w:vAlign w:val="top"/>
          </w:tcPr>
          <w:p>
            <w:pPr>
              <w:pStyle w:val="Style44"/>
              <w:keepNext w:val="0"/>
              <w:keepLines w:val="0"/>
              <w:framePr w:w="10646" w:h="7987" w:vSpace="350" w:wrap="none" w:hAnchor="page" w:x="134" w:y="270"/>
              <w:widowControl w:val="0"/>
              <w:shd w:val="clear" w:color="auto" w:fill="auto"/>
              <w:bidi w:val="0"/>
              <w:spacing w:before="0" w:after="0" w:line="240" w:lineRule="auto"/>
              <w:ind w:left="0" w:right="0" w:firstLine="0"/>
              <w:jc w:val="both"/>
            </w:pPr>
            <w:r>
              <w:rPr>
                <w:color w:val="000000"/>
                <w:spacing w:val="0"/>
                <w:w w:val="100"/>
                <w:position w:val="0"/>
              </w:rPr>
              <w:t>施方式调整情况</w:t>
            </w:r>
          </w:p>
        </w:tc>
        <w:tc>
          <w:tcPr>
            <w:tcBorders>
              <w:top w:val="single" w:sz="4"/>
              <w:left w:val="single" w:sz="4"/>
              <w:right w:val="single" w:sz="4"/>
            </w:tcBorders>
            <w:shd w:val="clear" w:color="auto" w:fill="FFFFFF"/>
            <w:vAlign w:val="center"/>
          </w:tcPr>
          <w:p>
            <w:pPr>
              <w:pStyle w:val="Style44"/>
              <w:keepNext w:val="0"/>
              <w:keepLines w:val="0"/>
              <w:framePr w:w="10646" w:h="7987" w:vSpace="350" w:wrap="none" w:hAnchor="page" w:x="134" w:y="270"/>
              <w:widowControl w:val="0"/>
              <w:shd w:val="clear" w:color="auto" w:fill="auto"/>
              <w:bidi w:val="0"/>
              <w:spacing w:before="0" w:after="0" w:line="240" w:lineRule="auto"/>
              <w:ind w:left="0" w:right="0" w:firstLine="0"/>
              <w:jc w:val="left"/>
            </w:pPr>
            <w:r>
              <w:rPr>
                <w:color w:val="000000"/>
                <w:spacing w:val="0"/>
                <w:w w:val="100"/>
                <w:position w:val="0"/>
              </w:rPr>
              <w:t>以前年度发生</w:t>
            </w:r>
          </w:p>
        </w:tc>
      </w:tr>
      <w:tr>
        <w:trPr>
          <w:trHeight w:val="1334" w:hRule="exact"/>
        </w:trPr>
        <w:tc>
          <w:tcPr>
            <w:vMerge/>
            <w:tcBorders>
              <w:left w:val="single" w:sz="4"/>
            </w:tcBorders>
            <w:shd w:val="clear" w:color="auto" w:fill="D4D4D4"/>
            <w:vAlign w:val="top"/>
          </w:tcPr>
          <w:p>
            <w:pPr>
              <w:framePr w:w="10646" w:h="7987" w:vSpace="350" w:wrap="none" w:hAnchor="page" w:x="134" w:y="270"/>
            </w:pPr>
          </w:p>
        </w:tc>
        <w:tc>
          <w:tcPr>
            <w:tcBorders>
              <w:top w:val="single" w:sz="4"/>
              <w:left w:val="single" w:sz="4"/>
              <w:right w:val="single" w:sz="4"/>
            </w:tcBorders>
            <w:shd w:val="clear" w:color="auto" w:fill="FFFFFF"/>
            <w:vAlign w:val="center"/>
          </w:tcPr>
          <w:p>
            <w:pPr>
              <w:pStyle w:val="Style44"/>
              <w:keepNext w:val="0"/>
              <w:keepLines w:val="0"/>
              <w:framePr w:w="10646" w:h="7987" w:vSpace="350" w:wrap="none" w:hAnchor="page" w:x="134" w:y="270"/>
              <w:widowControl w:val="0"/>
              <w:shd w:val="clear" w:color="auto" w:fill="auto"/>
              <w:bidi w:val="0"/>
              <w:spacing w:before="0" w:after="0" w:line="314" w:lineRule="exact"/>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日，公司第四届董事会第九次会议审议通过了《关于变更募投项目实施方式的议案》，基于分级诊 疗的远程视频服务平台项目建设中的“平台系统及网络设施等”部分实施方式计划为建设自有数据中心，拟变更 为实施方式为租用公有云及私有云的混合云架构，并购买一体化运维管理平台。公司独立董事、监事会及独立财 务顾问已对该议案发表了明确的同意意见。</w:t>
            </w:r>
          </w:p>
        </w:tc>
      </w:tr>
      <w:tr>
        <w:trPr>
          <w:trHeight w:val="403" w:hRule="exact"/>
        </w:trPr>
        <w:tc>
          <w:tcPr>
            <w:vMerge w:val="restart"/>
            <w:tcBorders>
              <w:top w:val="single" w:sz="4"/>
              <w:left w:val="single" w:sz="4"/>
            </w:tcBorders>
            <w:shd w:val="clear" w:color="auto" w:fill="D4D4D4"/>
            <w:vAlign w:val="center"/>
          </w:tcPr>
          <w:p>
            <w:pPr>
              <w:pStyle w:val="Style44"/>
              <w:keepNext w:val="0"/>
              <w:keepLines w:val="0"/>
              <w:framePr w:w="10646" w:h="7987" w:vSpace="350" w:wrap="none" w:hAnchor="page" w:x="134" w:y="270"/>
              <w:widowControl w:val="0"/>
              <w:shd w:val="clear" w:color="auto" w:fill="auto"/>
              <w:bidi w:val="0"/>
              <w:spacing w:before="0" w:after="0" w:line="312" w:lineRule="exact"/>
              <w:ind w:left="0" w:right="0" w:firstLine="0"/>
              <w:jc w:val="both"/>
            </w:pPr>
            <w:r>
              <w:rPr>
                <w:color w:val="000000"/>
                <w:spacing w:val="0"/>
                <w:w w:val="100"/>
                <w:position w:val="0"/>
              </w:rPr>
              <w:t>募集资金投资项目先 期投入及置换情况</w:t>
            </w:r>
          </w:p>
        </w:tc>
        <w:tc>
          <w:tcPr>
            <w:tcBorders>
              <w:top w:val="single" w:sz="4"/>
              <w:left w:val="single" w:sz="4"/>
              <w:right w:val="single" w:sz="4"/>
            </w:tcBorders>
            <w:shd w:val="clear" w:color="auto" w:fill="FFFFFF"/>
            <w:vAlign w:val="center"/>
          </w:tcPr>
          <w:p>
            <w:pPr>
              <w:pStyle w:val="Style44"/>
              <w:keepNext w:val="0"/>
              <w:keepLines w:val="0"/>
              <w:framePr w:w="10646" w:h="7987" w:vSpace="350" w:wrap="none" w:hAnchor="page" w:x="134" w:y="27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2626" w:hRule="exact"/>
        </w:trPr>
        <w:tc>
          <w:tcPr>
            <w:vMerge/>
            <w:tcBorders>
              <w:left w:val="single" w:sz="4"/>
            </w:tcBorders>
            <w:shd w:val="clear" w:color="auto" w:fill="D4D4D4"/>
            <w:vAlign w:val="center"/>
          </w:tcPr>
          <w:p>
            <w:pPr>
              <w:framePr w:w="10646" w:h="7987" w:vSpace="350" w:wrap="none" w:hAnchor="page" w:x="134" w:y="270"/>
            </w:pPr>
          </w:p>
        </w:tc>
        <w:tc>
          <w:tcPr>
            <w:tcBorders>
              <w:top w:val="single" w:sz="4"/>
              <w:left w:val="single" w:sz="4"/>
              <w:right w:val="single" w:sz="4"/>
            </w:tcBorders>
            <w:shd w:val="clear" w:color="auto" w:fill="FFFFFF"/>
            <w:vAlign w:val="center"/>
          </w:tcPr>
          <w:p>
            <w:pPr>
              <w:pStyle w:val="Style44"/>
              <w:keepNext w:val="0"/>
              <w:keepLines w:val="0"/>
              <w:framePr w:w="10646" w:h="7987" w:vSpace="350" w:wrap="none" w:hAnchor="page" w:x="134" w:y="270"/>
              <w:widowControl w:val="0"/>
              <w:shd w:val="clear" w:color="auto" w:fill="auto"/>
              <w:tabs>
                <w:tab w:pos="264" w:val="left"/>
              </w:tabs>
              <w:bidi w:val="0"/>
              <w:spacing w:before="0" w:after="0" w:line="314"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tab/>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日，公司第三届董事会第二十一次会议审议通过了《关于使用募集资金置换预先投入募投项目 自筹资金的议案》，同意以</w:t>
            </w:r>
            <w:r>
              <w:rPr>
                <w:rFonts w:ascii="Times New Roman" w:eastAsia="Times New Roman" w:hAnsi="Times New Roman" w:cs="Times New Roman"/>
                <w:color w:val="000000"/>
                <w:spacing w:val="0"/>
                <w:w w:val="100"/>
                <w:position w:val="0"/>
              </w:rPr>
              <w:t>9,072,196.61</w:t>
            </w:r>
            <w:r>
              <w:rPr>
                <w:color w:val="000000"/>
                <w:spacing w:val="0"/>
                <w:w w:val="100"/>
                <w:position w:val="0"/>
              </w:rPr>
              <w:t>元募集资金置换先期投入募集资金投资项目，华普天健会计师事务所（特 殊普通合伙）出具了会专字</w:t>
            </w:r>
            <w:r>
              <w:rPr>
                <w:rFonts w:ascii="Times New Roman" w:eastAsia="Times New Roman" w:hAnsi="Times New Roman" w:cs="Times New Roman"/>
                <w:color w:val="000000"/>
                <w:spacing w:val="0"/>
                <w:w w:val="100"/>
                <w:position w:val="0"/>
              </w:rPr>
              <w:t>[2019]1011</w:t>
            </w:r>
            <w:r>
              <w:rPr>
                <w:color w:val="000000"/>
                <w:spacing w:val="0"/>
                <w:w w:val="100"/>
                <w:position w:val="0"/>
              </w:rPr>
              <w:t>号鉴证报告。公司独立董事、监事会及独立财务顾问已对该议案发表了明 确的同意意见，公司已于</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日完成募集资金置换事宜。</w:t>
            </w:r>
          </w:p>
          <w:p>
            <w:pPr>
              <w:pStyle w:val="Style44"/>
              <w:keepNext w:val="0"/>
              <w:keepLines w:val="0"/>
              <w:framePr w:w="10646" w:h="7987" w:vSpace="350" w:wrap="none" w:hAnchor="page" w:x="134" w:y="270"/>
              <w:widowControl w:val="0"/>
              <w:shd w:val="clear" w:color="auto" w:fill="auto"/>
              <w:tabs>
                <w:tab w:pos="274" w:val="left"/>
              </w:tabs>
              <w:bidi w:val="0"/>
              <w:spacing w:before="0" w:after="0" w:line="314"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日，公司第四届董事会第二十次会议审议通过了《关于使用募集资金置换预先投入募投项目自 筹资金的议案》，同意以</w:t>
            </w:r>
            <w:r>
              <w:rPr>
                <w:rFonts w:ascii="Times New Roman" w:eastAsia="Times New Roman" w:hAnsi="Times New Roman" w:cs="Times New Roman"/>
                <w:color w:val="000000"/>
                <w:spacing w:val="0"/>
                <w:w w:val="100"/>
                <w:position w:val="0"/>
              </w:rPr>
              <w:t>2,073,945.24</w:t>
            </w:r>
            <w:r>
              <w:rPr>
                <w:color w:val="000000"/>
                <w:spacing w:val="0"/>
                <w:w w:val="100"/>
                <w:position w:val="0"/>
              </w:rPr>
              <w:t>元募集资金置换先期投入募集资金投资项目的自筹资金，容诚会计师事务所</w:t>
            </w:r>
          </w:p>
          <w:p>
            <w:pPr>
              <w:pStyle w:val="Style44"/>
              <w:keepNext w:val="0"/>
              <w:keepLines w:val="0"/>
              <w:framePr w:w="10646" w:h="7987" w:vSpace="350" w:wrap="none" w:hAnchor="page" w:x="134" w:y="270"/>
              <w:widowControl w:val="0"/>
              <w:shd w:val="clear" w:color="auto" w:fill="auto"/>
              <w:bidi w:val="0"/>
              <w:spacing w:before="0" w:after="0" w:line="314" w:lineRule="exact"/>
              <w:ind w:left="0" w:right="0" w:firstLine="0"/>
              <w:jc w:val="left"/>
            </w:pPr>
            <w:r>
              <w:rPr>
                <w:color w:val="000000"/>
                <w:spacing w:val="0"/>
                <w:w w:val="100"/>
                <w:position w:val="0"/>
              </w:rPr>
              <w:t>（特殊普通合伙）出具了容诚专字</w:t>
            </w:r>
            <w:r>
              <w:rPr>
                <w:rFonts w:ascii="Times New Roman" w:eastAsia="Times New Roman" w:hAnsi="Times New Roman" w:cs="Times New Roman"/>
                <w:color w:val="000000"/>
                <w:spacing w:val="0"/>
                <w:w w:val="100"/>
                <w:position w:val="0"/>
              </w:rPr>
              <w:t>[2020]110Z0207</w:t>
            </w:r>
            <w:r>
              <w:rPr>
                <w:color w:val="000000"/>
                <w:spacing w:val="0"/>
                <w:w w:val="100"/>
                <w:position w:val="0"/>
              </w:rPr>
              <w:t>号鉴证报告。公司独立董事、监事会及独立财务顾问已对该议 案发表了明确的同意意见，公司已于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日完成募集资金置换事宜。</w:t>
            </w:r>
          </w:p>
        </w:tc>
      </w:tr>
      <w:tr>
        <w:trPr>
          <w:trHeight w:val="715" w:hRule="exact"/>
        </w:trPr>
        <w:tc>
          <w:tcPr>
            <w:tcBorders>
              <w:top w:val="single" w:sz="4"/>
              <w:left w:val="single" w:sz="4"/>
            </w:tcBorders>
            <w:shd w:val="clear" w:color="auto" w:fill="D4D4D4"/>
            <w:vAlign w:val="center"/>
          </w:tcPr>
          <w:p>
            <w:pPr>
              <w:pStyle w:val="Style44"/>
              <w:keepNext w:val="0"/>
              <w:keepLines w:val="0"/>
              <w:framePr w:w="10646" w:h="7987" w:vSpace="350" w:wrap="none" w:hAnchor="page" w:x="134" w:y="270"/>
              <w:widowControl w:val="0"/>
              <w:shd w:val="clear" w:color="auto" w:fill="auto"/>
              <w:bidi w:val="0"/>
              <w:spacing w:before="0" w:after="0" w:line="312" w:lineRule="exact"/>
              <w:ind w:left="0" w:right="0" w:firstLine="0"/>
              <w:jc w:val="both"/>
            </w:pPr>
            <w:r>
              <w:rPr>
                <w:color w:val="000000"/>
                <w:spacing w:val="0"/>
                <w:w w:val="100"/>
                <w:position w:val="0"/>
              </w:rPr>
              <w:t>用闲置募集资金暂时 补充流动资金情况</w:t>
            </w:r>
          </w:p>
        </w:tc>
        <w:tc>
          <w:tcPr>
            <w:tcBorders>
              <w:top w:val="single" w:sz="4"/>
              <w:left w:val="single" w:sz="4"/>
              <w:right w:val="single" w:sz="4"/>
            </w:tcBorders>
            <w:shd w:val="clear" w:color="auto" w:fill="FFFFFF"/>
            <w:vAlign w:val="center"/>
          </w:tcPr>
          <w:p>
            <w:pPr>
              <w:pStyle w:val="Style44"/>
              <w:keepNext w:val="0"/>
              <w:keepLines w:val="0"/>
              <w:framePr w:w="10646" w:h="7987" w:vSpace="350" w:wrap="none" w:hAnchor="page" w:x="134" w:y="27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15" w:hRule="exact"/>
        </w:trPr>
        <w:tc>
          <w:tcPr>
            <w:tcBorders>
              <w:top w:val="single" w:sz="4"/>
              <w:left w:val="single" w:sz="4"/>
            </w:tcBorders>
            <w:shd w:val="clear" w:color="auto" w:fill="D4D4D4"/>
            <w:vAlign w:val="center"/>
          </w:tcPr>
          <w:p>
            <w:pPr>
              <w:pStyle w:val="Style44"/>
              <w:keepNext w:val="0"/>
              <w:keepLines w:val="0"/>
              <w:framePr w:w="10646" w:h="7987" w:vSpace="350" w:wrap="none" w:hAnchor="page" w:x="134" w:y="270"/>
              <w:widowControl w:val="0"/>
              <w:shd w:val="clear" w:color="auto" w:fill="auto"/>
              <w:bidi w:val="0"/>
              <w:spacing w:before="0" w:after="100" w:line="240" w:lineRule="auto"/>
              <w:ind w:left="0" w:right="0" w:firstLine="0"/>
              <w:jc w:val="both"/>
            </w:pPr>
            <w:r>
              <w:rPr>
                <w:color w:val="000000"/>
                <w:spacing w:val="0"/>
                <w:w w:val="100"/>
                <w:position w:val="0"/>
              </w:rPr>
              <w:t>项目实施出现募集资</w:t>
            </w:r>
          </w:p>
          <w:p>
            <w:pPr>
              <w:pStyle w:val="Style44"/>
              <w:keepNext w:val="0"/>
              <w:keepLines w:val="0"/>
              <w:framePr w:w="10646" w:h="7987" w:vSpace="350" w:wrap="none" w:hAnchor="page" w:x="134" w:y="270"/>
              <w:widowControl w:val="0"/>
              <w:shd w:val="clear" w:color="auto" w:fill="auto"/>
              <w:bidi w:val="0"/>
              <w:spacing w:before="0" w:after="0" w:line="240" w:lineRule="auto"/>
              <w:ind w:left="0" w:right="0" w:firstLine="0"/>
              <w:jc w:val="both"/>
            </w:pPr>
            <w:r>
              <w:rPr>
                <w:color w:val="000000"/>
                <w:spacing w:val="0"/>
                <w:w w:val="100"/>
                <w:position w:val="0"/>
              </w:rPr>
              <w:t>金结余的金额及原因</w:t>
            </w:r>
          </w:p>
        </w:tc>
        <w:tc>
          <w:tcPr>
            <w:tcBorders>
              <w:top w:val="single" w:sz="4"/>
              <w:left w:val="single" w:sz="4"/>
              <w:right w:val="single" w:sz="4"/>
            </w:tcBorders>
            <w:shd w:val="clear" w:color="auto" w:fill="FFFFFF"/>
            <w:vAlign w:val="center"/>
          </w:tcPr>
          <w:p>
            <w:pPr>
              <w:pStyle w:val="Style44"/>
              <w:keepNext w:val="0"/>
              <w:keepLines w:val="0"/>
              <w:framePr w:w="10646" w:h="7987" w:vSpace="350" w:wrap="none" w:hAnchor="page" w:x="134" w:y="27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10" w:hRule="exact"/>
        </w:trPr>
        <w:tc>
          <w:tcPr>
            <w:tcBorders>
              <w:top w:val="single" w:sz="4"/>
              <w:left w:val="single" w:sz="4"/>
            </w:tcBorders>
            <w:shd w:val="clear" w:color="auto" w:fill="D4D4D4"/>
            <w:vAlign w:val="center"/>
          </w:tcPr>
          <w:p>
            <w:pPr>
              <w:pStyle w:val="Style44"/>
              <w:keepNext w:val="0"/>
              <w:keepLines w:val="0"/>
              <w:framePr w:w="10646" w:h="7987" w:vSpace="350" w:wrap="none" w:hAnchor="page" w:x="134" w:y="270"/>
              <w:widowControl w:val="0"/>
              <w:shd w:val="clear" w:color="auto" w:fill="auto"/>
              <w:bidi w:val="0"/>
              <w:spacing w:before="0" w:after="80" w:line="240" w:lineRule="auto"/>
              <w:ind w:left="0" w:right="0" w:firstLine="0"/>
              <w:jc w:val="both"/>
            </w:pPr>
            <w:r>
              <w:rPr>
                <w:color w:val="000000"/>
                <w:spacing w:val="0"/>
                <w:w w:val="100"/>
                <w:position w:val="0"/>
              </w:rPr>
              <w:t>尚未使用的募集资金</w:t>
            </w:r>
          </w:p>
          <w:p>
            <w:pPr>
              <w:pStyle w:val="Style44"/>
              <w:keepNext w:val="0"/>
              <w:keepLines w:val="0"/>
              <w:framePr w:w="10646" w:h="7987" w:vSpace="350" w:wrap="none" w:hAnchor="page" w:x="134" w:y="270"/>
              <w:widowControl w:val="0"/>
              <w:shd w:val="clear" w:color="auto" w:fill="auto"/>
              <w:bidi w:val="0"/>
              <w:spacing w:before="0" w:after="0" w:line="240" w:lineRule="auto"/>
              <w:ind w:left="0" w:right="0" w:firstLine="0"/>
              <w:jc w:val="both"/>
            </w:pPr>
            <w:r>
              <w:rPr>
                <w:color w:val="000000"/>
                <w:spacing w:val="0"/>
                <w:w w:val="100"/>
                <w:position w:val="0"/>
              </w:rPr>
              <w:t>用途及去向</w:t>
            </w:r>
          </w:p>
        </w:tc>
        <w:tc>
          <w:tcPr>
            <w:tcBorders>
              <w:top w:val="single" w:sz="4"/>
              <w:left w:val="single" w:sz="4"/>
              <w:right w:val="single" w:sz="4"/>
            </w:tcBorders>
            <w:shd w:val="clear" w:color="auto" w:fill="FFFFFF"/>
            <w:vAlign w:val="center"/>
          </w:tcPr>
          <w:p>
            <w:pPr>
              <w:pStyle w:val="Style44"/>
              <w:keepNext w:val="0"/>
              <w:keepLines w:val="0"/>
              <w:framePr w:w="10646" w:h="7987" w:vSpace="350" w:wrap="none" w:hAnchor="page" w:x="134" w:y="270"/>
              <w:widowControl w:val="0"/>
              <w:shd w:val="clear" w:color="auto" w:fill="auto"/>
              <w:bidi w:val="0"/>
              <w:spacing w:before="0" w:after="0" w:line="240" w:lineRule="auto"/>
              <w:ind w:left="0" w:right="0" w:firstLine="0"/>
              <w:jc w:val="left"/>
            </w:pPr>
            <w:r>
              <w:rPr>
                <w:color w:val="000000"/>
                <w:spacing w:val="0"/>
                <w:w w:val="100"/>
                <w:position w:val="0"/>
              </w:rPr>
              <w:t>尚未使用的募集资金全部存储在公司募集资金银行专户中，按募集资金管理办法严格管理和使用。</w:t>
            </w:r>
          </w:p>
        </w:tc>
      </w:tr>
      <w:tr>
        <w:trPr>
          <w:trHeight w:val="1037" w:hRule="exact"/>
        </w:trPr>
        <w:tc>
          <w:tcPr>
            <w:tcBorders>
              <w:top w:val="single" w:sz="4"/>
              <w:left w:val="single" w:sz="4"/>
              <w:bottom w:val="single" w:sz="4"/>
            </w:tcBorders>
            <w:shd w:val="clear" w:color="auto" w:fill="D4D4D4"/>
            <w:vAlign w:val="center"/>
          </w:tcPr>
          <w:p>
            <w:pPr>
              <w:pStyle w:val="Style44"/>
              <w:keepNext w:val="0"/>
              <w:keepLines w:val="0"/>
              <w:framePr w:w="10646" w:h="7987" w:vSpace="350" w:wrap="none" w:hAnchor="page" w:x="134" w:y="270"/>
              <w:widowControl w:val="0"/>
              <w:shd w:val="clear" w:color="auto" w:fill="auto"/>
              <w:bidi w:val="0"/>
              <w:spacing w:before="0" w:after="0" w:line="312" w:lineRule="exact"/>
              <w:ind w:left="0" w:right="0" w:firstLine="0"/>
              <w:jc w:val="both"/>
            </w:pPr>
            <w:r>
              <w:rPr>
                <w:color w:val="000000"/>
                <w:spacing w:val="0"/>
                <w:w w:val="100"/>
                <w:position w:val="0"/>
              </w:rPr>
              <w:t>募集资金使用及披露 中存在的问题或其他 情况</w:t>
            </w:r>
          </w:p>
        </w:tc>
        <w:tc>
          <w:tcPr>
            <w:tcBorders>
              <w:top w:val="single" w:sz="4"/>
              <w:left w:val="single" w:sz="4"/>
              <w:bottom w:val="single" w:sz="4"/>
              <w:right w:val="single" w:sz="4"/>
            </w:tcBorders>
            <w:shd w:val="clear" w:color="auto" w:fill="FFFFFF"/>
            <w:vAlign w:val="center"/>
          </w:tcPr>
          <w:p>
            <w:pPr>
              <w:pStyle w:val="Style44"/>
              <w:keepNext w:val="0"/>
              <w:keepLines w:val="0"/>
              <w:framePr w:w="10646" w:h="7987" w:vSpace="350" w:wrap="none" w:hAnchor="page" w:x="134" w:y="270"/>
              <w:widowControl w:val="0"/>
              <w:shd w:val="clear" w:color="auto" w:fill="auto"/>
              <w:bidi w:val="0"/>
              <w:spacing w:before="0" w:after="0" w:line="240" w:lineRule="auto"/>
              <w:ind w:left="0" w:right="0" w:firstLine="0"/>
              <w:jc w:val="left"/>
            </w:pPr>
            <w:r>
              <w:rPr>
                <w:color w:val="000000"/>
                <w:spacing w:val="0"/>
                <w:w w:val="100"/>
                <w:position w:val="0"/>
              </w:rPr>
              <w:t>无</w:t>
            </w:r>
          </w:p>
        </w:tc>
      </w:tr>
    </w:tbl>
    <w:p>
      <w:pPr>
        <w:framePr w:w="10646" w:h="7987" w:vSpace="350" w:wrap="none" w:hAnchor="page" w:x="134" w:y="270"/>
        <w:widowControl w:val="0"/>
        <w:spacing w:line="1" w:lineRule="exact"/>
      </w:pPr>
    </w:p>
    <w:p>
      <w:pPr>
        <w:pStyle w:val="Style49"/>
        <w:keepNext w:val="0"/>
        <w:keepLines w:val="0"/>
        <w:framePr w:w="1282" w:h="384" w:wrap="none" w:hAnchor="page" w:x="1934" w:y="-80"/>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pStyle w:val="Style55"/>
        <w:keepNext/>
        <w:keepLines/>
        <w:framePr w:w="2568" w:h="269" w:wrap="none" w:hAnchor="page" w:x="1224" w:y="8589"/>
        <w:widowControl w:val="0"/>
        <w:shd w:val="clear" w:color="auto" w:fill="auto"/>
        <w:bidi w:val="0"/>
        <w:spacing w:before="0" w:after="0" w:line="240" w:lineRule="auto"/>
        <w:ind w:left="0" w:right="0" w:firstLine="0"/>
        <w:jc w:val="left"/>
      </w:pPr>
      <w:bookmarkStart w:id="228" w:name="bookmark228"/>
      <w:bookmarkStart w:id="229" w:name="bookmark229"/>
      <w:bookmarkStart w:id="230" w:name="bookmark230"/>
      <w:r>
        <w:rPr>
          <w:rFonts w:ascii="Times New Roman" w:eastAsia="Times New Roman" w:hAnsi="Times New Roman" w:cs="Times New Roman"/>
          <w:color w:val="000000"/>
          <w:spacing w:val="0"/>
          <w:w w:val="100"/>
          <w:position w:val="0"/>
        </w:rPr>
        <w:t>（3</w:t>
      </w:r>
      <w:r>
        <w:rPr>
          <w:color w:val="000000"/>
          <w:spacing w:val="0"/>
          <w:w w:val="100"/>
          <w:position w:val="0"/>
        </w:rPr>
        <w:t>）募集资金变更项目情况</w:t>
      </w:r>
      <w:bookmarkEnd w:id="228"/>
      <w:bookmarkEnd w:id="229"/>
      <w:bookmarkEnd w:id="230"/>
    </w:p>
    <w:p>
      <w:pPr>
        <w:pStyle w:val="Style32"/>
        <w:keepNext w:val="0"/>
        <w:keepLines w:val="0"/>
        <w:framePr w:w="1416" w:h="264" w:wrap="none" w:hAnchor="page" w:x="1118" w:y="919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framePr w:w="3451" w:h="235" w:wrap="none" w:hAnchor="page" w:x="1118" w:y="9563"/>
        <w:widowControl w:val="0"/>
        <w:shd w:val="clear" w:color="auto" w:fill="auto"/>
        <w:bidi w:val="0"/>
        <w:spacing w:before="0" w:after="0" w:line="240" w:lineRule="auto"/>
        <w:ind w:left="0" w:right="0" w:firstLine="0"/>
        <w:jc w:val="left"/>
      </w:pPr>
      <w:r>
        <w:rPr>
          <w:color w:val="000000"/>
          <w:spacing w:val="0"/>
          <w:w w:val="100"/>
          <w:position w:val="0"/>
        </w:rPr>
        <w:t>公司报告期不存在募集资金变更项目情况。</w:t>
      </w:r>
    </w:p>
    <w:p>
      <w:pPr>
        <w:pStyle w:val="Style47"/>
        <w:keepNext/>
        <w:keepLines/>
        <w:framePr w:w="2688" w:h="298" w:wrap="none" w:hAnchor="page" w:x="1114" w:y="10149"/>
        <w:widowControl w:val="0"/>
        <w:shd w:val="clear" w:color="auto" w:fill="auto"/>
        <w:bidi w:val="0"/>
        <w:spacing w:before="0" w:after="0" w:line="240" w:lineRule="auto"/>
        <w:ind w:left="0" w:right="0" w:firstLine="0"/>
        <w:jc w:val="left"/>
      </w:pPr>
      <w:bookmarkStart w:id="231" w:name="bookmark231"/>
      <w:bookmarkStart w:id="232" w:name="bookmark232"/>
      <w:bookmarkStart w:id="233" w:name="bookmark233"/>
      <w:r>
        <w:rPr>
          <w:color w:val="000000"/>
          <w:spacing w:val="0"/>
          <w:w w:val="100"/>
          <w:position w:val="0"/>
          <w:sz w:val="24"/>
          <w:szCs w:val="24"/>
        </w:rPr>
        <w:t>六、重大资产和股权出售</w:t>
      </w:r>
      <w:bookmarkEnd w:id="231"/>
      <w:bookmarkEnd w:id="232"/>
      <w:bookmarkEnd w:id="233"/>
    </w:p>
    <w:p>
      <w:pPr>
        <w:pStyle w:val="Style55"/>
        <w:keepNext/>
        <w:keepLines/>
        <w:framePr w:w="2040" w:h="278" w:wrap="none" w:hAnchor="page" w:x="1118" w:y="10778"/>
        <w:widowControl w:val="0"/>
        <w:shd w:val="clear" w:color="auto" w:fill="auto"/>
        <w:bidi w:val="0"/>
        <w:spacing w:before="0" w:after="0" w:line="240" w:lineRule="auto"/>
        <w:ind w:left="0" w:right="0" w:firstLine="0"/>
        <w:jc w:val="left"/>
      </w:pPr>
      <w:bookmarkStart w:id="234" w:name="bookmark234"/>
      <w:bookmarkStart w:id="235" w:name="bookmark235"/>
      <w:bookmarkStart w:id="236" w:name="bookmark236"/>
      <w:r>
        <w:rPr>
          <w:rFonts w:ascii="Times New Roman" w:eastAsia="Times New Roman" w:hAnsi="Times New Roman" w:cs="Times New Roman"/>
          <w:color w:val="000000"/>
          <w:spacing w:val="0"/>
          <w:w w:val="100"/>
          <w:position w:val="0"/>
        </w:rPr>
        <w:t>1</w:t>
      </w:r>
      <w:r>
        <w:rPr>
          <w:color w:val="000000"/>
          <w:spacing w:val="0"/>
          <w:w w:val="100"/>
          <w:position w:val="0"/>
        </w:rPr>
        <w:t>、出售重大资产情况</w:t>
      </w:r>
      <w:bookmarkEnd w:id="234"/>
      <w:bookmarkEnd w:id="235"/>
      <w:bookmarkEnd w:id="236"/>
    </w:p>
    <w:p>
      <w:pPr>
        <w:pStyle w:val="Style32"/>
        <w:keepNext w:val="0"/>
        <w:keepLines w:val="0"/>
        <w:framePr w:w="1416" w:h="264" w:wrap="none" w:hAnchor="page" w:x="1118" w:y="1138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framePr w:w="2371" w:h="230" w:wrap="none" w:hAnchor="page" w:x="1118" w:y="11752"/>
        <w:widowControl w:val="0"/>
        <w:shd w:val="clear" w:color="auto" w:fill="auto"/>
        <w:bidi w:val="0"/>
        <w:spacing w:before="0" w:after="0" w:line="240" w:lineRule="auto"/>
        <w:ind w:left="0" w:right="0" w:firstLine="0"/>
        <w:jc w:val="left"/>
      </w:pPr>
      <w:r>
        <w:rPr>
          <w:color w:val="000000"/>
          <w:spacing w:val="0"/>
          <w:w w:val="100"/>
          <w:position w:val="0"/>
        </w:rPr>
        <w:t>公司报告期未出售重大资产。</w:t>
      </w:r>
    </w:p>
    <w:p>
      <w:pPr>
        <w:pStyle w:val="Style55"/>
        <w:keepNext/>
        <w:keepLines/>
        <w:framePr w:w="2050" w:h="269" w:wrap="none" w:hAnchor="page" w:x="1109" w:y="12352"/>
        <w:widowControl w:val="0"/>
        <w:shd w:val="clear" w:color="auto" w:fill="auto"/>
        <w:bidi w:val="0"/>
        <w:spacing w:before="0" w:after="0" w:line="240" w:lineRule="auto"/>
        <w:ind w:left="0" w:right="0" w:firstLine="0"/>
        <w:jc w:val="left"/>
      </w:pPr>
      <w:bookmarkStart w:id="237" w:name="bookmark237"/>
      <w:bookmarkStart w:id="238" w:name="bookmark238"/>
      <w:bookmarkStart w:id="239" w:name="bookmark239"/>
      <w:r>
        <w:rPr>
          <w:rFonts w:ascii="Times New Roman" w:eastAsia="Times New Roman" w:hAnsi="Times New Roman" w:cs="Times New Roman"/>
          <w:color w:val="000000"/>
          <w:spacing w:val="0"/>
          <w:w w:val="100"/>
          <w:position w:val="0"/>
        </w:rPr>
        <w:t>2</w:t>
      </w:r>
      <w:r>
        <w:rPr>
          <w:color w:val="000000"/>
          <w:spacing w:val="0"/>
          <w:w w:val="100"/>
          <w:position w:val="0"/>
        </w:rPr>
        <w:t>、出售重大股权情况</w:t>
      </w:r>
      <w:bookmarkEnd w:id="237"/>
      <w:bookmarkEnd w:id="238"/>
      <w:bookmarkEnd w:id="239"/>
    </w:p>
    <w:p>
      <w:pPr>
        <w:pStyle w:val="Style32"/>
        <w:keepNext w:val="0"/>
        <w:keepLines w:val="0"/>
        <w:framePr w:w="1416" w:h="264" w:wrap="none" w:hAnchor="page" w:x="1118" w:y="1296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widowControl w:val="0"/>
        <w:spacing w:line="360" w:lineRule="exact"/>
      </w:pPr>
      <w:r>
        <w:drawing>
          <wp:anchor distT="0" distB="0" distL="0" distR="0" simplePos="0" relativeHeight="62914840" behindDoc="1" locked="0" layoutInCell="1" allowOverlap="1">
            <wp:simplePos x="0" y="0"/>
            <wp:positionH relativeFrom="page">
              <wp:posOffset>724535</wp:posOffset>
            </wp:positionH>
            <wp:positionV relativeFrom="margin">
              <wp:posOffset>-295275</wp:posOffset>
            </wp:positionV>
            <wp:extent cx="1298575" cy="469265"/>
            <wp:wrapNone/>
            <wp:docPr id="214" name="Shape 214"/>
            <a:graphic xmlns:a="http://schemas.openxmlformats.org/drawingml/2006/main">
              <a:graphicData uri="http://schemas.openxmlformats.org/drawingml/2006/picture">
                <pic:pic xmlns:pic="http://schemas.openxmlformats.org/drawingml/2006/picture">
                  <pic:nvPicPr>
                    <pic:cNvPr id="215" name="Picture box 215"/>
                    <pic:cNvPicPr/>
                  </pic:nvPicPr>
                  <pic:blipFill>
                    <a:blip r:embed="rId107"/>
                    <a:stretch/>
                  </pic:blipFill>
                  <pic:spPr>
                    <a:xfrm>
                      <a:ext cx="1298575" cy="4692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4" w:line="1" w:lineRule="exact"/>
      </w:pPr>
    </w:p>
    <w:p>
      <w:pPr>
        <w:widowControl w:val="0"/>
        <w:spacing w:line="1" w:lineRule="exact"/>
        <w:sectPr>
          <w:headerReference w:type="default" r:id="rId109"/>
          <w:footerReference w:type="default" r:id="rId110"/>
          <w:headerReference w:type="even" r:id="rId111"/>
          <w:footerReference w:type="even" r:id="rId112"/>
          <w:footnotePr>
            <w:pos w:val="pageBottom"/>
            <w:numFmt w:val="decimal"/>
            <w:numRestart w:val="continuous"/>
          </w:footnotePr>
          <w:pgSz w:w="11900" w:h="16840"/>
          <w:pgMar w:top="1157" w:right="1120" w:bottom="1158" w:left="133" w:header="0" w:footer="3" w:gutter="0"/>
          <w:cols w:space="720"/>
          <w:noEndnote/>
          <w:rtlGutter w:val="0"/>
          <w:docGrid w:linePitch="360"/>
        </w:sectPr>
      </w:pPr>
    </w:p>
    <w:p>
      <w:pPr>
        <w:pStyle w:val="Style5"/>
        <w:keepNext w:val="0"/>
        <w:keepLines w:val="0"/>
        <w:widowControl w:val="0"/>
        <w:shd w:val="clear" w:color="auto" w:fill="auto"/>
        <w:bidi w:val="0"/>
        <w:spacing w:before="0" w:after="80" w:line="240" w:lineRule="auto"/>
        <w:ind w:left="0" w:right="0" w:firstLine="98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1140" w:right="0" w:firstLine="0"/>
        <w:jc w:val="left"/>
      </w:pPr>
      <w:r>
        <w:rPr>
          <w:rFonts w:ascii="SimHei" w:eastAsia="SimHei" w:hAnsi="SimHei" w:cs="SimHei"/>
          <w:color w:val="245994"/>
          <w:spacing w:val="0"/>
          <w:w w:val="100"/>
          <w:position w:val="0"/>
          <w:sz w:val="15"/>
          <w:szCs w:val="15"/>
        </w:rPr>
        <w:t xml:space="preserve">，| </w:t>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360" w:line="240" w:lineRule="auto"/>
        <w:ind w:left="0" w:right="0" w:firstLine="980"/>
        <w:jc w:val="both"/>
      </w:pPr>
      <w:bookmarkStart w:id="240" w:name="bookmark240"/>
      <w:bookmarkStart w:id="241" w:name="bookmark241"/>
      <w:bookmarkStart w:id="242" w:name="bookmark242"/>
      <w:bookmarkStart w:id="243" w:name="bookmark243"/>
      <w:r>
        <w:rPr>
          <w:color w:val="000000"/>
          <w:spacing w:val="0"/>
          <w:w w:val="100"/>
          <w:position w:val="0"/>
          <w:sz w:val="24"/>
          <w:szCs w:val="24"/>
        </w:rPr>
        <w:t>七</w:t>
      </w:r>
      <w:bookmarkEnd w:id="242"/>
      <w:r>
        <w:rPr>
          <w:color w:val="000000"/>
          <w:spacing w:val="0"/>
          <w:w w:val="100"/>
          <w:position w:val="0"/>
          <w:sz w:val="24"/>
          <w:szCs w:val="24"/>
        </w:rPr>
        <w:t>、主要控股参股公司分析</w:t>
      </w:r>
      <w:bookmarkEnd w:id="240"/>
      <w:bookmarkEnd w:id="241"/>
      <w:bookmarkEnd w:id="243"/>
    </w:p>
    <w:p>
      <w:pPr>
        <w:pStyle w:val="Style32"/>
        <w:keepNext w:val="0"/>
        <w:keepLines w:val="0"/>
        <w:widowControl w:val="0"/>
        <w:shd w:val="clear" w:color="auto" w:fill="auto"/>
        <w:bidi w:val="0"/>
        <w:spacing w:before="0" w:after="140" w:line="240" w:lineRule="auto"/>
        <w:ind w:left="0" w:right="0" w:firstLine="980"/>
        <w:jc w:val="both"/>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140" w:line="240" w:lineRule="auto"/>
        <w:ind w:left="0" w:right="0" w:firstLine="980"/>
        <w:jc w:val="both"/>
      </w:pPr>
      <w:r>
        <w:rPr>
          <w:color w:val="000000"/>
          <w:spacing w:val="0"/>
          <w:w w:val="100"/>
          <w:position w:val="0"/>
        </w:rPr>
        <w:t>主要子公司及对公司净利润影响达</w:t>
      </w:r>
      <w:r>
        <w:rPr>
          <w:rFonts w:ascii="Times New Roman" w:eastAsia="Times New Roman" w:hAnsi="Times New Roman" w:cs="Times New Roman"/>
          <w:color w:val="000000"/>
          <w:spacing w:val="0"/>
          <w:w w:val="100"/>
          <w:position w:val="0"/>
        </w:rPr>
        <w:t>10%</w:t>
      </w:r>
      <w:r>
        <w:rPr>
          <w:color w:val="000000"/>
          <w:spacing w:val="0"/>
          <w:w w:val="100"/>
          <w:position w:val="0"/>
        </w:rPr>
        <w:t>以上的参股公司情况</w:t>
      </w:r>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center"/>
        <w:tblLayout w:type="fixed"/>
      </w:tblPr>
      <w:tblGrid>
        <w:gridCol w:w="994"/>
        <w:gridCol w:w="710"/>
        <w:gridCol w:w="1704"/>
        <w:gridCol w:w="1133"/>
        <w:gridCol w:w="1277"/>
        <w:gridCol w:w="1277"/>
        <w:gridCol w:w="1272"/>
        <w:gridCol w:w="1138"/>
        <w:gridCol w:w="1142"/>
      </w:tblGrid>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公司 类型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主要业务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注册资本</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总资产</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净资产</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营业利润</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净利润</w:t>
            </w:r>
          </w:p>
        </w:tc>
      </w:tr>
      <w:tr>
        <w:trPr>
          <w:trHeight w:val="1291"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上海米健信</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息技术有限</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1" w:lineRule="exact"/>
              <w:ind w:left="0" w:right="0" w:firstLine="0"/>
              <w:jc w:val="both"/>
              <w:rPr>
                <w:sz w:val="15"/>
                <w:szCs w:val="15"/>
              </w:rPr>
            </w:pPr>
            <w:r>
              <w:rPr>
                <w:color w:val="000000"/>
                <w:spacing w:val="0"/>
                <w:w w:val="100"/>
                <w:position w:val="0"/>
                <w:sz w:val="15"/>
                <w:szCs w:val="15"/>
              </w:rPr>
              <w:t>信息科技、计算机软硬 件科技、网络科技技术 领域内的技术开发、技 术咨询、技术转让、技 术服务等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50,000,000.00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282,858,194.34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168,999,698.21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105,705,849.33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32,946,948.15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30,023,444.99</w:t>
            </w:r>
          </w:p>
        </w:tc>
      </w:tr>
      <w:tr>
        <w:trPr>
          <w:trHeight w:val="2251"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北京神州视</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翰科技有限</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exact"/>
              <w:ind w:left="0" w:right="0" w:firstLine="0"/>
              <w:jc w:val="both"/>
              <w:rPr>
                <w:sz w:val="15"/>
                <w:szCs w:val="15"/>
              </w:rPr>
            </w:pPr>
            <w:r>
              <w:rPr>
                <w:color w:val="000000"/>
                <w:spacing w:val="0"/>
                <w:w w:val="100"/>
                <w:position w:val="0"/>
                <w:sz w:val="15"/>
                <w:szCs w:val="15"/>
              </w:rPr>
              <w:t>计算机软硬件的技术 开发、服务、转让、咨 询；计算机技术培训； 计算机系统集成；销售 自行开发后的产品、计 算机、软件及辅助设 备；委托加工电子设 备；经济贸易咨询；制 作、代理、发布广告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50,000,000.00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304,512,303.26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163,761,449.05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230,238,823.80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68,354,801.45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61,140,285.52</w:t>
            </w:r>
          </w:p>
        </w:tc>
      </w:tr>
      <w:tr>
        <w:trPr>
          <w:trHeight w:val="2971"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辽宁荣科智</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维云科技有</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exact"/>
              <w:ind w:left="0" w:right="0" w:firstLine="0"/>
              <w:jc w:val="both"/>
              <w:rPr>
                <w:sz w:val="15"/>
                <w:szCs w:val="15"/>
              </w:rPr>
            </w:pPr>
            <w:r>
              <w:rPr>
                <w:color w:val="000000"/>
                <w:spacing w:val="0"/>
                <w:w w:val="100"/>
                <w:position w:val="0"/>
                <w:sz w:val="15"/>
                <w:szCs w:val="15"/>
              </w:rPr>
              <w:t>计算机软硬件技术、电 控工程技术开发；计算 机系统集成及咨询服 务；计算机及辅助设 备、通讯器材、机械电 子设备销售；建筑智能 化工程、防雷电工程、 安全技术防范设施工 程、弱电工程设计、施 工；计算机房装修及综 合布线；计算机系统维 护等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50,000,000.00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109,977,362.91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38,750,805.38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164,601,891.98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8,691,783.04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8,942,918.42</w:t>
            </w:r>
          </w:p>
        </w:tc>
      </w:tr>
      <w:tr>
        <w:trPr>
          <w:trHeight w:val="1296"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上海今创信</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息技术有限</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1" w:lineRule="exact"/>
              <w:ind w:left="0" w:right="0" w:firstLine="0"/>
              <w:jc w:val="both"/>
              <w:rPr>
                <w:sz w:val="15"/>
                <w:szCs w:val="15"/>
              </w:rPr>
            </w:pPr>
            <w:r>
              <w:rPr>
                <w:color w:val="000000"/>
                <w:spacing w:val="0"/>
                <w:w w:val="100"/>
                <w:position w:val="0"/>
                <w:sz w:val="15"/>
                <w:szCs w:val="15"/>
              </w:rPr>
              <w:t>从事信息技术、计算机 技术、网络技术领域内 的技术开发、技术转 让、技术咨询、技术服 务等</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10,000,000.00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151,794,068.00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102,098,787.92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101,132,746.87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37,228,332.06</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32,321,988.63</w:t>
            </w:r>
          </w:p>
        </w:tc>
      </w:tr>
    </w:tbl>
    <w:p>
      <w:pPr>
        <w:pStyle w:val="Style32"/>
        <w:keepNext w:val="0"/>
        <w:keepLines w:val="0"/>
        <w:widowControl w:val="0"/>
        <w:shd w:val="clear" w:color="auto" w:fill="auto"/>
        <w:bidi w:val="0"/>
        <w:spacing w:before="0" w:after="80" w:line="350" w:lineRule="exact"/>
        <w:ind w:left="980" w:right="0" w:firstLine="0"/>
        <w:jc w:val="left"/>
      </w:pPr>
      <w:r>
        <w:rPr>
          <w:color w:val="000000"/>
          <w:spacing w:val="0"/>
          <w:w w:val="100"/>
          <w:position w:val="0"/>
        </w:rPr>
        <w:t xml:space="preserve">报告期内取得和处置子公司的情况 </w:t>
      </w: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2736"/>
        <w:gridCol w:w="2410"/>
        <w:gridCol w:w="5434"/>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报告期内取得和处置子公司 方式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对整体生产经营和业绩的影响</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上海今创信息技术有限公司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收购</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推进医疗健康业务板块的外延式并购布局，提升公司整体实力。</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北京荣科智维云科技有限公司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出售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报告期内，对公司净利润无重大影响</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享云科技有限责任公司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出售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报告期内，对公司净利润无重大影响</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南京今创信息技术有限公司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其他投资方增资，不再控制</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报告期内，对公司净利润无重大影响</w:t>
            </w:r>
          </w:p>
        </w:tc>
      </w:tr>
    </w:tbl>
    <w:p>
      <w:pPr>
        <w:widowControl w:val="0"/>
        <w:spacing w:line="1" w:lineRule="exact"/>
      </w:pPr>
    </w:p>
    <w:p>
      <w:pPr>
        <w:framePr w:w="768" w:h="418" w:hSpace="1291" w:wrap="notBeside" w:vAnchor="text" w:hAnchor="text" w:x="1023" w:y="1"/>
        <w:widowControl w:val="0"/>
        <w:rPr>
          <w:sz w:val="2"/>
          <w:szCs w:val="2"/>
        </w:rPr>
      </w:pPr>
      <w:r>
        <w:drawing>
          <wp:inline>
            <wp:extent cx="487680" cy="267970"/>
            <wp:docPr id="226" name="Picutre 226"/>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13"/>
                    <a:stretch/>
                  </pic:blipFill>
                  <pic:spPr>
                    <a:xfrm>
                      <a:ext cx="487680" cy="267970"/>
                    </a:xfrm>
                    <a:prstGeom prst="rect"/>
                  </pic:spPr>
                </pic:pic>
              </a:graphicData>
            </a:graphic>
          </wp:inline>
        </w:drawing>
      </w:r>
    </w:p>
    <w:p>
      <w:pPr>
        <w:widowControl w:val="0"/>
        <w:spacing w:line="1" w:lineRule="exact"/>
      </w:pPr>
      <w:r>
        <mc:AlternateContent>
          <mc:Choice Requires="wps">
            <w:drawing>
              <wp:anchor distT="0" distB="0" distL="648970" distR="5096510" simplePos="0" relativeHeight="125829407" behindDoc="0" locked="0" layoutInCell="1" allowOverlap="1">
                <wp:simplePos x="0" y="0"/>
                <wp:positionH relativeFrom="column">
                  <wp:posOffset>1136650</wp:posOffset>
                </wp:positionH>
                <wp:positionV relativeFrom="paragraph">
                  <wp:posOffset>6350</wp:posOffset>
                </wp:positionV>
                <wp:extent cx="819785" cy="250190"/>
                <wp:wrapTopAndBottom/>
                <wp:docPr id="227" name="Shape 227"/>
                <a:graphic xmlns:a="http://schemas.openxmlformats.org/drawingml/2006/main">
                  <a:graphicData uri="http://schemas.microsoft.com/office/word/2010/wordprocessingShape">
                    <wps:wsp>
                      <wps:cNvSpPr txBox="1"/>
                      <wps:spPr>
                        <a:xfrm>
                          <a:ext cx="819785"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253" type="#_x0000_t202" style="position:absolute;margin-left:89.5pt;margin-top:0.5pt;width:64.549999999999997pt;height:19.699999999999999pt;z-index:-125829346;mso-wrap-distance-left:51.100000000000001pt;mso-wrap-distance-right:401.30000000000001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47"/>
        <w:keepNext/>
        <w:keepLines/>
        <w:widowControl w:val="0"/>
        <w:shd w:val="clear" w:color="auto" w:fill="auto"/>
        <w:bidi w:val="0"/>
        <w:spacing w:before="0" w:after="360" w:line="240" w:lineRule="auto"/>
        <w:ind w:left="0" w:right="0" w:firstLine="980"/>
        <w:jc w:val="left"/>
      </w:pPr>
      <w:bookmarkStart w:id="244" w:name="bookmark244"/>
      <w:bookmarkStart w:id="245" w:name="bookmark245"/>
      <w:bookmarkStart w:id="246" w:name="bookmark246"/>
      <w:bookmarkStart w:id="247" w:name="bookmark247"/>
      <w:r>
        <w:rPr>
          <w:color w:val="000000"/>
          <w:spacing w:val="0"/>
          <w:w w:val="100"/>
          <w:position w:val="0"/>
          <w:sz w:val="24"/>
          <w:szCs w:val="24"/>
        </w:rPr>
        <w:t>八</w:t>
      </w:r>
      <w:bookmarkEnd w:id="246"/>
      <w:r>
        <w:rPr>
          <w:color w:val="000000"/>
          <w:spacing w:val="0"/>
          <w:w w:val="100"/>
          <w:position w:val="0"/>
          <w:sz w:val="24"/>
          <w:szCs w:val="24"/>
        </w:rPr>
        <w:t>、公司控制的结构化主体情况</w:t>
      </w:r>
      <w:bookmarkEnd w:id="244"/>
      <w:bookmarkEnd w:id="245"/>
      <w:bookmarkEnd w:id="247"/>
    </w:p>
    <w:p>
      <w:pPr>
        <w:pStyle w:val="Style32"/>
        <w:keepNext w:val="0"/>
        <w:keepLines w:val="0"/>
        <w:widowControl w:val="0"/>
        <w:shd w:val="clear" w:color="auto" w:fill="auto"/>
        <w:bidi w:val="0"/>
        <w:spacing w:before="0" w:after="36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47"/>
        <w:keepNext/>
        <w:keepLines/>
        <w:widowControl w:val="0"/>
        <w:shd w:val="clear" w:color="auto" w:fill="auto"/>
        <w:bidi w:val="0"/>
        <w:spacing w:before="0" w:after="260" w:line="240" w:lineRule="auto"/>
        <w:ind w:left="0" w:right="0" w:firstLine="980"/>
        <w:jc w:val="left"/>
      </w:pPr>
      <w:bookmarkStart w:id="248" w:name="bookmark248"/>
      <w:bookmarkStart w:id="249" w:name="bookmark249"/>
      <w:bookmarkStart w:id="250" w:name="bookmark250"/>
      <w:bookmarkStart w:id="251" w:name="bookmark251"/>
      <w:r>
        <w:rPr>
          <w:color w:val="000000"/>
          <w:spacing w:val="0"/>
          <w:w w:val="100"/>
          <w:position w:val="0"/>
          <w:sz w:val="24"/>
          <w:szCs w:val="24"/>
        </w:rPr>
        <w:t>九</w:t>
      </w:r>
      <w:bookmarkEnd w:id="250"/>
      <w:r>
        <w:rPr>
          <w:color w:val="000000"/>
          <w:spacing w:val="0"/>
          <w:w w:val="100"/>
          <w:position w:val="0"/>
          <w:sz w:val="24"/>
          <w:szCs w:val="24"/>
        </w:rPr>
        <w:t>、公司未来发展的展望</w:t>
      </w:r>
      <w:bookmarkEnd w:id="248"/>
      <w:bookmarkEnd w:id="249"/>
      <w:bookmarkEnd w:id="251"/>
    </w:p>
    <w:p>
      <w:pPr>
        <w:pStyle w:val="Style32"/>
        <w:keepNext w:val="0"/>
        <w:keepLines w:val="0"/>
        <w:widowControl w:val="0"/>
        <w:shd w:val="clear" w:color="auto" w:fill="auto"/>
        <w:bidi w:val="0"/>
        <w:spacing w:before="0" w:after="140" w:line="315" w:lineRule="exact"/>
        <w:ind w:left="0" w:right="0" w:firstLine="980"/>
        <w:jc w:val="left"/>
      </w:pPr>
      <w:r>
        <w:rPr>
          <w:color w:val="000000"/>
          <w:spacing w:val="0"/>
          <w:w w:val="100"/>
          <w:position w:val="0"/>
        </w:rPr>
        <w:t>（一）行业发展趋势及公司战略</w:t>
      </w:r>
    </w:p>
    <w:p>
      <w:pPr>
        <w:pStyle w:val="Style32"/>
        <w:keepNext w:val="0"/>
        <w:keepLines w:val="0"/>
        <w:widowControl w:val="0"/>
        <w:shd w:val="clear" w:color="auto" w:fill="auto"/>
        <w:bidi w:val="0"/>
        <w:spacing w:before="0" w:after="0"/>
        <w:ind w:left="0" w:right="0" w:firstLine="980"/>
        <w:jc w:val="left"/>
      </w:pPr>
      <w:bookmarkStart w:id="252" w:name="bookmark252"/>
      <w:r>
        <w:rPr>
          <w:rFonts w:ascii="Times New Roman" w:eastAsia="Times New Roman" w:hAnsi="Times New Roman" w:cs="Times New Roman"/>
          <w:color w:val="000000"/>
          <w:spacing w:val="0"/>
          <w:w w:val="100"/>
          <w:position w:val="0"/>
        </w:rPr>
        <w:t>1</w:t>
      </w:r>
      <w:bookmarkEnd w:id="252"/>
      <w:r>
        <w:rPr>
          <w:color w:val="000000"/>
          <w:spacing w:val="0"/>
          <w:w w:val="100"/>
          <w:position w:val="0"/>
        </w:rPr>
        <w:t>、行业发展趋势</w:t>
      </w:r>
    </w:p>
    <w:p>
      <w:pPr>
        <w:pStyle w:val="Style32"/>
        <w:keepNext w:val="0"/>
        <w:keepLines w:val="0"/>
        <w:widowControl w:val="0"/>
        <w:shd w:val="clear" w:color="auto" w:fill="auto"/>
        <w:bidi w:val="0"/>
        <w:spacing w:before="0" w:after="0" w:line="315" w:lineRule="exact"/>
        <w:ind w:left="0" w:right="0" w:firstLine="980"/>
        <w:jc w:val="left"/>
      </w:pPr>
      <w:bookmarkStart w:id="253" w:name="bookmark253"/>
      <w:r>
        <w:rPr>
          <w:color w:val="000000"/>
          <w:spacing w:val="0"/>
          <w:w w:val="100"/>
          <w:position w:val="0"/>
        </w:rPr>
        <w:t>（</w:t>
      </w:r>
      <w:bookmarkEnd w:id="253"/>
      <w:r>
        <w:rPr>
          <w:rFonts w:ascii="Times New Roman" w:eastAsia="Times New Roman" w:hAnsi="Times New Roman" w:cs="Times New Roman"/>
          <w:color w:val="000000"/>
          <w:spacing w:val="0"/>
          <w:w w:val="100"/>
          <w:position w:val="0"/>
        </w:rPr>
        <w:t>1</w:t>
      </w:r>
      <w:r>
        <w:rPr>
          <w:color w:val="000000"/>
          <w:spacing w:val="0"/>
          <w:w w:val="100"/>
          <w:position w:val="0"/>
        </w:rPr>
        <w:t>）智慧医疗、健康数据方向</w:t>
      </w:r>
    </w:p>
    <w:p>
      <w:pPr>
        <w:pStyle w:val="Style32"/>
        <w:keepNext w:val="0"/>
        <w:keepLines w:val="0"/>
        <w:widowControl w:val="0"/>
        <w:shd w:val="clear" w:color="auto" w:fill="auto"/>
        <w:bidi w:val="0"/>
        <w:spacing w:before="0" w:after="0" w:line="317" w:lineRule="exact"/>
        <w:ind w:left="980" w:right="0" w:firstLine="0"/>
        <w:jc w:val="both"/>
      </w:pPr>
      <w:r>
        <w:rPr>
          <w:color w:val="000000"/>
          <w:spacing w:val="0"/>
          <w:w w:val="100"/>
          <w:position w:val="0"/>
        </w:rPr>
        <w:t>我国医疗资源发展长期处于不平衡的状态，医师和病床数量始终落后于患者需求，叠加近年来的人口老龄化趋势，致使我国 医疗需求始终处于高位。在此背景下，智慧医疗行业应运而生。</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智慧医疗是指在诊断、治疗、康复、支付、卫生管理等各环节，基于物联网、云计算等高科技技术，建设医疗信息完整、跨 服务部门、以病人为中心的医疗信息管理和服务体系，实现医疗信息互联、共享协作、临床创新、诊断科学等功能。智慧医 疗整合了我国碎片化的医疗系统，打通了医疗机构之间“数据孤岛”，并极大程度的提升院方的接诊效率，缓解了我国医疗 资源紧张的现状。</w:t>
      </w:r>
    </w:p>
    <w:p>
      <w:pPr>
        <w:pStyle w:val="Style32"/>
        <w:keepNext w:val="0"/>
        <w:keepLines w:val="0"/>
        <w:widowControl w:val="0"/>
        <w:shd w:val="clear" w:color="auto" w:fill="auto"/>
        <w:bidi w:val="0"/>
        <w:spacing w:before="0" w:after="0" w:line="315" w:lineRule="exact"/>
        <w:ind w:left="980" w:right="0" w:firstLine="0"/>
        <w:jc w:val="both"/>
      </w:pPr>
      <w:r>
        <w:rPr>
          <w:color w:val="000000"/>
          <w:spacing w:val="0"/>
          <w:w w:val="100"/>
          <w:position w:val="0"/>
        </w:rPr>
        <w:t>自</w:t>
      </w:r>
      <w:r>
        <w:rPr>
          <w:rFonts w:ascii="Times New Roman" w:eastAsia="Times New Roman" w:hAnsi="Times New Roman" w:cs="Times New Roman"/>
          <w:color w:val="000000"/>
          <w:spacing w:val="0"/>
          <w:w w:val="100"/>
          <w:position w:val="0"/>
        </w:rPr>
        <w:t>2017</w:t>
      </w:r>
      <w:r>
        <w:rPr>
          <w:color w:val="000000"/>
          <w:spacing w:val="0"/>
          <w:w w:val="100"/>
          <w:position w:val="0"/>
        </w:rPr>
        <w:t>年以来，针对智慧医疗行业的利好政策进入提速期，具体发展目标和建设要求逐步细化。</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月，国家卫计委 发布了《“十三五”全国人口健康信息化发展规划》，提出到</w:t>
      </w:r>
      <w:r>
        <w:rPr>
          <w:rFonts w:ascii="Times New Roman" w:eastAsia="Times New Roman" w:hAnsi="Times New Roman" w:cs="Times New Roman"/>
          <w:color w:val="000000"/>
          <w:spacing w:val="0"/>
          <w:w w:val="100"/>
          <w:position w:val="0"/>
        </w:rPr>
        <w:t>2020</w:t>
      </w:r>
      <w:r>
        <w:rPr>
          <w:color w:val="000000"/>
          <w:spacing w:val="0"/>
          <w:w w:val="100"/>
          <w:position w:val="0"/>
        </w:rPr>
        <w:t>年，基本建成统一权威、互联互通的人口健康信息平台； 同年</w:t>
      </w:r>
      <w:r>
        <w:rPr>
          <w:rFonts w:ascii="Times New Roman" w:eastAsia="Times New Roman" w:hAnsi="Times New Roman" w:cs="Times New Roman"/>
          <w:color w:val="000000"/>
          <w:spacing w:val="0"/>
          <w:w w:val="100"/>
          <w:position w:val="0"/>
        </w:rPr>
        <w:t>4</w:t>
      </w:r>
      <w:r>
        <w:rPr>
          <w:color w:val="000000"/>
          <w:spacing w:val="0"/>
          <w:w w:val="100"/>
          <w:position w:val="0"/>
        </w:rPr>
        <w:t>月，国务院办公厅发布了《关于推进医疗联合体建设和发展的指导意见》，提出到</w:t>
      </w:r>
      <w:r>
        <w:rPr>
          <w:rFonts w:ascii="Times New Roman" w:eastAsia="Times New Roman" w:hAnsi="Times New Roman" w:cs="Times New Roman"/>
          <w:color w:val="000000"/>
          <w:spacing w:val="0"/>
          <w:w w:val="100"/>
          <w:position w:val="0"/>
        </w:rPr>
        <w:t>2020</w:t>
      </w:r>
      <w:r>
        <w:rPr>
          <w:color w:val="000000"/>
          <w:spacing w:val="0"/>
          <w:w w:val="100"/>
          <w:position w:val="0"/>
        </w:rPr>
        <w:t>年，在总结试点经验的基础上， 全面推进医联体建设，形成较为完善的医联体政策体系。</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月，国务院和卫健委相继出台政策，提出加快发展“互 联网</w:t>
      </w:r>
      <w:r>
        <w:rPr>
          <w:rFonts w:ascii="Times New Roman" w:eastAsia="Times New Roman" w:hAnsi="Times New Roman" w:cs="Times New Roman"/>
          <w:color w:val="000000"/>
          <w:spacing w:val="0"/>
          <w:w w:val="100"/>
          <w:position w:val="0"/>
        </w:rPr>
        <w:t>+</w:t>
      </w:r>
      <w:r>
        <w:rPr>
          <w:color w:val="000000"/>
          <w:spacing w:val="0"/>
          <w:w w:val="100"/>
          <w:position w:val="0"/>
        </w:rPr>
        <w:t>医疗健康”，可以提高医疗服务效率，并加快二级以上医院普遍提供预约诊疗、检验检查结果查询等线上服务。</w:t>
      </w:r>
      <w:r>
        <w:rPr>
          <w:rFonts w:ascii="Times New Roman" w:eastAsia="Times New Roman" w:hAnsi="Times New Roman" w:cs="Times New Roman"/>
          <w:color w:val="000000"/>
          <w:spacing w:val="0"/>
          <w:w w:val="100"/>
          <w:position w:val="0"/>
        </w:rPr>
        <w:t xml:space="preserve">2019 </w:t>
      </w:r>
      <w:r>
        <w:rPr>
          <w:color w:val="000000"/>
          <w:spacing w:val="0"/>
          <w:w w:val="100"/>
          <w:position w:val="0"/>
        </w:rPr>
        <w:t>年以来，我国政府更是出台了多项政策鼓励智慧医疗行业发展：</w:t>
      </w:r>
    </w:p>
    <w:p>
      <w:pPr>
        <w:pStyle w:val="Style32"/>
        <w:keepNext w:val="0"/>
        <w:keepLines w:val="0"/>
        <w:widowControl w:val="0"/>
        <w:numPr>
          <w:ilvl w:val="0"/>
          <w:numId w:val="9"/>
        </w:numPr>
        <w:shd w:val="clear" w:color="auto" w:fill="auto"/>
        <w:tabs>
          <w:tab w:pos="1299" w:val="left"/>
        </w:tabs>
        <w:bidi w:val="0"/>
        <w:spacing w:before="0" w:after="0" w:line="322" w:lineRule="exact"/>
        <w:ind w:left="980" w:right="0" w:firstLine="0"/>
        <w:jc w:val="both"/>
      </w:pPr>
      <w:bookmarkStart w:id="254" w:name="bookmark254"/>
      <w:bookmarkEnd w:id="254"/>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月，国家卫建委发布《关于开展“互联网</w:t>
      </w:r>
      <w:r>
        <w:rPr>
          <w:rFonts w:ascii="Times New Roman" w:eastAsia="Times New Roman" w:hAnsi="Times New Roman" w:cs="Times New Roman"/>
          <w:color w:val="000000"/>
          <w:spacing w:val="0"/>
          <w:w w:val="100"/>
          <w:position w:val="0"/>
        </w:rPr>
        <w:t>+</w:t>
      </w:r>
      <w:r>
        <w:rPr>
          <w:color w:val="000000"/>
          <w:spacing w:val="0"/>
          <w:w w:val="100"/>
          <w:position w:val="0"/>
        </w:rPr>
        <w:t>护理服务”试点工作的通知》，将北京市、天津市、上海市、江苏省、 浙江省、广东省作为“互联网</w:t>
      </w:r>
      <w:r>
        <w:rPr>
          <w:rFonts w:ascii="Times New Roman" w:eastAsia="Times New Roman" w:hAnsi="Times New Roman" w:cs="Times New Roman"/>
          <w:color w:val="000000"/>
          <w:spacing w:val="0"/>
          <w:w w:val="100"/>
          <w:position w:val="0"/>
        </w:rPr>
        <w:t>+</w:t>
      </w:r>
      <w:r>
        <w:rPr>
          <w:color w:val="000000"/>
          <w:spacing w:val="0"/>
          <w:w w:val="100"/>
          <w:position w:val="0"/>
        </w:rPr>
        <w:t>护理服务”试点省份并提供试点实施总体方案；</w:t>
      </w:r>
    </w:p>
    <w:p>
      <w:pPr>
        <w:pStyle w:val="Style32"/>
        <w:keepNext w:val="0"/>
        <w:keepLines w:val="0"/>
        <w:widowControl w:val="0"/>
        <w:numPr>
          <w:ilvl w:val="0"/>
          <w:numId w:val="9"/>
        </w:numPr>
        <w:shd w:val="clear" w:color="auto" w:fill="auto"/>
        <w:tabs>
          <w:tab w:pos="1299" w:val="left"/>
        </w:tabs>
        <w:bidi w:val="0"/>
        <w:spacing w:before="0" w:after="0" w:line="322" w:lineRule="exact"/>
        <w:ind w:left="980" w:right="0" w:firstLine="0"/>
        <w:jc w:val="both"/>
      </w:pPr>
      <w:bookmarkStart w:id="255" w:name="bookmark255"/>
      <w:bookmarkEnd w:id="255"/>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月，国家卫建委发布《关于印发医院智慧服务分级评估标准体系（试行）的通知》，明确将对医院应用信息化 为患者提供智慧服务的功能和患者感受到的效果进行分级评估；</w:t>
      </w:r>
    </w:p>
    <w:p>
      <w:pPr>
        <w:pStyle w:val="Style32"/>
        <w:keepNext w:val="0"/>
        <w:keepLines w:val="0"/>
        <w:widowControl w:val="0"/>
        <w:numPr>
          <w:ilvl w:val="0"/>
          <w:numId w:val="9"/>
        </w:numPr>
        <w:shd w:val="clear" w:color="auto" w:fill="auto"/>
        <w:tabs>
          <w:tab w:pos="1299" w:val="left"/>
        </w:tabs>
        <w:bidi w:val="0"/>
        <w:spacing w:before="0" w:after="0" w:line="322" w:lineRule="exact"/>
        <w:ind w:left="980" w:right="0" w:firstLine="0"/>
        <w:jc w:val="both"/>
      </w:pPr>
      <w:bookmarkStart w:id="256" w:name="bookmark256"/>
      <w:bookmarkEnd w:id="256"/>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月，国务院办公厅发布《深化医药卫生体制改革</w:t>
      </w:r>
      <w:r>
        <w:rPr>
          <w:rFonts w:ascii="Times New Roman" w:eastAsia="Times New Roman" w:hAnsi="Times New Roman" w:cs="Times New Roman"/>
          <w:color w:val="000000"/>
          <w:spacing w:val="0"/>
          <w:w w:val="100"/>
          <w:position w:val="0"/>
        </w:rPr>
        <w:t>2019</w:t>
      </w:r>
      <w:r>
        <w:rPr>
          <w:color w:val="000000"/>
          <w:spacing w:val="0"/>
          <w:w w:val="100"/>
          <w:position w:val="0"/>
        </w:rPr>
        <w:t>年重点工作任务》，提出推进国家医学中心和区域医疗中 心建设、有序发展医联体促进分级诊疗、深化“放管服”改革支持社会办医、促进“互联网</w:t>
      </w:r>
      <w:r>
        <w:rPr>
          <w:rFonts w:ascii="Times New Roman" w:eastAsia="Times New Roman" w:hAnsi="Times New Roman" w:cs="Times New Roman"/>
          <w:color w:val="000000"/>
          <w:spacing w:val="0"/>
          <w:w w:val="100"/>
          <w:position w:val="0"/>
        </w:rPr>
        <w:t>+</w:t>
      </w:r>
      <w:r>
        <w:rPr>
          <w:color w:val="000000"/>
          <w:spacing w:val="0"/>
          <w:w w:val="100"/>
          <w:position w:val="0"/>
        </w:rPr>
        <w:t>医疗健康”发展；</w:t>
      </w:r>
    </w:p>
    <w:p>
      <w:pPr>
        <w:pStyle w:val="Style32"/>
        <w:keepNext w:val="0"/>
        <w:keepLines w:val="0"/>
        <w:widowControl w:val="0"/>
        <w:numPr>
          <w:ilvl w:val="0"/>
          <w:numId w:val="9"/>
        </w:numPr>
        <w:shd w:val="clear" w:color="auto" w:fill="auto"/>
        <w:tabs>
          <w:tab w:pos="1299" w:val="left"/>
        </w:tabs>
        <w:bidi w:val="0"/>
        <w:spacing w:before="0" w:after="0" w:line="317" w:lineRule="exact"/>
        <w:ind w:left="980" w:right="0" w:firstLine="0"/>
        <w:jc w:val="both"/>
      </w:pPr>
      <w:bookmarkStart w:id="257" w:name="bookmark257"/>
      <w:bookmarkEnd w:id="257"/>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月，国家医保局发布《关于完善“互联网</w:t>
      </w:r>
      <w:r>
        <w:rPr>
          <w:rFonts w:ascii="Times New Roman" w:eastAsia="Times New Roman" w:hAnsi="Times New Roman" w:cs="Times New Roman"/>
          <w:color w:val="000000"/>
          <w:spacing w:val="0"/>
          <w:w w:val="100"/>
          <w:position w:val="0"/>
        </w:rPr>
        <w:t>+</w:t>
      </w:r>
      <w:r>
        <w:rPr>
          <w:color w:val="000000"/>
          <w:spacing w:val="0"/>
          <w:w w:val="100"/>
          <w:position w:val="0"/>
        </w:rPr>
        <w:t>”医疗服务价格和医保支付政策的指导意见》，对于公立医疗机构提 供“互联网</w:t>
      </w:r>
      <w:r>
        <w:rPr>
          <w:rFonts w:ascii="Times New Roman" w:eastAsia="Times New Roman" w:hAnsi="Times New Roman" w:cs="Times New Roman"/>
          <w:color w:val="000000"/>
          <w:spacing w:val="0"/>
          <w:w w:val="100"/>
          <w:position w:val="0"/>
        </w:rPr>
        <w:t>+</w:t>
      </w:r>
      <w:r>
        <w:rPr>
          <w:color w:val="000000"/>
          <w:spacing w:val="0"/>
          <w:w w:val="100"/>
          <w:position w:val="0"/>
        </w:rPr>
        <w:t>”医疗服务，为互联网医疗的进一步发展奠定基础；</w:t>
      </w:r>
    </w:p>
    <w:p>
      <w:pPr>
        <w:pStyle w:val="Style32"/>
        <w:keepNext w:val="0"/>
        <w:keepLines w:val="0"/>
        <w:widowControl w:val="0"/>
        <w:numPr>
          <w:ilvl w:val="0"/>
          <w:numId w:val="9"/>
        </w:numPr>
        <w:shd w:val="clear" w:color="auto" w:fill="auto"/>
        <w:tabs>
          <w:tab w:pos="1299" w:val="left"/>
        </w:tabs>
        <w:bidi w:val="0"/>
        <w:spacing w:before="0" w:after="0" w:line="317" w:lineRule="exact"/>
        <w:ind w:left="980" w:right="0" w:firstLine="0"/>
        <w:jc w:val="both"/>
      </w:pPr>
      <w:bookmarkStart w:id="258" w:name="bookmark258"/>
      <w:bookmarkEnd w:id="258"/>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月，国家卫健委发布《关于在疫情防控中做好互联网诊疗咨询服务工作的通知》，通知强调充分发挥互联网诊 疗咨询服务在疫情防控中的作用，科学组织并有效开展互联网诊疗咨询服务工作，并切实做好互联网诊疗咨询服务的实时监 管工作。</w:t>
      </w:r>
    </w:p>
    <w:p>
      <w:pPr>
        <w:pStyle w:val="Style32"/>
        <w:keepNext w:val="0"/>
        <w:keepLines w:val="0"/>
        <w:widowControl w:val="0"/>
        <w:shd w:val="clear" w:color="auto" w:fill="auto"/>
        <w:bidi w:val="0"/>
        <w:spacing w:before="0" w:after="0" w:line="309" w:lineRule="exact"/>
        <w:ind w:left="980" w:right="0" w:firstLine="0"/>
        <w:jc w:val="both"/>
      </w:pPr>
      <w:r>
        <w:rPr>
          <w:color w:val="000000"/>
          <w:spacing w:val="0"/>
          <w:w w:val="100"/>
          <w:position w:val="0"/>
        </w:rPr>
        <w:t>在新的医疗改革政策的推动下，近年来我国医疗卫生信息化建设规模不断扩大，市场规模增速明显加快。过去</w:t>
      </w:r>
      <w:r>
        <w:rPr>
          <w:rFonts w:ascii="Times New Roman" w:eastAsia="Times New Roman" w:hAnsi="Times New Roman" w:cs="Times New Roman"/>
          <w:color w:val="000000"/>
          <w:spacing w:val="0"/>
          <w:w w:val="100"/>
          <w:position w:val="0"/>
        </w:rPr>
        <w:t>7</w:t>
      </w:r>
      <w:r>
        <w:rPr>
          <w:color w:val="000000"/>
          <w:spacing w:val="0"/>
          <w:w w:val="100"/>
          <w:position w:val="0"/>
        </w:rPr>
        <w:t xml:space="preserve">年间我国智 慧医疗市场规模实现了 </w:t>
      </w:r>
      <w:r>
        <w:rPr>
          <w:rFonts w:ascii="Times New Roman" w:eastAsia="Times New Roman" w:hAnsi="Times New Roman" w:cs="Times New Roman"/>
          <w:color w:val="000000"/>
          <w:spacing w:val="0"/>
          <w:w w:val="100"/>
          <w:position w:val="0"/>
        </w:rPr>
        <w:t>CAGR18%</w:t>
      </w:r>
      <w:r>
        <w:rPr>
          <w:color w:val="000000"/>
          <w:spacing w:val="0"/>
          <w:w w:val="100"/>
          <w:position w:val="0"/>
        </w:rPr>
        <w:t>的增长，</w:t>
      </w:r>
      <w:r>
        <w:rPr>
          <w:rFonts w:ascii="Times New Roman" w:eastAsia="Times New Roman" w:hAnsi="Times New Roman" w:cs="Times New Roman"/>
          <w:color w:val="000000"/>
          <w:spacing w:val="0"/>
          <w:w w:val="100"/>
          <w:position w:val="0"/>
        </w:rPr>
        <w:t>2018</w:t>
      </w:r>
      <w:r>
        <w:rPr>
          <w:color w:val="000000"/>
          <w:spacing w:val="0"/>
          <w:w w:val="100"/>
          <w:position w:val="0"/>
        </w:rPr>
        <w:t>年中国智慧医疗行业市场规模将已达到近</w:t>
      </w:r>
      <w:r>
        <w:rPr>
          <w:rFonts w:ascii="Times New Roman" w:eastAsia="Times New Roman" w:hAnsi="Times New Roman" w:cs="Times New Roman"/>
          <w:color w:val="000000"/>
          <w:spacing w:val="0"/>
          <w:w w:val="100"/>
          <w:position w:val="0"/>
        </w:rPr>
        <w:t>500</w:t>
      </w:r>
      <w:r>
        <w:rPr>
          <w:color w:val="000000"/>
          <w:spacing w:val="0"/>
          <w:w w:val="100"/>
          <w:position w:val="0"/>
        </w:rPr>
        <w:t>亿元。从相关政策来看，</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年是我国智慧医疗建设发展的重要节点。根据</w:t>
      </w:r>
      <w:r>
        <w:rPr>
          <w:rFonts w:ascii="Times New Roman" w:eastAsia="Times New Roman" w:hAnsi="Times New Roman" w:cs="Times New Roman"/>
          <w:color w:val="000000"/>
          <w:spacing w:val="0"/>
          <w:w w:val="100"/>
          <w:position w:val="0"/>
        </w:rPr>
        <w:t>IDC</w:t>
      </w:r>
      <w:r>
        <w:rPr>
          <w:color w:val="000000"/>
          <w:spacing w:val="0"/>
          <w:w w:val="100"/>
          <w:position w:val="0"/>
        </w:rPr>
        <w:t>发布的《中国医疗行业</w:t>
      </w:r>
      <w:r>
        <w:rPr>
          <w:rFonts w:ascii="Times New Roman" w:eastAsia="Times New Roman" w:hAnsi="Times New Roman" w:cs="Times New Roman"/>
          <w:color w:val="000000"/>
          <w:spacing w:val="0"/>
          <w:w w:val="100"/>
          <w:position w:val="0"/>
        </w:rPr>
        <w:t>IT</w:t>
      </w:r>
      <w:r>
        <w:rPr>
          <w:color w:val="000000"/>
          <w:spacing w:val="0"/>
          <w:w w:val="100"/>
          <w:position w:val="0"/>
        </w:rPr>
        <w:t>市场预测，</w:t>
      </w:r>
      <w:r>
        <w:rPr>
          <w:rFonts w:ascii="Times New Roman" w:eastAsia="Times New Roman" w:hAnsi="Times New Roman" w:cs="Times New Roman"/>
          <w:color w:val="000000"/>
          <w:spacing w:val="0"/>
          <w:w w:val="100"/>
          <w:position w:val="0"/>
        </w:rPr>
        <w:t>2019-2023</w:t>
      </w: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年中国智慧医疗 市场规模将达到</w:t>
      </w:r>
      <w:r>
        <w:rPr>
          <w:rFonts w:ascii="Times New Roman" w:eastAsia="Times New Roman" w:hAnsi="Times New Roman" w:cs="Times New Roman"/>
          <w:color w:val="000000"/>
          <w:spacing w:val="0"/>
          <w:w w:val="100"/>
          <w:position w:val="0"/>
        </w:rPr>
        <w:t>595</w:t>
      </w:r>
      <w:r>
        <w:rPr>
          <w:color w:val="000000"/>
          <w:spacing w:val="0"/>
          <w:w w:val="100"/>
          <w:position w:val="0"/>
        </w:rPr>
        <w:t>亿元，</w:t>
      </w:r>
      <w:r>
        <w:rPr>
          <w:rFonts w:ascii="Times New Roman" w:eastAsia="Times New Roman" w:hAnsi="Times New Roman" w:cs="Times New Roman"/>
          <w:color w:val="000000"/>
          <w:spacing w:val="0"/>
          <w:w w:val="100"/>
          <w:position w:val="0"/>
        </w:rPr>
        <w:t>2023</w:t>
      </w:r>
      <w:r>
        <w:rPr>
          <w:color w:val="000000"/>
          <w:spacing w:val="0"/>
          <w:w w:val="100"/>
          <w:position w:val="0"/>
        </w:rPr>
        <w:t>年将达到</w:t>
      </w:r>
      <w:r>
        <w:rPr>
          <w:rFonts w:ascii="Times New Roman" w:eastAsia="Times New Roman" w:hAnsi="Times New Roman" w:cs="Times New Roman"/>
          <w:color w:val="000000"/>
          <w:spacing w:val="0"/>
          <w:w w:val="100"/>
          <w:position w:val="0"/>
        </w:rPr>
        <w:t>792</w:t>
      </w:r>
      <w:r>
        <w:rPr>
          <w:color w:val="000000"/>
          <w:spacing w:val="0"/>
          <w:w w:val="100"/>
          <w:position w:val="0"/>
        </w:rPr>
        <w:t>亿元，市场空间广阔。</w:t>
      </w:r>
    </w:p>
    <w:p>
      <w:pPr>
        <w:pStyle w:val="Style32"/>
        <w:keepNext w:val="0"/>
        <w:keepLines w:val="0"/>
        <w:widowControl w:val="0"/>
        <w:shd w:val="clear" w:color="auto" w:fill="auto"/>
        <w:bidi w:val="0"/>
        <w:spacing w:before="0" w:after="0" w:line="315" w:lineRule="exact"/>
        <w:ind w:left="980" w:right="0" w:firstLine="0"/>
        <w:jc w:val="both"/>
      </w:pPr>
      <w:r>
        <w:rPr>
          <w:color w:val="000000"/>
          <w:spacing w:val="0"/>
          <w:w w:val="100"/>
          <w:position w:val="0"/>
        </w:rPr>
        <w:t>此外，随着</w:t>
      </w:r>
      <w:r>
        <w:rPr>
          <w:rFonts w:ascii="Times New Roman" w:eastAsia="Times New Roman" w:hAnsi="Times New Roman" w:cs="Times New Roman"/>
          <w:color w:val="000000"/>
          <w:spacing w:val="0"/>
          <w:w w:val="100"/>
          <w:position w:val="0"/>
        </w:rPr>
        <w:t>2020</w:t>
      </w:r>
      <w:r>
        <w:rPr>
          <w:color w:val="000000"/>
          <w:spacing w:val="0"/>
          <w:w w:val="100"/>
          <w:position w:val="0"/>
        </w:rPr>
        <w:t>年疫情的爆发，为减少人员流动、防止交叉感染，智慧医疗的问诊需求开始激增。疫情期间，公司帮助武 汉火神山医院搭建信息化医疗平台，完成了北京市地坛医院应急远重症隔离监护系统安装的工作，并凭借着远程会诊为甘肃 省民乐县中医医院开启了开展疫情防控远程培训。此次疫情凸显了智慧医疗在医疗行业中的重要性，疫情结束后国家有望将 推出更多行业政策驱动全国范围内区域卫生信息系统大规模的升级，智慧医疗行业将迎来崭新的发展机遇。</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公司在智慧医疗、健康数据业务的规划方向与国家政策高度吻合，公司所聚焦的临床应用细分领域、平台级及核心业务产品、 健康数据服务，都是深耕于医疗业务本身，服务于临床，公司将持续整合境内外临床医疗信息化产品和相关核心技术，未来 的研发重点将围绕临床医疗信息化的整个产品链及生态链，构建在临床医疗信息化领域的行业壁垒；积极探索创建基于大数</w:t>
      </w:r>
      <w:r>
        <w:br w:type="page"/>
      </w:r>
    </w:p>
    <w:p>
      <w:pPr>
        <w:pStyle w:val="Style32"/>
        <w:keepNext w:val="0"/>
        <w:keepLines w:val="0"/>
        <w:widowControl w:val="0"/>
        <w:shd w:val="clear" w:color="auto" w:fill="auto"/>
        <w:bidi w:val="0"/>
        <w:spacing w:before="0" w:line="240" w:lineRule="auto"/>
        <w:ind w:left="0" w:right="0" w:firstLine="980"/>
        <w:jc w:val="left"/>
      </w:pPr>
      <w:r>
        <mc:AlternateContent>
          <mc:Choice Requires="wps">
            <w:drawing>
              <wp:anchor distT="0" distB="0" distL="114300" distR="114300" simplePos="0" relativeHeight="125829409" behindDoc="0" locked="0" layoutInCell="1" allowOverlap="1">
                <wp:simplePos x="0" y="0"/>
                <wp:positionH relativeFrom="page">
                  <wp:posOffset>803910</wp:posOffset>
                </wp:positionH>
                <wp:positionV relativeFrom="margin">
                  <wp:posOffset>-75565</wp:posOffset>
                </wp:positionV>
                <wp:extent cx="1243330" cy="298450"/>
                <wp:wrapTopAndBottom/>
                <wp:docPr id="229" name="Shape 229"/>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255" type="#_x0000_t202" style="position:absolute;margin-left:63.300000000000004pt;margin-top:-5.9500000000000002pt;width:97.900000000000006pt;height:23.5pt;z-index:-125829344;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据分析的健康服务平台与运营服务模式，构筑在健康数据分析与临床医疗信息化等领域独具特色的成长优势。</w:t>
      </w:r>
    </w:p>
    <w:p>
      <w:pPr>
        <w:pStyle w:val="Style32"/>
        <w:keepNext w:val="0"/>
        <w:keepLines w:val="0"/>
        <w:widowControl w:val="0"/>
        <w:numPr>
          <w:ilvl w:val="0"/>
          <w:numId w:val="11"/>
        </w:numPr>
        <w:shd w:val="clear" w:color="auto" w:fill="auto"/>
        <w:bidi w:val="0"/>
        <w:spacing w:before="0" w:line="316" w:lineRule="exact"/>
        <w:ind w:left="980" w:right="0" w:firstLine="0"/>
        <w:jc w:val="both"/>
      </w:pPr>
      <w:bookmarkStart w:id="259" w:name="bookmark259"/>
      <w:bookmarkEnd w:id="259"/>
      <w:r>
        <w:rPr>
          <w:color w:val="000000"/>
          <w:spacing w:val="0"/>
          <w:w w:val="100"/>
          <w:position w:val="0"/>
        </w:rPr>
        <w:t>智能融合云服务方向</w:t>
      </w:r>
    </w:p>
    <w:p>
      <w:pPr>
        <w:pStyle w:val="Style32"/>
        <w:keepNext w:val="0"/>
        <w:keepLines w:val="0"/>
        <w:widowControl w:val="0"/>
        <w:shd w:val="clear" w:color="auto" w:fill="auto"/>
        <w:bidi w:val="0"/>
        <w:spacing w:before="0" w:line="316" w:lineRule="exact"/>
        <w:ind w:left="980" w:right="0" w:firstLine="0"/>
        <w:jc w:val="both"/>
      </w:pPr>
      <w:r>
        <w:rPr>
          <w:color w:val="000000"/>
          <w:spacing w:val="0"/>
          <w:w w:val="100"/>
          <w:position w:val="0"/>
        </w:rPr>
        <w:t>当今世界已经进入到大数据、云计算、物联网和移动互联等新技术大力发展与广泛应用的时代，信息技术应用创新已经成为 国家信息化建设中涉及国家安全与产业自主发展的基石和保障；同时行业用户、产业伙伴的体系化、生态化建设也正在成为 一种趋势。在这样的行业发展背景下，公司创新发展服务方法论与模式，采取产品</w:t>
      </w:r>
      <w:r>
        <w:rPr>
          <w:rFonts w:ascii="Times New Roman" w:eastAsia="Times New Roman" w:hAnsi="Times New Roman" w:cs="Times New Roman"/>
          <w:color w:val="000000"/>
          <w:spacing w:val="0"/>
          <w:w w:val="100"/>
          <w:position w:val="0"/>
        </w:rPr>
        <w:t>+</w:t>
      </w:r>
      <w:r>
        <w:rPr>
          <w:color w:val="000000"/>
          <w:spacing w:val="0"/>
          <w:w w:val="100"/>
          <w:position w:val="0"/>
        </w:rPr>
        <w:t>服务的方案思路，在帮助企业快速实现 数字化转型的同时，也让其体验到云服务的专业、可靠、高效与便捷。公司秉承“智启数据，维享云端”的产品理念，坚持 以客户需求为核心持续创新，加大服务增值投入，每位员工务必追求优异的工作表现，在</w:t>
      </w:r>
      <w:r>
        <w:rPr>
          <w:rFonts w:ascii="Times New Roman" w:eastAsia="Times New Roman" w:hAnsi="Times New Roman" w:cs="Times New Roman"/>
          <w:color w:val="000000"/>
          <w:spacing w:val="0"/>
          <w:w w:val="100"/>
          <w:position w:val="0"/>
        </w:rPr>
        <w:t>IT</w:t>
      </w:r>
      <w:r>
        <w:rPr>
          <w:color w:val="000000"/>
          <w:spacing w:val="0"/>
          <w:w w:val="100"/>
          <w:position w:val="0"/>
        </w:rPr>
        <w:t>云服务领域尽可能给予客户最 好的服务、产品与解决方案；我们与生态伙伴开放合作，持续为客户带来更高价值收益，释放人才潜能，激发组织创新。 从行业角度来讲，目前的国内的</w:t>
      </w:r>
      <w:r>
        <w:rPr>
          <w:rFonts w:ascii="Times New Roman" w:eastAsia="Times New Roman" w:hAnsi="Times New Roman" w:cs="Times New Roman"/>
          <w:color w:val="000000"/>
          <w:spacing w:val="0"/>
          <w:w w:val="100"/>
          <w:position w:val="0"/>
        </w:rPr>
        <w:t>IT</w:t>
      </w:r>
      <w:r>
        <w:rPr>
          <w:color w:val="000000"/>
          <w:spacing w:val="0"/>
          <w:w w:val="100"/>
          <w:position w:val="0"/>
        </w:rPr>
        <w:t>服务市场仍然是一个碎片化比较严重的离散型服务市场，智维云服务业务要想提高业务 竞争力，需要持续提升三个方面的能力：产品的能力、服务网络的能力与生态建设的能力。行业客户对于数字化转型与国产 化的迫切要求，以及需要重构智慧城市业务系统成为当前的内在需求。</w:t>
      </w:r>
    </w:p>
    <w:p>
      <w:pPr>
        <w:pStyle w:val="Style32"/>
        <w:keepNext w:val="0"/>
        <w:keepLines w:val="0"/>
        <w:widowControl w:val="0"/>
        <w:numPr>
          <w:ilvl w:val="0"/>
          <w:numId w:val="13"/>
        </w:numPr>
        <w:shd w:val="clear" w:color="auto" w:fill="auto"/>
        <w:tabs>
          <w:tab w:pos="1293" w:val="left"/>
        </w:tabs>
        <w:bidi w:val="0"/>
        <w:spacing w:before="0" w:line="312" w:lineRule="exact"/>
        <w:ind w:left="980" w:right="0" w:firstLine="0"/>
        <w:jc w:val="both"/>
      </w:pPr>
      <w:bookmarkStart w:id="260" w:name="bookmark260"/>
      <w:bookmarkEnd w:id="260"/>
      <w:r>
        <w:rPr>
          <w:color w:val="000000"/>
          <w:spacing w:val="0"/>
          <w:w w:val="100"/>
          <w:position w:val="0"/>
        </w:rPr>
        <w:t>自主可控的事情因关系到国计民生所以意义重大，从国家政策上看正在越来越多地支持自主可控发展。在国家战略层面, 相关政策也逐渐出台，在金融、政务等关键领域信息化建设掀起了国产化、自主可控的浪潮。从</w:t>
      </w:r>
      <w:r>
        <w:rPr>
          <w:rFonts w:ascii="Times New Roman" w:eastAsia="Times New Roman" w:hAnsi="Times New Roman" w:cs="Times New Roman"/>
          <w:color w:val="000000"/>
          <w:spacing w:val="0"/>
          <w:w w:val="100"/>
          <w:position w:val="0"/>
        </w:rPr>
        <w:t>2017</w:t>
      </w:r>
      <w:r>
        <w:rPr>
          <w:color w:val="000000"/>
          <w:spacing w:val="0"/>
          <w:w w:val="100"/>
          <w:position w:val="0"/>
        </w:rPr>
        <w:t>年开始，我们基于国 产芯片等国产</w:t>
      </w:r>
      <w:r>
        <w:rPr>
          <w:rFonts w:ascii="Times New Roman" w:eastAsia="Times New Roman" w:hAnsi="Times New Roman" w:cs="Times New Roman"/>
          <w:color w:val="000000"/>
          <w:spacing w:val="0"/>
          <w:w w:val="100"/>
          <w:position w:val="0"/>
        </w:rPr>
        <w:t>IT</w:t>
      </w:r>
      <w:r>
        <w:rPr>
          <w:color w:val="000000"/>
          <w:spacing w:val="0"/>
          <w:w w:val="100"/>
          <w:position w:val="0"/>
        </w:rPr>
        <w:t>基础设备的产品开始逐步放量，尤其以党政军市场和以能源、交通、金融、电信等为代表的关键行业市场 有更为强烈的自主可控需求。</w:t>
      </w:r>
    </w:p>
    <w:p>
      <w:pPr>
        <w:pStyle w:val="Style32"/>
        <w:keepNext w:val="0"/>
        <w:keepLines w:val="0"/>
        <w:widowControl w:val="0"/>
        <w:numPr>
          <w:ilvl w:val="0"/>
          <w:numId w:val="13"/>
        </w:numPr>
        <w:shd w:val="clear" w:color="auto" w:fill="auto"/>
        <w:tabs>
          <w:tab w:pos="1293" w:val="left"/>
        </w:tabs>
        <w:bidi w:val="0"/>
        <w:spacing w:before="0" w:line="311" w:lineRule="exact"/>
        <w:ind w:left="980" w:right="0" w:firstLine="0"/>
        <w:jc w:val="both"/>
      </w:pPr>
      <w:bookmarkStart w:id="261" w:name="bookmark261"/>
      <w:bookmarkEnd w:id="261"/>
      <w:r>
        <w:rPr>
          <w:color w:val="000000"/>
          <w:spacing w:val="0"/>
          <w:w w:val="100"/>
          <w:position w:val="0"/>
        </w:rPr>
        <w:t>十三五规划纲要指出，要“加快构建高速、移动、安全、现代的新一代信息基础设施，推进信息网络技术广泛运用，形 成万物互联、人机交互、天地一体的网络空间要“组织实施'互联网</w:t>
      </w:r>
      <w:r>
        <w:rPr>
          <w:rFonts w:ascii="Times New Roman" w:eastAsia="Times New Roman" w:hAnsi="Times New Roman" w:cs="Times New Roman"/>
          <w:color w:val="000000"/>
          <w:spacing w:val="0"/>
          <w:w w:val="100"/>
          <w:position w:val="0"/>
        </w:rPr>
        <w:t>+</w:t>
      </w:r>
      <w:r>
        <w:rPr>
          <w:color w:val="000000"/>
          <w:spacing w:val="0"/>
          <w:w w:val="100"/>
          <w:position w:val="0"/>
        </w:rPr>
        <w:t>'</w:t>
      </w:r>
      <w:r>
        <w:rPr>
          <w:color w:val="000000"/>
          <w:spacing w:val="0"/>
          <w:w w:val="100"/>
          <w:position w:val="0"/>
        </w:rPr>
        <w:t>重大工程，加快推进基于互联网的商业模式、 服务模式、管理模式及供应链、物流链等各类创新，培育'互联网</w:t>
      </w:r>
      <w:r>
        <w:rPr>
          <w:rFonts w:ascii="Times New Roman" w:eastAsia="Times New Roman" w:hAnsi="Times New Roman" w:cs="Times New Roman"/>
          <w:color w:val="000000"/>
          <w:spacing w:val="0"/>
          <w:w w:val="100"/>
          <w:position w:val="0"/>
        </w:rPr>
        <w:t>+</w:t>
      </w:r>
      <w:r>
        <w:rPr>
          <w:color w:val="000000"/>
          <w:spacing w:val="0"/>
          <w:w w:val="100"/>
          <w:position w:val="0"/>
        </w:rPr>
        <w:t>'</w:t>
      </w:r>
      <w:r>
        <w:rPr>
          <w:color w:val="000000"/>
          <w:spacing w:val="0"/>
          <w:w w:val="100"/>
          <w:position w:val="0"/>
        </w:rPr>
        <w:t>生态体系，形成网络化协同分工新格局。”因此，国 产化和新型智慧城市建设在一系列的国家政策的推动下，势必迎来较大的发展空间，而“互联网+ ”正在不断夯实</w:t>
      </w:r>
      <w:r>
        <w:rPr>
          <w:color w:val="000000"/>
          <w:spacing w:val="0"/>
          <w:w w:val="100"/>
          <w:position w:val="0"/>
        </w:rPr>
        <w:t>“</w:t>
      </w:r>
      <w:r>
        <w:rPr>
          <w:rFonts w:ascii="Times New Roman" w:eastAsia="Times New Roman" w:hAnsi="Times New Roman" w:cs="Times New Roman"/>
          <w:color w:val="000000"/>
          <w:spacing w:val="0"/>
          <w:w w:val="100"/>
          <w:position w:val="0"/>
        </w:rPr>
        <w:t>IT</w:t>
      </w:r>
      <w:r>
        <w:rPr>
          <w:color w:val="000000"/>
          <w:spacing w:val="0"/>
          <w:w w:val="100"/>
          <w:position w:val="0"/>
        </w:rPr>
        <w:t>服 务化、服务</w:t>
      </w:r>
      <w:r>
        <w:rPr>
          <w:rFonts w:ascii="Times New Roman" w:eastAsia="Times New Roman" w:hAnsi="Times New Roman" w:cs="Times New Roman"/>
          <w:color w:val="000000"/>
          <w:spacing w:val="0"/>
          <w:w w:val="100"/>
          <w:position w:val="0"/>
        </w:rPr>
        <w:t>IT</w:t>
      </w:r>
      <w:r>
        <w:rPr>
          <w:color w:val="000000"/>
          <w:spacing w:val="0"/>
          <w:w w:val="100"/>
          <w:position w:val="0"/>
        </w:rPr>
        <w:t>化”基础；使</w:t>
      </w:r>
      <w:r>
        <w:rPr>
          <w:rFonts w:ascii="Times New Roman" w:eastAsia="Times New Roman" w:hAnsi="Times New Roman" w:cs="Times New Roman"/>
          <w:color w:val="000000"/>
          <w:spacing w:val="0"/>
          <w:w w:val="100"/>
          <w:position w:val="0"/>
        </w:rPr>
        <w:t>IT</w:t>
      </w:r>
      <w:r>
        <w:rPr>
          <w:color w:val="000000"/>
          <w:spacing w:val="0"/>
          <w:w w:val="100"/>
          <w:position w:val="0"/>
        </w:rPr>
        <w:t>服务商和用户之间形成深层次、高融合的互动关系，智维云服务就是要实现通过互联网技术 手段，积极创新升级荣科</w:t>
      </w:r>
      <w:r>
        <w:rPr>
          <w:rFonts w:ascii="Times New Roman" w:eastAsia="Times New Roman" w:hAnsi="Times New Roman" w:cs="Times New Roman"/>
          <w:color w:val="000000"/>
          <w:spacing w:val="0"/>
          <w:w w:val="100"/>
          <w:position w:val="0"/>
        </w:rPr>
        <w:t>IT</w:t>
      </w:r>
      <w:r>
        <w:rPr>
          <w:color w:val="000000"/>
          <w:spacing w:val="0"/>
          <w:w w:val="100"/>
          <w:position w:val="0"/>
        </w:rPr>
        <w:t>服务模式，利用智能云平台实现与客户的在线互联式服务。</w:t>
      </w:r>
    </w:p>
    <w:p>
      <w:pPr>
        <w:pStyle w:val="Style32"/>
        <w:keepNext w:val="0"/>
        <w:keepLines w:val="0"/>
        <w:widowControl w:val="0"/>
        <w:numPr>
          <w:ilvl w:val="0"/>
          <w:numId w:val="13"/>
        </w:numPr>
        <w:shd w:val="clear" w:color="auto" w:fill="auto"/>
        <w:tabs>
          <w:tab w:pos="1293" w:val="left"/>
        </w:tabs>
        <w:bidi w:val="0"/>
        <w:spacing w:before="0" w:line="312" w:lineRule="exact"/>
        <w:ind w:left="980" w:right="0" w:firstLine="0"/>
        <w:jc w:val="both"/>
      </w:pPr>
      <w:bookmarkStart w:id="262" w:name="bookmark262"/>
      <w:bookmarkEnd w:id="262"/>
      <w:r>
        <w:rPr>
          <w:color w:val="000000"/>
          <w:spacing w:val="0"/>
          <w:w w:val="100"/>
          <w:position w:val="0"/>
        </w:rPr>
        <w:t>互联网时代下</w:t>
      </w:r>
      <w:r>
        <w:rPr>
          <w:rFonts w:ascii="Times New Roman" w:eastAsia="Times New Roman" w:hAnsi="Times New Roman" w:cs="Times New Roman"/>
          <w:color w:val="000000"/>
          <w:spacing w:val="0"/>
          <w:w w:val="100"/>
          <w:position w:val="0"/>
        </w:rPr>
        <w:t>IT</w:t>
      </w:r>
      <w:r>
        <w:rPr>
          <w:color w:val="000000"/>
          <w:spacing w:val="0"/>
          <w:w w:val="100"/>
          <w:position w:val="0"/>
        </w:rPr>
        <w:t>服务将呈现网络化、个性化、智能化、生态化的趋势，</w:t>
      </w:r>
      <w:r>
        <w:rPr>
          <w:rFonts w:ascii="Times New Roman" w:eastAsia="Times New Roman" w:hAnsi="Times New Roman" w:cs="Times New Roman"/>
          <w:color w:val="000000"/>
          <w:spacing w:val="0"/>
          <w:w w:val="100"/>
          <w:position w:val="0"/>
        </w:rPr>
        <w:t>IT</w:t>
      </w:r>
      <w:r>
        <w:rPr>
          <w:color w:val="000000"/>
          <w:spacing w:val="0"/>
          <w:w w:val="100"/>
          <w:position w:val="0"/>
        </w:rPr>
        <w:t>服务转变为互联式的云服务、定制化的个性 服务、基于大数据的智能服务以及共生互生的生态格局，进入智能时间，单打独斗已难获得成功，生态的发展正在进一步释 放技术创新的潜力，商业伙伴协同合作，共建行业新生态，开拓新蓝海，最终形成“共生经济”。基于云平台打造开放、多 样、共赢的生态圈是其发展趋势之一。</w:t>
      </w:r>
      <w:r>
        <w:rPr>
          <w:rFonts w:ascii="Times New Roman" w:eastAsia="Times New Roman" w:hAnsi="Times New Roman" w:cs="Times New Roman"/>
          <w:color w:val="000000"/>
          <w:spacing w:val="0"/>
          <w:w w:val="100"/>
          <w:position w:val="0"/>
        </w:rPr>
        <w:t>IT</w:t>
      </w:r>
      <w:r>
        <w:rPr>
          <w:color w:val="000000"/>
          <w:spacing w:val="0"/>
          <w:w w:val="100"/>
          <w:position w:val="0"/>
        </w:rPr>
        <w:t>技术在变，用户需求在变，产业生态也正发生着深刻的变化。未来公司将会与更 多的</w:t>
      </w:r>
      <w:r>
        <w:rPr>
          <w:rFonts w:ascii="Times New Roman" w:eastAsia="Times New Roman" w:hAnsi="Times New Roman" w:cs="Times New Roman"/>
          <w:color w:val="000000"/>
          <w:spacing w:val="0"/>
          <w:w w:val="100"/>
          <w:position w:val="0"/>
        </w:rPr>
        <w:t>IT</w:t>
      </w:r>
      <w:r>
        <w:rPr>
          <w:color w:val="000000"/>
          <w:spacing w:val="0"/>
          <w:w w:val="100"/>
          <w:position w:val="0"/>
        </w:rPr>
        <w:t>伙伴携手共建生态圈，为更广阔的行业用户提供高起点、高效率、高价值的优质服务与产品。</w:t>
      </w:r>
    </w:p>
    <w:p>
      <w:pPr>
        <w:pStyle w:val="Style32"/>
        <w:keepNext w:val="0"/>
        <w:keepLines w:val="0"/>
        <w:widowControl w:val="0"/>
        <w:numPr>
          <w:ilvl w:val="0"/>
          <w:numId w:val="13"/>
        </w:numPr>
        <w:shd w:val="clear" w:color="auto" w:fill="auto"/>
        <w:bidi w:val="0"/>
        <w:spacing w:before="0" w:line="312" w:lineRule="exact"/>
        <w:ind w:left="980" w:right="0" w:firstLine="0"/>
        <w:jc w:val="both"/>
      </w:pPr>
      <w:bookmarkStart w:id="263" w:name="bookmark263"/>
      <w:bookmarkEnd w:id="263"/>
      <w:r>
        <w:rPr>
          <w:color w:val="000000"/>
          <w:spacing w:val="0"/>
          <w:w w:val="100"/>
          <w:position w:val="0"/>
        </w:rPr>
        <w:t>智能大数据运营：十三五规划纲要指出，要“把大数据作为基础性战略资源，全面实施促进大数据发展行动，加快推动 数据资源共享开放和开发应用，助力产业转型升级和社会治理创新。”大数据是具有更强的决策力、洞察发现力和流程优化 能力的海量、高增长率和多样化的信息资产，利用大数据实现企业增值的关键就是如何对数据进行加工与处理。荣科充分利 用企业在</w:t>
      </w:r>
      <w:r>
        <w:rPr>
          <w:rFonts w:ascii="Times New Roman" w:eastAsia="Times New Roman" w:hAnsi="Times New Roman" w:cs="Times New Roman"/>
          <w:color w:val="000000"/>
          <w:spacing w:val="0"/>
          <w:w w:val="100"/>
          <w:position w:val="0"/>
        </w:rPr>
        <w:t>IT</w:t>
      </w:r>
      <w:r>
        <w:rPr>
          <w:color w:val="000000"/>
          <w:spacing w:val="0"/>
          <w:w w:val="100"/>
          <w:position w:val="0"/>
        </w:rPr>
        <w:t>服务领域的技术优势，借助基于大数据架构的智维云平台，实现为客户的业务数据、基础结构数据及管理数据 等海量数据的提供采集、存储、清洗、分析发掘、可视化、安全与隐私保护等服务，帮助客户更容易判断出未来所要面临的 变化趋势，用数据指引成长与发展，发掘更适应的方向与形态，降低经营风险，实现决策支持。</w:t>
      </w:r>
    </w:p>
    <w:p>
      <w:pPr>
        <w:pStyle w:val="Style32"/>
        <w:keepNext w:val="0"/>
        <w:keepLines w:val="0"/>
        <w:widowControl w:val="0"/>
        <w:shd w:val="clear" w:color="auto" w:fill="auto"/>
        <w:bidi w:val="0"/>
        <w:spacing w:before="0" w:after="140" w:line="310" w:lineRule="exact"/>
        <w:ind w:left="980" w:right="0" w:firstLine="0"/>
        <w:jc w:val="both"/>
      </w:pPr>
      <w:r>
        <w:rPr>
          <w:color w:val="000000"/>
          <w:spacing w:val="0"/>
          <w:w w:val="100"/>
          <w:position w:val="0"/>
        </w:rPr>
        <w:t>公司智维云服务业务规划紧跟国家的政策变化，以技术和业务积累为优势，自主研发并完善智维云平台及智慧城市核心业务 系统，强化与上游厂商的创新型合作，实现增量价值的挖掘，未来将顺应行业客户国产化与数字化转型的创新需求，将新技 术新架构更广泛地运用到智慧社保</w:t>
      </w:r>
      <w:r>
        <w:rPr>
          <w:rFonts w:ascii="Times New Roman" w:eastAsia="Times New Roman" w:hAnsi="Times New Roman" w:cs="Times New Roman"/>
          <w:color w:val="000000"/>
          <w:spacing w:val="0"/>
          <w:w w:val="100"/>
          <w:position w:val="0"/>
        </w:rPr>
        <w:t>/</w:t>
      </w:r>
      <w:r>
        <w:rPr>
          <w:color w:val="000000"/>
          <w:spacing w:val="0"/>
          <w:w w:val="100"/>
          <w:position w:val="0"/>
        </w:rPr>
        <w:t>医保综合业务管理、智慧民政综合业务管理、智慧社区综合业务管理和智维云平台等系 统中，增加公司在智慧城市解决方案及</w:t>
      </w:r>
      <w:r>
        <w:rPr>
          <w:rFonts w:ascii="Times New Roman" w:eastAsia="Times New Roman" w:hAnsi="Times New Roman" w:cs="Times New Roman"/>
          <w:color w:val="000000"/>
          <w:spacing w:val="0"/>
          <w:w w:val="100"/>
          <w:position w:val="0"/>
        </w:rPr>
        <w:t>IT</w:t>
      </w:r>
      <w:r>
        <w:rPr>
          <w:color w:val="000000"/>
          <w:spacing w:val="0"/>
          <w:w w:val="100"/>
          <w:position w:val="0"/>
        </w:rPr>
        <w:t>服务领域整体的核心竞争，顺利实现公司战略转型。</w:t>
      </w:r>
    </w:p>
    <w:p>
      <w:pPr>
        <w:pStyle w:val="Style32"/>
        <w:keepNext w:val="0"/>
        <w:keepLines w:val="0"/>
        <w:widowControl w:val="0"/>
        <w:shd w:val="clear" w:color="auto" w:fill="auto"/>
        <w:bidi w:val="0"/>
        <w:spacing w:before="0" w:after="0"/>
        <w:ind w:left="980" w:right="0" w:firstLine="0"/>
        <w:jc w:val="both"/>
      </w:pPr>
      <w:bookmarkStart w:id="264" w:name="bookmark264"/>
      <w:r>
        <w:rPr>
          <w:rFonts w:ascii="Times New Roman" w:eastAsia="Times New Roman" w:hAnsi="Times New Roman" w:cs="Times New Roman"/>
          <w:color w:val="000000"/>
          <w:spacing w:val="0"/>
          <w:w w:val="100"/>
          <w:position w:val="0"/>
        </w:rPr>
        <w:t>2</w:t>
      </w:r>
      <w:bookmarkEnd w:id="264"/>
      <w:r>
        <w:rPr>
          <w:color w:val="000000"/>
          <w:spacing w:val="0"/>
          <w:w w:val="100"/>
          <w:position w:val="0"/>
        </w:rPr>
        <w:t>、公司发展战略</w:t>
      </w:r>
    </w:p>
    <w:p>
      <w:pPr>
        <w:pStyle w:val="Style32"/>
        <w:keepNext w:val="0"/>
        <w:keepLines w:val="0"/>
        <w:widowControl w:val="0"/>
        <w:shd w:val="clear" w:color="auto" w:fill="auto"/>
        <w:bidi w:val="0"/>
        <w:spacing w:before="0" w:line="313" w:lineRule="exact"/>
        <w:ind w:left="980" w:right="0" w:firstLine="0"/>
        <w:jc w:val="both"/>
        <w:sectPr>
          <w:headerReference w:type="default" r:id="rId115"/>
          <w:footerReference w:type="default" r:id="rId116"/>
          <w:headerReference w:type="even" r:id="rId117"/>
          <w:footerReference w:type="even" r:id="rId118"/>
          <w:footnotePr>
            <w:pos w:val="pageBottom"/>
            <w:numFmt w:val="decimal"/>
            <w:numRestart w:val="continuous"/>
          </w:footnotePr>
          <w:pgSz w:w="11900" w:h="16840"/>
          <w:pgMar w:top="1141" w:right="660" w:bottom="1357" w:left="133" w:header="0" w:footer="3" w:gutter="0"/>
          <w:cols w:space="720"/>
          <w:noEndnote/>
          <w:rtlGutter w:val="0"/>
          <w:docGrid w:linePitch="360"/>
        </w:sectPr>
      </w:pPr>
      <w:r>
        <w:rPr>
          <w:color w:val="000000"/>
          <w:spacing w:val="0"/>
          <w:w w:val="100"/>
          <w:position w:val="0"/>
        </w:rPr>
        <w:t>一方面，公司将坚持“医疗智能创新价值、健康数据共享未来”的发展战略，围绕健康医疗与大数据持续深挖业务潜力，依 托荣科旗下各个医疗业务板块和产品线的资源优势，以智慧医疗战略发展中心为重点开展医疗行业渠道、合作伙伴的建设， 打造更具特色的荣科医疗健康产业生态圈，实现生态圈内厂商、经销商和医疗机构的互利共赢。以“智能手术室、智能化病 区及智慧化医院”为建设目标，联合旗下子公司产品为客户提供新一代智慧医院整体解决方案。同时，围绕临床医疗信息化 的产品链及生态链，构建在临床医疗信息化领域的行业壁垒，积极探索创建基于大数据分析的健康服务平台与运营服务模式， 构筑在健康数据分析与临床医疗信息化等领域独具特色的成长优势。</w:t>
      </w:r>
    </w:p>
    <w:p>
      <w:pPr>
        <w:pStyle w:val="Style32"/>
        <w:keepNext w:val="0"/>
        <w:keepLines w:val="0"/>
        <w:widowControl w:val="0"/>
        <w:shd w:val="clear" w:color="auto" w:fill="auto"/>
        <w:bidi w:val="0"/>
        <w:spacing w:before="0" w:after="80" w:line="240" w:lineRule="auto"/>
        <w:ind w:left="1100" w:right="0" w:firstLine="0"/>
        <w:jc w:val="both"/>
      </w:pPr>
      <w:r>
        <mc:AlternateContent>
          <mc:Choice Requires="wps">
            <w:drawing>
              <wp:anchor distT="0" distB="0" distL="114300" distR="114300" simplePos="0" relativeHeight="125829411" behindDoc="0" locked="0" layoutInCell="1" allowOverlap="1">
                <wp:simplePos x="0" y="0"/>
                <wp:positionH relativeFrom="page">
                  <wp:posOffset>803910</wp:posOffset>
                </wp:positionH>
                <wp:positionV relativeFrom="margin">
                  <wp:posOffset>-75565</wp:posOffset>
                </wp:positionV>
                <wp:extent cx="1243330" cy="298450"/>
                <wp:wrapTopAndBottom/>
                <wp:docPr id="242" name="Shape 242"/>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268" type="#_x0000_t202" style="position:absolute;margin-left:63.300000000000004pt;margin-top:-5.9500000000000002pt;width:97.900000000000006pt;height:23.5pt;z-index:-125829342;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rFonts w:ascii="Times New Roman" w:eastAsia="Times New Roman" w:hAnsi="Times New Roman" w:cs="Times New Roman"/>
          <w:color w:val="000000"/>
          <w:spacing w:val="0"/>
          <w:w w:val="100"/>
          <w:position w:val="0"/>
        </w:rPr>
        <w:t>(1</w:t>
      </w:r>
      <w:r>
        <w:rPr>
          <w:color w:val="000000"/>
          <w:spacing w:val="0"/>
          <w:w w:val="100"/>
          <w:position w:val="0"/>
        </w:rPr>
        <w:t>)智能手术室以设备集成为基础、以信息整合为核心，结合人工智能技术，让医护人员实时获取、记录患者的相关临床</w:t>
      </w:r>
    </w:p>
    <w:p>
      <w:pPr>
        <w:pStyle w:val="Style32"/>
        <w:keepNext w:val="0"/>
        <w:keepLines w:val="0"/>
        <w:widowControl w:val="0"/>
        <w:shd w:val="clear" w:color="auto" w:fill="auto"/>
        <w:bidi w:val="0"/>
        <w:spacing w:before="0" w:after="80" w:line="240" w:lineRule="auto"/>
        <w:ind w:left="0" w:right="0" w:firstLine="980"/>
        <w:jc w:val="both"/>
      </w:pPr>
      <w:r>
        <w:rPr>
          <w:color w:val="000000"/>
          <w:spacing w:val="0"/>
          <w:w w:val="100"/>
          <w:position w:val="0"/>
        </w:rPr>
        <w:t>信息，将各类独立的医疗设备和医院信息系统集成在统一的平台上，达到提高效率降低差错之目的，实现手术室内外的音视</w:t>
      </w:r>
    </w:p>
    <w:p>
      <w:pPr>
        <w:pStyle w:val="Style32"/>
        <w:keepNext w:val="0"/>
        <w:keepLines w:val="0"/>
        <w:widowControl w:val="0"/>
        <w:shd w:val="clear" w:color="auto" w:fill="auto"/>
        <w:bidi w:val="0"/>
        <w:spacing w:before="0" w:after="0" w:line="240" w:lineRule="auto"/>
        <w:ind w:left="0" w:right="0" w:firstLine="980"/>
        <w:jc w:val="left"/>
      </w:pPr>
      <w:r>
        <w:rPr>
          <w:color w:val="000000"/>
          <w:spacing w:val="0"/>
          <w:w w:val="100"/>
          <w:position w:val="0"/>
        </w:rPr>
        <w:t>频交流、手术示教以及远程医疗会诊。</w:t>
      </w:r>
    </w:p>
    <w:p>
      <w:pPr>
        <w:pStyle w:val="Style32"/>
        <w:keepNext w:val="0"/>
        <w:keepLines w:val="0"/>
        <w:widowControl w:val="0"/>
        <w:numPr>
          <w:ilvl w:val="0"/>
          <w:numId w:val="15"/>
        </w:numPr>
        <w:shd w:val="clear" w:color="auto" w:fill="auto"/>
        <w:tabs>
          <w:tab w:pos="1461" w:val="left"/>
        </w:tabs>
        <w:bidi w:val="0"/>
        <w:spacing w:before="0" w:after="0" w:line="322" w:lineRule="exact"/>
        <w:ind w:left="980" w:right="0" w:firstLine="0"/>
        <w:jc w:val="both"/>
      </w:pPr>
      <w:bookmarkStart w:id="265" w:name="bookmark265"/>
      <w:bookmarkEnd w:id="265"/>
      <w:r>
        <w:rPr>
          <w:color w:val="000000"/>
          <w:spacing w:val="0"/>
          <w:w w:val="100"/>
          <w:position w:val="0"/>
        </w:rPr>
        <w:t>智能化病区基于物联网的病区智能化服务，以病区护士工作业务为基础，利用移动</w:t>
      </w:r>
      <w:r>
        <w:rPr>
          <w:rFonts w:ascii="Times New Roman" w:eastAsia="Times New Roman" w:hAnsi="Times New Roman" w:cs="Times New Roman"/>
          <w:color w:val="000000"/>
          <w:spacing w:val="0"/>
          <w:w w:val="100"/>
          <w:position w:val="0"/>
        </w:rPr>
        <w:t>pad</w:t>
      </w:r>
      <w:r>
        <w:rPr>
          <w:color w:val="000000"/>
          <w:spacing w:val="0"/>
          <w:w w:val="100"/>
          <w:position w:val="0"/>
        </w:rPr>
        <w:t>、</w:t>
      </w:r>
      <w:r>
        <w:rPr>
          <w:rFonts w:ascii="Times New Roman" w:eastAsia="Times New Roman" w:hAnsi="Times New Roman" w:cs="Times New Roman"/>
          <w:color w:val="000000"/>
          <w:spacing w:val="0"/>
          <w:w w:val="100"/>
          <w:position w:val="0"/>
        </w:rPr>
        <w:t>RFID</w:t>
      </w:r>
      <w:r>
        <w:rPr>
          <w:color w:val="000000"/>
          <w:spacing w:val="0"/>
          <w:w w:val="100"/>
          <w:position w:val="0"/>
        </w:rPr>
        <w:t>技术、嵌入式物联网终 端等工具将病区护士的日常工作流程和方式按照护理工作特点、要求重新塑造，为病区护士提供无纸化一体式护理管理服务。</w:t>
      </w:r>
    </w:p>
    <w:p>
      <w:pPr>
        <w:pStyle w:val="Style32"/>
        <w:keepNext w:val="0"/>
        <w:keepLines w:val="0"/>
        <w:widowControl w:val="0"/>
        <w:numPr>
          <w:ilvl w:val="0"/>
          <w:numId w:val="15"/>
        </w:numPr>
        <w:shd w:val="clear" w:color="auto" w:fill="auto"/>
        <w:tabs>
          <w:tab w:pos="1456" w:val="left"/>
        </w:tabs>
        <w:bidi w:val="0"/>
        <w:spacing w:before="0" w:after="0" w:line="322" w:lineRule="exact"/>
        <w:ind w:left="980" w:right="0" w:firstLine="0"/>
        <w:jc w:val="both"/>
      </w:pPr>
      <w:bookmarkStart w:id="266" w:name="bookmark266"/>
      <w:bookmarkEnd w:id="266"/>
      <w:r>
        <w:rPr>
          <w:color w:val="000000"/>
          <w:spacing w:val="0"/>
          <w:w w:val="100"/>
          <w:position w:val="0"/>
        </w:rPr>
        <w:t>主动健康管理平台通过互联网</w:t>
      </w:r>
      <w:r>
        <w:rPr>
          <w:rFonts w:ascii="Times New Roman" w:eastAsia="Times New Roman" w:hAnsi="Times New Roman" w:cs="Times New Roman"/>
          <w:color w:val="000000"/>
          <w:spacing w:val="0"/>
          <w:w w:val="100"/>
          <w:position w:val="0"/>
        </w:rPr>
        <w:t>+</w:t>
      </w:r>
      <w:r>
        <w:rPr>
          <w:color w:val="000000"/>
          <w:spacing w:val="0"/>
          <w:w w:val="100"/>
          <w:position w:val="0"/>
        </w:rPr>
        <w:t>健康管理的方式，实现面向家庭及个人从健康档案、家庭医生、健康计划、主动回访、 医疗咨询、健康资讯、健康服务、健康保险的全流程服务解决方案，同时通过智能采集、数据存储、智能分析实现健康管理 大数据并促进健康的主动干预。</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另一方面，公司将针对智能融合智维云业务体系面临的新挑战和新形势，探索大数据领域新的服务模式，为各行业客户提供 整体解决方案，以政企和运营商为主线，打造两横五纵的体系架构，为客户带来完善的一体化服务，成为新型智慧城市解决 方案商和云增值服务商。</w:t>
      </w:r>
    </w:p>
    <w:p>
      <w:pPr>
        <w:pStyle w:val="Style32"/>
        <w:keepNext w:val="0"/>
        <w:keepLines w:val="0"/>
        <w:widowControl w:val="0"/>
        <w:numPr>
          <w:ilvl w:val="0"/>
          <w:numId w:val="17"/>
        </w:numPr>
        <w:shd w:val="clear" w:color="auto" w:fill="auto"/>
        <w:tabs>
          <w:tab w:pos="1293" w:val="left"/>
        </w:tabs>
        <w:bidi w:val="0"/>
        <w:spacing w:before="0" w:after="0" w:line="312" w:lineRule="exact"/>
        <w:ind w:left="980" w:right="0" w:firstLine="0"/>
        <w:jc w:val="both"/>
      </w:pPr>
      <w:bookmarkStart w:id="267" w:name="bookmark267"/>
      <w:bookmarkEnd w:id="267"/>
      <w:r>
        <w:rPr>
          <w:color w:val="000000"/>
          <w:spacing w:val="0"/>
          <w:w w:val="100"/>
          <w:position w:val="0"/>
        </w:rPr>
        <w:t>公司针对国内城市管理现状和市场需求，从三个维度打造智慧城市解决方案业务方面的核心竞争力。一是进行若干关键 技术的研发，如特定行为的视频分析；二是与客户成立联合创新中心，逐步完善公司的智慧城市解决方案体系；三是结合移 动互联网，面向老百姓建立智慧城市运营业务。</w:t>
      </w:r>
    </w:p>
    <w:p>
      <w:pPr>
        <w:pStyle w:val="Style32"/>
        <w:keepNext w:val="0"/>
        <w:keepLines w:val="0"/>
        <w:widowControl w:val="0"/>
        <w:numPr>
          <w:ilvl w:val="0"/>
          <w:numId w:val="17"/>
        </w:numPr>
        <w:shd w:val="clear" w:color="auto" w:fill="auto"/>
        <w:tabs>
          <w:tab w:pos="1293" w:val="left"/>
        </w:tabs>
        <w:bidi w:val="0"/>
        <w:spacing w:before="0" w:after="0" w:line="312" w:lineRule="exact"/>
        <w:ind w:left="980" w:right="0" w:firstLine="0"/>
        <w:jc w:val="both"/>
      </w:pPr>
      <w:bookmarkStart w:id="268" w:name="bookmark268"/>
      <w:bookmarkEnd w:id="268"/>
      <w:r>
        <w:rPr>
          <w:color w:val="000000"/>
          <w:spacing w:val="0"/>
          <w:w w:val="100"/>
          <w:position w:val="0"/>
        </w:rPr>
        <w:t>公司深化数据汇聚共享，依托城市大数据中心，将数据作为“城市大脑”的核心资源，强化系统集成共用，实现跨部门、 跨层级工作机制协调顺畅，支持应用生态开放，大力吸引各类社会主体积极参与，建设优良的智慧城市开发生态。</w:t>
      </w:r>
    </w:p>
    <w:p>
      <w:pPr>
        <w:pStyle w:val="Style32"/>
        <w:keepNext w:val="0"/>
        <w:keepLines w:val="0"/>
        <w:widowControl w:val="0"/>
        <w:numPr>
          <w:ilvl w:val="0"/>
          <w:numId w:val="17"/>
        </w:numPr>
        <w:shd w:val="clear" w:color="auto" w:fill="auto"/>
        <w:tabs>
          <w:tab w:pos="1293" w:val="left"/>
        </w:tabs>
        <w:bidi w:val="0"/>
        <w:spacing w:before="0" w:after="0" w:line="312" w:lineRule="exact"/>
        <w:ind w:left="980" w:right="0" w:firstLine="0"/>
        <w:jc w:val="both"/>
      </w:pPr>
      <w:bookmarkStart w:id="269" w:name="bookmark269"/>
      <w:bookmarkEnd w:id="269"/>
      <w:r>
        <w:rPr>
          <w:color w:val="000000"/>
          <w:spacing w:val="0"/>
          <w:w w:val="100"/>
          <w:position w:val="0"/>
        </w:rPr>
        <w:t>公司继续以具备资源监控、业务管理、应用性能、流程服务、数据治理、决策支持、智能分析、敏捷开发、运维安全与 自动化功能的智维云平台为核心，纳管数据中心物理与云化的所有对象，为保障各行业客户业务持续高效的运行，围绕智维 云平台提供线上云端运维服务与线下标准化增值服务相结合的双线服务支持，以及覆盖规划咨询、部署迁移、容灾备份、企 业上云等全栈式智维解决方案，转型云增值服务商。</w:t>
      </w:r>
    </w:p>
    <w:p>
      <w:pPr>
        <w:pStyle w:val="Style32"/>
        <w:keepNext w:val="0"/>
        <w:keepLines w:val="0"/>
        <w:widowControl w:val="0"/>
        <w:numPr>
          <w:ilvl w:val="0"/>
          <w:numId w:val="17"/>
        </w:numPr>
        <w:shd w:val="clear" w:color="auto" w:fill="auto"/>
        <w:tabs>
          <w:tab w:pos="1293" w:val="left"/>
        </w:tabs>
        <w:bidi w:val="0"/>
        <w:spacing w:before="0" w:after="0" w:line="312" w:lineRule="exact"/>
        <w:ind w:left="980" w:right="0" w:firstLine="0"/>
        <w:jc w:val="both"/>
      </w:pPr>
      <w:bookmarkStart w:id="270" w:name="bookmark270"/>
      <w:bookmarkEnd w:id="270"/>
      <w:r>
        <w:rPr>
          <w:color w:val="000000"/>
          <w:spacing w:val="0"/>
          <w:w w:val="100"/>
          <w:position w:val="0"/>
        </w:rPr>
        <w:t>公司将围绕物联网、数据中台等新技术，持续完善智维云平台的功能与架构，做好国产化支持与适配，实现从运维场景 到业务场景的延伸，探索更多行业解决方案。</w:t>
      </w:r>
    </w:p>
    <w:p>
      <w:pPr>
        <w:pStyle w:val="Style32"/>
        <w:keepNext w:val="0"/>
        <w:keepLines w:val="0"/>
        <w:widowControl w:val="0"/>
        <w:numPr>
          <w:ilvl w:val="0"/>
          <w:numId w:val="17"/>
        </w:numPr>
        <w:shd w:val="clear" w:color="auto" w:fill="auto"/>
        <w:tabs>
          <w:tab w:pos="1293" w:val="left"/>
        </w:tabs>
        <w:bidi w:val="0"/>
        <w:spacing w:before="0" w:after="0" w:line="312" w:lineRule="exact"/>
        <w:ind w:left="980" w:right="0" w:firstLine="0"/>
        <w:jc w:val="both"/>
      </w:pPr>
      <w:bookmarkStart w:id="271" w:name="bookmark271"/>
      <w:bookmarkEnd w:id="271"/>
      <w:r>
        <w:rPr>
          <w:color w:val="000000"/>
          <w:spacing w:val="0"/>
          <w:w w:val="100"/>
          <w:position w:val="0"/>
        </w:rPr>
        <w:t>公司将选择与大规模的产业集团进行更深入的合作，抓住国产化替代的大势，进一步加强技术研发投入和人才储备，确 保公司在东北区域的优势地位。规划荣科安可工程发展策略，努力在未来三年的国产化替代工程中谋篇布局。未来，公司将 在党委及董事会的领导下，继续秉承“医疗智能创新价值，健康数据共享未来”的战略目标，努力建立与国家科技部、发改 委、工信部等部委的沟通渠道，积极参与国家级科研行业协会工作，积极筹备建设国家级实验室、创新中心，不断提高品牌 形象。同时，积极围绕大健康主题，不断完善产业布局；继续加强集团管理体系与销售体系的融合，达成有效的交叉销售， 建设面向集团的经营决策分析平台，持续梳理、设计与优化各项业务流程，为公司的业绩提升夯实基础。</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(二)公司</w:t>
      </w:r>
      <w:r>
        <w:rPr>
          <w:rFonts w:ascii="Times New Roman" w:eastAsia="Times New Roman" w:hAnsi="Times New Roman" w:cs="Times New Roman"/>
          <w:color w:val="000000"/>
          <w:spacing w:val="0"/>
          <w:w w:val="100"/>
          <w:position w:val="0"/>
        </w:rPr>
        <w:t>2021</w:t>
      </w:r>
      <w:r>
        <w:rPr>
          <w:color w:val="000000"/>
          <w:spacing w:val="0"/>
          <w:w w:val="100"/>
          <w:position w:val="0"/>
        </w:rPr>
        <w:t>年经营计划</w:t>
      </w:r>
    </w:p>
    <w:p>
      <w:pPr>
        <w:pStyle w:val="Style32"/>
        <w:keepNext w:val="0"/>
        <w:keepLines w:val="0"/>
        <w:widowControl w:val="0"/>
        <w:shd w:val="clear" w:color="auto" w:fill="auto"/>
        <w:bidi w:val="0"/>
        <w:spacing w:before="0" w:after="0" w:line="314" w:lineRule="exact"/>
        <w:ind w:left="98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年，是国家十四五规划建设的开局之年，科技自立自强是国家战略也是荣科创新发展之本。这一年，业界预计，智慧 医疗行业将进入智能化、高效化、规模化发展的高速增长期，而智慧城市领域也将在国家积极支持建设信息网络等新型基础 设施政策背景下，迎来崭新的十年。</w:t>
      </w:r>
      <w:r>
        <w:rPr>
          <w:rFonts w:ascii="Times New Roman" w:eastAsia="Times New Roman" w:hAnsi="Times New Roman" w:cs="Times New Roman"/>
          <w:color w:val="000000"/>
          <w:spacing w:val="0"/>
          <w:w w:val="100"/>
          <w:position w:val="0"/>
        </w:rPr>
        <w:t>2021</w:t>
      </w:r>
      <w:r>
        <w:rPr>
          <w:color w:val="000000"/>
          <w:spacing w:val="0"/>
          <w:w w:val="100"/>
          <w:position w:val="0"/>
        </w:rPr>
        <w:t>年，荣科步入第四个“五年发展机遇期”，在越来越大的发展营盘上，公司将致力 于智慧医疗与智慧城市量大核心业务领域，沿着公司既定发展战略，向''智慧医疗创新的引领者、智慧城市建设的主力军” 建设发展目标加速前行，乘风破浪，勇于挑战，团结协作，钻研创新，破局开局，扩大业务优势，巩固经营实力，树立品牌 口碑，拓展纵深市场，优化组织管理，传递金牌价值，在新的起点，携手行业伙伴与客户，拥抱企业发展新时代。</w:t>
      </w:r>
    </w:p>
    <w:p>
      <w:pPr>
        <w:pStyle w:val="Style32"/>
        <w:keepNext w:val="0"/>
        <w:keepLines w:val="0"/>
        <w:widowControl w:val="0"/>
        <w:shd w:val="clear" w:color="auto" w:fill="auto"/>
        <w:bidi w:val="0"/>
        <w:spacing w:before="0" w:after="0" w:line="319" w:lineRule="exact"/>
        <w:ind w:left="980" w:right="0" w:firstLine="0"/>
        <w:jc w:val="both"/>
      </w:pPr>
      <w:bookmarkStart w:id="272" w:name="bookmark272"/>
      <w:r>
        <w:rPr>
          <w:rFonts w:ascii="Times New Roman" w:eastAsia="Times New Roman" w:hAnsi="Times New Roman" w:cs="Times New Roman"/>
          <w:color w:val="000000"/>
          <w:spacing w:val="0"/>
          <w:w w:val="100"/>
          <w:position w:val="0"/>
        </w:rPr>
        <w:t>1</w:t>
      </w:r>
      <w:bookmarkEnd w:id="272"/>
      <w:r>
        <w:rPr>
          <w:color w:val="000000"/>
          <w:spacing w:val="0"/>
          <w:w w:val="100"/>
          <w:position w:val="0"/>
        </w:rPr>
        <w:t>、搭建智慧医疗平台，精研产品链与服务链</w:t>
      </w:r>
    </w:p>
    <w:p>
      <w:pPr>
        <w:pStyle w:val="Style32"/>
        <w:keepNext w:val="0"/>
        <w:keepLines w:val="0"/>
        <w:widowControl w:val="0"/>
        <w:shd w:val="clear" w:color="auto" w:fill="auto"/>
        <w:bidi w:val="0"/>
        <w:spacing w:before="0" w:after="140" w:line="319" w:lineRule="exact"/>
        <w:ind w:left="980" w:right="0" w:firstLine="0"/>
        <w:jc w:val="both"/>
      </w:pPr>
      <w:r>
        <w:rPr>
          <w:color w:val="000000"/>
          <w:spacing w:val="0"/>
          <w:w w:val="100"/>
          <w:position w:val="0"/>
        </w:rPr>
        <w:t>公司将继续坚持“医疗智能创新价值、健康数据共享未来，，的荣科医疗板块发展战略，致力透过</w:t>
      </w:r>
      <w:r>
        <w:rPr>
          <w:rFonts w:ascii="Times New Roman" w:eastAsia="Times New Roman" w:hAnsi="Times New Roman" w:cs="Times New Roman"/>
          <w:color w:val="000000"/>
          <w:spacing w:val="0"/>
          <w:w w:val="100"/>
          <w:position w:val="0"/>
        </w:rPr>
        <w:t>5G</w:t>
      </w:r>
      <w:r>
        <w:rPr>
          <w:color w:val="000000"/>
          <w:spacing w:val="0"/>
          <w:w w:val="100"/>
          <w:position w:val="0"/>
        </w:rPr>
        <w:t>、</w:t>
      </w:r>
      <w:r>
        <w:rPr>
          <w:rFonts w:ascii="Times New Roman" w:eastAsia="Times New Roman" w:hAnsi="Times New Roman" w:cs="Times New Roman"/>
          <w:color w:val="000000"/>
          <w:spacing w:val="0"/>
          <w:w w:val="100"/>
          <w:position w:val="0"/>
        </w:rPr>
        <w:t>AI</w:t>
      </w:r>
      <w:r>
        <w:rPr>
          <w:color w:val="000000"/>
          <w:spacing w:val="0"/>
          <w:w w:val="100"/>
          <w:position w:val="0"/>
        </w:rPr>
        <w:t>、</w:t>
      </w:r>
      <w:r>
        <w:rPr>
          <w:color w:val="000000"/>
          <w:spacing w:val="0"/>
          <w:w w:val="100"/>
          <w:position w:val="0"/>
        </w:rPr>
        <w:t>物联网、区块链 等新技术，带动旗下米健医疗、神州视翰、今创科技、麦健医疗等公司共同推动产品迭代与更新，搭建医疗信息一体化服务 平台，以数据中台、</w:t>
      </w:r>
      <w:r>
        <w:rPr>
          <w:rFonts w:ascii="Times New Roman" w:eastAsia="Times New Roman" w:hAnsi="Times New Roman" w:cs="Times New Roman"/>
          <w:color w:val="000000"/>
          <w:spacing w:val="0"/>
          <w:w w:val="100"/>
          <w:position w:val="0"/>
        </w:rPr>
        <w:t>Smart His</w:t>
      </w:r>
      <w:r>
        <w:rPr>
          <w:color w:val="000000"/>
          <w:spacing w:val="0"/>
          <w:w w:val="100"/>
          <w:position w:val="0"/>
        </w:rPr>
        <w:t>、</w:t>
      </w:r>
      <w:r>
        <w:rPr>
          <w:rFonts w:ascii="Times New Roman" w:eastAsia="Times New Roman" w:hAnsi="Times New Roman" w:cs="Times New Roman"/>
          <w:color w:val="000000"/>
          <w:spacing w:val="0"/>
          <w:w w:val="100"/>
          <w:position w:val="0"/>
        </w:rPr>
        <w:t>EMR</w:t>
      </w:r>
      <w:r>
        <w:rPr>
          <w:color w:val="000000"/>
          <w:spacing w:val="0"/>
          <w:w w:val="100"/>
          <w:position w:val="0"/>
        </w:rPr>
        <w:t>为核心，推出不同特色的实用性强、智能化程度高、服务手段先进的智慧医院解决方 案示范项目，并结合以集成平台、绩效考核管理、</w:t>
      </w:r>
      <w:r>
        <w:rPr>
          <w:rFonts w:ascii="Times New Roman" w:eastAsia="Times New Roman" w:hAnsi="Times New Roman" w:cs="Times New Roman"/>
          <w:color w:val="000000"/>
          <w:spacing w:val="0"/>
          <w:w w:val="100"/>
          <w:position w:val="0"/>
        </w:rPr>
        <w:t>DRGs</w:t>
      </w:r>
      <w:r>
        <w:rPr>
          <w:color w:val="000000"/>
          <w:spacing w:val="0"/>
          <w:w w:val="100"/>
          <w:position w:val="0"/>
        </w:rPr>
        <w:t>、</w:t>
      </w:r>
      <w:r>
        <w:rPr>
          <w:color w:val="000000"/>
          <w:spacing w:val="0"/>
          <w:w w:val="100"/>
          <w:position w:val="0"/>
        </w:rPr>
        <w:t>护理管理、</w:t>
      </w:r>
      <w:r>
        <w:rPr>
          <w:rFonts w:ascii="Times New Roman" w:eastAsia="Times New Roman" w:hAnsi="Times New Roman" w:cs="Times New Roman"/>
          <w:color w:val="000000"/>
          <w:spacing w:val="0"/>
          <w:w w:val="100"/>
          <w:position w:val="0"/>
        </w:rPr>
        <w:t>360</w:t>
      </w:r>
      <w:r>
        <w:rPr>
          <w:color w:val="000000"/>
          <w:spacing w:val="0"/>
          <w:w w:val="100"/>
          <w:position w:val="0"/>
        </w:rPr>
        <w:t>视图、医疗数据上报等为主的智慧管理，及以互 联网医疗、主动健康管理平台等为主的智慧服务的整体解决方案，致力成为国内医疗信息化领域领跑医疗创新的实力品牌， 稳步加入国内临床信息化解决方案提供商巨擘序列。</w:t>
      </w:r>
    </w:p>
    <w:p>
      <w:pPr>
        <w:pStyle w:val="Style32"/>
        <w:keepNext w:val="0"/>
        <w:keepLines w:val="0"/>
        <w:widowControl w:val="0"/>
        <w:shd w:val="clear" w:color="auto" w:fill="auto"/>
        <w:bidi w:val="0"/>
        <w:spacing w:before="0" w:after="0" w:line="240" w:lineRule="auto"/>
        <w:ind w:left="980" w:right="0" w:firstLine="0"/>
        <w:jc w:val="both"/>
      </w:pPr>
      <w:r>
        <w:rPr>
          <w:color w:val="000000"/>
          <w:spacing w:val="0"/>
          <w:w w:val="100"/>
          <w:position w:val="0"/>
        </w:rPr>
        <w:t>未来，荣科医疗将不断加速新智慧医院、医共体、互联网医院、医养平台等解决方案的快速推进，精研产品链与服务链，在</w:t>
      </w:r>
      <w:r>
        <w:br w:type="page"/>
      </w:r>
    </w:p>
    <w:p>
      <w:pPr>
        <w:pStyle w:val="Style32"/>
        <w:keepNext w:val="0"/>
        <w:keepLines w:val="0"/>
        <w:widowControl w:val="0"/>
        <w:shd w:val="clear" w:color="auto" w:fill="auto"/>
        <w:bidi w:val="0"/>
        <w:spacing w:before="0" w:after="100" w:line="240" w:lineRule="auto"/>
        <w:ind w:left="0" w:right="0" w:firstLine="980"/>
        <w:jc w:val="left"/>
      </w:pPr>
      <w:r>
        <mc:AlternateContent>
          <mc:Choice Requires="wps">
            <w:drawing>
              <wp:anchor distT="0" distB="0" distL="114300" distR="114300" simplePos="0" relativeHeight="125829413" behindDoc="0" locked="0" layoutInCell="1" allowOverlap="1">
                <wp:simplePos x="0" y="0"/>
                <wp:positionH relativeFrom="page">
                  <wp:posOffset>803910</wp:posOffset>
                </wp:positionH>
                <wp:positionV relativeFrom="margin">
                  <wp:posOffset>0</wp:posOffset>
                </wp:positionV>
                <wp:extent cx="1243330" cy="298450"/>
                <wp:wrapTopAndBottom/>
                <wp:docPr id="244" name="Shape 244"/>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270" type="#_x0000_t202" style="position:absolute;margin-left:63.300000000000004pt;margin-top:0;width:97.900000000000006pt;height:23.5pt;z-index:-125829340;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有效的资本并购与业务融合下，寻求优势互补和生态共建，追求实现荣科生态战略的全面升级，助力未来医院实现智能管理、</w:t>
      </w:r>
    </w:p>
    <w:p>
      <w:pPr>
        <w:pStyle w:val="Style32"/>
        <w:keepNext w:val="0"/>
        <w:keepLines w:val="0"/>
        <w:widowControl w:val="0"/>
        <w:shd w:val="clear" w:color="auto" w:fill="auto"/>
        <w:bidi w:val="0"/>
        <w:spacing w:before="0" w:after="0" w:line="240" w:lineRule="auto"/>
        <w:ind w:left="980" w:right="0" w:firstLine="0"/>
        <w:jc w:val="both"/>
      </w:pPr>
      <w:r>
        <w:rPr>
          <w:color w:val="000000"/>
          <w:spacing w:val="0"/>
          <w:w w:val="100"/>
          <w:position w:val="0"/>
        </w:rPr>
        <w:t>互联互通、数据共享。</w:t>
      </w:r>
    </w:p>
    <w:p>
      <w:pPr>
        <w:pStyle w:val="Style32"/>
        <w:keepNext w:val="0"/>
        <w:keepLines w:val="0"/>
        <w:widowControl w:val="0"/>
        <w:shd w:val="clear" w:color="auto" w:fill="auto"/>
        <w:bidi w:val="0"/>
        <w:spacing w:before="0" w:after="0" w:line="313" w:lineRule="exact"/>
        <w:ind w:left="980" w:right="0" w:firstLine="0"/>
        <w:jc w:val="both"/>
      </w:pPr>
      <w:bookmarkStart w:id="273" w:name="bookmark273"/>
      <w:r>
        <w:rPr>
          <w:rFonts w:ascii="Times New Roman" w:eastAsia="Times New Roman" w:hAnsi="Times New Roman" w:cs="Times New Roman"/>
          <w:color w:val="000000"/>
          <w:spacing w:val="0"/>
          <w:w w:val="100"/>
          <w:position w:val="0"/>
        </w:rPr>
        <w:t>2</w:t>
      </w:r>
      <w:bookmarkEnd w:id="273"/>
      <w:r>
        <w:rPr>
          <w:color w:val="000000"/>
          <w:spacing w:val="0"/>
          <w:w w:val="100"/>
          <w:position w:val="0"/>
        </w:rPr>
        <w:t>、拓展国产化适配范围，站稳目标市场，注重创新实用</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信息技术应用创新是当今中国经济发展的新动能。新的一年，荣科科技将携手旗下成员企业，更好地建设包括</w:t>
      </w:r>
      <w:r>
        <w:rPr>
          <w:rFonts w:ascii="Times New Roman" w:eastAsia="Times New Roman" w:hAnsi="Times New Roman" w:cs="Times New Roman"/>
          <w:color w:val="000000"/>
          <w:spacing w:val="0"/>
          <w:w w:val="100"/>
          <w:position w:val="0"/>
        </w:rPr>
        <w:t>Smart We</w:t>
      </w:r>
      <w:r>
        <w:rPr>
          <w:color w:val="000000"/>
          <w:spacing w:val="0"/>
          <w:w w:val="100"/>
          <w:position w:val="0"/>
        </w:rPr>
        <w:t>在 内的自主创新品牌，在完善自身产品与服务能力的同时，聚焦于信创产业和生态的构建，为更多行业用户提供具备创新价值 的数字化解决方案，拓展旗下产品国产化适配范围，坚持以客户需求为核心持续创新，始终将自身在技术上的专业性和创新 性作为差异化竞争优势，经过在</w:t>
      </w:r>
      <w:r>
        <w:rPr>
          <w:rFonts w:ascii="Times New Roman" w:eastAsia="Times New Roman" w:hAnsi="Times New Roman" w:cs="Times New Roman"/>
          <w:color w:val="000000"/>
          <w:spacing w:val="0"/>
          <w:w w:val="100"/>
          <w:position w:val="0"/>
        </w:rPr>
        <w:t>IT</w:t>
      </w:r>
      <w:r>
        <w:rPr>
          <w:color w:val="000000"/>
          <w:spacing w:val="0"/>
          <w:w w:val="100"/>
          <w:position w:val="0"/>
        </w:rPr>
        <w:t>服务领域的持续深耕细作，打造出自主可控、安全可靠、灵活开放的智维云系列产品， 目标锁定在政府、金融、教育、医疗、能源、企业等重点行业客户中，推动智慧惠民产品应用落地。</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在业务发展方面，壮大传统优势，加快服务新生态的建设。通过升级具备多云管理、资源监控、物联运维、智能分析等能力 的智维云平台，实现对数据中心异构资源纳管，以及对物联终端的在线监测、指挥调试、定位追溯和诊断分析等功能。依托 云监控运营中心以及自建极具规模的</w:t>
      </w:r>
      <w:r>
        <w:rPr>
          <w:rFonts w:ascii="Times New Roman" w:eastAsia="Times New Roman" w:hAnsi="Times New Roman" w:cs="Times New Roman"/>
          <w:color w:val="000000"/>
          <w:spacing w:val="0"/>
          <w:w w:val="100"/>
          <w:position w:val="0"/>
        </w:rPr>
        <w:t>IT</w:t>
      </w:r>
      <w:r>
        <w:rPr>
          <w:color w:val="000000"/>
          <w:spacing w:val="0"/>
          <w:w w:val="100"/>
          <w:position w:val="0"/>
        </w:rPr>
        <w:t>备件中心，结合百余人的专业</w:t>
      </w:r>
      <w:r>
        <w:rPr>
          <w:rFonts w:ascii="Times New Roman" w:eastAsia="Times New Roman" w:hAnsi="Times New Roman" w:cs="Times New Roman"/>
          <w:color w:val="000000"/>
          <w:spacing w:val="0"/>
          <w:w w:val="100"/>
          <w:position w:val="0"/>
        </w:rPr>
        <w:t>IT</w:t>
      </w:r>
      <w:r>
        <w:rPr>
          <w:color w:val="000000"/>
          <w:spacing w:val="0"/>
          <w:w w:val="100"/>
          <w:position w:val="0"/>
        </w:rPr>
        <w:t>技术团队和强大的备件仓储与调配策略，形成以东 北区域为中心覆盖全国的销售与服务网络，为广大行业客户提供从业务的战略计划到部署实践、全生命周期的智维云服务与 解决方案支持，助力客户持续优化数据中心自动化、智能化的运行与管理。通过携手地区资源优势企业、行业技术领先单位 以及科研院所、产学研交流基地互学互鉴，打造可持续发展的智慧城市服务新生态，助力国家重点研发项目成果转化，朝智 慧城市业务全国领军企业目标不断迈进。</w:t>
      </w:r>
    </w:p>
    <w:p>
      <w:pPr>
        <w:pStyle w:val="Style32"/>
        <w:keepNext w:val="0"/>
        <w:keepLines w:val="0"/>
        <w:widowControl w:val="0"/>
        <w:shd w:val="clear" w:color="auto" w:fill="auto"/>
        <w:bidi w:val="0"/>
        <w:spacing w:before="0" w:after="0" w:line="320" w:lineRule="exact"/>
        <w:ind w:left="980" w:right="0" w:firstLine="0"/>
        <w:jc w:val="both"/>
      </w:pPr>
      <w:bookmarkStart w:id="274" w:name="bookmark274"/>
      <w:r>
        <w:rPr>
          <w:rFonts w:ascii="Times New Roman" w:eastAsia="Times New Roman" w:hAnsi="Times New Roman" w:cs="Times New Roman"/>
          <w:color w:val="000000"/>
          <w:spacing w:val="0"/>
          <w:w w:val="100"/>
          <w:position w:val="0"/>
        </w:rPr>
        <w:t>3</w:t>
      </w:r>
      <w:bookmarkEnd w:id="274"/>
      <w:r>
        <w:rPr>
          <w:color w:val="000000"/>
          <w:spacing w:val="0"/>
          <w:w w:val="100"/>
          <w:position w:val="0"/>
        </w:rPr>
        <w:t>、依托荣科管理学院，打造文化管理向心力，培养专家型创新人才</w:t>
      </w:r>
    </w:p>
    <w:p>
      <w:pPr>
        <w:pStyle w:val="Style32"/>
        <w:keepNext w:val="0"/>
        <w:keepLines w:val="0"/>
        <w:widowControl w:val="0"/>
        <w:shd w:val="clear" w:color="auto" w:fill="auto"/>
        <w:bidi w:val="0"/>
        <w:spacing w:before="0" w:after="0" w:line="320" w:lineRule="exact"/>
        <w:ind w:left="980" w:right="0" w:firstLine="0"/>
        <w:jc w:val="both"/>
      </w:pPr>
      <w:r>
        <w:rPr>
          <w:color w:val="000000"/>
          <w:spacing w:val="0"/>
          <w:w w:val="100"/>
          <w:position w:val="0"/>
        </w:rPr>
        <w:t>过去一年里，公司成立荣科管理学院，旨在通过学习管理科学，激发创新意识，分享经验财富，促进企业人才开发、知识管 理与人才交流，现已面向各地机构发展骨干学员并开班办学多次，逐步垂直渗透了企业发展理念，文化脉络，经营规划与创 新战略，并逐渐扩大培养层面。</w:t>
      </w:r>
    </w:p>
    <w:p>
      <w:pPr>
        <w:pStyle w:val="Style32"/>
        <w:keepNext w:val="0"/>
        <w:keepLines w:val="0"/>
        <w:widowControl w:val="0"/>
        <w:shd w:val="clear" w:color="auto" w:fill="auto"/>
        <w:bidi w:val="0"/>
        <w:spacing w:before="0" w:after="0" w:line="320" w:lineRule="exact"/>
        <w:ind w:left="98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年，公司将更加重视企业发展中对人才潜能的开发，以企业战略为核心，面向全国吸纳更多专业性人才，培养专家型 人才，提供广泛的自学平台、培训平台以及文化平台、提升员工的整体素质和能力，以实现企业实力的增强，最终实现企业 经营战略目标，推动企业变，建立学习型组织。</w:t>
      </w:r>
    </w:p>
    <w:p>
      <w:pPr>
        <w:pStyle w:val="Style32"/>
        <w:keepNext w:val="0"/>
        <w:keepLines w:val="0"/>
        <w:widowControl w:val="0"/>
        <w:shd w:val="clear" w:color="auto" w:fill="auto"/>
        <w:bidi w:val="0"/>
        <w:spacing w:before="0" w:after="140" w:line="312" w:lineRule="exact"/>
        <w:ind w:left="980" w:right="0" w:firstLine="0"/>
        <w:jc w:val="both"/>
      </w:pPr>
      <w:r>
        <w:rPr>
          <w:color w:val="000000"/>
          <w:spacing w:val="0"/>
          <w:w w:val="100"/>
          <w:position w:val="0"/>
        </w:rPr>
        <w:t>绩效与激励方面，将建立健全从集团到各个分子公司及各经营单位的体系化考评标准，重视将市场融合努力、产品创新与管 理创新纳入到年终考评计划中，保障以股权激励为核心的长短期结合、多层级的激励机制落实到位，加强对员工满意度的调 研，为员工建立合理的发展规划，通过丰富的文化活动，打造内部文化管理向心力，拥抱人才，留住人才，让企业内部价值 系统循环赋能，打造健康向上的企业活力，促进企业稳定运行与发展。</w:t>
      </w:r>
    </w:p>
    <w:p>
      <w:pPr>
        <w:pStyle w:val="Style32"/>
        <w:keepNext w:val="0"/>
        <w:keepLines w:val="0"/>
        <w:widowControl w:val="0"/>
        <w:shd w:val="clear" w:color="auto" w:fill="auto"/>
        <w:bidi w:val="0"/>
        <w:spacing w:before="0" w:after="0"/>
        <w:ind w:left="980" w:right="0" w:firstLine="0"/>
        <w:jc w:val="both"/>
      </w:pPr>
      <w:bookmarkStart w:id="275" w:name="bookmark275"/>
      <w:r>
        <w:rPr>
          <w:rFonts w:ascii="Times New Roman" w:eastAsia="Times New Roman" w:hAnsi="Times New Roman" w:cs="Times New Roman"/>
          <w:color w:val="000000"/>
          <w:spacing w:val="0"/>
          <w:w w:val="100"/>
          <w:position w:val="0"/>
        </w:rPr>
        <w:t>4</w:t>
      </w:r>
      <w:bookmarkEnd w:id="275"/>
      <w:r>
        <w:rPr>
          <w:color w:val="000000"/>
          <w:spacing w:val="0"/>
          <w:w w:val="100"/>
          <w:position w:val="0"/>
        </w:rPr>
        <w:t>、提升信息化管理，助力管理上云，推动创新发展</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在内部信息化管控方面将把“发展、链接、高效”作为主要工作关键词。在信息资源利用方面，将通过深入开发、利用、升 级，实现各业务系统的整合，目标实现信息资源共享，通过系统透明化、无纸化、可预警的先进运行，全面提高信息资源利 用率，实现集团信息资源最大限度发挥整体优势，实现信息共享。</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在完成了公司档案建设全面上云的工作后，信息中心还将进一步加强管理制度和信息安全保障体系的建设，保障信息安全从 集团经营、管理等关键环节入手，有针对性地发展各信息系统建设和应用开发，确保取得良好的应用效果，满足集团的业务 发展需求。</w:t>
      </w:r>
    </w:p>
    <w:p>
      <w:pPr>
        <w:pStyle w:val="Style32"/>
        <w:keepNext w:val="0"/>
        <w:keepLines w:val="0"/>
        <w:widowControl w:val="0"/>
        <w:shd w:val="clear" w:color="auto" w:fill="auto"/>
        <w:bidi w:val="0"/>
        <w:spacing w:before="0" w:after="0" w:line="305" w:lineRule="exact"/>
        <w:ind w:left="980" w:right="0" w:firstLine="0"/>
        <w:jc w:val="both"/>
      </w:pPr>
      <w:r>
        <w:rPr>
          <w:color w:val="000000"/>
          <w:spacing w:val="0"/>
          <w:w w:val="100"/>
          <w:position w:val="0"/>
        </w:rPr>
        <w:t xml:space="preserve">在信息化管理上，未来将升级现有的数据中心的超融合架构。新版本的超融合架构新增了镜像仓库、存储服务等服务功能。 新的升级增加了内置的安全措施，能够更好地为用户提供信息安全保护，满足企业在安全合规方面的各种要求。新的架构也 增加了 </w:t>
      </w:r>
      <w:r>
        <w:rPr>
          <w:rFonts w:ascii="Times New Roman" w:eastAsia="Times New Roman" w:hAnsi="Times New Roman" w:cs="Times New Roman"/>
          <w:color w:val="000000"/>
          <w:spacing w:val="0"/>
          <w:w w:val="100"/>
          <w:position w:val="0"/>
        </w:rPr>
        <w:t>HTML5</w:t>
      </w:r>
      <w:r>
        <w:rPr>
          <w:color w:val="000000"/>
          <w:spacing w:val="0"/>
          <w:w w:val="100"/>
          <w:position w:val="0"/>
        </w:rPr>
        <w:t>客户端，以降低运维成本，提升工作效率。</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公司将大力通过互联网、云计算、大数据、人工智能、机器学习等前沿技术，提升企业信息化内外服务能力，推动企业运转 划入合理轨道，通过有效联动与管理上云，促进企业转型升级，从而促进服务升级。</w:t>
      </w:r>
    </w:p>
    <w:p>
      <w:pPr>
        <w:pStyle w:val="Style32"/>
        <w:keepNext w:val="0"/>
        <w:keepLines w:val="0"/>
        <w:widowControl w:val="0"/>
        <w:shd w:val="clear" w:color="auto" w:fill="auto"/>
        <w:bidi w:val="0"/>
        <w:spacing w:before="0" w:after="0" w:line="314" w:lineRule="exact"/>
        <w:ind w:left="980" w:right="0" w:firstLine="0"/>
        <w:jc w:val="both"/>
      </w:pPr>
      <w:bookmarkStart w:id="276" w:name="bookmark276"/>
      <w:r>
        <w:rPr>
          <w:rFonts w:ascii="Times New Roman" w:eastAsia="Times New Roman" w:hAnsi="Times New Roman" w:cs="Times New Roman"/>
          <w:color w:val="000000"/>
          <w:spacing w:val="0"/>
          <w:w w:val="100"/>
          <w:position w:val="0"/>
        </w:rPr>
        <w:t>5</w:t>
      </w:r>
      <w:bookmarkEnd w:id="276"/>
      <w:r>
        <w:rPr>
          <w:color w:val="000000"/>
          <w:spacing w:val="0"/>
          <w:w w:val="100"/>
          <w:position w:val="0"/>
        </w:rPr>
        <w:t>、预算目标为引导，持续支持业务发展</w:t>
      </w:r>
    </w:p>
    <w:p>
      <w:pPr>
        <w:pStyle w:val="Style32"/>
        <w:keepNext w:val="0"/>
        <w:keepLines w:val="0"/>
        <w:widowControl w:val="0"/>
        <w:shd w:val="clear" w:color="auto" w:fill="auto"/>
        <w:bidi w:val="0"/>
        <w:spacing w:before="0" w:after="0" w:line="314" w:lineRule="exact"/>
        <w:ind w:left="980" w:right="0" w:firstLine="0"/>
        <w:jc w:val="both"/>
        <w:sectPr>
          <w:headerReference w:type="default" r:id="rId119"/>
          <w:footerReference w:type="default" r:id="rId120"/>
          <w:headerReference w:type="even" r:id="rId121"/>
          <w:footerReference w:type="even" r:id="rId122"/>
          <w:footnotePr>
            <w:pos w:val="pageBottom"/>
            <w:numFmt w:val="decimal"/>
            <w:numRestart w:val="continuous"/>
          </w:footnotePr>
          <w:pgSz w:w="11900" w:h="16840"/>
          <w:pgMar w:top="1141" w:right="660" w:bottom="1357" w:left="133" w:header="0" w:footer="3" w:gutter="0"/>
          <w:cols w:space="720"/>
          <w:noEndnote/>
          <w:rtlGutter w:val="0"/>
          <w:docGrid w:linePitch="360"/>
        </w:sectPr>
      </w:pPr>
      <w:r>
        <w:rPr>
          <w:color w:val="000000"/>
          <w:spacing w:val="0"/>
          <w:w w:val="100"/>
          <w:position w:val="0"/>
        </w:rPr>
        <w:t>公司加大业务拓展力度，经营范围、业务规模、分子公司数量均呈稳定增长态势。公司继续实施战略、规划、预算、绩效考 核一体化管理，以战略为驱动、以全面预算为抓手，整合、优化配置资源，在提升管理效益的同时控本降费。本年公司根据 业务变化和战略重点，合理制定了各层级业绩目标，针对新形势下的市场需求和业务特点，进一步加强预算的引导、执行对 比分析、预警、考核机制，对作业协同、战略贯彻与价值增长等方面提供有力支持。</w:t>
      </w:r>
    </w:p>
    <w:p>
      <w:pPr>
        <w:pStyle w:val="Style5"/>
        <w:keepNext w:val="0"/>
        <w:keepLines w:val="0"/>
        <w:widowControl w:val="0"/>
        <w:shd w:val="clear" w:color="auto" w:fill="auto"/>
        <w:bidi w:val="0"/>
        <w:spacing w:before="0" w:after="0" w:line="240" w:lineRule="auto"/>
        <w:ind w:left="0" w:right="0" w:firstLine="980"/>
        <w:jc w:val="both"/>
      </w:pPr>
      <w:r>
        <mc:AlternateContent>
          <mc:Choice Requires="wps">
            <w:drawing>
              <wp:anchor distT="0" distB="0" distL="0" distR="0" simplePos="0" relativeHeight="125829415" behindDoc="0" locked="0" layoutInCell="1" allowOverlap="1">
                <wp:simplePos x="0" y="0"/>
                <wp:positionH relativeFrom="page">
                  <wp:posOffset>748665</wp:posOffset>
                </wp:positionH>
                <wp:positionV relativeFrom="margin">
                  <wp:posOffset>-304165</wp:posOffset>
                </wp:positionV>
                <wp:extent cx="1301750" cy="323215"/>
                <wp:wrapSquare wrapText="left"/>
                <wp:docPr id="258" name="Shape 258"/>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1284" type="#_x0000_t202" style="position:absolute;margin-left:58.950000000000003pt;margin-top:-23.949999999999999pt;width:102.5pt;height:25.449999999999999pt;z-index:-125829338;mso-wrap-distance-left:0;mso-wrap-distance-right:0;mso-position-horizontal-relative:page;mso-position-vertic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square" side="left" anchorx="page" anchory="margin"/>
              </v:shape>
            </w:pict>
          </mc:Fallback>
        </mc:AlternateContent>
      </w:r>
      <w:r>
        <w:rPr>
          <w:color w:val="245994"/>
          <w:spacing w:val="0"/>
          <w:w w:val="100"/>
          <w:position w:val="0"/>
        </w:rPr>
        <w:t>—</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1140" w:right="0" w:firstLine="0"/>
        <w:jc w:val="left"/>
      </w:pPr>
      <w:r>
        <w:rPr>
          <w:rFonts w:ascii="SimHei" w:eastAsia="SimHei" w:hAnsi="SimHei" w:cs="SimHei"/>
          <w:color w:val="245994"/>
          <w:spacing w:val="0"/>
          <w:w w:val="100"/>
          <w:position w:val="0"/>
          <w:sz w:val="15"/>
          <w:szCs w:val="15"/>
        </w:rPr>
        <w:t xml:space="preserve">，| </w:t>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360" w:line="240" w:lineRule="auto"/>
        <w:ind w:left="0" w:right="0" w:firstLine="980"/>
        <w:jc w:val="both"/>
      </w:pPr>
      <w:bookmarkStart w:id="277" w:name="bookmark277"/>
      <w:bookmarkStart w:id="278" w:name="bookmark278"/>
      <w:bookmarkStart w:id="279" w:name="bookmark279"/>
      <w:r>
        <w:rPr>
          <w:color w:val="000000"/>
          <w:spacing w:val="0"/>
          <w:w w:val="100"/>
          <w:position w:val="0"/>
          <w:sz w:val="24"/>
          <w:szCs w:val="24"/>
        </w:rPr>
        <w:t>十、接待调研、沟通、采访等活动登记表</w:t>
      </w:r>
      <w:bookmarkEnd w:id="277"/>
      <w:bookmarkEnd w:id="278"/>
      <w:bookmarkEnd w:id="279"/>
    </w:p>
    <w:p>
      <w:pPr>
        <w:pStyle w:val="Style55"/>
        <w:keepNext/>
        <w:keepLines/>
        <w:widowControl w:val="0"/>
        <w:shd w:val="clear" w:color="auto" w:fill="auto"/>
        <w:bidi w:val="0"/>
        <w:spacing w:before="0" w:after="360" w:line="240" w:lineRule="auto"/>
        <w:ind w:left="0" w:right="0" w:firstLine="980"/>
        <w:jc w:val="both"/>
      </w:pPr>
      <w:bookmarkStart w:id="280" w:name="bookmark280"/>
      <w:bookmarkStart w:id="281" w:name="bookmark281"/>
      <w:bookmarkStart w:id="282" w:name="bookmark282"/>
      <w:bookmarkStart w:id="283" w:name="bookmark283"/>
      <w:r>
        <w:rPr>
          <w:rFonts w:ascii="Times New Roman" w:eastAsia="Times New Roman" w:hAnsi="Times New Roman" w:cs="Times New Roman"/>
          <w:color w:val="000000"/>
          <w:spacing w:val="0"/>
          <w:w w:val="100"/>
          <w:position w:val="0"/>
        </w:rPr>
        <w:t>1</w:t>
      </w:r>
      <w:bookmarkEnd w:id="282"/>
      <w:r>
        <w:rPr>
          <w:color w:val="000000"/>
          <w:spacing w:val="0"/>
          <w:w w:val="100"/>
          <w:position w:val="0"/>
        </w:rPr>
        <w:t>、报告期内接待调研、沟通、采访等活动登记表</w:t>
      </w:r>
      <w:bookmarkEnd w:id="280"/>
      <w:bookmarkEnd w:id="281"/>
      <w:bookmarkEnd w:id="283"/>
    </w:p>
    <w:p>
      <w:pPr>
        <w:pStyle w:val="Style32"/>
        <w:keepNext w:val="0"/>
        <w:keepLines w:val="0"/>
        <w:widowControl w:val="0"/>
        <w:shd w:val="clear" w:color="auto" w:fill="auto"/>
        <w:bidi w:val="0"/>
        <w:spacing w:before="0" w:after="120" w:line="240" w:lineRule="auto"/>
        <w:ind w:left="0" w:right="0" w:firstLine="98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980"/>
        <w:jc w:val="both"/>
        <w:sectPr>
          <w:headerReference w:type="default" r:id="rId123"/>
          <w:footerReference w:type="default" r:id="rId124"/>
          <w:headerReference w:type="even" r:id="rId125"/>
          <w:footerReference w:type="even" r:id="rId126"/>
          <w:footnotePr>
            <w:pos w:val="pageBottom"/>
            <w:numFmt w:val="decimal"/>
            <w:numRestart w:val="continuous"/>
          </w:footnotePr>
          <w:pgSz w:w="11900" w:h="16840"/>
          <w:pgMar w:top="1141" w:right="660" w:bottom="1357" w:left="133" w:header="0" w:footer="3" w:gutter="0"/>
          <w:cols w:space="720"/>
          <w:noEndnote/>
          <w:rtlGutter w:val="0"/>
          <w:docGrid w:linePitch="360"/>
        </w:sectPr>
      </w:pPr>
      <w:r>
        <w:rPr>
          <w:color w:val="000000"/>
          <w:spacing w:val="0"/>
          <w:w w:val="100"/>
          <w:position w:val="0"/>
        </w:rPr>
        <w:t>公司报告期内未发生接待调研、沟通、采访等活动。</w:t>
      </w:r>
    </w:p>
    <w:p>
      <w:pPr>
        <w:widowControl w:val="0"/>
        <w:jc w:val="center"/>
        <w:rPr>
          <w:sz w:val="2"/>
          <w:szCs w:val="2"/>
        </w:rPr>
      </w:pPr>
      <w:r>
        <w:drawing>
          <wp:inline>
            <wp:extent cx="1304290" cy="518160"/>
            <wp:docPr id="270" name="Picutre 270"/>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27"/>
                    <a:stretch/>
                  </pic:blipFill>
                  <pic:spPr>
                    <a:xfrm>
                      <a:ext cx="1304290" cy="518160"/>
                    </a:xfrm>
                    <a:prstGeom prst="rect"/>
                  </pic:spPr>
                </pic:pic>
              </a:graphicData>
            </a:graphic>
          </wp:inline>
        </w:drawing>
      </w:r>
    </w:p>
    <w:p>
      <w:pPr>
        <w:pStyle w:val="Style26"/>
        <w:keepNext w:val="0"/>
        <w:keepLines w:val="0"/>
        <w:widowControl w:val="0"/>
        <w:shd w:val="clear" w:color="auto" w:fill="auto"/>
        <w:bidi w:val="0"/>
        <w:spacing w:before="0" w:after="0" w:line="168" w:lineRule="exact"/>
        <w:ind w:left="778"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after="419" w:line="1" w:lineRule="exact"/>
      </w:pPr>
    </w:p>
    <w:p>
      <w:pPr>
        <w:pStyle w:val="Style20"/>
        <w:keepNext/>
        <w:keepLines/>
        <w:widowControl w:val="0"/>
        <w:shd w:val="clear" w:color="auto" w:fill="auto"/>
        <w:bidi w:val="0"/>
        <w:spacing w:before="0" w:after="540" w:line="240" w:lineRule="auto"/>
        <w:ind w:left="0" w:right="0" w:firstLine="0"/>
        <w:jc w:val="center"/>
      </w:pPr>
      <w:bookmarkStart w:id="284" w:name="bookmark284"/>
      <w:bookmarkStart w:id="285" w:name="bookmark285"/>
      <w:bookmarkStart w:id="286" w:name="bookmark286"/>
      <w:r>
        <w:rPr>
          <w:color w:val="000000"/>
          <w:spacing w:val="0"/>
          <w:w w:val="100"/>
          <w:position w:val="0"/>
        </w:rPr>
        <w:t>第五节重要事项</w:t>
      </w:r>
      <w:bookmarkEnd w:id="284"/>
      <w:bookmarkEnd w:id="285"/>
      <w:bookmarkEnd w:id="286"/>
    </w:p>
    <w:p>
      <w:pPr>
        <w:pStyle w:val="Style47"/>
        <w:keepNext/>
        <w:keepLines/>
        <w:widowControl w:val="0"/>
        <w:shd w:val="clear" w:color="auto" w:fill="auto"/>
        <w:bidi w:val="0"/>
        <w:spacing w:before="0" w:after="260" w:line="240" w:lineRule="auto"/>
        <w:ind w:left="0" w:right="0" w:firstLine="980"/>
        <w:jc w:val="left"/>
      </w:pPr>
      <w:bookmarkStart w:id="287" w:name="bookmark287"/>
      <w:bookmarkStart w:id="288" w:name="bookmark288"/>
      <w:bookmarkStart w:id="289" w:name="bookmark289"/>
      <w:bookmarkStart w:id="290" w:name="bookmark290"/>
      <w:r>
        <w:rPr>
          <w:color w:val="000000"/>
          <w:spacing w:val="0"/>
          <w:w w:val="100"/>
          <w:position w:val="0"/>
          <w:sz w:val="24"/>
          <w:szCs w:val="24"/>
        </w:rPr>
        <w:t>一</w:t>
      </w:r>
      <w:bookmarkEnd w:id="289"/>
      <w:r>
        <w:rPr>
          <w:color w:val="000000"/>
          <w:spacing w:val="0"/>
          <w:w w:val="100"/>
          <w:position w:val="0"/>
          <w:sz w:val="24"/>
          <w:szCs w:val="24"/>
        </w:rPr>
        <w:t>、公司普通股利润分配及资本公积金转增股本情况</w:t>
      </w:r>
      <w:bookmarkEnd w:id="287"/>
      <w:bookmarkEnd w:id="288"/>
      <w:bookmarkEnd w:id="290"/>
    </w:p>
    <w:p>
      <w:pPr>
        <w:pStyle w:val="Style32"/>
        <w:keepNext w:val="0"/>
        <w:keepLines w:val="0"/>
        <w:widowControl w:val="0"/>
        <w:shd w:val="clear" w:color="auto" w:fill="auto"/>
        <w:bidi w:val="0"/>
        <w:spacing w:before="0" w:after="140" w:line="314" w:lineRule="exact"/>
        <w:ind w:left="0" w:right="0" w:firstLine="980"/>
        <w:jc w:val="left"/>
      </w:pPr>
      <w:r>
        <w:rPr>
          <w:color w:val="000000"/>
          <w:spacing w:val="0"/>
          <w:w w:val="100"/>
          <w:position w:val="0"/>
        </w:rPr>
        <w:t>报告期内普通股利润分配政策，特别是现金分红政策的制定、执行或调整情况</w:t>
      </w:r>
    </w:p>
    <w:p>
      <w:pPr>
        <w:pStyle w:val="Style32"/>
        <w:keepNext w:val="0"/>
        <w:keepLines w:val="0"/>
        <w:widowControl w:val="0"/>
        <w:shd w:val="clear" w:color="auto" w:fill="auto"/>
        <w:bidi w:val="0"/>
        <w:spacing w:before="0" w:after="0"/>
        <w:ind w:left="98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60" w:line="314" w:lineRule="exact"/>
        <w:ind w:left="980" w:right="0" w:firstLine="0"/>
        <w:jc w:val="left"/>
      </w:pPr>
      <w:r>
        <w:rPr>
          <w:color w:val="000000"/>
          <w:spacing w:val="0"/>
          <w:w w:val="100"/>
          <w:position w:val="0"/>
        </w:rPr>
        <w:t>报告期内，公司的利润分配政策未发生变化。公司积极推行持续、稳定的利润分配政策，严格按照《公司章程》的规定执行 利润分配政策，结合公司经营管理的实际情况，充分考虑投资者的回报，制订适时可行的利润分配方案，并由董事会审议通 过后提交股东大会进行表决审议，独立董事对公司利润分配事项发表独立意见、尽职履责并发挥其应有的作用。</w:t>
      </w:r>
    </w:p>
    <w:tbl>
      <w:tblPr>
        <w:tblOverlap w:val="never"/>
        <w:jc w:val="center"/>
        <w:tblLayout w:type="fixed"/>
      </w:tblPr>
      <w:tblGrid>
        <w:gridCol w:w="6672"/>
        <w:gridCol w:w="2914"/>
      </w:tblGrid>
      <w:tr>
        <w:trPr>
          <w:trHeight w:val="408" w:hRule="exact"/>
        </w:trPr>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现金分红政策的专项说明</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是否符合公司章程的规定或股东大会决议的要求：</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分红标准和比例是否明确和清晰：</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相关的决策程序和机制是否完备：</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独立董事是否履职尽责并发挥了应有的作用：</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中小股东是否有充分表达意见和诉求的机会，其合法权益是否得到了充分保护：</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现金分红政策进行调整或变更的，条件及程序是否合规、透明：</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widowControl w:val="0"/>
        <w:spacing w:after="59" w:line="1" w:lineRule="exact"/>
      </w:pPr>
    </w:p>
    <w:p>
      <w:pPr>
        <w:pStyle w:val="Style32"/>
        <w:keepNext w:val="0"/>
        <w:keepLines w:val="0"/>
        <w:widowControl w:val="0"/>
        <w:shd w:val="clear" w:color="auto" w:fill="auto"/>
        <w:bidi w:val="0"/>
        <w:spacing w:before="0" w:after="140" w:line="240" w:lineRule="auto"/>
        <w:ind w:left="980" w:right="0" w:firstLine="0"/>
        <w:jc w:val="left"/>
      </w:pPr>
      <w:r>
        <w:rPr>
          <w:color w:val="000000"/>
          <w:spacing w:val="0"/>
          <w:w w:val="100"/>
          <w:position w:val="0"/>
        </w:rPr>
        <w:t>公司报告期利润分配预案及资本公积金转增股本预案与公司章程和分红管理办法等的相关规定一致</w:t>
      </w:r>
    </w:p>
    <w:p>
      <w:pPr>
        <w:pStyle w:val="Style32"/>
        <w:keepNext w:val="0"/>
        <w:keepLines w:val="0"/>
        <w:widowControl w:val="0"/>
        <w:shd w:val="clear" w:color="auto" w:fill="auto"/>
        <w:bidi w:val="0"/>
        <w:spacing w:before="0" w:after="140" w:line="240" w:lineRule="auto"/>
        <w:ind w:left="0" w:right="0" w:firstLine="980"/>
        <w:jc w:val="left"/>
      </w:pPr>
      <w:r>
        <w:rPr>
          <w:rFonts w:ascii="Times New Roman" w:eastAsia="Times New Roman" w:hAnsi="Times New Roman" w:cs="Times New Roman"/>
          <w:color w:val="000000"/>
          <w:spacing w:val="0"/>
          <w:w w:val="100"/>
          <w:position w:val="0"/>
        </w:rPr>
        <w:t>V</w:t>
      </w:r>
      <w:r>
        <w:rPr>
          <w:color w:val="000000"/>
          <w:spacing w:val="0"/>
          <w:w w:val="100"/>
          <w:position w:val="0"/>
        </w:rPr>
        <w:t>是</w:t>
      </w:r>
      <w:r>
        <w:rPr>
          <w:color w:val="000000"/>
          <w:spacing w:val="0"/>
          <w:w w:val="100"/>
          <w:position w:val="0"/>
        </w:rPr>
        <w:t>口</w:t>
      </w:r>
      <w:r>
        <w:rPr>
          <w:color w:val="000000"/>
          <w:spacing w:val="0"/>
          <w:w w:val="100"/>
          <w:position w:val="0"/>
        </w:rPr>
        <w:t>否</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公司报告期利润分配预案及资本公积金转增股本预案符合公司章程等的相关规定。</w:t>
      </w:r>
    </w:p>
    <w:p>
      <w:pPr>
        <w:pStyle w:val="Style32"/>
        <w:keepNext w:val="0"/>
        <w:keepLines w:val="0"/>
        <w:widowControl w:val="0"/>
        <w:shd w:val="clear" w:color="auto" w:fill="auto"/>
        <w:bidi w:val="0"/>
        <w:spacing w:before="0" w:after="60" w:line="240" w:lineRule="auto"/>
        <w:ind w:left="0" w:right="0" w:firstLine="980"/>
        <w:jc w:val="left"/>
      </w:pPr>
      <w:r>
        <w:rPr>
          <w:color w:val="000000"/>
          <w:spacing w:val="0"/>
          <w:w w:val="100"/>
          <w:position w:val="0"/>
        </w:rPr>
        <w:t>本年度利润分配及资本公积金转增股本情况</w:t>
      </w:r>
    </w:p>
    <w:tbl>
      <w:tblPr>
        <w:tblOverlap w:val="never"/>
        <w:jc w:val="center"/>
        <w:tblLayout w:type="fixed"/>
      </w:tblPr>
      <w:tblGrid>
        <w:gridCol w:w="5822"/>
        <w:gridCol w:w="3763"/>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rPr>
              <w:t>10</w:t>
            </w:r>
            <w:r>
              <w:rPr>
                <w:color w:val="000000"/>
                <w:spacing w:val="0"/>
                <w:w w:val="100"/>
                <w:position w:val="0"/>
              </w:rPr>
              <w:t>股送红股数（股）</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rPr>
              <w:t>10</w:t>
            </w:r>
            <w:r>
              <w:rPr>
                <w:color w:val="000000"/>
                <w:spacing w:val="0"/>
                <w:w w:val="100"/>
                <w:position w:val="0"/>
              </w:rPr>
              <w:t>股派息数（元）（含税）</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rPr>
              <w:t>10</w:t>
            </w:r>
            <w:r>
              <w:rPr>
                <w:color w:val="000000"/>
                <w:spacing w:val="0"/>
                <w:w w:val="100"/>
                <w:position w:val="0"/>
              </w:rPr>
              <w:t>股转增数（股）</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分配预案的股本基数（股）</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597,527,930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现金分红金额（元）（含税）</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16,730,782.04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以其他方式（如回购股份）现金分红金额（元）</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现金分红总额（含其他方式）（元）</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16,730,782.04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可分配利润（元）</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198,056,652.74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现金分红总额（含其他方式）占利润分配总额的比例</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r>
      <w:tr>
        <w:trPr>
          <w:trHeight w:val="398" w:hRule="exact"/>
        </w:trPr>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本次现金分红情况</w:t>
            </w:r>
          </w:p>
        </w:tc>
      </w:tr>
      <w:tr>
        <w:trPr>
          <w:trHeight w:val="403" w:hRule="exact"/>
        </w:trPr>
        <w:tc>
          <w:tcPr>
            <w:gridSpan w:val="2"/>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公司发展阶段不易区分但有重大资金支出安排的，进行利润分配时，现金分红在本次利润分配中所占比例最低应达到</w:t>
            </w:r>
            <w:r>
              <w:rPr>
                <w:rFonts w:ascii="Times New Roman" w:eastAsia="Times New Roman" w:hAnsi="Times New Roman" w:cs="Times New Roman"/>
                <w:color w:val="000000"/>
                <w:spacing w:val="0"/>
                <w:w w:val="100"/>
                <w:position w:val="0"/>
              </w:rPr>
              <w:t>20</w:t>
            </w:r>
            <w:r>
              <w:rPr>
                <w:color w:val="000000"/>
                <w:spacing w:val="0"/>
                <w:w w:val="100"/>
                <w:position w:val="0"/>
              </w:rPr>
              <w:t>%</w:t>
            </w:r>
          </w:p>
        </w:tc>
      </w:tr>
      <w:tr>
        <w:trPr>
          <w:trHeight w:val="403" w:hRule="exact"/>
        </w:trPr>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利润分配或资本公积金转增预案的详细情况说明</w:t>
            </w:r>
          </w:p>
        </w:tc>
      </w:tr>
      <w:tr>
        <w:trPr>
          <w:trHeight w:val="1037" w:hRule="exact"/>
        </w:trPr>
        <w:tc>
          <w:tcPr>
            <w:gridSpan w:val="2"/>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年度公司利润分配预案为：以公司现有股本</w:t>
            </w:r>
            <w:r>
              <w:rPr>
                <w:rFonts w:ascii="Times New Roman" w:eastAsia="Times New Roman" w:hAnsi="Times New Roman" w:cs="Times New Roman"/>
                <w:color w:val="000000"/>
                <w:spacing w:val="0"/>
                <w:w w:val="100"/>
                <w:position w:val="0"/>
              </w:rPr>
              <w:t>597,527,930</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rPr>
              <w:t>0.28</w:t>
            </w:r>
            <w:r>
              <w:rPr>
                <w:color w:val="000000"/>
                <w:spacing w:val="0"/>
                <w:w w:val="100"/>
                <w:position w:val="0"/>
              </w:rPr>
              <w:t>元（含税）， 合计派发现金红利</w:t>
            </w:r>
            <w:r>
              <w:rPr>
                <w:rFonts w:ascii="Times New Roman" w:eastAsia="Times New Roman" w:hAnsi="Times New Roman" w:cs="Times New Roman"/>
                <w:color w:val="000000"/>
                <w:spacing w:val="0"/>
                <w:w w:val="100"/>
                <w:position w:val="0"/>
              </w:rPr>
              <w:t>16,730,782.04</w:t>
            </w:r>
            <w:r>
              <w:rPr>
                <w:color w:val="000000"/>
                <w:spacing w:val="0"/>
                <w:w w:val="100"/>
                <w:position w:val="0"/>
              </w:rPr>
              <w:t>元；</w:t>
            </w:r>
            <w:r>
              <w:rPr>
                <w:rFonts w:ascii="Times New Roman" w:eastAsia="Times New Roman" w:hAnsi="Times New Roman" w:cs="Times New Roman"/>
                <w:color w:val="000000"/>
                <w:spacing w:val="0"/>
                <w:w w:val="100"/>
                <w:position w:val="0"/>
              </w:rPr>
              <w:t>2020</w:t>
            </w:r>
            <w:r>
              <w:rPr>
                <w:color w:val="000000"/>
                <w:spacing w:val="0"/>
                <w:w w:val="100"/>
                <w:position w:val="0"/>
              </w:rPr>
              <w:t>年度不送股，不以资本公积金转增股本。该分配预案尚需提交</w:t>
            </w:r>
            <w:r>
              <w:rPr>
                <w:rFonts w:ascii="Times New Roman" w:eastAsia="Times New Roman" w:hAnsi="Times New Roman" w:cs="Times New Roman"/>
                <w:color w:val="000000"/>
                <w:spacing w:val="0"/>
                <w:w w:val="100"/>
                <w:position w:val="0"/>
              </w:rPr>
              <w:t>2020</w:t>
            </w:r>
            <w:r>
              <w:rPr>
                <w:color w:val="000000"/>
                <w:spacing w:val="0"/>
                <w:w w:val="100"/>
                <w:position w:val="0"/>
              </w:rPr>
              <w:t>年度股东大 会审议。</w:t>
            </w:r>
          </w:p>
        </w:tc>
      </w:tr>
    </w:tbl>
    <w:p>
      <w:pPr>
        <w:sectPr>
          <w:footnotePr>
            <w:pos w:val="pageBottom"/>
            <w:numFmt w:val="decimal"/>
            <w:numRestart w:val="continuous"/>
          </w:footnotePr>
          <w:pgSz w:w="11900" w:h="16840"/>
          <w:pgMar w:top="692" w:right="660" w:bottom="1158" w:left="133"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17" behindDoc="0" locked="0" layoutInCell="1" allowOverlap="1">
                <wp:simplePos x="0" y="0"/>
                <wp:positionH relativeFrom="page">
                  <wp:posOffset>777875</wp:posOffset>
                </wp:positionH>
                <wp:positionV relativeFrom="paragraph">
                  <wp:posOffset>12700</wp:posOffset>
                </wp:positionV>
                <wp:extent cx="1243330" cy="298450"/>
                <wp:wrapTopAndBottom/>
                <wp:docPr id="271" name="Shape 271"/>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297" type="#_x0000_t202" style="position:absolute;margin-left:61.25pt;margin-top:1.pt;width:97.900000000000006pt;height:23.5pt;z-index:-125829336;mso-wrap-distance-left:9.pt;mso-wrap-distance-right:9.pt;mso-position-horizontal-relative:page"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v:shape>
            </w:pict>
          </mc:Fallback>
        </mc:AlternateContent>
      </w:r>
    </w:p>
    <w:p>
      <w:pPr>
        <w:pStyle w:val="Style32"/>
        <w:keepNext w:val="0"/>
        <w:keepLines w:val="0"/>
        <w:widowControl w:val="0"/>
        <w:shd w:val="clear" w:color="auto" w:fill="auto"/>
        <w:bidi w:val="0"/>
        <w:spacing w:before="0" w:after="0" w:line="240" w:lineRule="auto"/>
        <w:ind w:left="980" w:right="0" w:firstLine="0"/>
        <w:jc w:val="left"/>
      </w:pPr>
      <w:r>
        <w:rPr>
          <w:color w:val="000000"/>
          <w:spacing w:val="0"/>
          <w:w w:val="100"/>
          <w:position w:val="0"/>
        </w:rPr>
        <w:t>公司近</w:t>
      </w:r>
      <w:r>
        <w:rPr>
          <w:rFonts w:ascii="Times New Roman" w:eastAsia="Times New Roman" w:hAnsi="Times New Roman" w:cs="Times New Roman"/>
          <w:color w:val="000000"/>
          <w:spacing w:val="0"/>
          <w:w w:val="100"/>
          <w:position w:val="0"/>
        </w:rPr>
        <w:t>3</w:t>
      </w:r>
      <w:r>
        <w:rPr>
          <w:color w:val="000000"/>
          <w:spacing w:val="0"/>
          <w:w w:val="100"/>
          <w:position w:val="0"/>
        </w:rPr>
        <w:t>年（包括本报告期）的普通股股利分配方案（预案）、资本公积金转增股本方案（预案）情况</w:t>
      </w:r>
    </w:p>
    <w:p>
      <w:pPr>
        <w:pStyle w:val="Style32"/>
        <w:keepNext w:val="0"/>
        <w:keepLines w:val="0"/>
        <w:widowControl w:val="0"/>
        <w:shd w:val="clear" w:color="auto" w:fill="auto"/>
        <w:bidi w:val="0"/>
        <w:spacing w:before="0" w:after="0" w:line="317" w:lineRule="exact"/>
        <w:ind w:left="980" w:right="0" w:firstLine="0"/>
        <w:jc w:val="left"/>
      </w:pPr>
      <w:bookmarkStart w:id="291" w:name="bookmark291"/>
      <w:r>
        <w:rPr>
          <w:rFonts w:ascii="Times New Roman" w:eastAsia="Times New Roman" w:hAnsi="Times New Roman" w:cs="Times New Roman"/>
          <w:color w:val="000000"/>
          <w:spacing w:val="0"/>
          <w:w w:val="100"/>
          <w:position w:val="0"/>
        </w:rPr>
        <w:t>1</w:t>
      </w:r>
      <w:bookmarkEnd w:id="291"/>
      <w:r>
        <w:rPr>
          <w:color w:val="000000"/>
          <w:spacing w:val="0"/>
          <w:w w:val="100"/>
          <w:position w:val="0"/>
        </w:rPr>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年度公司利润分配预案为：以公司现有股本</w:t>
      </w:r>
      <w:r>
        <w:rPr>
          <w:rFonts w:ascii="Times New Roman" w:eastAsia="Times New Roman" w:hAnsi="Times New Roman" w:cs="Times New Roman"/>
          <w:color w:val="000000"/>
          <w:spacing w:val="0"/>
          <w:w w:val="100"/>
          <w:position w:val="0"/>
        </w:rPr>
        <w:t>597,527,930</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.28</w:t>
      </w:r>
      <w:r>
        <w:rPr>
          <w:color w:val="000000"/>
          <w:spacing w:val="0"/>
          <w:w w:val="100"/>
          <w:position w:val="0"/>
        </w:rPr>
        <w:t>元（含税）， 合计派发现金红利</w:t>
      </w:r>
      <w:r>
        <w:rPr>
          <w:rFonts w:ascii="Times New Roman" w:eastAsia="Times New Roman" w:hAnsi="Times New Roman" w:cs="Times New Roman"/>
          <w:color w:val="000000"/>
          <w:spacing w:val="0"/>
          <w:w w:val="100"/>
          <w:position w:val="0"/>
        </w:rPr>
        <w:t>16,730,782.04</w:t>
      </w:r>
      <w:r>
        <w:rPr>
          <w:color w:val="000000"/>
          <w:spacing w:val="0"/>
          <w:w w:val="100"/>
          <w:position w:val="0"/>
        </w:rPr>
        <w:t>元；</w:t>
      </w:r>
      <w:r>
        <w:rPr>
          <w:rFonts w:ascii="Times New Roman" w:eastAsia="Times New Roman" w:hAnsi="Times New Roman" w:cs="Times New Roman"/>
          <w:color w:val="000000"/>
          <w:spacing w:val="0"/>
          <w:w w:val="100"/>
          <w:position w:val="0"/>
        </w:rPr>
        <w:t>2020</w:t>
      </w:r>
      <w:r>
        <w:rPr>
          <w:color w:val="000000"/>
          <w:spacing w:val="0"/>
          <w:w w:val="100"/>
          <w:position w:val="0"/>
        </w:rPr>
        <w:t>年度不送股，不以资本公积金转增股本。该分配预案尚需提交</w:t>
      </w:r>
      <w:r>
        <w:rPr>
          <w:rFonts w:ascii="Times New Roman" w:eastAsia="Times New Roman" w:hAnsi="Times New Roman" w:cs="Times New Roman"/>
          <w:color w:val="000000"/>
          <w:spacing w:val="0"/>
          <w:w w:val="100"/>
          <w:position w:val="0"/>
        </w:rPr>
        <w:t>2020</w:t>
      </w:r>
      <w:r>
        <w:rPr>
          <w:color w:val="000000"/>
          <w:spacing w:val="0"/>
          <w:w w:val="100"/>
          <w:position w:val="0"/>
        </w:rPr>
        <w:t>年度股东大会审 议。</w:t>
      </w:r>
    </w:p>
    <w:p>
      <w:pPr>
        <w:pStyle w:val="Style32"/>
        <w:keepNext w:val="0"/>
        <w:keepLines w:val="0"/>
        <w:widowControl w:val="0"/>
        <w:shd w:val="clear" w:color="auto" w:fill="auto"/>
        <w:bidi w:val="0"/>
        <w:spacing w:before="0" w:after="0" w:line="312" w:lineRule="exact"/>
        <w:ind w:left="980" w:right="0" w:firstLine="0"/>
        <w:jc w:val="left"/>
      </w:pPr>
      <w:bookmarkStart w:id="292" w:name="bookmark292"/>
      <w:r>
        <w:rPr>
          <w:rFonts w:ascii="Times New Roman" w:eastAsia="Times New Roman" w:hAnsi="Times New Roman" w:cs="Times New Roman"/>
          <w:color w:val="000000"/>
          <w:spacing w:val="0"/>
          <w:w w:val="100"/>
          <w:position w:val="0"/>
        </w:rPr>
        <w:t>2</w:t>
      </w:r>
      <w:bookmarkEnd w:id="292"/>
      <w:r>
        <w:rPr>
          <w:color w:val="000000"/>
          <w:spacing w:val="0"/>
          <w:w w:val="100"/>
          <w:position w:val="0"/>
        </w:rPr>
        <w:t xml:space="preserve">、 </w:t>
      </w:r>
      <w:r>
        <w:rPr>
          <w:rFonts w:ascii="Times New Roman" w:eastAsia="Times New Roman" w:hAnsi="Times New Roman" w:cs="Times New Roman"/>
          <w:color w:val="000000"/>
          <w:spacing w:val="0"/>
          <w:w w:val="100"/>
          <w:position w:val="0"/>
        </w:rPr>
        <w:t>2019</w:t>
      </w:r>
      <w:r>
        <w:rPr>
          <w:color w:val="000000"/>
          <w:spacing w:val="0"/>
          <w:w w:val="100"/>
          <w:position w:val="0"/>
        </w:rPr>
        <w:t>年度公司利润分配方案为：以公司现有股本</w:t>
      </w:r>
      <w:r>
        <w:rPr>
          <w:rFonts w:ascii="Times New Roman" w:eastAsia="Times New Roman" w:hAnsi="Times New Roman" w:cs="Times New Roman"/>
          <w:color w:val="000000"/>
          <w:spacing w:val="0"/>
          <w:w w:val="100"/>
          <w:position w:val="0"/>
        </w:rPr>
        <w:t>575,295,171</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rPr>
        <w:t>0.16</w:t>
      </w:r>
      <w:r>
        <w:rPr>
          <w:color w:val="000000"/>
          <w:spacing w:val="0"/>
          <w:w w:val="100"/>
          <w:position w:val="0"/>
        </w:rPr>
        <w:t>元（含税）， 合计派发现金红利</w:t>
      </w:r>
      <w:r>
        <w:rPr>
          <w:rFonts w:ascii="Times New Roman" w:eastAsia="Times New Roman" w:hAnsi="Times New Roman" w:cs="Times New Roman"/>
          <w:color w:val="000000"/>
          <w:spacing w:val="0"/>
          <w:w w:val="100"/>
          <w:position w:val="0"/>
        </w:rPr>
        <w:t>9,204,722.74</w:t>
      </w:r>
      <w:r>
        <w:rPr>
          <w:color w:val="000000"/>
          <w:spacing w:val="0"/>
          <w:w w:val="100"/>
          <w:position w:val="0"/>
        </w:rPr>
        <w:t>元；</w:t>
      </w:r>
      <w:r>
        <w:rPr>
          <w:rFonts w:ascii="Times New Roman" w:eastAsia="Times New Roman" w:hAnsi="Times New Roman" w:cs="Times New Roman"/>
          <w:color w:val="000000"/>
          <w:spacing w:val="0"/>
          <w:w w:val="100"/>
          <w:position w:val="0"/>
        </w:rPr>
        <w:t>2019</w:t>
      </w:r>
      <w:r>
        <w:rPr>
          <w:color w:val="000000"/>
          <w:spacing w:val="0"/>
          <w:w w:val="100"/>
          <w:position w:val="0"/>
        </w:rPr>
        <w:t>年度不送股，不以资本公积金转增股本。</w:t>
      </w:r>
    </w:p>
    <w:p>
      <w:pPr>
        <w:pStyle w:val="Style32"/>
        <w:keepNext w:val="0"/>
        <w:keepLines w:val="0"/>
        <w:widowControl w:val="0"/>
        <w:shd w:val="clear" w:color="auto" w:fill="auto"/>
        <w:bidi w:val="0"/>
        <w:spacing w:before="0" w:after="0" w:line="312" w:lineRule="exact"/>
        <w:ind w:left="980" w:right="0" w:firstLine="0"/>
        <w:jc w:val="left"/>
      </w:pPr>
      <w:bookmarkStart w:id="293" w:name="bookmark293"/>
      <w:r>
        <w:rPr>
          <w:rFonts w:ascii="Times New Roman" w:eastAsia="Times New Roman" w:hAnsi="Times New Roman" w:cs="Times New Roman"/>
          <w:color w:val="000000"/>
          <w:spacing w:val="0"/>
          <w:w w:val="100"/>
          <w:position w:val="0"/>
        </w:rPr>
        <w:t>3</w:t>
      </w:r>
      <w:bookmarkEnd w:id="293"/>
      <w:r>
        <w:rPr>
          <w:color w:val="000000"/>
          <w:spacing w:val="0"/>
          <w:w w:val="100"/>
          <w:position w:val="0"/>
        </w:rPr>
        <w:t xml:space="preserve">、 </w:t>
      </w:r>
      <w:r>
        <w:rPr>
          <w:rFonts w:ascii="Times New Roman" w:eastAsia="Times New Roman" w:hAnsi="Times New Roman" w:cs="Times New Roman"/>
          <w:color w:val="000000"/>
          <w:spacing w:val="0"/>
          <w:w w:val="100"/>
          <w:position w:val="0"/>
        </w:rPr>
        <w:t>2018</w:t>
      </w:r>
      <w:r>
        <w:rPr>
          <w:color w:val="000000"/>
          <w:spacing w:val="0"/>
          <w:w w:val="100"/>
          <w:position w:val="0"/>
        </w:rPr>
        <w:t>年度公司利润分配方案为：以公司现有股本</w:t>
      </w:r>
      <w:r>
        <w:rPr>
          <w:rFonts w:ascii="Times New Roman" w:eastAsia="Times New Roman" w:hAnsi="Times New Roman" w:cs="Times New Roman"/>
          <w:color w:val="000000"/>
          <w:spacing w:val="0"/>
          <w:w w:val="100"/>
          <w:position w:val="0"/>
        </w:rPr>
        <w:t>369,171,141</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rPr>
        <w:t>0.12</w:t>
      </w:r>
      <w:r>
        <w:rPr>
          <w:color w:val="000000"/>
          <w:spacing w:val="0"/>
          <w:w w:val="100"/>
          <w:position w:val="0"/>
        </w:rPr>
        <w:t>元（含税）， 合计派发现金红利</w:t>
      </w:r>
      <w:r>
        <w:rPr>
          <w:rFonts w:ascii="Times New Roman" w:eastAsia="Times New Roman" w:hAnsi="Times New Roman" w:cs="Times New Roman"/>
          <w:color w:val="000000"/>
          <w:spacing w:val="0"/>
          <w:w w:val="100"/>
          <w:position w:val="0"/>
        </w:rPr>
        <w:t>4,430,053.69</w:t>
      </w:r>
      <w:r>
        <w:rPr>
          <w:color w:val="000000"/>
          <w:spacing w:val="0"/>
          <w:w w:val="100"/>
          <w:position w:val="0"/>
        </w:rPr>
        <w:t>元；同时，以资本公积金向全体股东每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5</w:t>
      </w:r>
      <w:r>
        <w:rPr>
          <w:color w:val="000000"/>
          <w:spacing w:val="0"/>
          <w:w w:val="100"/>
          <w:position w:val="0"/>
        </w:rPr>
        <w:t>股。</w:t>
      </w:r>
    </w:p>
    <w:p>
      <w:pPr>
        <w:pStyle w:val="Style32"/>
        <w:keepNext w:val="0"/>
        <w:keepLines w:val="0"/>
        <w:widowControl w:val="0"/>
        <w:shd w:val="clear" w:color="auto" w:fill="auto"/>
        <w:bidi w:val="0"/>
        <w:spacing w:before="0" w:after="140" w:line="314" w:lineRule="exact"/>
        <w:ind w:left="0" w:right="0" w:firstLine="980"/>
        <w:jc w:val="left"/>
      </w:pPr>
      <w:r>
        <w:rPr>
          <w:color w:val="000000"/>
          <w:spacing w:val="0"/>
          <w:w w:val="100"/>
          <w:position w:val="0"/>
        </w:rPr>
        <w:t>公司近三年（包括本报告期）普通股现金分红情况表</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994"/>
        <w:gridCol w:w="1282"/>
        <w:gridCol w:w="1416"/>
        <w:gridCol w:w="1416"/>
        <w:gridCol w:w="1133"/>
        <w:gridCol w:w="1560"/>
        <w:gridCol w:w="1138"/>
        <w:gridCol w:w="1637"/>
      </w:tblGrid>
      <w:tr>
        <w:trPr>
          <w:trHeight w:val="1651"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分红年度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现金分红金额</w:t>
            </w:r>
          </w:p>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（含税）</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分红年度合并报 表中归属于上市 公司普通股股东</w:t>
            </w:r>
          </w:p>
          <w:p>
            <w:pPr>
              <w:pStyle w:val="Style44"/>
              <w:keepNext w:val="0"/>
              <w:keepLines w:val="0"/>
              <w:widowControl w:val="0"/>
              <w:shd w:val="clear" w:color="auto" w:fill="auto"/>
              <w:bidi w:val="0"/>
              <w:spacing w:before="0" w:after="0" w:line="312" w:lineRule="exact"/>
              <w:ind w:left="0" w:right="0" w:firstLine="340"/>
              <w:jc w:val="left"/>
            </w:pPr>
            <w:r>
              <w:rPr>
                <w:color w:val="000000"/>
                <w:spacing w:val="0"/>
                <w:w w:val="100"/>
                <w:position w:val="0"/>
              </w:rPr>
              <w:t>的净利润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3" w:lineRule="exact"/>
              <w:ind w:left="0" w:right="0" w:firstLine="0"/>
              <w:jc w:val="center"/>
            </w:pPr>
            <w:r>
              <w:rPr>
                <w:color w:val="000000"/>
                <w:spacing w:val="0"/>
                <w:w w:val="100"/>
                <w:position w:val="0"/>
              </w:rPr>
              <w:t>现金分红金额占 合并报表中归属 于上市公司普通 股股东的净利润 的比率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4" w:lineRule="exact"/>
              <w:ind w:left="0" w:right="0" w:firstLine="0"/>
              <w:jc w:val="center"/>
            </w:pPr>
            <w:r>
              <w:rPr>
                <w:color w:val="000000"/>
                <w:spacing w:val="0"/>
                <w:w w:val="100"/>
                <w:position w:val="0"/>
              </w:rPr>
              <w:t>以其他方式</w:t>
            </w:r>
          </w:p>
          <w:p>
            <w:pPr>
              <w:pStyle w:val="Style44"/>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（如回购股 份）现金分红 的金额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1" w:lineRule="exact"/>
              <w:ind w:left="0" w:right="0" w:firstLine="0"/>
              <w:jc w:val="center"/>
            </w:pPr>
            <w:r>
              <w:rPr>
                <w:color w:val="000000"/>
                <w:spacing w:val="0"/>
                <w:w w:val="100"/>
                <w:position w:val="0"/>
              </w:rPr>
              <w:t>以其他方式现金分 红金额占合并报表 中归属于上市公司 普通股股东的净利 润的比例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4" w:lineRule="exact"/>
              <w:ind w:left="0" w:right="0" w:firstLine="0"/>
              <w:jc w:val="center"/>
            </w:pPr>
            <w:r>
              <w:rPr>
                <w:color w:val="000000"/>
                <w:spacing w:val="0"/>
                <w:w w:val="100"/>
                <w:position w:val="0"/>
              </w:rPr>
              <w:t>现金分红总 额（含其他方 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现金分红总额（含其 他方式）占合并报表 中归属于上市公司 普通股股东的净利 润的比率</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16,730,782.04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80,368,462.37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20.82%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16,730,782.04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20.82%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9,204,722.74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43,153,626.44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9,204,722.74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21.33%</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4,430,053.69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20,423,328.33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4,430,053.69</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21.69%</w:t>
            </w:r>
          </w:p>
        </w:tc>
      </w:tr>
    </w:tbl>
    <w:p>
      <w:pPr>
        <w:pStyle w:val="Style32"/>
        <w:keepNext w:val="0"/>
        <w:keepLines w:val="0"/>
        <w:widowControl w:val="0"/>
        <w:shd w:val="clear" w:color="auto" w:fill="auto"/>
        <w:bidi w:val="0"/>
        <w:spacing w:before="0" w:after="320" w:line="346" w:lineRule="exact"/>
        <w:ind w:left="980" w:right="0" w:firstLine="0"/>
        <w:jc w:val="left"/>
      </w:pPr>
      <w:r>
        <w:rPr>
          <w:color w:val="000000"/>
          <w:spacing w:val="0"/>
          <w:w w:val="100"/>
          <w:position w:val="0"/>
        </w:rPr>
        <w:t xml:space="preserve">公司报告期内盈利且母公司可供普通股股东分配利润为正但未提出普通股现金红利分配预案 </w:t>
      </w: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7"/>
        <w:keepNext/>
        <w:keepLines/>
        <w:widowControl w:val="0"/>
        <w:shd w:val="clear" w:color="auto" w:fill="auto"/>
        <w:bidi w:val="0"/>
        <w:spacing w:before="0" w:after="320" w:line="240" w:lineRule="auto"/>
        <w:ind w:left="0" w:right="0" w:firstLine="980"/>
        <w:jc w:val="both"/>
      </w:pPr>
      <w:bookmarkStart w:id="294" w:name="bookmark294"/>
      <w:bookmarkStart w:id="295" w:name="bookmark295"/>
      <w:bookmarkStart w:id="296" w:name="bookmark296"/>
      <w:bookmarkStart w:id="297" w:name="bookmark297"/>
      <w:r>
        <w:rPr>
          <w:color w:val="000000"/>
          <w:spacing w:val="0"/>
          <w:w w:val="100"/>
          <w:position w:val="0"/>
          <w:sz w:val="24"/>
          <w:szCs w:val="24"/>
        </w:rPr>
        <w:t>二</w:t>
      </w:r>
      <w:bookmarkEnd w:id="296"/>
      <w:r>
        <w:rPr>
          <w:color w:val="000000"/>
          <w:spacing w:val="0"/>
          <w:w w:val="100"/>
          <w:position w:val="0"/>
          <w:sz w:val="24"/>
          <w:szCs w:val="24"/>
        </w:rPr>
        <w:t>、承诺事项履行情况</w:t>
      </w:r>
      <w:bookmarkEnd w:id="294"/>
      <w:bookmarkEnd w:id="295"/>
      <w:bookmarkEnd w:id="297"/>
    </w:p>
    <w:p>
      <w:pPr>
        <w:pStyle w:val="Style55"/>
        <w:keepNext/>
        <w:keepLines/>
        <w:widowControl w:val="0"/>
        <w:shd w:val="clear" w:color="auto" w:fill="auto"/>
        <w:bidi w:val="0"/>
        <w:spacing w:before="0" w:after="320" w:line="322" w:lineRule="exact"/>
        <w:ind w:left="980" w:right="0" w:firstLine="0"/>
        <w:jc w:val="both"/>
      </w:pPr>
      <w:bookmarkStart w:id="298" w:name="bookmark298"/>
      <w:bookmarkStart w:id="299" w:name="bookmark299"/>
      <w:bookmarkStart w:id="300" w:name="bookmark300"/>
      <w:bookmarkStart w:id="301" w:name="bookmark301"/>
      <w:r>
        <w:rPr>
          <w:rFonts w:ascii="Times New Roman" w:eastAsia="Times New Roman" w:hAnsi="Times New Roman" w:cs="Times New Roman"/>
          <w:color w:val="000000"/>
          <w:spacing w:val="0"/>
          <w:w w:val="100"/>
          <w:position w:val="0"/>
        </w:rPr>
        <w:t>1</w:t>
      </w:r>
      <w:bookmarkEnd w:id="300"/>
      <w:r>
        <w:rPr>
          <w:color w:val="000000"/>
          <w:spacing w:val="0"/>
          <w:w w:val="100"/>
          <w:position w:val="0"/>
        </w:rPr>
        <w:t>、公司实际控制人、股东、关联方、收购人以及公司等承诺相关方在报告期内履行完毕及截至报告期末 尚未履行完毕的承诺事项</w:t>
      </w:r>
      <w:bookmarkEnd w:id="298"/>
      <w:bookmarkEnd w:id="299"/>
      <w:bookmarkEnd w:id="301"/>
    </w:p>
    <w:p>
      <w:pPr>
        <w:pStyle w:val="Style49"/>
        <w:keepNext w:val="0"/>
        <w:keepLines w:val="0"/>
        <w:widowControl w:val="0"/>
        <w:shd w:val="clear" w:color="auto" w:fill="auto"/>
        <w:bidi w:val="0"/>
        <w:spacing w:before="0" w:after="0" w:line="240" w:lineRule="auto"/>
        <w:ind w:left="979"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1138"/>
        <w:gridCol w:w="1138"/>
        <w:gridCol w:w="706"/>
        <w:gridCol w:w="4963"/>
        <w:gridCol w:w="994"/>
        <w:gridCol w:w="850"/>
        <w:gridCol w:w="859"/>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承诺来源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承诺类 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承诺内容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承诺时间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承诺期限</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履行情况</w:t>
            </w:r>
          </w:p>
        </w:tc>
      </w:tr>
      <w:tr>
        <w:trPr>
          <w:trHeight w:val="281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9" w:lineRule="exact"/>
              <w:ind w:left="0" w:right="0" w:firstLine="0"/>
              <w:jc w:val="both"/>
            </w:pPr>
            <w:r>
              <w:rPr>
                <w:color w:val="000000"/>
                <w:spacing w:val="0"/>
                <w:w w:val="100"/>
                <w:position w:val="0"/>
              </w:rPr>
              <w:t>收购报告书 或权益变动 报告书中所 作承诺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何任晖</w:t>
            </w:r>
            <w:r>
              <w:rPr>
                <w:rFonts w:ascii="Times New Roman" w:eastAsia="Times New Roman" w:hAnsi="Times New Roman" w:cs="Times New Roman"/>
                <w:color w:val="000000"/>
                <w:spacing w:val="0"/>
                <w:w w:val="100"/>
                <w:position w:val="0"/>
              </w:rPr>
              <w:t>;</w:t>
            </w:r>
            <w:r>
              <w:rPr>
                <w:color w:val="000000"/>
                <w:spacing w:val="0"/>
                <w:w w:val="100"/>
                <w:position w:val="0"/>
              </w:rPr>
              <w:t>辽宁 国科实业有 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left"/>
            </w:pPr>
            <w:r>
              <w:rPr>
                <w:color w:val="000000"/>
                <w:spacing w:val="0"/>
                <w:w w:val="100"/>
                <w:position w:val="0"/>
              </w:rPr>
              <w:t>关于同 业竞争、 关联交 易、资金 占用方 面的承 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本次交易完成后为了避免本次重组后产生同业竞争，维护荣科 科技及股东的合法权益，信息披露义务人及其实际控制人出具 了《关于避免同业竞争的承诺函》，内容如下：</w:t>
            </w: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本公司</w:t>
            </w:r>
            <w:r>
              <w:rPr>
                <w:rFonts w:ascii="Times New Roman" w:eastAsia="Times New Roman" w:hAnsi="Times New Roman" w:cs="Times New Roman"/>
                <w:color w:val="000000"/>
                <w:spacing w:val="0"/>
                <w:w w:val="100"/>
                <w:position w:val="0"/>
              </w:rPr>
              <w:t>/</w:t>
            </w:r>
            <w:r>
              <w:rPr>
                <w:color w:val="000000"/>
                <w:spacing w:val="0"/>
                <w:w w:val="100"/>
                <w:position w:val="0"/>
              </w:rPr>
              <w:t>本人 及本公司</w:t>
            </w:r>
            <w:r>
              <w:rPr>
                <w:rFonts w:ascii="Times New Roman" w:eastAsia="Times New Roman" w:hAnsi="Times New Roman" w:cs="Times New Roman"/>
                <w:color w:val="000000"/>
                <w:spacing w:val="0"/>
                <w:w w:val="100"/>
                <w:position w:val="0"/>
              </w:rPr>
              <w:t>/</w:t>
            </w:r>
            <w:r>
              <w:rPr>
                <w:color w:val="000000"/>
                <w:spacing w:val="0"/>
                <w:w w:val="100"/>
                <w:position w:val="0"/>
              </w:rPr>
              <w:t>本人拥有实际控制权或重大影响的公司不得以任何 形式（包括但不限于在中国境内或境外自行或与他人合资、合 作）从事、参与或协助他人从事任何与荣科科技及其子公司届 时正在从事的业务有直接或间接竞争关系的经营活动，也不直 接或间接投资任何与荣科科技及其子公司届时正在从事的业务 有直接或间接竞争关系的经济实体。</w:t>
            </w: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r>
        <w:trPr>
          <w:trHeight w:val="955" w:hRule="exact"/>
        </w:trPr>
        <w:tc>
          <w:tcPr>
            <w:vMerge/>
            <w:tcBorders>
              <w:left w:val="single" w:sz="4"/>
              <w:bottom w:val="single" w:sz="4"/>
            </w:tcBorders>
            <w:shd w:val="clear" w:color="auto" w:fill="D4D4D4"/>
            <w:vAlign w:val="center"/>
          </w:tcPr>
          <w:p>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辽宁国科实 业有限公司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其他承</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诺</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信息披露义务人承诺本报告书不存在虚假记载、误导性陈述或 者重大遗漏，并对其真实性、准确性、完整性承担个别和连带 的法律责任。</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bl>
    <w:p>
      <w:pPr>
        <w:widowControl w:val="0"/>
        <w:spacing w:line="1" w:lineRule="exact"/>
      </w:pPr>
      <w:r>
        <w:br w:type="page"/>
      </w:r>
    </w:p>
    <w:tbl>
      <w:tblPr>
        <w:tblOverlap w:val="never"/>
        <w:jc w:val="left"/>
        <w:tblLayout w:type="fixed"/>
      </w:tblPr>
      <w:tblGrid>
        <w:gridCol w:w="1138"/>
        <w:gridCol w:w="1138"/>
        <w:gridCol w:w="706"/>
        <w:gridCol w:w="4963"/>
        <w:gridCol w:w="994"/>
        <w:gridCol w:w="850"/>
        <w:gridCol w:w="859"/>
      </w:tblGrid>
      <w:tr>
        <w:trPr>
          <w:trHeight w:val="3134" w:hRule="exact"/>
        </w:trPr>
        <w:tc>
          <w:tcPr>
            <w:tcBorders>
              <w:top w:val="single" w:sz="4"/>
              <w:left w:val="single" w:sz="4"/>
            </w:tcBorders>
            <w:shd w:val="clear" w:color="auto" w:fill="D4D4D4"/>
            <w:vAlign w:val="top"/>
          </w:tcPr>
          <w:p>
            <w:pPr>
              <w:framePr w:w="10646" w:h="13738" w:vSpace="365" w:wrap="notBeside" w:vAnchor="text" w:hAnchor="text" w:x="51"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color w:val="000000"/>
                <w:spacing w:val="0"/>
                <w:w w:val="100"/>
                <w:position w:val="0"/>
              </w:rPr>
              <w:t>何任晖</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both"/>
            </w:pPr>
            <w:r>
              <w:rPr>
                <w:color w:val="000000"/>
                <w:spacing w:val="0"/>
                <w:w w:val="100"/>
                <w:position w:val="0"/>
              </w:rPr>
              <w:t>其他承</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诺</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2" w:lineRule="exact"/>
              <w:ind w:left="0" w:right="0" w:firstLine="0"/>
              <w:jc w:val="both"/>
            </w:pPr>
            <w:r>
              <w:rPr>
                <w:color w:val="000000"/>
                <w:spacing w:val="0"/>
                <w:w w:val="100"/>
                <w:position w:val="0"/>
              </w:rPr>
              <w:t>本次权益变动后，上市公司的股权结构将发生变化，国科实业 将成为上市公司的第一大股东，何任晖先生将成为上市公司的 实际控制人，为保证上市公司独立性，保护上市公司的合法利 益，维护广大中小投资者的合法权益，何任晖先生出具了承诺 函：</w:t>
            </w:r>
            <w:r>
              <w:rPr>
                <w:rFonts w:ascii="Times New Roman" w:eastAsia="Times New Roman" w:hAnsi="Times New Roman" w:cs="Times New Roman"/>
                <w:color w:val="000000"/>
                <w:spacing w:val="0"/>
                <w:w w:val="100"/>
                <w:position w:val="0"/>
              </w:rPr>
              <w:t>"</w:t>
            </w:r>
            <w:r>
              <w:rPr>
                <w:color w:val="000000"/>
                <w:spacing w:val="0"/>
                <w:w w:val="100"/>
                <w:position w:val="0"/>
              </w:rPr>
              <w:t>本次交易前，荣科科技均独立于本人及本人控制的其他企 业，本次交易完成后，本人及本人控制的其他企业将继续保持 荣科科技的独立性，在业务、资产、人员、财务、机构上遵循 五分开、五独立的原则，遵守中国证券监督管理委员会有关规 定，不利用荣科科技违规提供担保，不占用荣科科技资金，不 与荣科科技形成同业竞争。</w:t>
            </w: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righ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正常履行</w:t>
            </w:r>
          </w:p>
        </w:tc>
      </w:tr>
      <w:tr>
        <w:trPr>
          <w:trHeight w:val="1651" w:hRule="exact"/>
        </w:trPr>
        <w:tc>
          <w:tcPr>
            <w:vMerge w:val="restart"/>
            <w:tcBorders>
              <w:top w:val="single" w:sz="4"/>
              <w:left w:val="single" w:sz="4"/>
            </w:tcBorders>
            <w:shd w:val="clear" w:color="auto" w:fill="D4D4D4"/>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left"/>
            </w:pPr>
            <w:r>
              <w:rPr>
                <w:color w:val="000000"/>
                <w:spacing w:val="0"/>
                <w:w w:val="100"/>
                <w:position w:val="0"/>
              </w:rPr>
              <w:t>资产重组时</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color w:val="000000"/>
                <w:spacing w:val="0"/>
                <w:w w:val="100"/>
                <w:position w:val="0"/>
              </w:rPr>
              <w:t>所作承诺</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2" w:lineRule="exact"/>
              <w:ind w:left="0" w:right="0" w:firstLine="0"/>
              <w:jc w:val="left"/>
            </w:pPr>
            <w:r>
              <w:rPr>
                <w:color w:val="000000"/>
                <w:spacing w:val="0"/>
                <w:w w:val="100"/>
                <w:position w:val="0"/>
              </w:rPr>
              <w:t>沈阳惜远石 油化工有限 公司</w:t>
            </w:r>
            <w:r>
              <w:rPr>
                <w:rFonts w:ascii="Times New Roman" w:eastAsia="Times New Roman" w:hAnsi="Times New Roman" w:cs="Times New Roman"/>
                <w:color w:val="000000"/>
                <w:spacing w:val="0"/>
                <w:w w:val="100"/>
                <w:position w:val="0"/>
              </w:rPr>
              <w:t>;</w:t>
            </w:r>
            <w:r>
              <w:rPr>
                <w:color w:val="000000"/>
                <w:spacing w:val="0"/>
                <w:w w:val="100"/>
                <w:position w:val="0"/>
              </w:rPr>
              <w:t>沈阳源 远石油化工 有限公司</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both"/>
            </w:pPr>
            <w:r>
              <w:rPr>
                <w:color w:val="000000"/>
                <w:spacing w:val="0"/>
                <w:w w:val="100"/>
                <w:position w:val="0"/>
              </w:rPr>
              <w:t>股份限</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售承诺</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本次发行股份自上市之日起十二个月内不得转让。</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03</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03</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履行完毕</w:t>
            </w:r>
          </w:p>
        </w:tc>
      </w:tr>
      <w:tr>
        <w:trPr>
          <w:trHeight w:val="1958" w:hRule="exact"/>
        </w:trPr>
        <w:tc>
          <w:tcPr>
            <w:vMerge/>
            <w:tcBorders>
              <w:left w:val="single" w:sz="4"/>
            </w:tcBorders>
            <w:shd w:val="clear" w:color="auto" w:fill="D4D4D4"/>
            <w:vAlign w:val="center"/>
          </w:tcPr>
          <w:p>
            <w:pPr>
              <w:framePr w:w="10646" w:h="13738" w:vSpace="365" w:wrap="notBeside" w:vAnchor="text" w:hAnchor="text" w:x="51" w:y="366"/>
            </w:pP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1" w:lineRule="exact"/>
              <w:ind w:left="0" w:right="0" w:firstLine="0"/>
              <w:jc w:val="left"/>
            </w:pPr>
            <w:r>
              <w:rPr>
                <w:color w:val="000000"/>
                <w:spacing w:val="0"/>
                <w:w w:val="100"/>
                <w:position w:val="0"/>
              </w:rPr>
              <w:t>宁波梅山保 税港区逐鹿 投资管理合 伙企业（有限 合伙）</w:t>
            </w:r>
            <w:r>
              <w:rPr>
                <w:color w:val="000000"/>
                <w:spacing w:val="0"/>
                <w:w w:val="100"/>
                <w:position w:val="0"/>
              </w:rPr>
              <w:t>；</w:t>
            </w:r>
            <w:r>
              <w:rPr>
                <w:color w:val="000000"/>
                <w:spacing w:val="0"/>
                <w:w w:val="100"/>
                <w:position w:val="0"/>
              </w:rPr>
              <w:t>秦毅</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color w:val="000000"/>
                <w:spacing w:val="0"/>
                <w:w w:val="100"/>
                <w:position w:val="0"/>
              </w:rPr>
              <w:t>钟小春</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80" w:line="240" w:lineRule="auto"/>
              <w:ind w:left="0" w:right="0" w:firstLine="0"/>
              <w:jc w:val="both"/>
            </w:pPr>
            <w:r>
              <w:rPr>
                <w:color w:val="000000"/>
                <w:spacing w:val="0"/>
                <w:w w:val="100"/>
                <w:position w:val="0"/>
              </w:rPr>
              <w:t>股份限</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售承诺</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3" w:lineRule="exact"/>
              <w:ind w:left="0" w:right="0" w:firstLine="0"/>
              <w:jc w:val="both"/>
            </w:pPr>
            <w:r>
              <w:rPr>
                <w:color w:val="000000"/>
                <w:spacing w:val="0"/>
                <w:w w:val="100"/>
                <w:position w:val="0"/>
              </w:rPr>
              <w:t>本人</w:t>
            </w:r>
            <w:r>
              <w:rPr>
                <w:rFonts w:ascii="Times New Roman" w:eastAsia="Times New Roman" w:hAnsi="Times New Roman" w:cs="Times New Roman"/>
                <w:color w:val="000000"/>
                <w:spacing w:val="0"/>
                <w:w w:val="100"/>
                <w:position w:val="0"/>
              </w:rPr>
              <w:t>/</w:t>
            </w:r>
            <w:r>
              <w:rPr>
                <w:color w:val="000000"/>
                <w:spacing w:val="0"/>
                <w:w w:val="100"/>
                <w:position w:val="0"/>
              </w:rPr>
              <w:t>本企业通过本次交易认购的荣科科技新增股份，自本次发 行股份上市之日起届满</w:t>
            </w:r>
            <w:r>
              <w:rPr>
                <w:rFonts w:ascii="Times New Roman" w:eastAsia="Times New Roman" w:hAnsi="Times New Roman" w:cs="Times New Roman"/>
                <w:color w:val="000000"/>
                <w:spacing w:val="0"/>
                <w:w w:val="100"/>
                <w:position w:val="0"/>
              </w:rPr>
              <w:t>36</w:t>
            </w:r>
            <w:r>
              <w:rPr>
                <w:color w:val="000000"/>
                <w:spacing w:val="0"/>
                <w:w w:val="100"/>
                <w:position w:val="0"/>
              </w:rPr>
              <w:t>个月之日和本人</w:t>
            </w:r>
            <w:r>
              <w:rPr>
                <w:rFonts w:ascii="Times New Roman" w:eastAsia="Times New Roman" w:hAnsi="Times New Roman" w:cs="Times New Roman"/>
                <w:color w:val="000000"/>
                <w:spacing w:val="0"/>
                <w:w w:val="100"/>
                <w:position w:val="0"/>
              </w:rPr>
              <w:t>/</w:t>
            </w:r>
            <w:r>
              <w:rPr>
                <w:color w:val="000000"/>
                <w:spacing w:val="0"/>
                <w:w w:val="100"/>
                <w:position w:val="0"/>
              </w:rPr>
              <w:t>本企业与荣科科技 就神州视翰利润及减值测试补偿事宜所签署协议约定的补偿义 务履行完毕之日中的较晚日之前不得转让，锁定期满后按照中 国证监会和深圳证券交易所的有关规定执行。</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09 </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04 </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正常履行</w:t>
            </w:r>
          </w:p>
        </w:tc>
      </w:tr>
      <w:tr>
        <w:trPr>
          <w:trHeight w:val="1258" w:hRule="exact"/>
        </w:trPr>
        <w:tc>
          <w:tcPr>
            <w:vMerge/>
            <w:tcBorders>
              <w:left w:val="single" w:sz="4"/>
            </w:tcBorders>
            <w:shd w:val="clear" w:color="auto" w:fill="D4D4D4"/>
            <w:vAlign w:val="center"/>
          </w:tcPr>
          <w:p>
            <w:pPr>
              <w:framePr w:w="10646" w:h="13738" w:vSpace="365" w:wrap="notBeside" w:vAnchor="text" w:hAnchor="text" w:x="51" w:y="366"/>
            </w:pP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left"/>
            </w:pPr>
            <w:r>
              <w:rPr>
                <w:color w:val="000000"/>
                <w:spacing w:val="0"/>
                <w:w w:val="100"/>
                <w:position w:val="0"/>
              </w:rPr>
              <w:t>财通基金管</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color w:val="000000"/>
                <w:spacing w:val="0"/>
                <w:w w:val="100"/>
                <w:position w:val="0"/>
              </w:rPr>
              <w:t>理有限公司</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both"/>
            </w:pPr>
            <w:r>
              <w:rPr>
                <w:color w:val="000000"/>
                <w:spacing w:val="0"/>
                <w:w w:val="100"/>
                <w:position w:val="0"/>
              </w:rPr>
              <w:t>股份限</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售承诺</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0" w:lineRule="exact"/>
              <w:ind w:left="0" w:right="0" w:firstLine="0"/>
              <w:jc w:val="both"/>
            </w:pPr>
            <w:r>
              <w:rPr>
                <w:color w:val="000000"/>
                <w:spacing w:val="0"/>
                <w:w w:val="100"/>
                <w:position w:val="0"/>
              </w:rPr>
              <w:t>发行对象认购的本次非公开发行的股份自发行结束之日起六个 月内不得转让。本次配套发行结束后，由于上市公司送股、配 股、资本公积金转增股本等原因增持的上市公司股份，亦应遵 守上述承诺。之后按中国证监会及深交所的有关规定执行。</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09 </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2021-03-0</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w:t>
            </w:r>
          </w:p>
        </w:tc>
        <w:tc>
          <w:tcPr>
            <w:tcBorders>
              <w:top w:val="single" w:sz="4"/>
              <w:left w:val="single" w:sz="4"/>
              <w:righ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正常履行</w:t>
            </w:r>
          </w:p>
        </w:tc>
      </w:tr>
      <w:tr>
        <w:trPr>
          <w:trHeight w:val="1258" w:hRule="exact"/>
        </w:trPr>
        <w:tc>
          <w:tcPr>
            <w:vMerge/>
            <w:tcBorders>
              <w:left w:val="single" w:sz="4"/>
            </w:tcBorders>
            <w:shd w:val="clear" w:color="auto" w:fill="D4D4D4"/>
            <w:vAlign w:val="center"/>
          </w:tcPr>
          <w:p>
            <w:pPr>
              <w:framePr w:w="10646" w:h="13738" w:vSpace="365" w:wrap="notBeside" w:vAnchor="text" w:hAnchor="text" w:x="51" w:y="366"/>
            </w:pP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0" w:lineRule="exact"/>
              <w:ind w:left="0" w:right="0" w:firstLine="0"/>
              <w:jc w:val="left"/>
            </w:pPr>
            <w:r>
              <w:rPr>
                <w:color w:val="000000"/>
                <w:spacing w:val="0"/>
                <w:w w:val="100"/>
                <w:position w:val="0"/>
              </w:rPr>
              <w:t>杭州乐信投 资管理有限 公司</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both"/>
            </w:pPr>
            <w:r>
              <w:rPr>
                <w:color w:val="000000"/>
                <w:spacing w:val="0"/>
                <w:w w:val="100"/>
                <w:position w:val="0"/>
              </w:rPr>
              <w:t>股份限</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售承诺</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0" w:lineRule="exact"/>
              <w:ind w:left="0" w:right="0" w:firstLine="0"/>
              <w:jc w:val="both"/>
            </w:pPr>
            <w:r>
              <w:rPr>
                <w:color w:val="000000"/>
                <w:spacing w:val="0"/>
                <w:w w:val="100"/>
                <w:position w:val="0"/>
              </w:rPr>
              <w:t>发行对象认购的本次非公开发行的股份自发行结束之日起六个 月内不得转让。本次配套发行结束后，由于上市公司送股、配 股、资本公积金转增股本等原因增持的上市公司股份，亦应遵 守上述承诺。之后按中国证监会及深交所的有关规定执行。</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09 </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2021-03-0</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w:t>
            </w:r>
          </w:p>
        </w:tc>
        <w:tc>
          <w:tcPr>
            <w:tcBorders>
              <w:top w:val="single" w:sz="4"/>
              <w:left w:val="single" w:sz="4"/>
              <w:righ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正常履行</w:t>
            </w:r>
          </w:p>
        </w:tc>
      </w:tr>
      <w:tr>
        <w:trPr>
          <w:trHeight w:val="3758" w:hRule="exact"/>
        </w:trPr>
        <w:tc>
          <w:tcPr>
            <w:vMerge/>
            <w:tcBorders>
              <w:left w:val="single" w:sz="4"/>
            </w:tcBorders>
            <w:shd w:val="clear" w:color="auto" w:fill="D4D4D4"/>
            <w:vAlign w:val="center"/>
          </w:tcPr>
          <w:p>
            <w:pPr>
              <w:framePr w:w="10646" w:h="13738" w:vSpace="365" w:wrap="notBeside" w:vAnchor="text" w:hAnchor="text" w:x="51" w:y="366"/>
            </w:pP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2" w:lineRule="exact"/>
              <w:ind w:left="0" w:right="0" w:firstLine="0"/>
              <w:jc w:val="left"/>
            </w:pPr>
            <w:r>
              <w:rPr>
                <w:color w:val="000000"/>
                <w:spacing w:val="0"/>
                <w:w w:val="100"/>
                <w:position w:val="0"/>
              </w:rPr>
              <w:t>徐州瀚举、徐 州鸿源</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both"/>
            </w:pPr>
            <w:r>
              <w:rPr>
                <w:color w:val="000000"/>
                <w:spacing w:val="0"/>
                <w:w w:val="100"/>
                <w:position w:val="0"/>
              </w:rPr>
              <w:t>股份限</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售承诺</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2" w:lineRule="exact"/>
              <w:ind w:left="0" w:right="0" w:firstLine="0"/>
              <w:jc w:val="both"/>
            </w:pPr>
            <w:r>
              <w:rPr>
                <w:color w:val="000000"/>
                <w:spacing w:val="0"/>
                <w:w w:val="100"/>
                <w:position w:val="0"/>
              </w:rPr>
              <w:t>交易对方在本次发行中所认购的股份，将根据如下约定分期解 锁：徐州瀚举、徐州鸿源承诺，通过本次交易取得的对价股份, 自股份发行上市之日起</w:t>
            </w:r>
            <w:r>
              <w:rPr>
                <w:rFonts w:ascii="Times New Roman" w:eastAsia="Times New Roman" w:hAnsi="Times New Roman" w:cs="Times New Roman"/>
                <w:color w:val="000000"/>
                <w:spacing w:val="0"/>
                <w:w w:val="100"/>
                <w:position w:val="0"/>
              </w:rPr>
              <w:t>12</w:t>
            </w:r>
            <w:r>
              <w:rPr>
                <w:color w:val="000000"/>
                <w:spacing w:val="0"/>
                <w:w w:val="100"/>
                <w:position w:val="0"/>
              </w:rPr>
              <w:t>个月内不得转让；自该等股份发行上 市之日</w:t>
            </w:r>
            <w:r>
              <w:rPr>
                <w:rFonts w:ascii="Times New Roman" w:eastAsia="Times New Roman" w:hAnsi="Times New Roman" w:cs="Times New Roman"/>
                <w:color w:val="000000"/>
                <w:spacing w:val="0"/>
                <w:w w:val="100"/>
                <w:position w:val="0"/>
              </w:rPr>
              <w:t>12</w:t>
            </w:r>
            <w:r>
              <w:rPr>
                <w:color w:val="000000"/>
                <w:spacing w:val="0"/>
                <w:w w:val="100"/>
                <w:position w:val="0"/>
              </w:rPr>
              <w:t>个月后至</w:t>
            </w:r>
            <w:r>
              <w:rPr>
                <w:rFonts w:ascii="Times New Roman" w:eastAsia="Times New Roman" w:hAnsi="Times New Roman" w:cs="Times New Roman"/>
                <w:color w:val="000000"/>
                <w:spacing w:val="0"/>
                <w:w w:val="100"/>
                <w:position w:val="0"/>
              </w:rPr>
              <w:t>24</w:t>
            </w:r>
            <w:r>
              <w:rPr>
                <w:color w:val="000000"/>
                <w:spacing w:val="0"/>
                <w:w w:val="100"/>
                <w:position w:val="0"/>
              </w:rPr>
              <w:t>个月内（且</w:t>
            </w:r>
            <w:r>
              <w:rPr>
                <w:rFonts w:ascii="Times New Roman" w:eastAsia="Times New Roman" w:hAnsi="Times New Roman" w:cs="Times New Roman"/>
                <w:color w:val="000000"/>
                <w:spacing w:val="0"/>
                <w:w w:val="100"/>
                <w:position w:val="0"/>
              </w:rPr>
              <w:t>2019</w:t>
            </w:r>
            <w:r>
              <w:rPr>
                <w:color w:val="000000"/>
                <w:spacing w:val="0"/>
                <w:w w:val="100"/>
                <w:position w:val="0"/>
              </w:rPr>
              <w:t>年度实现净利润的《专 项审核报告》出具后），累计可转让的股份数不超过其在本次交 易中获得的上市公司股份数的</w:t>
            </w:r>
            <w:r>
              <w:rPr>
                <w:rFonts w:ascii="Times New Roman" w:eastAsia="Times New Roman" w:hAnsi="Times New Roman" w:cs="Times New Roman"/>
                <w:color w:val="000000"/>
                <w:spacing w:val="0"/>
                <w:w w:val="100"/>
                <w:position w:val="0"/>
              </w:rPr>
              <w:t xml:space="preserve">10% </w:t>
            </w:r>
            <w:r>
              <w:rPr>
                <w:color w:val="000000"/>
                <w:spacing w:val="0"/>
                <w:w w:val="100"/>
                <w:position w:val="0"/>
              </w:rPr>
              <w:t xml:space="preserve">；自该等股份发行上市之日 </w:t>
            </w:r>
            <w:r>
              <w:rPr>
                <w:rFonts w:ascii="Times New Roman" w:eastAsia="Times New Roman" w:hAnsi="Times New Roman" w:cs="Times New Roman"/>
                <w:color w:val="000000"/>
                <w:spacing w:val="0"/>
                <w:w w:val="100"/>
                <w:position w:val="0"/>
              </w:rPr>
              <w:t>24</w:t>
            </w:r>
            <w:r>
              <w:rPr>
                <w:color w:val="000000"/>
                <w:spacing w:val="0"/>
                <w:w w:val="100"/>
                <w:position w:val="0"/>
              </w:rPr>
              <w:t>个月后至</w:t>
            </w:r>
            <w:r>
              <w:rPr>
                <w:rFonts w:ascii="Times New Roman" w:eastAsia="Times New Roman" w:hAnsi="Times New Roman" w:cs="Times New Roman"/>
                <w:color w:val="000000"/>
                <w:spacing w:val="0"/>
                <w:w w:val="100"/>
                <w:position w:val="0"/>
              </w:rPr>
              <w:t>36</w:t>
            </w:r>
            <w:r>
              <w:rPr>
                <w:color w:val="000000"/>
                <w:spacing w:val="0"/>
                <w:w w:val="100"/>
                <w:position w:val="0"/>
              </w:rPr>
              <w:t>个月内（且</w:t>
            </w:r>
            <w:r>
              <w:rPr>
                <w:rFonts w:ascii="Times New Roman" w:eastAsia="Times New Roman" w:hAnsi="Times New Roman" w:cs="Times New Roman"/>
                <w:color w:val="000000"/>
                <w:spacing w:val="0"/>
                <w:w w:val="100"/>
                <w:position w:val="0"/>
              </w:rPr>
              <w:t>2020</w:t>
            </w:r>
            <w:r>
              <w:rPr>
                <w:color w:val="000000"/>
                <w:spacing w:val="0"/>
                <w:w w:val="100"/>
                <w:position w:val="0"/>
              </w:rPr>
              <w:t>年度实现净利润的《专项审核 报告》出具后），累计可转让的股份数不超过其在本次交易中获 得的上市公司股份数的</w:t>
            </w:r>
            <w:r>
              <w:rPr>
                <w:rFonts w:ascii="Times New Roman" w:eastAsia="Times New Roman" w:hAnsi="Times New Roman" w:cs="Times New Roman"/>
                <w:color w:val="000000"/>
                <w:spacing w:val="0"/>
                <w:w w:val="100"/>
                <w:position w:val="0"/>
              </w:rPr>
              <w:t>20%</w:t>
            </w:r>
            <w:r>
              <w:rPr>
                <w:color w:val="000000"/>
                <w:spacing w:val="0"/>
                <w:w w:val="100"/>
                <w:position w:val="0"/>
              </w:rPr>
              <w:t>；自该等股份发行上市之日</w:t>
            </w:r>
            <w:r>
              <w:rPr>
                <w:rFonts w:ascii="Times New Roman" w:eastAsia="Times New Roman" w:hAnsi="Times New Roman" w:cs="Times New Roman"/>
                <w:color w:val="000000"/>
                <w:spacing w:val="0"/>
                <w:w w:val="100"/>
                <w:position w:val="0"/>
              </w:rPr>
              <w:t>36</w:t>
            </w:r>
            <w:r>
              <w:rPr>
                <w:color w:val="000000"/>
                <w:spacing w:val="0"/>
                <w:w w:val="100"/>
                <w:position w:val="0"/>
              </w:rPr>
              <w:t>个月 后（且</w:t>
            </w:r>
            <w:r>
              <w:rPr>
                <w:rFonts w:ascii="Times New Roman" w:eastAsia="Times New Roman" w:hAnsi="Times New Roman" w:cs="Times New Roman"/>
                <w:color w:val="000000"/>
                <w:spacing w:val="0"/>
                <w:w w:val="100"/>
                <w:position w:val="0"/>
              </w:rPr>
              <w:t>2021</w:t>
            </w:r>
            <w:r>
              <w:rPr>
                <w:color w:val="000000"/>
                <w:spacing w:val="0"/>
                <w:w w:val="100"/>
                <w:position w:val="0"/>
              </w:rPr>
              <w:t>年度实现净利润的《专项审核报告》以及业绩承诺 期满后的《减值测试报告》出具后），其因本次交易获得的上市 公司股份中仍未解锁的部分可一次性解除锁定。</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2023-03-2</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p>
        </w:tc>
        <w:tc>
          <w:tcPr>
            <w:tcBorders>
              <w:top w:val="single" w:sz="4"/>
              <w:left w:val="single" w:sz="4"/>
              <w:righ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正常履行</w:t>
            </w:r>
          </w:p>
        </w:tc>
      </w:tr>
      <w:tr>
        <w:trPr>
          <w:trHeight w:val="720" w:hRule="exact"/>
        </w:trPr>
        <w:tc>
          <w:tcPr>
            <w:vMerge/>
            <w:tcBorders>
              <w:left w:val="single" w:sz="4"/>
              <w:bottom w:val="single" w:sz="4"/>
            </w:tcBorders>
            <w:shd w:val="clear" w:color="auto" w:fill="D4D4D4"/>
            <w:vAlign w:val="center"/>
          </w:tcPr>
          <w:p>
            <w:pPr>
              <w:framePr w:w="10646" w:h="13738" w:vSpace="365" w:wrap="notBeside" w:vAnchor="text" w:hAnchor="text" w:x="51" w:y="366"/>
            </w:pPr>
          </w:p>
        </w:tc>
        <w:tc>
          <w:tcPr>
            <w:tcBorders>
              <w:top w:val="single" w:sz="4"/>
              <w:left w:val="single" w:sz="4"/>
              <w:bottom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07" w:lineRule="exact"/>
              <w:ind w:left="0" w:right="0" w:firstLine="0"/>
              <w:jc w:val="left"/>
            </w:pPr>
            <w:r>
              <w:rPr>
                <w:color w:val="000000"/>
                <w:spacing w:val="0"/>
                <w:w w:val="100"/>
                <w:position w:val="0"/>
              </w:rPr>
              <w:t>宁波梅山保 税港区逐鹿</w:t>
            </w:r>
          </w:p>
        </w:tc>
        <w:tc>
          <w:tcPr>
            <w:tcBorders>
              <w:top w:val="single" w:sz="4"/>
              <w:left w:val="single" w:sz="4"/>
              <w:bottom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100" w:line="240" w:lineRule="auto"/>
              <w:ind w:left="0" w:right="0" w:firstLine="0"/>
              <w:jc w:val="both"/>
            </w:pPr>
            <w:r>
              <w:rPr>
                <w:color w:val="000000"/>
                <w:spacing w:val="0"/>
                <w:w w:val="100"/>
                <w:position w:val="0"/>
              </w:rPr>
              <w:t>业绩承</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诺及补</w:t>
            </w:r>
          </w:p>
        </w:tc>
        <w:tc>
          <w:tcPr>
            <w:tcBorders>
              <w:top w:val="single" w:sz="4"/>
              <w:left w:val="single" w:sz="4"/>
              <w:bottom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302" w:lineRule="exact"/>
              <w:ind w:left="0" w:right="0" w:firstLine="0"/>
              <w:jc w:val="both"/>
            </w:pPr>
            <w:r>
              <w:rPr>
                <w:color w:val="000000"/>
                <w:spacing w:val="0"/>
                <w:w w:val="100"/>
                <w:position w:val="0"/>
              </w:rPr>
              <w:t>本次发行股份购买资产的利润补偿主体为秦毅、钟小春、逐鹿 投资利润补偿期间为</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2020</w:t>
            </w:r>
            <w:r>
              <w:rPr>
                <w:color w:val="000000"/>
                <w:spacing w:val="0"/>
                <w:w w:val="100"/>
                <w:position w:val="0"/>
              </w:rPr>
              <w:t>年，利润补偿方</w:t>
            </w:r>
          </w:p>
        </w:tc>
        <w:tc>
          <w:tcPr>
            <w:tcBorders>
              <w:top w:val="single" w:sz="4"/>
              <w:left w:val="single" w:sz="4"/>
              <w:bottom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09</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p>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44"/>
              <w:keepNext w:val="0"/>
              <w:keepLines w:val="0"/>
              <w:framePr w:w="10646" w:h="13738" w:vSpace="365" w:wrap="notBeside" w:vAnchor="text" w:hAnchor="text" w:x="51" w:y="366"/>
              <w:widowControl w:val="0"/>
              <w:shd w:val="clear" w:color="auto" w:fill="auto"/>
              <w:bidi w:val="0"/>
              <w:spacing w:before="0" w:after="0" w:line="240" w:lineRule="auto"/>
              <w:ind w:left="0" w:right="0" w:firstLine="0"/>
              <w:jc w:val="both"/>
            </w:pPr>
            <w:r>
              <w:rPr>
                <w:color w:val="000000"/>
                <w:spacing w:val="0"/>
                <w:w w:val="100"/>
                <w:position w:val="0"/>
              </w:rPr>
              <w:t>履行完毕</w:t>
            </w:r>
          </w:p>
        </w:tc>
      </w:tr>
    </w:tbl>
    <w:p>
      <w:pPr>
        <w:pStyle w:val="Style49"/>
        <w:keepNext w:val="0"/>
        <w:keepLines w:val="0"/>
        <w:framePr w:w="1291" w:h="365" w:hSpace="50" w:wrap="notBeside" w:vAnchor="text" w:hAnchor="text" w:x="1841"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r>
        <w:drawing>
          <wp:anchor distT="0" distB="0" distL="0" distR="0" simplePos="0" relativeHeight="125829419" behindDoc="0" locked="0" layoutInCell="1" allowOverlap="1">
            <wp:simplePos x="0" y="0"/>
            <wp:positionH relativeFrom="page">
              <wp:posOffset>739775</wp:posOffset>
            </wp:positionH>
            <wp:positionV relativeFrom="margin">
              <wp:posOffset>-60325</wp:posOffset>
            </wp:positionV>
            <wp:extent cx="487680" cy="237490"/>
            <wp:wrapTight wrapText="bothSides">
              <wp:wrapPolygon>
                <wp:start x="0" y="0"/>
                <wp:lineTo x="21600" y="0"/>
                <wp:lineTo x="21600" y="21600"/>
                <wp:lineTo x="0" y="21600"/>
                <wp:lineTo x="0" y="0"/>
              </wp:wrapPolygon>
            </wp:wrapTight>
            <wp:docPr id="273" name="Shape 273"/>
            <a:graphic xmlns:a="http://schemas.openxmlformats.org/drawingml/2006/main">
              <a:graphicData uri="http://schemas.openxmlformats.org/drawingml/2006/picture">
                <pic:pic xmlns:pic="http://schemas.openxmlformats.org/drawingml/2006/picture">
                  <pic:nvPicPr>
                    <pic:cNvPr id="274" name="Picture box 274"/>
                    <pic:cNvPicPr/>
                  </pic:nvPicPr>
                  <pic:blipFill>
                    <a:blip r:embed="rId129"/>
                    <a:stretch/>
                  </pic:blipFill>
                  <pic:spPr>
                    <a:xfrm>
                      <a:ext cx="487680" cy="237490"/>
                    </a:xfrm>
                    <a:prstGeom prst="rect"/>
                  </pic:spPr>
                </pic:pic>
              </a:graphicData>
            </a:graphic>
          </wp:anchor>
        </w:drawing>
      </w:r>
      <w:r>
        <w:br w:type="page"/>
      </w:r>
    </w:p>
    <w:p>
      <w:pPr>
        <w:pStyle w:val="Style49"/>
        <w:keepNext w:val="0"/>
        <w:keepLines w:val="0"/>
        <w:widowControl w:val="0"/>
        <w:shd w:val="clear" w:color="auto" w:fill="auto"/>
        <w:bidi w:val="0"/>
        <w:spacing w:before="0" w:after="0" w:line="240" w:lineRule="auto"/>
        <w:ind w:left="1133" w:right="0" w:firstLine="0"/>
        <w:jc w:val="left"/>
        <w:rPr>
          <w:sz w:val="15"/>
          <w:szCs w:val="15"/>
        </w:rPr>
      </w:pPr>
      <w:r>
        <w:rPr>
          <w:rFonts w:ascii="SimHei" w:eastAsia="SimHei" w:hAnsi="SimHei" w:cs="SimHei"/>
          <w:color w:val="245994"/>
          <w:spacing w:val="0"/>
          <w:w w:val="100"/>
          <w:position w:val="0"/>
          <w:sz w:val="30"/>
          <w:szCs w:val="30"/>
        </w:rPr>
        <w:t>七一</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1728" w:val="left"/>
        </w:tabs>
        <w:bidi w:val="0"/>
        <w:spacing w:before="0" w:after="0" w:line="240" w:lineRule="auto"/>
        <w:ind w:left="1133"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1138"/>
        <w:gridCol w:w="1138"/>
        <w:gridCol w:w="706"/>
        <w:gridCol w:w="4963"/>
        <w:gridCol w:w="994"/>
        <w:gridCol w:w="850"/>
        <w:gridCol w:w="859"/>
      </w:tblGrid>
      <w:tr>
        <w:trPr>
          <w:trHeight w:val="2198" w:hRule="exact"/>
        </w:trPr>
        <w:tc>
          <w:tcPr>
            <w:vMerge w:val="restart"/>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pStyle w:val="Style44"/>
              <w:keepNext w:val="0"/>
              <w:keepLines w:val="0"/>
              <w:widowControl w:val="0"/>
              <w:shd w:val="clear" w:color="auto" w:fill="auto"/>
              <w:bidi w:val="0"/>
              <w:spacing w:before="0" w:after="0" w:line="314" w:lineRule="exact"/>
              <w:ind w:left="0" w:right="0" w:firstLine="0"/>
              <w:jc w:val="left"/>
            </w:pPr>
            <w:r>
              <w:rPr>
                <w:color w:val="000000"/>
                <w:spacing w:val="0"/>
                <w:w w:val="100"/>
                <w:position w:val="0"/>
              </w:rPr>
              <w:t>投资管理合 伙企业（有限 合伙）</w:t>
            </w:r>
            <w:r>
              <w:rPr>
                <w:color w:val="000000"/>
                <w:spacing w:val="0"/>
                <w:w w:val="100"/>
                <w:position w:val="0"/>
              </w:rPr>
              <w:t>；</w:t>
            </w:r>
            <w:r>
              <w:rPr>
                <w:color w:val="000000"/>
                <w:spacing w:val="0"/>
                <w:w w:val="100"/>
                <w:position w:val="0"/>
              </w:rPr>
              <w:t>秦毅</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color w:val="000000"/>
                <w:spacing w:val="0"/>
                <w:w w:val="100"/>
                <w:position w:val="0"/>
              </w:rPr>
              <w:t>钟小春</w:t>
            </w:r>
          </w:p>
        </w:tc>
        <w:tc>
          <w:tcPr>
            <w:tcBorders>
              <w:top w:val="single" w:sz="4"/>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偿安排</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承诺，在利润补偿期间各年度标的公司净利润分别达到</w:t>
            </w:r>
            <w:r>
              <w:rPr>
                <w:rFonts w:ascii="Times New Roman" w:eastAsia="Times New Roman" w:hAnsi="Times New Roman" w:cs="Times New Roman"/>
                <w:color w:val="000000"/>
                <w:spacing w:val="0"/>
                <w:w w:val="100"/>
                <w:position w:val="0"/>
              </w:rPr>
              <w:t xml:space="preserve">2,500 </w:t>
            </w:r>
            <w:r>
              <w:rPr>
                <w:color w:val="000000"/>
                <w:spacing w:val="0"/>
                <w:w w:val="100"/>
                <w:position w:val="0"/>
              </w:rPr>
              <w:t>万元、</w:t>
            </w:r>
            <w:r>
              <w:rPr>
                <w:rFonts w:ascii="Times New Roman" w:eastAsia="Times New Roman" w:hAnsi="Times New Roman" w:cs="Times New Roman"/>
                <w:color w:val="000000"/>
                <w:spacing w:val="0"/>
                <w:w w:val="100"/>
                <w:position w:val="0"/>
              </w:rPr>
              <w:t>3,300</w:t>
            </w:r>
            <w:r>
              <w:rPr>
                <w:color w:val="000000"/>
                <w:spacing w:val="0"/>
                <w:w w:val="100"/>
                <w:position w:val="0"/>
              </w:rPr>
              <w:t>万元和</w:t>
            </w:r>
            <w:r>
              <w:rPr>
                <w:rFonts w:ascii="Times New Roman" w:eastAsia="Times New Roman" w:hAnsi="Times New Roman" w:cs="Times New Roman"/>
                <w:color w:val="000000"/>
                <w:spacing w:val="0"/>
                <w:w w:val="100"/>
                <w:position w:val="0"/>
              </w:rPr>
              <w:t>3,700</w:t>
            </w:r>
            <w:r>
              <w:rPr>
                <w:color w:val="000000"/>
                <w:spacing w:val="0"/>
                <w:w w:val="100"/>
                <w:position w:val="0"/>
              </w:rPr>
              <w:t xml:space="preserve">万元。该等净利润指经上市公司聘请 的会计师事务所审计的标的公司扣除非经常性损益后归属于母 公司所有者的净利润。详见 </w:t>
            </w:r>
            <w:r>
              <w:fldChar w:fldCharType="begin"/>
            </w:r>
            <w:r>
              <w:rPr/>
              <w:instrText> HYPERLINK "http://www.cninfo.com.cn/new/disclosure/detail?plate=szse&amp;orgId" </w:instrText>
            </w:r>
            <w:r>
              <w:fldChar w:fldCharType="separate"/>
            </w:r>
            <w:r>
              <w:rPr>
                <w:rFonts w:ascii="Times New Roman" w:eastAsia="Times New Roman" w:hAnsi="Times New Roman" w:cs="Times New Roman"/>
                <w:color w:val="000000"/>
                <w:spacing w:val="0"/>
                <w:w w:val="100"/>
                <w:position w:val="0"/>
              </w:rPr>
              <w:t>http://www.cninfo.com.cn/new/disclosure/detail?plate=szse&amp;orgId</w:t>
            </w:r>
            <w:r>
              <w:fldChar w:fldCharType="end"/>
            </w:r>
            <w:r>
              <w:rPr>
                <w:rFonts w:ascii="Times New Roman" w:eastAsia="Times New Roman" w:hAnsi="Times New Roman" w:cs="Times New Roman"/>
                <w:color w:val="000000"/>
                <w:spacing w:val="0"/>
                <w:w w:val="100"/>
                <w:position w:val="0"/>
              </w:rPr>
              <w:t xml:space="preserve"> =9900021761&amp;stockCode=300290&amp;announcementId=1203938673 &amp;announcementTime=2017-09-06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6" w:hRule="exact"/>
        </w:trPr>
        <w:tc>
          <w:tcPr>
            <w:vMerge/>
            <w:tcBorders>
              <w:left w:val="single" w:sz="4"/>
            </w:tcBorders>
            <w:shd w:val="clear" w:color="auto" w:fill="D4D4D4"/>
            <w:vAlign w:val="top"/>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徐州瀚举、徐 州鸿源、徐州 轩润、徐州东 霖及德清博 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业绩承 诺及补 偿安排</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本次交易盈利补偿期间为</w:t>
            </w:r>
            <w:r>
              <w:rPr>
                <w:rFonts w:ascii="Times New Roman" w:eastAsia="Times New Roman" w:hAnsi="Times New Roman" w:cs="Times New Roman"/>
                <w:color w:val="000000"/>
                <w:spacing w:val="0"/>
                <w:w w:val="100"/>
                <w:position w:val="0"/>
              </w:rPr>
              <w:t>2019</w:t>
            </w:r>
            <w:r>
              <w:rPr>
                <w:color w:val="000000"/>
                <w:spacing w:val="0"/>
                <w:w w:val="100"/>
                <w:position w:val="0"/>
              </w:rPr>
              <w:t>年度、</w:t>
            </w:r>
            <w:r>
              <w:rPr>
                <w:rFonts w:ascii="Times New Roman" w:eastAsia="Times New Roman" w:hAnsi="Times New Roman" w:cs="Times New Roman"/>
                <w:color w:val="000000"/>
                <w:spacing w:val="0"/>
                <w:w w:val="100"/>
                <w:position w:val="0"/>
              </w:rPr>
              <w:t>2020</w:t>
            </w:r>
            <w:r>
              <w:rPr>
                <w:color w:val="000000"/>
                <w:spacing w:val="0"/>
                <w:w w:val="100"/>
                <w:position w:val="0"/>
              </w:rPr>
              <w:t>年度、</w:t>
            </w:r>
            <w:r>
              <w:rPr>
                <w:rFonts w:ascii="Times New Roman" w:eastAsia="Times New Roman" w:hAnsi="Times New Roman" w:cs="Times New Roman"/>
                <w:color w:val="000000"/>
                <w:spacing w:val="0"/>
                <w:w w:val="100"/>
                <w:position w:val="0"/>
              </w:rPr>
              <w:t>2021</w:t>
            </w:r>
            <w:r>
              <w:rPr>
                <w:color w:val="000000"/>
                <w:spacing w:val="0"/>
                <w:w w:val="100"/>
                <w:position w:val="0"/>
              </w:rPr>
              <w:t>年度； 徐州瀚举、徐州鸿源、徐州轩润、徐州东霖及德清博御承诺， 在盈利补偿期间各年度标的公司净利润分别不低于</w:t>
            </w:r>
            <w:r>
              <w:rPr>
                <w:rFonts w:ascii="Times New Roman" w:eastAsia="Times New Roman" w:hAnsi="Times New Roman" w:cs="Times New Roman"/>
                <w:color w:val="000000"/>
                <w:spacing w:val="0"/>
                <w:w w:val="100"/>
                <w:position w:val="0"/>
              </w:rPr>
              <w:t>2,500</w:t>
            </w:r>
            <w:r>
              <w:rPr>
                <w:color w:val="000000"/>
                <w:spacing w:val="0"/>
                <w:w w:val="100"/>
                <w:position w:val="0"/>
              </w:rPr>
              <w:t>万元</w:t>
            </w:r>
          </w:p>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（含本数）、</w:t>
            </w:r>
            <w:r>
              <w:rPr>
                <w:rFonts w:ascii="Times New Roman" w:eastAsia="Times New Roman" w:hAnsi="Times New Roman" w:cs="Times New Roman"/>
                <w:color w:val="000000"/>
                <w:spacing w:val="0"/>
                <w:w w:val="100"/>
                <w:position w:val="0"/>
              </w:rPr>
              <w:t>3,000</w:t>
            </w:r>
            <w:r>
              <w:rPr>
                <w:color w:val="000000"/>
                <w:spacing w:val="0"/>
                <w:w w:val="100"/>
                <w:position w:val="0"/>
              </w:rPr>
              <w:t>万元（含本数）和</w:t>
            </w:r>
            <w:r>
              <w:rPr>
                <w:rFonts w:ascii="Times New Roman" w:eastAsia="Times New Roman" w:hAnsi="Times New Roman" w:cs="Times New Roman"/>
                <w:color w:val="000000"/>
                <w:spacing w:val="0"/>
                <w:w w:val="100"/>
                <w:position w:val="0"/>
              </w:rPr>
              <w:t>3,500</w:t>
            </w:r>
            <w:r>
              <w:rPr>
                <w:color w:val="000000"/>
                <w:spacing w:val="0"/>
                <w:w w:val="100"/>
                <w:position w:val="0"/>
              </w:rPr>
              <w:t xml:space="preserve">万元（含本数）。 详见 </w:t>
            </w:r>
            <w:r>
              <w:fldChar w:fldCharType="begin"/>
            </w:r>
            <w:r>
              <w:rPr/>
              <w:instrText> HYPERLINK "http://www.cninfo.com.cn/new/disclosure/detail?plate=szse&amp;orgId" </w:instrText>
            </w:r>
            <w:r>
              <w:fldChar w:fldCharType="separate"/>
            </w:r>
            <w:r>
              <w:rPr>
                <w:rFonts w:ascii="Times New Roman" w:eastAsia="Times New Roman" w:hAnsi="Times New Roman" w:cs="Times New Roman"/>
                <w:color w:val="000000"/>
                <w:spacing w:val="0"/>
                <w:w w:val="100"/>
                <w:position w:val="0"/>
              </w:rPr>
              <w:t>http://www.cninfo.com.cn/new/disclosure/detail?plate=szse&amp;orgId</w:t>
            </w:r>
            <w:r>
              <w:fldChar w:fldCharType="end"/>
            </w:r>
            <w:r>
              <w:rPr>
                <w:rFonts w:ascii="Times New Roman" w:eastAsia="Times New Roman" w:hAnsi="Times New Roman" w:cs="Times New Roman"/>
                <w:color w:val="000000"/>
                <w:spacing w:val="0"/>
                <w:w w:val="100"/>
                <w:position w:val="0"/>
              </w:rPr>
              <w:t xml:space="preserve"> =9900021761&amp;stockCode=300290&amp;announcementId=1206445119 &amp;announcementTime=2019-07-13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07 </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r>
        <w:trPr>
          <w:trHeight w:val="9067" w:hRule="exact"/>
        </w:trPr>
        <w:tc>
          <w:tcPr>
            <w:vMerge/>
            <w:tcBorders>
              <w:left w:val="single" w:sz="4"/>
              <w:bottom w:val="single" w:sz="4"/>
            </w:tcBorders>
            <w:shd w:val="clear" w:color="auto" w:fill="D4D4D4"/>
            <w:vAlign w:val="top"/>
          </w:tcPr>
          <w:p>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秦毅</w:t>
            </w:r>
            <w:r>
              <w:rPr>
                <w:rFonts w:ascii="Times New Roman" w:eastAsia="Times New Roman" w:hAnsi="Times New Roman" w:cs="Times New Roman"/>
                <w:color w:val="000000"/>
                <w:spacing w:val="0"/>
                <w:w w:val="100"/>
                <w:position w:val="0"/>
              </w:rPr>
              <w:t>;</w:t>
            </w:r>
            <w:r>
              <w:rPr>
                <w:color w:val="000000"/>
                <w:spacing w:val="0"/>
                <w:w w:val="100"/>
                <w:position w:val="0"/>
              </w:rPr>
              <w:t>钟小春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left"/>
            </w:pPr>
            <w:r>
              <w:rPr>
                <w:color w:val="000000"/>
                <w:spacing w:val="0"/>
                <w:w w:val="100"/>
                <w:position w:val="0"/>
              </w:rPr>
              <w:t>关于同 业竞争、 关联交 易、资金 占用方 面的承 诺</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关于同业竞争：一、本次交易完成后五年内，本人将不从事、 投资、经营或控制其他与神州视翰主营业务相同或相竞争的公 司或企业，包括但不限于独资或合资在中国开设业务与神州视 翰主营业务相同或相竞争的公司或企业，不在该类型公司、企 业内担任董事、监事及高管职务或顾问，不从该类型公司、企 业中领取任何直接或间接的现金或非现金的报酬。本人将对本 人控股、实际控制的其他企业进行监督，并行使必要的权力， 促使其遵守本承诺；二、本人保证严格遵守中国证券监督管理 委员会、证券交易所有关规章及《公司章程》等公司管理制度 的规定，与其他股东一样平等地行使股东权利、履行股东义务, 不利用交易对方的身份谋取不当利益，不损害上市公司和其他 股东的合法权益；三、如本人违反本承诺，本人保证将赔偿荣 科科技因此遭受或产生的任何损失。关于关联交易：一、截至 本承诺函出具日，本人与荣科科技及其实际控制人、董事、监 事、高级管理人员不存在关联关系；二、本次交易完成后，本 人将尽全力避免本人及本人控制的其他公司和荣科科技及其控 制的公司发生关联交易；三、在不与法律、法规、规范性文件、 荣科科技章程相抵触的前提下，若本人及本人控制的其他公司 有与荣科科技及其控制的公司发生不可避免的关联交易，本人 将严格按照法律、法规、规范性文件和荣科科技章程规定的程 序进行，确保交易按公平、公开的市场原则进行，不通过与荣 科科技及其控制的公司之间的关联关系谋求特殊利益，也不会 进行任何有损荣科科技及其他股东利益的关联交易；四、本人 保证不利用关联交易非法转移荣科科技的资金、利润，不利用 关联交易损害荣科科技及其股东的利益；五、本人将不会要求 荣科科技给予本人及本人控制的其他公司与其在任何一项市场 公平交易中给予独立第三方的条件相比更优惠的条件；六、如 违反上述承诺，并因此给荣科科技造成经济损失的，本人愿意 承担相应的赔偿责任。</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09</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bl>
    <w:p>
      <w:pPr>
        <w:widowControl w:val="0"/>
        <w:spacing w:line="1" w:lineRule="exact"/>
        <w:sectPr>
          <w:headerReference w:type="default" r:id="rId131"/>
          <w:footerReference w:type="default" r:id="rId132"/>
          <w:headerReference w:type="even" r:id="rId133"/>
          <w:footerReference w:type="even" r:id="rId134"/>
          <w:footnotePr>
            <w:pos w:val="pageBottom"/>
            <w:numFmt w:val="decimal"/>
            <w:numRestart w:val="continuous"/>
          </w:footnotePr>
          <w:pgSz w:w="11900" w:h="16840"/>
          <w:pgMar w:top="1121" w:right="1061" w:bottom="1343" w:left="92" w:header="0" w:footer="3" w:gutter="0"/>
          <w:cols w:space="720"/>
          <w:noEndnote/>
          <w:rtlGutter w:val="0"/>
          <w:docGrid w:linePitch="360"/>
        </w:sectPr>
      </w:pPr>
    </w:p>
    <w:p>
      <w:pPr>
        <w:pStyle w:val="Style49"/>
        <w:keepNext w:val="0"/>
        <w:keepLines w:val="0"/>
        <w:widowControl w:val="0"/>
        <w:shd w:val="clear" w:color="auto" w:fill="auto"/>
        <w:bidi w:val="0"/>
        <w:spacing w:before="0" w:after="0" w:line="240" w:lineRule="auto"/>
        <w:ind w:left="1133" w:right="0" w:firstLine="0"/>
        <w:jc w:val="left"/>
        <w:rPr>
          <w:sz w:val="15"/>
          <w:szCs w:val="15"/>
        </w:rPr>
      </w:pPr>
      <w:r>
        <w:rPr>
          <w:rFonts w:ascii="SimHei" w:eastAsia="SimHei" w:hAnsi="SimHei" w:cs="SimHei"/>
          <w:color w:val="245994"/>
          <w:spacing w:val="0"/>
          <w:w w:val="100"/>
          <w:position w:val="0"/>
          <w:sz w:val="30"/>
          <w:szCs w:val="30"/>
        </w:rPr>
        <w:t>七一</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1728" w:val="left"/>
        </w:tabs>
        <w:bidi w:val="0"/>
        <w:spacing w:before="0" w:after="0" w:line="240" w:lineRule="auto"/>
        <w:ind w:left="1133"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1138"/>
        <w:gridCol w:w="1138"/>
        <w:gridCol w:w="706"/>
        <w:gridCol w:w="4963"/>
        <w:gridCol w:w="994"/>
        <w:gridCol w:w="850"/>
        <w:gridCol w:w="859"/>
      </w:tblGrid>
      <w:tr>
        <w:trPr>
          <w:trHeight w:val="9686" w:hRule="exact"/>
        </w:trPr>
        <w:tc>
          <w:tcPr>
            <w:vMerge w:val="restart"/>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宁波梅山保 税港区逐鹿 投资管理合 伙企业（有限 合伙）</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1" w:lineRule="exact"/>
              <w:ind w:left="0" w:right="0" w:firstLine="0"/>
              <w:jc w:val="left"/>
            </w:pPr>
            <w:r>
              <w:rPr>
                <w:color w:val="000000"/>
                <w:spacing w:val="0"/>
                <w:w w:val="100"/>
                <w:position w:val="0"/>
              </w:rPr>
              <w:t>关于同 业竞争、 关联交 易、资金 占用方 面的承 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关于避免同业竞争：一、截至本承诺函出具之日，本企业及其 他下属全资、控股子公司及其他可实际控制企业（以下简称''本 企业及其控制的企业</w:t>
            </w:r>
            <w:r>
              <w:rPr>
                <w:rFonts w:ascii="Times New Roman" w:eastAsia="Times New Roman" w:hAnsi="Times New Roman" w:cs="Times New Roman"/>
                <w:color w:val="000000"/>
                <w:spacing w:val="0"/>
                <w:w w:val="100"/>
                <w:position w:val="0"/>
              </w:rPr>
              <w:t>"</w:t>
            </w:r>
            <w:r>
              <w:rPr>
                <w:color w:val="000000"/>
                <w:spacing w:val="0"/>
                <w:w w:val="100"/>
                <w:position w:val="0"/>
              </w:rPr>
              <w:t>）未从事与神州视翰及其下属公司相同或 相竞争的业务。二、在本次交易完成后五年内，本企业及其控 制的企业将不直接或间接从事与神州视翰及下属公司主营业务 相同或相竞争的业务，并承诺五年内不从事、投资、经营、或 控制其他与神州视翰主营业务相同或相竞争的公司或企业，包 括但不限于独资或合资在中国开设与神州视翰主营业务相同或 相竞争的公司或企业。三、本企业保证严格遵守中国证券监督 管理委员会、证券交易所有关规章及《公司章程》等公司管理 制度的规定，与其他股东一样平等地行使股东权利、履行股东 义务，不利用交易对方的身份谋取不当利益，不损害上市公司 和其他股东的合法权益。四、如本企业违反本承诺，本企业保 证将赔偿荣科科技因此遭受或产生的任何损失。关于规范关联 交易：一、截至本承诺函出具日，本企业与荣科科技及其实际 控制人、董事、监事、高级管理人员不存在关联关系；二、本 次交易完成后，本企业将尽全力避免本企业及本企业控制的其 他公司和荣科科技及其控制的公司发生关联交易；三、在不与 法律、法规、规范性文件、荣科科技章程相抵触的前提下，若 本企业及本企业控制的其他公司有与荣科科技及其控制的公司 发生不可避免的关联交易，本企业将严格按照法律、法规、规 范性文件和荣科科技章程规定的程序进行，确保交易按公平、 公开的市场原则进行，不通过与荣科科技及其控制的公司之间 的关联关系谋求特殊利益，也不会进行任何有损荣科科技及其 他股东利益的关联交易；四、本企业保证不利用关联交易非法 转移荣科科技的资金、利润，不利用关联交易损害荣科科技及 其股东的利益；五、本企业将不会要求荣科科技给予本企业及 本企业控制的其他公司与其在任何一项市场公平交易中给予独 立第三方的条件相比更优惠的条件；六、如违反上述承诺，并 因此给荣科科技造成经济损失的，本企业愿意承担相应的赔偿 责任。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09</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r>
        <w:trPr>
          <w:trHeight w:val="2275" w:hRule="exact"/>
        </w:trPr>
        <w:tc>
          <w:tcPr>
            <w:vMerge/>
            <w:tcBorders>
              <w:left w:val="single" w:sz="4"/>
            </w:tcBorders>
            <w:shd w:val="clear" w:color="auto" w:fill="D4D4D4"/>
            <w:vAlign w:val="top"/>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雷新刚</w:t>
            </w:r>
            <w:r>
              <w:rPr>
                <w:rFonts w:ascii="Times New Roman" w:eastAsia="Times New Roman" w:hAnsi="Times New Roman" w:cs="Times New Roman"/>
                <w:color w:val="000000"/>
                <w:spacing w:val="0"/>
                <w:w w:val="100"/>
                <w:position w:val="0"/>
              </w:rPr>
              <w:t>;</w:t>
            </w:r>
            <w:r>
              <w:rPr>
                <w:color w:val="000000"/>
                <w:spacing w:val="0"/>
                <w:w w:val="100"/>
                <w:position w:val="0"/>
              </w:rPr>
              <w:t>张继 武</w:t>
            </w:r>
            <w:r>
              <w:rPr>
                <w:rFonts w:ascii="Times New Roman" w:eastAsia="Times New Roman" w:hAnsi="Times New Roman" w:cs="Times New Roman"/>
                <w:color w:val="000000"/>
                <w:spacing w:val="0"/>
                <w:w w:val="100"/>
                <w:position w:val="0"/>
              </w:rPr>
              <w:t>;</w:t>
            </w:r>
            <w:r>
              <w:rPr>
                <w:color w:val="000000"/>
                <w:spacing w:val="0"/>
                <w:w w:val="100"/>
                <w:position w:val="0"/>
              </w:rPr>
              <w:t>赵达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1" w:lineRule="exact"/>
              <w:ind w:left="0" w:right="0" w:firstLine="0"/>
              <w:jc w:val="left"/>
            </w:pPr>
            <w:r>
              <w:rPr>
                <w:color w:val="000000"/>
                <w:spacing w:val="0"/>
                <w:w w:val="100"/>
                <w:position w:val="0"/>
              </w:rPr>
              <w:t>关于同 业竞争、 关联交 易、资金 占用方 面的承 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3" w:lineRule="exact"/>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乙方承诺本次交易完成后，乙方、乙方亲属、乙方控制的其他 关联方及目标公司的核心技术人员不在中国境内和境外，单独 或与他人，以任何形式（包括但不限于投资、并购、联营、合 资、合作、合伙、托管、承包或租赁经营、购买股份或参股） 直接或间接从事或参与或协助从事或参与任何与目标公司主营 业务构成或可能构成直接或间接竞争的业务或活动；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2016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r>
        <w:trPr>
          <w:trHeight w:val="1891" w:hRule="exact"/>
        </w:trPr>
        <w:tc>
          <w:tcPr>
            <w:vMerge/>
            <w:tcBorders>
              <w:left w:val="single" w:sz="4"/>
              <w:bottom w:val="single" w:sz="4"/>
            </w:tcBorders>
            <w:shd w:val="clear" w:color="auto" w:fill="D4D4D4"/>
            <w:vAlign w:val="top"/>
          </w:tcPr>
          <w:p>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雷新刚</w:t>
            </w:r>
            <w:r>
              <w:rPr>
                <w:rFonts w:ascii="Times New Roman" w:eastAsia="Times New Roman" w:hAnsi="Times New Roman" w:cs="Times New Roman"/>
                <w:color w:val="000000"/>
                <w:spacing w:val="0"/>
                <w:w w:val="100"/>
                <w:position w:val="0"/>
              </w:rPr>
              <w:t>;</w:t>
            </w:r>
            <w:r>
              <w:rPr>
                <w:color w:val="000000"/>
                <w:spacing w:val="0"/>
                <w:w w:val="100"/>
                <w:position w:val="0"/>
              </w:rPr>
              <w:t>张继 武</w:t>
            </w:r>
            <w:r>
              <w:rPr>
                <w:rFonts w:ascii="Times New Roman" w:eastAsia="Times New Roman" w:hAnsi="Times New Roman" w:cs="Times New Roman"/>
                <w:color w:val="000000"/>
                <w:spacing w:val="0"/>
                <w:w w:val="100"/>
                <w:position w:val="0"/>
              </w:rPr>
              <w:t>;</w:t>
            </w:r>
            <w:r>
              <w:rPr>
                <w:color w:val="000000"/>
                <w:spacing w:val="0"/>
                <w:w w:val="100"/>
                <w:position w:val="0"/>
              </w:rPr>
              <w:t>赵达</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其他承</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诺</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tabs>
                <w:tab w:pos="283" w:val="left"/>
              </w:tabs>
              <w:bidi w:val="0"/>
              <w:spacing w:before="0" w:after="0" w:line="316"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乙方承诺其提供给甲方的目标公司资料真实、准确、完整， 不存在虚假陈述及遗漏，目标公司不存在未披露的负债和责任；</w:t>
            </w:r>
          </w:p>
          <w:p>
            <w:pPr>
              <w:pStyle w:val="Style44"/>
              <w:keepNext w:val="0"/>
              <w:keepLines w:val="0"/>
              <w:widowControl w:val="0"/>
              <w:shd w:val="clear" w:color="auto" w:fill="auto"/>
              <w:tabs>
                <w:tab w:pos="278" w:val="left"/>
              </w:tabs>
              <w:bidi w:val="0"/>
              <w:spacing w:before="0" w:after="0" w:line="316"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乙方保证未签署任何与《股权转让框架协议》的内容冲突的 合同或协议，并不向任何第三方转让该协议项下的权利及义务。 乙方保证其签署及履行该协议，未违反现行法律或其作为一方 主体的已签署并生效的合同、协议或其他义务；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2016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bl>
    <w:p>
      <w:pPr>
        <w:widowControl w:val="0"/>
        <w:spacing w:line="1" w:lineRule="exact"/>
      </w:pPr>
      <w:r>
        <w:br w:type="page"/>
      </w:r>
    </w:p>
    <w:p>
      <w:pPr>
        <w:pStyle w:val="Style49"/>
        <w:keepNext w:val="0"/>
        <w:keepLines w:val="0"/>
        <w:widowControl w:val="0"/>
        <w:shd w:val="clear" w:color="auto" w:fill="auto"/>
        <w:bidi w:val="0"/>
        <w:spacing w:before="0" w:after="0" w:line="240" w:lineRule="auto"/>
        <w:ind w:left="1133" w:right="0" w:firstLine="0"/>
        <w:jc w:val="left"/>
        <w:rPr>
          <w:sz w:val="15"/>
          <w:szCs w:val="15"/>
        </w:rPr>
      </w:pPr>
      <w:r>
        <w:rPr>
          <w:rFonts w:ascii="SimHei" w:eastAsia="SimHei" w:hAnsi="SimHei" w:cs="SimHei"/>
          <w:color w:val="245994"/>
          <w:spacing w:val="0"/>
          <w:w w:val="100"/>
          <w:position w:val="0"/>
          <w:sz w:val="30"/>
          <w:szCs w:val="30"/>
        </w:rPr>
        <w:t>七一</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1728" w:val="left"/>
        </w:tabs>
        <w:bidi w:val="0"/>
        <w:spacing w:before="0" w:after="0" w:line="240" w:lineRule="auto"/>
        <w:ind w:left="1133"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1138"/>
        <w:gridCol w:w="1138"/>
        <w:gridCol w:w="706"/>
        <w:gridCol w:w="4963"/>
        <w:gridCol w:w="994"/>
        <w:gridCol w:w="850"/>
        <w:gridCol w:w="859"/>
      </w:tblGrid>
      <w:tr>
        <w:trPr>
          <w:trHeight w:val="11246"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首次公开发 行或再融资 时所作承诺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崔万涛</w:t>
            </w:r>
            <w:r>
              <w:rPr>
                <w:rFonts w:ascii="Times New Roman" w:eastAsia="Times New Roman" w:hAnsi="Times New Roman" w:cs="Times New Roman"/>
                <w:color w:val="000000"/>
                <w:spacing w:val="0"/>
                <w:w w:val="100"/>
                <w:position w:val="0"/>
              </w:rPr>
              <w:t>;</w:t>
            </w:r>
            <w:r>
              <w:rPr>
                <w:color w:val="000000"/>
                <w:spacing w:val="0"/>
                <w:w w:val="100"/>
                <w:position w:val="0"/>
              </w:rPr>
              <w:t>崔万 田</w:t>
            </w:r>
            <w:r>
              <w:rPr>
                <w:rFonts w:ascii="Times New Roman" w:eastAsia="Times New Roman" w:hAnsi="Times New Roman" w:cs="Times New Roman"/>
                <w:color w:val="000000"/>
                <w:spacing w:val="0"/>
                <w:w w:val="100"/>
                <w:position w:val="0"/>
              </w:rPr>
              <w:t>;</w:t>
            </w:r>
            <w:r>
              <w:rPr>
                <w:color w:val="000000"/>
                <w:spacing w:val="0"/>
                <w:w w:val="100"/>
                <w:position w:val="0"/>
              </w:rPr>
              <w:t>付艳杰</w:t>
            </w:r>
            <w:r>
              <w:rPr>
                <w:rFonts w:ascii="Times New Roman" w:eastAsia="Times New Roman" w:hAnsi="Times New Roman" w:cs="Times New Roman"/>
                <w:color w:val="000000"/>
                <w:spacing w:val="0"/>
                <w:w w:val="100"/>
                <w:position w:val="0"/>
              </w:rPr>
              <w:t>;</w:t>
            </w:r>
            <w:r>
              <w:rPr>
                <w:color w:val="000000"/>
                <w:spacing w:val="0"/>
                <w:w w:val="100"/>
                <w:position w:val="0"/>
              </w:rPr>
              <w:t>付 永全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left"/>
            </w:pPr>
            <w:r>
              <w:rPr>
                <w:color w:val="000000"/>
                <w:spacing w:val="0"/>
                <w:w w:val="100"/>
                <w:position w:val="0"/>
              </w:rPr>
              <w:t>股东一 致行动 承诺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、实际控制人一致行动：</w:t>
            </w:r>
            <w:r>
              <w:rPr>
                <w:rFonts w:ascii="Times New Roman" w:eastAsia="Times New Roman" w:hAnsi="Times New Roman" w:cs="Times New Roman"/>
                <w:color w:val="000000"/>
                <w:spacing w:val="0"/>
                <w:w w:val="100"/>
                <w:position w:val="0"/>
              </w:rPr>
              <w:t>2010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日，付艳杰和崔万 涛签署《实际控制人一致行动协议》。主要约定如下：（</w:t>
            </w:r>
            <w:r>
              <w:rPr>
                <w:rFonts w:ascii="Times New Roman" w:eastAsia="Times New Roman" w:hAnsi="Times New Roman" w:cs="Times New Roman"/>
                <w:color w:val="000000"/>
                <w:spacing w:val="0"/>
                <w:w w:val="100"/>
                <w:position w:val="0"/>
              </w:rPr>
              <w:t>1</w:t>
            </w:r>
            <w:r>
              <w:rPr>
                <w:color w:val="000000"/>
                <w:spacing w:val="0"/>
                <w:w w:val="100"/>
                <w:position w:val="0"/>
              </w:rPr>
              <w:t>）在不 违背法律法规、公司章程，不损害公司、股东和债权人利益的 情况下，凡涉及股份公司重大经营决策事项，双方须先行协商 统一意见，再行在股份公司各级会议上按协商结果发表意见。</w:t>
            </w:r>
          </w:p>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）在股东大会、董事会就审议事项表决时，双方应根据事先 协商确定的一致意见对议案进行投票。（</w:t>
            </w:r>
            <w:r>
              <w:rPr>
                <w:rFonts w:ascii="Times New Roman" w:eastAsia="Times New Roman" w:hAnsi="Times New Roman" w:cs="Times New Roman"/>
                <w:color w:val="000000"/>
                <w:spacing w:val="0"/>
                <w:w w:val="100"/>
                <w:position w:val="0"/>
              </w:rPr>
              <w:t>3</w:t>
            </w:r>
            <w:r>
              <w:rPr>
                <w:color w:val="000000"/>
                <w:spacing w:val="0"/>
                <w:w w:val="100"/>
                <w:position w:val="0"/>
              </w:rPr>
              <w:t>）在为股份公司共同 实际控制人期间，发生董事换届时，付艳杰需继续提名付艳杰、 付永全担任股份公司的董事；崔万涛需继续提名崔万涛、崔万 田担任股份公司的董事。</w:t>
            </w:r>
            <w:r>
              <w:rPr>
                <w:rFonts w:ascii="Times New Roman" w:eastAsia="Times New Roman" w:hAnsi="Times New Roman" w:cs="Times New Roman"/>
                <w:color w:val="000000"/>
                <w:spacing w:val="0"/>
                <w:w w:val="100"/>
                <w:position w:val="0"/>
              </w:rPr>
              <w:t>2</w:t>
            </w:r>
            <w:r>
              <w:rPr>
                <w:color w:val="000000"/>
                <w:spacing w:val="0"/>
                <w:w w:val="100"/>
                <w:position w:val="0"/>
              </w:rPr>
              <w:t>、付永全作出特别承诺：</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 xml:space="preserve">3 </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日，作为公司董事和总经理的付永全作出特别承诺。主要 内容如下：（</w:t>
            </w:r>
            <w:r>
              <w:rPr>
                <w:rFonts w:ascii="Times New Roman" w:eastAsia="Times New Roman" w:hAnsi="Times New Roman" w:cs="Times New Roman"/>
                <w:color w:val="000000"/>
                <w:spacing w:val="0"/>
                <w:w w:val="100"/>
                <w:position w:val="0"/>
              </w:rPr>
              <w:t>1</w:t>
            </w:r>
            <w:r>
              <w:rPr>
                <w:color w:val="000000"/>
                <w:spacing w:val="0"/>
                <w:w w:val="100"/>
                <w:position w:val="0"/>
              </w:rPr>
              <w:t>）在付艳杰、崔万涛担任股份公司的控股股东、 共同实际控制人期间，除非不具备《公司法》中规定的担任公 司董事、高级管理人员的任职资格，否则接受付艳杰、崔万涛 的提名担任公司的董事，并接受公司聘任担任总经理。（</w:t>
            </w:r>
            <w:r>
              <w:rPr>
                <w:rFonts w:ascii="Times New Roman" w:eastAsia="Times New Roman" w:hAnsi="Times New Roman" w:cs="Times New Roman"/>
                <w:color w:val="000000"/>
                <w:spacing w:val="0"/>
                <w:w w:val="100"/>
                <w:position w:val="0"/>
              </w:rPr>
              <w:t>2</w:t>
            </w:r>
            <w:r>
              <w:rPr>
                <w:color w:val="000000"/>
                <w:spacing w:val="0"/>
                <w:w w:val="100"/>
                <w:position w:val="0"/>
              </w:rPr>
              <w:t>）在 担任股份公司董事和总经理期间，将按照《公司法》和《公司 章程》规定的履行忠实义务和勤勉义务。不以任何方式从事， 包括与他人合作、直接或间接从事与公司相同、相似或在任何 方面构成竞争的业务。不投资控股于业务与公司相同、相似或 在任何方面构成竞争的公司、企业或其他机构、组织。（</w:t>
            </w:r>
            <w:r>
              <w:rPr>
                <w:rFonts w:ascii="Times New Roman" w:eastAsia="Times New Roman" w:hAnsi="Times New Roman" w:cs="Times New Roman"/>
                <w:color w:val="000000"/>
                <w:spacing w:val="0"/>
                <w:w w:val="100"/>
                <w:position w:val="0"/>
              </w:rPr>
              <w:t>3</w:t>
            </w:r>
            <w:r>
              <w:rPr>
                <w:color w:val="000000"/>
                <w:spacing w:val="0"/>
                <w:w w:val="100"/>
                <w:position w:val="0"/>
              </w:rPr>
              <w:t>）若 通过任何合法方式获得公司股份，将比照针对上市公司实际控 制人的相关要求，履行相应的股票禁售及限售义务。</w:t>
            </w:r>
            <w:r>
              <w:rPr>
                <w:rFonts w:ascii="Times New Roman" w:eastAsia="Times New Roman" w:hAnsi="Times New Roman" w:cs="Times New Roman"/>
                <w:color w:val="000000"/>
                <w:spacing w:val="0"/>
                <w:w w:val="100"/>
                <w:position w:val="0"/>
              </w:rPr>
              <w:t>3</w:t>
            </w:r>
            <w:r>
              <w:rPr>
                <w:color w:val="000000"/>
                <w:spacing w:val="0"/>
                <w:w w:val="100"/>
                <w:position w:val="0"/>
              </w:rPr>
              <w:t>、</w:t>
            </w:r>
            <w:r>
              <w:rPr>
                <w:rFonts w:ascii="Times New Roman" w:eastAsia="Times New Roman" w:hAnsi="Times New Roman" w:cs="Times New Roman"/>
                <w:color w:val="000000"/>
                <w:spacing w:val="0"/>
                <w:w w:val="100"/>
                <w:position w:val="0"/>
              </w:rPr>
              <w:t xml:space="preserve">2011 </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日，作为公司董事的崔万田作出特别承诺。主要内容 如下：（</w:t>
            </w:r>
            <w:r>
              <w:rPr>
                <w:rFonts w:ascii="Times New Roman" w:eastAsia="Times New Roman" w:hAnsi="Times New Roman" w:cs="Times New Roman"/>
                <w:color w:val="000000"/>
                <w:spacing w:val="0"/>
                <w:w w:val="100"/>
                <w:position w:val="0"/>
              </w:rPr>
              <w:t>1</w:t>
            </w:r>
            <w:r>
              <w:rPr>
                <w:color w:val="000000"/>
                <w:spacing w:val="0"/>
                <w:w w:val="100"/>
                <w:position w:val="0"/>
              </w:rPr>
              <w:t>）在付艳杰、崔万涛担任公司控股股东、共同实际控 制人期间，除非不具备《公司法》中规定的担任公司董事的任 职资格，否则接受付艳杰、崔万涛的提名担任公司的董事。（</w:t>
            </w:r>
            <w:r>
              <w:rPr>
                <w:rFonts w:ascii="Times New Roman" w:eastAsia="Times New Roman" w:hAnsi="Times New Roman" w:cs="Times New Roman"/>
                <w:color w:val="000000"/>
                <w:spacing w:val="0"/>
                <w:w w:val="100"/>
                <w:position w:val="0"/>
              </w:rPr>
              <w:t>2</w:t>
            </w:r>
            <w:r>
              <w:rPr>
                <w:color w:val="000000"/>
                <w:spacing w:val="0"/>
                <w:w w:val="100"/>
                <w:position w:val="0"/>
              </w:rPr>
              <w:t>） 在担任股份公司董事期间，将按照《公司法》和《公司章程》 规定的履行忠实义务和勤勉义务。不以任何方式从事，包括与 他人合作、直接或间接从事与公司相同、相似或在任何方面构 成竞争的业务。不投资控股于业务与公司相同、相似或在任何 方面构成竞争的公司、企业或其他机构、组织。（</w:t>
            </w:r>
            <w:r>
              <w:rPr>
                <w:rFonts w:ascii="Times New Roman" w:eastAsia="Times New Roman" w:hAnsi="Times New Roman" w:cs="Times New Roman"/>
                <w:color w:val="000000"/>
                <w:spacing w:val="0"/>
                <w:w w:val="100"/>
                <w:position w:val="0"/>
              </w:rPr>
              <w:t>3</w:t>
            </w:r>
            <w:r>
              <w:rPr>
                <w:color w:val="000000"/>
                <w:spacing w:val="0"/>
                <w:w w:val="100"/>
                <w:position w:val="0"/>
              </w:rPr>
              <w:t>）若通过任 何合法方式获得公司股份，将比照针对上市公司实际控制人的 相关要求，履行相应的股票禁售及限售义务。以上承诺事项已 经于</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日到期履行完毕。以上承诺事项已经于</w:t>
            </w:r>
            <w:r>
              <w:rPr>
                <w:rFonts w:ascii="Times New Roman" w:eastAsia="Times New Roman" w:hAnsi="Times New Roman" w:cs="Times New Roman"/>
                <w:color w:val="000000"/>
                <w:spacing w:val="0"/>
                <w:w w:val="100"/>
                <w:position w:val="0"/>
              </w:rPr>
              <w:t xml:space="preserve">2015 </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日到期履行完毕。付艳杰、崔万涛于</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 xml:space="preserve">15 </w:t>
            </w:r>
            <w:r>
              <w:rPr>
                <w:color w:val="000000"/>
                <w:spacing w:val="0"/>
                <w:w w:val="100"/>
                <w:position w:val="0"/>
              </w:rPr>
              <w:t>日续签《一致行动协议》，至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日止。</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2015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02 </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02</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履行完毕</w:t>
            </w:r>
          </w:p>
        </w:tc>
      </w:tr>
      <w:tr>
        <w:trPr>
          <w:trHeight w:val="2515" w:hRule="exact"/>
        </w:trPr>
        <w:tc>
          <w:tcPr>
            <w:vMerge/>
            <w:tcBorders>
              <w:left w:val="single" w:sz="4"/>
              <w:bottom w:val="single" w:sz="4"/>
            </w:tcBorders>
            <w:shd w:val="clear" w:color="auto" w:fill="D4D4D4"/>
            <w:vAlign w:val="center"/>
          </w:tcPr>
          <w:p>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崔万涛</w:t>
            </w:r>
            <w:r>
              <w:rPr>
                <w:rFonts w:ascii="Times New Roman" w:eastAsia="Times New Roman" w:hAnsi="Times New Roman" w:cs="Times New Roman"/>
                <w:color w:val="000000"/>
                <w:spacing w:val="0"/>
                <w:w w:val="100"/>
                <w:position w:val="0"/>
              </w:rPr>
              <w:t>;</w:t>
            </w:r>
            <w:r>
              <w:rPr>
                <w:color w:val="000000"/>
                <w:spacing w:val="0"/>
                <w:w w:val="100"/>
                <w:position w:val="0"/>
              </w:rPr>
              <w:t>付艳</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杰</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1" w:lineRule="exact"/>
              <w:ind w:left="0" w:right="0" w:firstLine="0"/>
              <w:jc w:val="left"/>
            </w:pPr>
            <w:r>
              <w:rPr>
                <w:color w:val="000000"/>
                <w:spacing w:val="0"/>
                <w:w w:val="100"/>
                <w:position w:val="0"/>
              </w:rPr>
              <w:t>关于同 业竞争、 关联交 易、资金 占用方 面的承 诺</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一、关于同业竞争：为避免损害股份公司及其他股东利益，控 股股东、实际控制人付艳杰女士、和崔万涛先生向本公司及全 体股东出具了《避免同业竞争承诺函》。付艳杰女士承诺内容如 下：</w:t>
            </w:r>
            <w:r>
              <w:rPr>
                <w:rFonts w:ascii="Times New Roman" w:eastAsia="Times New Roman" w:hAnsi="Times New Roman" w:cs="Times New Roman"/>
                <w:color w:val="000000"/>
                <w:spacing w:val="0"/>
                <w:w w:val="100"/>
                <w:position w:val="0"/>
              </w:rPr>
              <w:t>"1</w:t>
            </w:r>
            <w:r>
              <w:rPr>
                <w:color w:val="000000"/>
                <w:spacing w:val="0"/>
                <w:w w:val="100"/>
                <w:position w:val="0"/>
              </w:rPr>
              <w:t>、本人为荣科科技股份有限公司（以下简称</w:t>
            </w:r>
            <w:r>
              <w:rPr>
                <w:rFonts w:ascii="Times New Roman" w:eastAsia="Times New Roman" w:hAnsi="Times New Roman" w:cs="Times New Roman"/>
                <w:color w:val="000000"/>
                <w:spacing w:val="0"/>
                <w:w w:val="100"/>
                <w:position w:val="0"/>
              </w:rPr>
              <w:t>"</w:t>
            </w:r>
            <w:r>
              <w:rPr>
                <w:color w:val="000000"/>
                <w:spacing w:val="0"/>
                <w:w w:val="100"/>
                <w:position w:val="0"/>
              </w:rPr>
              <w:t>公司</w:t>
            </w:r>
            <w:r>
              <w:rPr>
                <w:rFonts w:ascii="Times New Roman" w:eastAsia="Times New Roman" w:hAnsi="Times New Roman" w:cs="Times New Roman"/>
                <w:color w:val="000000"/>
                <w:spacing w:val="0"/>
                <w:w w:val="100"/>
                <w:position w:val="0"/>
              </w:rPr>
              <w:t>"</w:t>
            </w:r>
            <w:r>
              <w:rPr>
                <w:color w:val="000000"/>
                <w:spacing w:val="0"/>
                <w:w w:val="100"/>
                <w:position w:val="0"/>
              </w:rPr>
              <w:t>）共同 实际控制人之一，除公司外，本人没有其他控制的企业及参股 的企业。本人承诺本人</w:t>
            </w:r>
            <w:r>
              <w:rPr>
                <w:color w:val="000000"/>
                <w:spacing w:val="0"/>
                <w:w w:val="100"/>
                <w:position w:val="0"/>
              </w:rPr>
              <w:t>（</w:t>
            </w:r>
            <w:r>
              <w:rPr>
                <w:color w:val="000000"/>
                <w:spacing w:val="0"/>
                <w:w w:val="100"/>
                <w:position w:val="0"/>
              </w:rPr>
              <w:t>包括其他关联企业，下同</w:t>
            </w:r>
            <w:r>
              <w:rPr>
                <w:color w:val="000000"/>
                <w:spacing w:val="0"/>
                <w:w w:val="100"/>
                <w:position w:val="0"/>
              </w:rPr>
              <w:t>）</w:t>
            </w:r>
            <w:r>
              <w:rPr>
                <w:color w:val="000000"/>
                <w:spacing w:val="0"/>
                <w:w w:val="100"/>
                <w:position w:val="0"/>
              </w:rPr>
              <w:t>目前未从事 与公司主营业务相同或相似的业务，与公司不构成同业竞争。</w:t>
            </w:r>
            <w:r>
              <w:rPr>
                <w:rFonts w:ascii="Times New Roman" w:eastAsia="Times New Roman" w:hAnsi="Times New Roman" w:cs="Times New Roman"/>
                <w:color w:val="000000"/>
                <w:spacing w:val="0"/>
                <w:w w:val="100"/>
                <w:position w:val="0"/>
              </w:rPr>
              <w:t>2</w:t>
            </w:r>
            <w:r>
              <w:rPr>
                <w:color w:val="000000"/>
                <w:spacing w:val="0"/>
                <w:w w:val="100"/>
                <w:position w:val="0"/>
              </w:rPr>
              <w:t>、 在本人仍为公司共同实际控制人之一期间，本人承诺：</w:t>
            </w:r>
            <w:r>
              <w:rPr>
                <w:rFonts w:ascii="Times New Roman" w:eastAsia="Times New Roman" w:hAnsi="Times New Roman" w:cs="Times New Roman"/>
                <w:color w:val="000000"/>
                <w:spacing w:val="0"/>
                <w:w w:val="100"/>
                <w:position w:val="0"/>
              </w:rPr>
              <w:t>a）</w:t>
            </w:r>
            <w:r>
              <w:rPr>
                <w:color w:val="000000"/>
                <w:spacing w:val="0"/>
                <w:w w:val="100"/>
                <w:position w:val="0"/>
              </w:rPr>
              <w:t>不以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11</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bl>
    <w:p>
      <w:pPr>
        <w:widowControl w:val="0"/>
        <w:spacing w:line="1" w:lineRule="exact"/>
      </w:pPr>
      <w:r>
        <w:br w:type="page"/>
      </w:r>
    </w:p>
    <w:p>
      <w:pPr>
        <w:pStyle w:val="Style49"/>
        <w:keepNext w:val="0"/>
        <w:keepLines w:val="0"/>
        <w:widowControl w:val="0"/>
        <w:shd w:val="clear" w:color="auto" w:fill="auto"/>
        <w:bidi w:val="0"/>
        <w:spacing w:before="0" w:after="0" w:line="240" w:lineRule="auto"/>
        <w:ind w:left="1133" w:right="0" w:firstLine="0"/>
        <w:jc w:val="left"/>
        <w:rPr>
          <w:sz w:val="15"/>
          <w:szCs w:val="15"/>
        </w:rPr>
      </w:pPr>
      <w:r>
        <w:rPr>
          <w:rFonts w:ascii="SimHei" w:eastAsia="SimHei" w:hAnsi="SimHei" w:cs="SimHei"/>
          <w:color w:val="245994"/>
          <w:spacing w:val="0"/>
          <w:w w:val="100"/>
          <w:position w:val="0"/>
          <w:sz w:val="30"/>
          <w:szCs w:val="30"/>
        </w:rPr>
        <w:t>七一</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1728" w:val="left"/>
        </w:tabs>
        <w:bidi w:val="0"/>
        <w:spacing w:before="0" w:after="0" w:line="240" w:lineRule="auto"/>
        <w:ind w:left="1133"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1138"/>
        <w:gridCol w:w="1138"/>
        <w:gridCol w:w="706"/>
        <w:gridCol w:w="4963"/>
        <w:gridCol w:w="994"/>
        <w:gridCol w:w="850"/>
        <w:gridCol w:w="859"/>
      </w:tblGrid>
      <w:tr>
        <w:trPr>
          <w:trHeight w:val="594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任何方式从事，包括与他人合作、直接或间接从事与公司相同、 相似或在任何方面构成竞争的业务；</w:t>
            </w:r>
            <w:r>
              <w:rPr>
                <w:rFonts w:ascii="Times New Roman" w:eastAsia="Times New Roman" w:hAnsi="Times New Roman" w:cs="Times New Roman"/>
                <w:color w:val="000000"/>
                <w:spacing w:val="0"/>
                <w:w w:val="100"/>
                <w:position w:val="0"/>
              </w:rPr>
              <w:t>b）</w:t>
            </w:r>
            <w:r>
              <w:rPr>
                <w:color w:val="000000"/>
                <w:spacing w:val="0"/>
                <w:w w:val="100"/>
                <w:position w:val="0"/>
              </w:rPr>
              <w:t>尽一切可能之努力使本 人其他关联企业不从事与公司相同、相似或在任何方面构成竞 争的业务；</w:t>
            </w:r>
            <w:r>
              <w:rPr>
                <w:rFonts w:ascii="Times New Roman" w:eastAsia="Times New Roman" w:hAnsi="Times New Roman" w:cs="Times New Roman"/>
                <w:color w:val="000000"/>
                <w:spacing w:val="0"/>
                <w:w w:val="100"/>
                <w:position w:val="0"/>
              </w:rPr>
              <w:t>c）</w:t>
            </w:r>
            <w:r>
              <w:rPr>
                <w:color w:val="000000"/>
                <w:spacing w:val="0"/>
                <w:w w:val="100"/>
                <w:position w:val="0"/>
              </w:rPr>
              <w:t>不投资控股于业务与公司相同、相似或在任何方 面构成竞争的公司、企业或其他机构、组织。</w:t>
            </w:r>
            <w:r>
              <w:rPr>
                <w:rFonts w:ascii="Times New Roman" w:eastAsia="Times New Roman" w:hAnsi="Times New Roman" w:cs="Times New Roman"/>
                <w:color w:val="000000"/>
                <w:spacing w:val="0"/>
                <w:w w:val="100"/>
                <w:position w:val="0"/>
              </w:rPr>
              <w:t>3</w:t>
            </w:r>
            <w:r>
              <w:rPr>
                <w:color w:val="000000"/>
                <w:spacing w:val="0"/>
                <w:w w:val="100"/>
                <w:position w:val="0"/>
              </w:rPr>
              <w:t>、如因本人违反 本承诺函而给公司造成损失的，本人同意对由此而给公司造成 的损失予以赔偿。</w:t>
            </w:r>
            <w:r>
              <w:rPr>
                <w:rFonts w:ascii="Times New Roman" w:eastAsia="Times New Roman" w:hAnsi="Times New Roman" w:cs="Times New Roman"/>
                <w:color w:val="000000"/>
                <w:spacing w:val="0"/>
                <w:w w:val="100"/>
                <w:position w:val="0"/>
              </w:rPr>
              <w:t>"</w:t>
            </w:r>
            <w:r>
              <w:rPr>
                <w:color w:val="000000"/>
                <w:spacing w:val="0"/>
                <w:w w:val="100"/>
                <w:position w:val="0"/>
              </w:rPr>
              <w:t>崔万涛先生承诺内容如下：</w:t>
            </w:r>
            <w:r>
              <w:rPr>
                <w:rFonts w:ascii="Times New Roman" w:eastAsia="Times New Roman" w:hAnsi="Times New Roman" w:cs="Times New Roman"/>
                <w:color w:val="000000"/>
                <w:spacing w:val="0"/>
                <w:w w:val="100"/>
                <w:position w:val="0"/>
              </w:rPr>
              <w:t>"1</w:t>
            </w:r>
            <w:r>
              <w:rPr>
                <w:color w:val="000000"/>
                <w:spacing w:val="0"/>
                <w:w w:val="100"/>
                <w:position w:val="0"/>
              </w:rPr>
              <w:t>、本人为荣科 科技股份有限公司（以下简称''公司</w:t>
            </w:r>
            <w:r>
              <w:rPr>
                <w:rFonts w:ascii="Times New Roman" w:eastAsia="Times New Roman" w:hAnsi="Times New Roman" w:cs="Times New Roman"/>
                <w:color w:val="000000"/>
                <w:spacing w:val="0"/>
                <w:w w:val="100"/>
                <w:position w:val="0"/>
              </w:rPr>
              <w:t>"</w:t>
            </w:r>
            <w:r>
              <w:rPr>
                <w:color w:val="000000"/>
                <w:spacing w:val="0"/>
                <w:w w:val="100"/>
                <w:position w:val="0"/>
              </w:rPr>
              <w:t>）</w:t>
            </w:r>
            <w:r>
              <w:rPr>
                <w:color w:val="000000"/>
                <w:spacing w:val="0"/>
                <w:w w:val="100"/>
                <w:position w:val="0"/>
              </w:rPr>
              <w:t>共同实际控制人之一， 除公司外，本人没有其他控制的企业、参股的企业及关联企业。 本人承诺本人目前未从事与公司主营业务相同或相似的业务， 与公司不构成同业竞争。</w:t>
            </w:r>
            <w:r>
              <w:rPr>
                <w:rFonts w:ascii="Times New Roman" w:eastAsia="Times New Roman" w:hAnsi="Times New Roman" w:cs="Times New Roman"/>
                <w:color w:val="000000"/>
                <w:spacing w:val="0"/>
                <w:w w:val="100"/>
                <w:position w:val="0"/>
              </w:rPr>
              <w:t>2</w:t>
            </w:r>
            <w:r>
              <w:rPr>
                <w:color w:val="000000"/>
                <w:spacing w:val="0"/>
                <w:w w:val="100"/>
                <w:position w:val="0"/>
              </w:rPr>
              <w:t>、在本人仍为公司共同实际控制人之 一期间，本人承诺：</w:t>
            </w:r>
            <w:r>
              <w:rPr>
                <w:rFonts w:ascii="Times New Roman" w:eastAsia="Times New Roman" w:hAnsi="Times New Roman" w:cs="Times New Roman"/>
                <w:color w:val="000000"/>
                <w:spacing w:val="0"/>
                <w:w w:val="100"/>
                <w:position w:val="0"/>
              </w:rPr>
              <w:t>a）</w:t>
            </w:r>
            <w:r>
              <w:rPr>
                <w:color w:val="000000"/>
                <w:spacing w:val="0"/>
                <w:w w:val="100"/>
                <w:position w:val="0"/>
              </w:rPr>
              <w:t>不以任何方式从事，包括与他人合作、 直接或间接从事与公司相同、相似或在任何方面构成竞争的业 务；</w:t>
            </w:r>
            <w:r>
              <w:rPr>
                <w:rFonts w:ascii="Times New Roman" w:eastAsia="Times New Roman" w:hAnsi="Times New Roman" w:cs="Times New Roman"/>
                <w:color w:val="000000"/>
                <w:spacing w:val="0"/>
                <w:w w:val="100"/>
                <w:position w:val="0"/>
              </w:rPr>
              <w:t>b）</w:t>
            </w:r>
            <w:r>
              <w:rPr>
                <w:color w:val="000000"/>
                <w:spacing w:val="0"/>
                <w:w w:val="100"/>
                <w:position w:val="0"/>
              </w:rPr>
              <w:t>不投资控股于业务与公司相同、相似或在任何方面构成 竞争的公司、企业或其他机构、组织。</w:t>
            </w:r>
            <w:r>
              <w:rPr>
                <w:rFonts w:ascii="Times New Roman" w:eastAsia="Times New Roman" w:hAnsi="Times New Roman" w:cs="Times New Roman"/>
                <w:color w:val="000000"/>
                <w:spacing w:val="0"/>
                <w:w w:val="100"/>
                <w:position w:val="0"/>
              </w:rPr>
              <w:t>3</w:t>
            </w:r>
            <w:r>
              <w:rPr>
                <w:color w:val="000000"/>
                <w:spacing w:val="0"/>
                <w:w w:val="100"/>
                <w:position w:val="0"/>
              </w:rPr>
              <w:t>、如因本人违反本承诺 函而给公司造成损失的，本人同意对由此而给公司造成的损失 予以赔偿。</w:t>
            </w:r>
            <w:r>
              <w:rPr>
                <w:rFonts w:ascii="Times New Roman" w:eastAsia="Times New Roman" w:hAnsi="Times New Roman" w:cs="Times New Roman"/>
                <w:color w:val="000000"/>
                <w:spacing w:val="0"/>
                <w:w w:val="100"/>
                <w:position w:val="0"/>
              </w:rPr>
              <w:t>"</w:t>
            </w:r>
            <w:r>
              <w:rPr>
                <w:color w:val="000000"/>
                <w:spacing w:val="0"/>
                <w:w w:val="100"/>
                <w:position w:val="0"/>
              </w:rPr>
              <w:t>二、关于资金占用：报告期内，本人不存在占用荣 科科技股份有限公司资金情况，本人承诺未来不以任何方式占 用荣科科技股份有限公司资金。</w:t>
            </w: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882"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2" w:lineRule="exact"/>
              <w:ind w:left="0" w:right="0" w:firstLine="0"/>
              <w:jc w:val="both"/>
            </w:pPr>
            <w:r>
              <w:rPr>
                <w:color w:val="000000"/>
                <w:spacing w:val="0"/>
                <w:w w:val="100"/>
                <w:position w:val="0"/>
              </w:rPr>
              <w:t>股权激励承 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雷新刚</w:t>
            </w:r>
            <w:r>
              <w:rPr>
                <w:rFonts w:ascii="Times New Roman" w:eastAsia="Times New Roman" w:hAnsi="Times New Roman" w:cs="Times New Roman"/>
                <w:color w:val="000000"/>
                <w:spacing w:val="0"/>
                <w:w w:val="100"/>
                <w:position w:val="0"/>
              </w:rPr>
              <w:t>;</w:t>
            </w:r>
            <w:r>
              <w:rPr>
                <w:color w:val="000000"/>
                <w:spacing w:val="0"/>
                <w:w w:val="100"/>
                <w:position w:val="0"/>
              </w:rPr>
              <w:t>李绣</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color w:val="000000"/>
                <w:spacing w:val="0"/>
                <w:w w:val="100"/>
                <w:position w:val="0"/>
              </w:rPr>
              <w:t>刘斌</w:t>
            </w:r>
            <w:r>
              <w:rPr>
                <w:rFonts w:ascii="Times New Roman" w:eastAsia="Times New Roman" w:hAnsi="Times New Roman" w:cs="Times New Roman"/>
                <w:color w:val="000000"/>
                <w:spacing w:val="0"/>
                <w:w w:val="100"/>
                <w:position w:val="0"/>
              </w:rPr>
              <w:t>;</w:t>
            </w:r>
            <w:r>
              <w:rPr>
                <w:color w:val="000000"/>
                <w:spacing w:val="0"/>
                <w:w w:val="100"/>
                <w:position w:val="0"/>
              </w:rPr>
              <w:t>尹春福</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color w:val="000000"/>
                <w:spacing w:val="0"/>
                <w:w w:val="100"/>
                <w:position w:val="0"/>
              </w:rPr>
              <w:t>张继武</w:t>
            </w:r>
            <w:r>
              <w:rPr>
                <w:rFonts w:ascii="Times New Roman" w:eastAsia="Times New Roman" w:hAnsi="Times New Roman" w:cs="Times New Roman"/>
                <w:color w:val="000000"/>
                <w:spacing w:val="0"/>
                <w:w w:val="100"/>
                <w:position w:val="0"/>
              </w:rPr>
              <w:t>;</w:t>
            </w:r>
            <w:r>
              <w:rPr>
                <w:color w:val="000000"/>
                <w:spacing w:val="0"/>
                <w:w w:val="100"/>
                <w:position w:val="0"/>
              </w:rPr>
              <w:t>张俭</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color w:val="000000"/>
                <w:spacing w:val="0"/>
                <w:w w:val="100"/>
                <w:position w:val="0"/>
              </w:rPr>
              <w:t>张羽</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color w:val="000000"/>
                <w:spacing w:val="0"/>
                <w:w w:val="100"/>
                <w:position w:val="0"/>
              </w:rPr>
              <w:t>股份限</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售承诺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 xml:space="preserve">本激励计划授予的限制性股票限售期分别为自完成登记之日起 </w:t>
            </w:r>
            <w:r>
              <w:rPr>
                <w:rFonts w:ascii="Times New Roman" w:eastAsia="Times New Roman" w:hAnsi="Times New Roman" w:cs="Times New Roman"/>
                <w:color w:val="000000"/>
                <w:spacing w:val="0"/>
                <w:w w:val="100"/>
                <w:position w:val="0"/>
              </w:rPr>
              <w:t>12</w:t>
            </w:r>
            <w:r>
              <w:rPr>
                <w:color w:val="000000"/>
                <w:spacing w:val="0"/>
                <w:w w:val="100"/>
                <w:position w:val="0"/>
              </w:rPr>
              <w:t>个月、</w:t>
            </w:r>
            <w:r>
              <w:rPr>
                <w:rFonts w:ascii="Times New Roman" w:eastAsia="Times New Roman" w:hAnsi="Times New Roman" w:cs="Times New Roman"/>
                <w:color w:val="000000"/>
                <w:spacing w:val="0"/>
                <w:w w:val="100"/>
                <w:position w:val="0"/>
              </w:rPr>
              <w:t>24</w:t>
            </w:r>
            <w:r>
              <w:rPr>
                <w:color w:val="000000"/>
                <w:spacing w:val="0"/>
                <w:w w:val="100"/>
                <w:position w:val="0"/>
              </w:rPr>
              <w:t>个月、</w:t>
            </w:r>
            <w:r>
              <w:rPr>
                <w:rFonts w:ascii="Times New Roman" w:eastAsia="Times New Roman" w:hAnsi="Times New Roman" w:cs="Times New Roman"/>
                <w:color w:val="000000"/>
                <w:spacing w:val="0"/>
                <w:w w:val="100"/>
                <w:position w:val="0"/>
              </w:rPr>
              <w:t>36</w:t>
            </w:r>
            <w:r>
              <w:rPr>
                <w:color w:val="000000"/>
                <w:spacing w:val="0"/>
                <w:w w:val="100"/>
                <w:position w:val="0"/>
              </w:rPr>
              <w:t>个月。激励对象根据本激励计划获授的限 制性股票在解除限售前不得转让、用于担保或偿还债务。激励 对象因获授的尚未解除限售的限制性股票而取得的资本公积转 增股本、派发股票红利、股票拆细等股份和红利同时按本激励 计划进行锁定。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2022-03-0</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r>
        <w:trPr>
          <w:trHeight w:val="946" w:hRule="exact"/>
        </w:trPr>
        <w:tc>
          <w:tcPr>
            <w:vMerge/>
            <w:tcBorders>
              <w:left w:val="single" w:sz="4"/>
            </w:tcBorders>
            <w:shd w:val="clear" w:color="auto" w:fill="D4D4D4"/>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荣科科技股</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份有限公司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其他承</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4" w:lineRule="exact"/>
              <w:ind w:left="0" w:right="0" w:firstLine="0"/>
              <w:jc w:val="both"/>
            </w:pPr>
            <w:r>
              <w:rPr>
                <w:color w:val="000000"/>
                <w:spacing w:val="0"/>
                <w:w w:val="100"/>
                <w:position w:val="0"/>
              </w:rPr>
              <w:t>公司承诺不为激励对象依本计划获取有关股票期权或限制性股 票提供贷款以及其他任何形式的财务资助，包括为其贷款提供 担保。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11</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r>
        <w:trPr>
          <w:trHeight w:val="1570" w:hRule="exact"/>
        </w:trPr>
        <w:tc>
          <w:tcPr>
            <w:vMerge/>
            <w:tcBorders>
              <w:left w:val="single" w:sz="4"/>
            </w:tcBorders>
            <w:shd w:val="clear" w:color="auto" w:fill="D4D4D4"/>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尹春福、张继 武、雷新刚、 张羽、李绣、 刘斌、张俭</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其他承</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3" w:lineRule="exact"/>
              <w:ind w:left="0" w:right="0" w:firstLine="0"/>
              <w:jc w:val="both"/>
            </w:pPr>
            <w:r>
              <w:rPr>
                <w:color w:val="000000"/>
                <w:spacing w:val="0"/>
                <w:w w:val="100"/>
                <w:position w:val="0"/>
              </w:rPr>
              <w:t>激励对象承诺，若公司因信息披露文件中有虚假记载、误导性 陈述或者重大遗漏，导致不符合授予权益或行使权益安排的， 激励对象自相关信息披露文件被确认存在虚假记载、误导性陈 述或者重大遗漏后，将由股权激励计划所获得的全部利益返还 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11</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永久</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r>
        <w:trPr>
          <w:trHeight w:val="811"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both"/>
            </w:pPr>
            <w:r>
              <w:rPr>
                <w:color w:val="000000"/>
                <w:spacing w:val="0"/>
                <w:w w:val="100"/>
                <w:position w:val="0"/>
              </w:rPr>
              <w:t>其他对公司 中小股东所 作承诺</w:t>
            </w:r>
          </w:p>
        </w:tc>
        <w:tc>
          <w:tcPr>
            <w:gridSpan w:val="6"/>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571"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both"/>
            </w:pPr>
            <w:r>
              <w:rPr>
                <w:color w:val="000000"/>
                <w:spacing w:val="0"/>
                <w:w w:val="100"/>
                <w:position w:val="0"/>
              </w:rPr>
              <w:t>承诺是否按 时履行</w:t>
            </w:r>
          </w:p>
        </w:tc>
        <w:tc>
          <w:tcPr>
            <w:gridSpan w:val="6"/>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2016"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1" w:lineRule="exact"/>
              <w:ind w:left="0" w:right="0" w:firstLine="0"/>
              <w:jc w:val="both"/>
            </w:pPr>
            <w:r>
              <w:rPr>
                <w:color w:val="000000"/>
                <w:spacing w:val="0"/>
                <w:w w:val="100"/>
                <w:position w:val="0"/>
              </w:rPr>
              <w:t>如承诺超期 未履行完毕 的，应当详细 说明未完成 履行的具体 原因及下一 步的工作计 划</w:t>
            </w:r>
          </w:p>
        </w:tc>
        <w:tc>
          <w:tcPr>
            <w:gridSpan w:val="6"/>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ectPr>
          <w:headerReference w:type="default" r:id="rId135"/>
          <w:footerReference w:type="default" r:id="rId136"/>
          <w:headerReference w:type="even" r:id="rId137"/>
          <w:footerReference w:type="even" r:id="rId138"/>
          <w:footnotePr>
            <w:pos w:val="pageBottom"/>
            <w:numFmt w:val="decimal"/>
            <w:numRestart w:val="continuous"/>
          </w:footnotePr>
          <w:pgSz w:w="11900" w:h="16840"/>
          <w:pgMar w:top="1121" w:right="1061" w:bottom="1343" w:left="92" w:header="0" w:footer="3" w:gutter="0"/>
          <w:cols w:space="720"/>
          <w:noEndnote/>
          <w:rtlGutter w:val="0"/>
          <w:docGrid w:linePitch="360"/>
        </w:sectPr>
      </w:pPr>
    </w:p>
    <w:p>
      <w:pPr>
        <w:pStyle w:val="Style2"/>
        <w:keepNext/>
        <w:keepLines/>
        <w:widowControl w:val="0"/>
        <w:shd w:val="clear" w:color="auto" w:fill="auto"/>
        <w:bidi w:val="0"/>
        <w:spacing w:before="0" w:after="0" w:line="240" w:lineRule="auto"/>
        <w:ind w:left="0" w:right="0" w:firstLine="980"/>
        <w:jc w:val="left"/>
      </w:pPr>
      <w:bookmarkStart w:id="302" w:name="bookmark302"/>
      <w:bookmarkStart w:id="303" w:name="bookmark303"/>
      <w:bookmarkStart w:id="304" w:name="bookmark304"/>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302"/>
      <w:bookmarkEnd w:id="303"/>
      <w:bookmarkEnd w:id="304"/>
    </w:p>
    <w:p>
      <w:pPr>
        <w:pStyle w:val="Style5"/>
        <w:keepNext w:val="0"/>
        <w:keepLines w:val="0"/>
        <w:widowControl w:val="0"/>
        <w:shd w:val="clear" w:color="auto" w:fill="auto"/>
        <w:bidi w:val="0"/>
        <w:spacing w:before="0" w:after="0" w:line="240" w:lineRule="auto"/>
        <w:ind w:left="0" w:right="0" w:firstLine="980"/>
        <w:jc w:val="left"/>
      </w:pPr>
      <w:r>
        <w:rPr>
          <w:color w:val="245994"/>
          <w:spacing w:val="0"/>
          <w:w w:val="100"/>
          <w:position w:val="0"/>
        </w:rPr>
        <w:t>'广</w:t>
      </w:r>
      <w:r>
        <w:rPr>
          <w:color w:val="2D2B2E"/>
          <w:spacing w:val="0"/>
          <w:w w:val="100"/>
          <w:position w:val="0"/>
        </w:rPr>
        <w:t>i</w:t>
      </w:r>
      <w:r>
        <w:rPr>
          <w:spacing w:val="0"/>
          <w:w w:val="100"/>
          <w:position w:val="0"/>
        </w:rPr>
        <w:t>国家高新技术企业</w:t>
      </w:r>
    </w:p>
    <w:p>
      <w:pPr>
        <w:pStyle w:val="Style32"/>
        <w:keepNext w:val="0"/>
        <w:keepLines w:val="0"/>
        <w:widowControl w:val="0"/>
        <w:shd w:val="clear" w:color="auto" w:fill="auto"/>
        <w:tabs>
          <w:tab w:pos="1726" w:val="left"/>
        </w:tabs>
        <w:bidi w:val="0"/>
        <w:spacing w:before="0" w:after="0" w:line="240" w:lineRule="auto"/>
        <w:ind w:left="1140" w:right="0" w:firstLine="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360" w:line="322" w:lineRule="exact"/>
        <w:ind w:left="980" w:right="0" w:firstLine="20"/>
        <w:jc w:val="left"/>
      </w:pPr>
      <w:bookmarkStart w:id="305" w:name="bookmark305"/>
      <w:bookmarkStart w:id="306" w:name="bookmark306"/>
      <w:bookmarkStart w:id="307" w:name="bookmark307"/>
      <w:bookmarkStart w:id="308" w:name="bookmark308"/>
      <w:r>
        <w:rPr>
          <w:rFonts w:ascii="Times New Roman" w:eastAsia="Times New Roman" w:hAnsi="Times New Roman" w:cs="Times New Roman"/>
          <w:color w:val="000000"/>
          <w:spacing w:val="0"/>
          <w:w w:val="100"/>
          <w:position w:val="0"/>
        </w:rPr>
        <w:t>2</w:t>
      </w:r>
      <w:bookmarkEnd w:id="307"/>
      <w:r>
        <w:rPr>
          <w:color w:val="000000"/>
          <w:spacing w:val="0"/>
          <w:w w:val="100"/>
          <w:position w:val="0"/>
        </w:rPr>
        <w:t>、公司资产或项目存在盈利预测，且报告期仍处在盈利预测期间，公司就资产或项目达到原盈利预测及 其原因做出说明</w:t>
      </w:r>
      <w:bookmarkEnd w:id="305"/>
      <w:bookmarkEnd w:id="306"/>
      <w:bookmarkEnd w:id="308"/>
    </w:p>
    <w:p>
      <w:pPr>
        <w:pStyle w:val="Style49"/>
        <w:keepNext w:val="0"/>
        <w:keepLines w:val="0"/>
        <w:widowControl w:val="0"/>
        <w:shd w:val="clear" w:color="auto" w:fill="auto"/>
        <w:bidi w:val="0"/>
        <w:spacing w:before="0" w:after="0" w:line="240" w:lineRule="auto"/>
        <w:ind w:left="979"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1426"/>
        <w:gridCol w:w="850"/>
        <w:gridCol w:w="989"/>
        <w:gridCol w:w="1138"/>
        <w:gridCol w:w="1133"/>
        <w:gridCol w:w="1277"/>
        <w:gridCol w:w="989"/>
        <w:gridCol w:w="2774"/>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盈利预测资产或 项目名称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预测起始 时间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预测终止时 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当期预测业 绩（万元）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当期实际业 绩（万元）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未达预测的原 因（如适用）</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原预测披露 日期</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原预测披露索引</w:t>
            </w:r>
          </w:p>
        </w:tc>
      </w:tr>
      <w:tr>
        <w:trPr>
          <w:trHeight w:val="1339"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发行股份及支付 现金购买资产并 募集配套资金（神 州视翰）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01</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3,700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5,507.15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09</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rPr>
              <w:t>http</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rPr>
              <w:t>//www. cninfo. com. cn/new/discl o sure/detail?plate=szse&amp;orgld=9900 021761 &amp;stockCode=300290&amp;annou ncementId= 1203938673&amp;announce mentTime=2017-09-06</w:t>
            </w:r>
          </w:p>
        </w:tc>
      </w:tr>
      <w:tr>
        <w:trPr>
          <w:trHeight w:val="1344"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left"/>
            </w:pPr>
            <w:r>
              <w:rPr>
                <w:color w:val="000000"/>
                <w:spacing w:val="0"/>
                <w:w w:val="100"/>
                <w:position w:val="0"/>
              </w:rPr>
              <w:t>发行股份及支付 现金购买资产并 募集配套资金（上 海今创）</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01</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3,000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3,151.62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07 </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rPr>
              <w:t>http</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rPr>
              <w:t>//www. cninfo. com. cn/new/discl o sure/detail?plate=szse&amp;orgld=9900 021761 &amp;stockCode=300290&amp;annou ncementId= 1206445119&amp;announce mentTime=2019-07-13</w:t>
            </w:r>
          </w:p>
        </w:tc>
      </w:tr>
    </w:tbl>
    <w:p>
      <w:pPr>
        <w:pStyle w:val="Style32"/>
        <w:keepNext w:val="0"/>
        <w:keepLines w:val="0"/>
        <w:widowControl w:val="0"/>
        <w:shd w:val="clear" w:color="auto" w:fill="auto"/>
        <w:bidi w:val="0"/>
        <w:spacing w:before="0" w:after="140" w:line="315" w:lineRule="exact"/>
        <w:ind w:left="980" w:right="0" w:firstLine="20"/>
        <w:jc w:val="left"/>
      </w:pPr>
      <w:r>
        <w:rPr>
          <w:color w:val="000000"/>
          <w:spacing w:val="0"/>
          <w:w w:val="100"/>
          <w:position w:val="0"/>
        </w:rPr>
        <w:t>公司股东、交易对手方对公司或相关资产年度经营业绩作出的承诺情况</w:t>
      </w:r>
    </w:p>
    <w:p>
      <w:pPr>
        <w:pStyle w:val="Style32"/>
        <w:keepNext w:val="0"/>
        <w:keepLines w:val="0"/>
        <w:widowControl w:val="0"/>
        <w:shd w:val="clear" w:color="auto" w:fill="auto"/>
        <w:bidi w:val="0"/>
        <w:spacing w:before="0"/>
        <w:ind w:left="980" w:right="0" w:firstLine="2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tabs>
          <w:tab w:pos="1334" w:val="left"/>
        </w:tabs>
        <w:bidi w:val="0"/>
        <w:spacing w:before="0" w:after="0"/>
        <w:ind w:left="980" w:right="0" w:firstLine="20"/>
        <w:jc w:val="left"/>
      </w:pPr>
      <w:bookmarkStart w:id="309" w:name="bookmark309"/>
      <w:r>
        <w:rPr>
          <w:rFonts w:ascii="Times New Roman" w:eastAsia="Times New Roman" w:hAnsi="Times New Roman" w:cs="Times New Roman"/>
          <w:color w:val="000000"/>
          <w:spacing w:val="0"/>
          <w:w w:val="100"/>
          <w:position w:val="0"/>
        </w:rPr>
        <w:t>1</w:t>
      </w:r>
      <w:bookmarkEnd w:id="309"/>
      <w:r>
        <w:rPr>
          <w:color w:val="000000"/>
          <w:spacing w:val="0"/>
          <w:w w:val="100"/>
          <w:position w:val="0"/>
        </w:rPr>
        <w:t>、</w:t>
        <w:tab/>
        <w:t>发行股份及支付现金购买资产并募集配套资金</w:t>
      </w:r>
      <w:r>
        <w:rPr>
          <w:color w:val="000000"/>
          <w:spacing w:val="0"/>
          <w:w w:val="100"/>
          <w:position w:val="0"/>
        </w:rPr>
        <w:t>一</w:t>
      </w:r>
      <w:r>
        <w:rPr>
          <w:color w:val="000000"/>
          <w:spacing w:val="0"/>
          <w:w w:val="100"/>
          <w:position w:val="0"/>
        </w:rPr>
        <w:t>神州视翰项目</w:t>
      </w:r>
    </w:p>
    <w:p>
      <w:pPr>
        <w:pStyle w:val="Style32"/>
        <w:keepNext w:val="0"/>
        <w:keepLines w:val="0"/>
        <w:widowControl w:val="0"/>
        <w:shd w:val="clear" w:color="auto" w:fill="auto"/>
        <w:bidi w:val="0"/>
        <w:spacing w:before="0" w:after="140" w:line="314" w:lineRule="exact"/>
        <w:ind w:left="980" w:right="0" w:firstLine="20"/>
        <w:jc w:val="left"/>
      </w:pPr>
      <w:r>
        <w:rPr>
          <w:color w:val="000000"/>
          <w:spacing w:val="0"/>
          <w:w w:val="100"/>
          <w:position w:val="0"/>
        </w:rPr>
        <w:t>本次发行股份购买资产的利润补偿主体为秦毅、钟小春、逐鹿投资；利润补偿期间为</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2020</w:t>
      </w:r>
      <w:r>
        <w:rPr>
          <w:color w:val="000000"/>
          <w:spacing w:val="0"/>
          <w:w w:val="100"/>
          <w:position w:val="0"/>
        </w:rPr>
        <w:t>年，利润补偿方 承诺，在报告期内标的公司净利润需达到</w:t>
      </w:r>
      <w:r>
        <w:rPr>
          <w:rFonts w:ascii="Times New Roman" w:eastAsia="Times New Roman" w:hAnsi="Times New Roman" w:cs="Times New Roman"/>
          <w:color w:val="000000"/>
          <w:spacing w:val="0"/>
          <w:w w:val="100"/>
          <w:position w:val="0"/>
        </w:rPr>
        <w:t>3,700</w:t>
      </w:r>
      <w:r>
        <w:rPr>
          <w:color w:val="000000"/>
          <w:spacing w:val="0"/>
          <w:w w:val="100"/>
          <w:position w:val="0"/>
        </w:rPr>
        <w:t>万元。该等净利润指经上市公司聘请的会计师事务所审计的标的公司扣除非 经常性损益后归属于母公司所有者的净利润。</w:t>
      </w:r>
    </w:p>
    <w:p>
      <w:pPr>
        <w:pStyle w:val="Style32"/>
        <w:keepNext w:val="0"/>
        <w:keepLines w:val="0"/>
        <w:widowControl w:val="0"/>
        <w:shd w:val="clear" w:color="auto" w:fill="auto"/>
        <w:tabs>
          <w:tab w:pos="1354" w:val="left"/>
        </w:tabs>
        <w:bidi w:val="0"/>
        <w:spacing w:before="0" w:after="0"/>
        <w:ind w:left="980" w:right="0" w:firstLine="20"/>
        <w:jc w:val="both"/>
      </w:pPr>
      <w:bookmarkStart w:id="310" w:name="bookmark310"/>
      <w:r>
        <w:rPr>
          <w:rFonts w:ascii="Times New Roman" w:eastAsia="Times New Roman" w:hAnsi="Times New Roman" w:cs="Times New Roman"/>
          <w:color w:val="000000"/>
          <w:spacing w:val="0"/>
          <w:w w:val="100"/>
          <w:position w:val="0"/>
        </w:rPr>
        <w:t>2</w:t>
      </w:r>
      <w:bookmarkEnd w:id="310"/>
      <w:r>
        <w:rPr>
          <w:color w:val="000000"/>
          <w:spacing w:val="0"/>
          <w:w w:val="100"/>
          <w:position w:val="0"/>
        </w:rPr>
        <w:t>、</w:t>
        <w:tab/>
        <w:t>发行股份及支付现金购买资产并募集配套资金</w:t>
      </w:r>
      <w:r>
        <w:rPr>
          <w:color w:val="000000"/>
          <w:spacing w:val="0"/>
          <w:w w:val="100"/>
          <w:position w:val="0"/>
        </w:rPr>
        <w:t>一</w:t>
      </w:r>
      <w:r>
        <w:rPr>
          <w:color w:val="000000"/>
          <w:spacing w:val="0"/>
          <w:w w:val="100"/>
          <w:position w:val="0"/>
        </w:rPr>
        <w:t>上海今创项目</w:t>
      </w:r>
    </w:p>
    <w:p>
      <w:pPr>
        <w:pStyle w:val="Style32"/>
        <w:keepNext w:val="0"/>
        <w:keepLines w:val="0"/>
        <w:widowControl w:val="0"/>
        <w:shd w:val="clear" w:color="auto" w:fill="auto"/>
        <w:bidi w:val="0"/>
        <w:spacing w:before="0" w:line="315" w:lineRule="exact"/>
        <w:ind w:left="980" w:right="0" w:firstLine="20"/>
        <w:jc w:val="both"/>
      </w:pPr>
      <w:r>
        <w:rPr>
          <w:color w:val="000000"/>
          <w:spacing w:val="0"/>
          <w:w w:val="100"/>
          <w:position w:val="0"/>
        </w:rPr>
        <w:t>本次交易盈利补偿期间为</w:t>
      </w:r>
      <w:r>
        <w:rPr>
          <w:rFonts w:ascii="Times New Roman" w:eastAsia="Times New Roman" w:hAnsi="Times New Roman" w:cs="Times New Roman"/>
          <w:color w:val="000000"/>
          <w:spacing w:val="0"/>
          <w:w w:val="100"/>
          <w:position w:val="0"/>
        </w:rPr>
        <w:t>2019</w:t>
      </w:r>
      <w:r>
        <w:rPr>
          <w:color w:val="000000"/>
          <w:spacing w:val="0"/>
          <w:w w:val="100"/>
          <w:position w:val="0"/>
        </w:rPr>
        <w:t>年度、</w:t>
      </w:r>
      <w:r>
        <w:rPr>
          <w:rFonts w:ascii="Times New Roman" w:eastAsia="Times New Roman" w:hAnsi="Times New Roman" w:cs="Times New Roman"/>
          <w:color w:val="000000"/>
          <w:spacing w:val="0"/>
          <w:w w:val="100"/>
          <w:position w:val="0"/>
        </w:rPr>
        <w:t>2020</w:t>
      </w:r>
      <w:r>
        <w:rPr>
          <w:color w:val="000000"/>
          <w:spacing w:val="0"/>
          <w:w w:val="100"/>
          <w:position w:val="0"/>
        </w:rPr>
        <w:t>年度、</w:t>
      </w:r>
      <w:r>
        <w:rPr>
          <w:rFonts w:ascii="Times New Roman" w:eastAsia="Times New Roman" w:hAnsi="Times New Roman" w:cs="Times New Roman"/>
          <w:color w:val="000000"/>
          <w:spacing w:val="0"/>
          <w:w w:val="100"/>
          <w:position w:val="0"/>
        </w:rPr>
        <w:t>2021</w:t>
      </w:r>
      <w:r>
        <w:rPr>
          <w:color w:val="000000"/>
          <w:spacing w:val="0"/>
          <w:w w:val="100"/>
          <w:position w:val="0"/>
        </w:rPr>
        <w:t>年度；徐州瀚举、徐州鸿源、徐州轩润、徐州东霖及德清博御承诺，在 报告期内标的公司净利润需达到</w:t>
      </w:r>
      <w:r>
        <w:rPr>
          <w:rFonts w:ascii="Times New Roman" w:eastAsia="Times New Roman" w:hAnsi="Times New Roman" w:cs="Times New Roman"/>
          <w:color w:val="000000"/>
          <w:spacing w:val="0"/>
          <w:w w:val="100"/>
          <w:position w:val="0"/>
        </w:rPr>
        <w:t>3,000</w:t>
      </w:r>
      <w:r>
        <w:rPr>
          <w:color w:val="000000"/>
          <w:spacing w:val="0"/>
          <w:w w:val="100"/>
          <w:position w:val="0"/>
        </w:rPr>
        <w:t>万元（含本数）。《盈利预测补偿协议》所述</w:t>
      </w:r>
      <w:r>
        <w:rPr>
          <w:rFonts w:ascii="Times New Roman" w:eastAsia="Times New Roman" w:hAnsi="Times New Roman" w:cs="Times New Roman"/>
          <w:color w:val="000000"/>
          <w:spacing w:val="0"/>
          <w:w w:val="100"/>
          <w:position w:val="0"/>
        </w:rPr>
        <w:t>“</w:t>
      </w:r>
      <w:r>
        <w:rPr>
          <w:color w:val="000000"/>
          <w:spacing w:val="0"/>
          <w:w w:val="100"/>
          <w:position w:val="0"/>
        </w:rPr>
        <w:t>净利润</w:t>
      </w:r>
      <w:r>
        <w:rPr>
          <w:rFonts w:ascii="Times New Roman" w:eastAsia="Times New Roman" w:hAnsi="Times New Roman" w:cs="Times New Roman"/>
          <w:color w:val="000000"/>
          <w:spacing w:val="0"/>
          <w:w w:val="100"/>
          <w:position w:val="0"/>
        </w:rPr>
        <w:t>”</w:t>
      </w:r>
      <w:r>
        <w:rPr>
          <w:color w:val="000000"/>
          <w:spacing w:val="0"/>
          <w:w w:val="100"/>
          <w:position w:val="0"/>
        </w:rPr>
        <w:t>指荣科科技聘请的具有证券、 期货业务资格的会计师事务所审计的标的公司合并报表中归属于母公司所有者的净利润，该净利润以扣除非经常性损益前后 孰低者为准。</w:t>
      </w:r>
    </w:p>
    <w:p>
      <w:pPr>
        <w:pStyle w:val="Style32"/>
        <w:keepNext w:val="0"/>
        <w:keepLines w:val="0"/>
        <w:widowControl w:val="0"/>
        <w:shd w:val="clear" w:color="auto" w:fill="auto"/>
        <w:bidi w:val="0"/>
        <w:spacing w:before="0" w:line="315" w:lineRule="exact"/>
        <w:ind w:left="0" w:right="0" w:firstLine="980"/>
        <w:jc w:val="left"/>
      </w:pPr>
      <w:r>
        <w:rPr>
          <w:color w:val="000000"/>
          <w:spacing w:val="0"/>
          <w:w w:val="100"/>
          <w:position w:val="0"/>
        </w:rPr>
        <w:t>业绩承诺的完成情况及其对商誉减值测试的影响</w:t>
      </w:r>
    </w:p>
    <w:p>
      <w:pPr>
        <w:pStyle w:val="Style32"/>
        <w:keepNext w:val="0"/>
        <w:keepLines w:val="0"/>
        <w:widowControl w:val="0"/>
        <w:shd w:val="clear" w:color="auto" w:fill="auto"/>
        <w:bidi w:val="0"/>
        <w:spacing w:before="0" w:after="140" w:line="315" w:lineRule="exact"/>
        <w:ind w:left="0" w:right="0" w:firstLine="980"/>
        <w:jc w:val="left"/>
      </w:pPr>
      <w:r>
        <w:rPr>
          <w:rFonts w:ascii="Times New Roman" w:eastAsia="Times New Roman" w:hAnsi="Times New Roman" w:cs="Times New Roman"/>
          <w:color w:val="000000"/>
          <w:spacing w:val="0"/>
          <w:w w:val="100"/>
          <w:position w:val="0"/>
        </w:rPr>
        <w:t>1</w:t>
      </w:r>
      <w:r>
        <w:rPr>
          <w:color w:val="000000"/>
          <w:spacing w:val="0"/>
          <w:w w:val="100"/>
          <w:position w:val="0"/>
        </w:rPr>
        <w:t>、视翰公司</w:t>
      </w:r>
      <w:r>
        <w:rPr>
          <w:rFonts w:ascii="Times New Roman" w:eastAsia="Times New Roman" w:hAnsi="Times New Roman" w:cs="Times New Roman"/>
          <w:color w:val="000000"/>
          <w:spacing w:val="0"/>
          <w:w w:val="100"/>
          <w:position w:val="0"/>
        </w:rPr>
        <w:t>2020</w:t>
      </w:r>
      <w:r>
        <w:rPr>
          <w:color w:val="000000"/>
          <w:spacing w:val="0"/>
          <w:w w:val="100"/>
          <w:position w:val="0"/>
        </w:rPr>
        <w:t>年度实际实现的扣除非经常性损益后的归属于母公司所有者的净利润与业绩承诺数的对比情况如下：</w:t>
      </w:r>
    </w:p>
    <w:p>
      <w:pPr>
        <w:pStyle w:val="Style49"/>
        <w:keepNext w:val="0"/>
        <w:keepLines w:val="0"/>
        <w:widowControl w:val="0"/>
        <w:shd w:val="clear" w:color="auto" w:fill="auto"/>
        <w:bidi w:val="0"/>
        <w:spacing w:before="0" w:after="0" w:line="240" w:lineRule="auto"/>
        <w:ind w:left="9158" w:right="0" w:firstLine="0"/>
        <w:jc w:val="left"/>
      </w:pPr>
      <w:r>
        <w:rPr>
          <w:color w:val="000000"/>
          <w:spacing w:val="0"/>
          <w:w w:val="100"/>
          <w:position w:val="0"/>
        </w:rPr>
        <w:t>单位：元</w:t>
      </w:r>
    </w:p>
    <w:tbl>
      <w:tblPr>
        <w:tblOverlap w:val="never"/>
        <w:jc w:val="center"/>
        <w:tblLayout w:type="fixed"/>
      </w:tblPr>
      <w:tblGrid>
        <w:gridCol w:w="1997"/>
        <w:gridCol w:w="1704"/>
        <w:gridCol w:w="2410"/>
        <w:gridCol w:w="2126"/>
        <w:gridCol w:w="1709"/>
      </w:tblGrid>
      <w:tr>
        <w:trPr>
          <w:trHeight w:val="667"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期间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rPr>
              <w:t>承诺净利润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2" w:lineRule="exact"/>
              <w:ind w:left="0" w:right="0" w:firstLine="0"/>
              <w:jc w:val="center"/>
            </w:pPr>
            <w:r>
              <w:rPr>
                <w:b/>
                <w:bCs/>
                <w:color w:val="000000"/>
                <w:spacing w:val="0"/>
                <w:w w:val="100"/>
                <w:position w:val="0"/>
              </w:rPr>
              <w:t>扣除非经常性损益后归属于母 公司所有者的净利润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差额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rPr>
              <w:t>完成率</w:t>
            </w:r>
          </w:p>
        </w:tc>
      </w:tr>
      <w:tr>
        <w:trPr>
          <w:trHeight w:val="35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37,000,000.00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55,071,483.74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18,071,483.74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148.84%</w:t>
            </w:r>
          </w:p>
        </w:tc>
      </w:tr>
    </w:tbl>
    <w:p>
      <w:pPr>
        <w:pStyle w:val="Style32"/>
        <w:keepNext w:val="0"/>
        <w:keepLines w:val="0"/>
        <w:widowControl w:val="0"/>
        <w:shd w:val="clear" w:color="auto" w:fill="auto"/>
        <w:bidi w:val="0"/>
        <w:spacing w:before="0" w:after="140" w:line="312" w:lineRule="exact"/>
        <w:ind w:left="980" w:right="0" w:firstLine="20"/>
        <w:jc w:val="both"/>
      </w:pPr>
      <w:r>
        <w:rPr>
          <w:rFonts w:ascii="Times New Roman" w:eastAsia="Times New Roman" w:hAnsi="Times New Roman" w:cs="Times New Roman"/>
          <w:color w:val="000000"/>
          <w:spacing w:val="0"/>
          <w:w w:val="100"/>
          <w:position w:val="0"/>
        </w:rPr>
        <w:t>2</w:t>
      </w:r>
      <w:r>
        <w:rPr>
          <w:color w:val="000000"/>
          <w:spacing w:val="0"/>
          <w:w w:val="100"/>
          <w:position w:val="0"/>
        </w:rPr>
        <w:t>、上海今创</w:t>
      </w:r>
      <w:r>
        <w:rPr>
          <w:rFonts w:ascii="Times New Roman" w:eastAsia="Times New Roman" w:hAnsi="Times New Roman" w:cs="Times New Roman"/>
          <w:color w:val="000000"/>
          <w:spacing w:val="0"/>
          <w:w w:val="100"/>
          <w:position w:val="0"/>
        </w:rPr>
        <w:t>2020</w:t>
      </w:r>
      <w:r>
        <w:rPr>
          <w:color w:val="000000"/>
          <w:spacing w:val="0"/>
          <w:w w:val="100"/>
          <w:position w:val="0"/>
        </w:rPr>
        <w:t>年度实际实现的扣除非经常性损益后归属于母公司所有者的净利润（扣非后孰低）与业绩承诺数的对比情 况如下：</w:t>
      </w:r>
    </w:p>
    <w:p>
      <w:pPr>
        <w:pStyle w:val="Style49"/>
        <w:keepNext w:val="0"/>
        <w:keepLines w:val="0"/>
        <w:widowControl w:val="0"/>
        <w:shd w:val="clear" w:color="auto" w:fill="auto"/>
        <w:bidi w:val="0"/>
        <w:spacing w:before="0" w:after="0" w:line="240" w:lineRule="auto"/>
        <w:ind w:left="9163" w:right="0" w:firstLine="0"/>
        <w:jc w:val="left"/>
      </w:pPr>
      <w:r>
        <w:rPr>
          <w:color w:val="000000"/>
          <w:spacing w:val="0"/>
          <w:w w:val="100"/>
          <w:position w:val="0"/>
        </w:rPr>
        <w:t>单位：元</w:t>
      </w:r>
    </w:p>
    <w:tbl>
      <w:tblPr>
        <w:tblOverlap w:val="never"/>
        <w:jc w:val="center"/>
        <w:tblLayout w:type="fixed"/>
      </w:tblPr>
      <w:tblGrid>
        <w:gridCol w:w="1997"/>
        <w:gridCol w:w="1704"/>
        <w:gridCol w:w="3259"/>
        <w:gridCol w:w="1560"/>
        <w:gridCol w:w="1426"/>
      </w:tblGrid>
      <w:tr>
        <w:trPr>
          <w:trHeight w:val="672"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期间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rPr>
              <w:t>承诺净利润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center"/>
            </w:pPr>
            <w:r>
              <w:rPr>
                <w:b/>
                <w:bCs/>
                <w:color w:val="000000"/>
                <w:spacing w:val="0"/>
                <w:w w:val="100"/>
                <w:position w:val="0"/>
              </w:rPr>
              <w:t>扣除非经常性损益后归属于母公司所有 者的净利润（扣非后孰低）</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差额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rPr>
              <w:t>完成率</w:t>
            </w:r>
          </w:p>
        </w:tc>
      </w:tr>
      <w:tr>
        <w:trPr>
          <w:trHeight w:val="437"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30,000,000.00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31,516,233.50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1,516,233.50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105.05%</w:t>
            </w:r>
          </w:p>
        </w:tc>
      </w:tr>
    </w:tbl>
    <w:p>
      <w:pPr>
        <w:widowControl w:val="0"/>
        <w:spacing w:after="39" w:line="1" w:lineRule="exact"/>
      </w:pPr>
    </w:p>
    <w:p>
      <w:pPr>
        <w:pStyle w:val="Style32"/>
        <w:keepNext w:val="0"/>
        <w:keepLines w:val="0"/>
        <w:widowControl w:val="0"/>
        <w:shd w:val="clear" w:color="auto" w:fill="auto"/>
        <w:bidi w:val="0"/>
        <w:spacing w:before="0" w:after="140" w:line="240" w:lineRule="auto"/>
        <w:ind w:left="0" w:right="0" w:firstLine="980"/>
        <w:jc w:val="left"/>
      </w:pPr>
      <w:bookmarkStart w:id="311" w:name="bookmark311"/>
      <w:r>
        <w:rPr>
          <w:rFonts w:ascii="Times New Roman" w:eastAsia="Times New Roman" w:hAnsi="Times New Roman" w:cs="Times New Roman"/>
          <w:color w:val="000000"/>
          <w:spacing w:val="0"/>
          <w:w w:val="100"/>
          <w:position w:val="0"/>
        </w:rPr>
        <w:t>3</w:t>
      </w:r>
      <w:bookmarkEnd w:id="311"/>
      <w:r>
        <w:rPr>
          <w:color w:val="000000"/>
          <w:spacing w:val="0"/>
          <w:w w:val="100"/>
          <w:position w:val="0"/>
        </w:rPr>
        <w:t>、商誉减值测试的影响</w:t>
      </w:r>
    </w:p>
    <w:p>
      <w:pPr>
        <w:pStyle w:val="Style32"/>
        <w:keepNext w:val="0"/>
        <w:keepLines w:val="0"/>
        <w:widowControl w:val="0"/>
        <w:shd w:val="clear" w:color="auto" w:fill="auto"/>
        <w:bidi w:val="0"/>
        <w:spacing w:before="0" w:after="140" w:line="240" w:lineRule="auto"/>
        <w:ind w:left="0" w:right="0" w:firstLine="980"/>
        <w:jc w:val="left"/>
        <w:sectPr>
          <w:headerReference w:type="default" r:id="rId139"/>
          <w:footerReference w:type="default" r:id="rId140"/>
          <w:headerReference w:type="even" r:id="rId141"/>
          <w:footerReference w:type="even" r:id="rId142"/>
          <w:footnotePr>
            <w:pos w:val="pageBottom"/>
            <w:numFmt w:val="decimal"/>
            <w:numRestart w:val="continuous"/>
          </w:footnotePr>
          <w:pgSz w:w="11900" w:h="16840"/>
          <w:pgMar w:top="678" w:right="1105" w:bottom="1158" w:left="133" w:header="0" w:footer="3" w:gutter="0"/>
          <w:cols w:space="720"/>
          <w:noEndnote/>
          <w:rtlGutter w:val="0"/>
          <w:docGrid w:linePitch="360"/>
        </w:sectPr>
      </w:pPr>
      <w:r>
        <w:rPr>
          <w:color w:val="000000"/>
          <w:spacing w:val="0"/>
          <w:w w:val="100"/>
          <w:position w:val="0"/>
        </w:rPr>
        <w:t>无</w:t>
      </w:r>
    </w:p>
    <w:p>
      <w:pPr>
        <w:widowControl w:val="0"/>
        <w:spacing w:line="1" w:lineRule="exact"/>
      </w:pPr>
      <w:r>
        <mc:AlternateContent>
          <mc:Choice Requires="wps">
            <w:drawing>
              <wp:anchor distT="0" distB="0" distL="0" distR="0" simplePos="0" relativeHeight="125829420" behindDoc="0" locked="0" layoutInCell="1" allowOverlap="1">
                <wp:simplePos x="0" y="0"/>
                <wp:positionH relativeFrom="page">
                  <wp:posOffset>749300</wp:posOffset>
                </wp:positionH>
                <wp:positionV relativeFrom="paragraph">
                  <wp:posOffset>12700</wp:posOffset>
                </wp:positionV>
                <wp:extent cx="1301750" cy="323215"/>
                <wp:wrapSquare wrapText="left"/>
                <wp:docPr id="307" name="Shape 307"/>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1333" type="#_x0000_t202" style="position:absolute;margin-left:59.pt;margin-top:1.pt;width:102.5pt;height:25.449999999999999pt;z-index:-125829333;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square" side="left" anchorx="page"/>
              </v:shape>
            </w:pict>
          </mc:Fallback>
        </mc:AlternateContent>
      </w:r>
    </w:p>
    <w:p>
      <w:pPr>
        <w:pStyle w:val="Style5"/>
        <w:keepNext w:val="0"/>
        <w:keepLines w:val="0"/>
        <w:widowControl w:val="0"/>
        <w:shd w:val="clear" w:color="auto" w:fill="auto"/>
        <w:bidi w:val="0"/>
        <w:spacing w:before="0" w:after="0" w:line="240" w:lineRule="auto"/>
        <w:ind w:left="0" w:right="0" w:firstLine="940"/>
        <w:jc w:val="left"/>
      </w:pPr>
      <w:r>
        <w:rPr>
          <w:color w:val="245994"/>
          <w:spacing w:val="0"/>
          <w:w w:val="100"/>
          <w:position w:val="0"/>
        </w:rPr>
        <w:t>—</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1120" w:right="0" w:firstLine="0"/>
        <w:jc w:val="both"/>
      </w:pPr>
      <w:r>
        <w:rPr>
          <w:rFonts w:ascii="SimHei" w:eastAsia="SimHei" w:hAnsi="SimHei" w:cs="SimHei"/>
          <w:b/>
          <w:bCs/>
          <w:color w:val="245994"/>
          <w:spacing w:val="0"/>
          <w:w w:val="100"/>
          <w:position w:val="0"/>
          <w:sz w:val="15"/>
          <w:szCs w:val="15"/>
        </w:rPr>
        <w:t xml:space="preserve">r </w:t>
      </w:r>
      <w:r>
        <w:rPr>
          <w:rFonts w:ascii="SimHei" w:eastAsia="SimHei" w:hAnsi="SimHei" w:cs="SimHei"/>
          <w:b/>
          <w:bCs/>
          <w:color w:val="245994"/>
          <w:spacing w:val="0"/>
          <w:w w:val="100"/>
          <w:position w:val="0"/>
          <w:sz w:val="15"/>
          <w:szCs w:val="15"/>
        </w:rPr>
        <w:t xml:space="preserve">| </w:t>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360" w:line="240" w:lineRule="auto"/>
        <w:ind w:left="0" w:right="0" w:firstLine="940"/>
        <w:jc w:val="left"/>
      </w:pPr>
      <w:bookmarkStart w:id="312" w:name="bookmark312"/>
      <w:bookmarkStart w:id="313" w:name="bookmark313"/>
      <w:bookmarkStart w:id="314" w:name="bookmark314"/>
      <w:bookmarkStart w:id="315" w:name="bookmark315"/>
      <w:r>
        <w:rPr>
          <w:color w:val="000000"/>
          <w:spacing w:val="0"/>
          <w:w w:val="100"/>
          <w:position w:val="0"/>
          <w:sz w:val="24"/>
          <w:szCs w:val="24"/>
        </w:rPr>
        <w:t>三</w:t>
      </w:r>
      <w:bookmarkEnd w:id="314"/>
      <w:r>
        <w:rPr>
          <w:color w:val="000000"/>
          <w:spacing w:val="0"/>
          <w:w w:val="100"/>
          <w:position w:val="0"/>
          <w:sz w:val="24"/>
          <w:szCs w:val="24"/>
        </w:rPr>
        <w:t>、控股股东及其关联方对上市公司的非经营性占用资金情况</w:t>
      </w:r>
      <w:bookmarkEnd w:id="312"/>
      <w:bookmarkEnd w:id="313"/>
      <w:bookmarkEnd w:id="315"/>
    </w:p>
    <w:p>
      <w:pPr>
        <w:pStyle w:val="Style32"/>
        <w:keepNext w:val="0"/>
        <w:keepLines w:val="0"/>
        <w:widowControl w:val="0"/>
        <w:shd w:val="clear" w:color="auto" w:fill="auto"/>
        <w:bidi w:val="0"/>
        <w:spacing w:before="0" w:after="120" w:line="240" w:lineRule="auto"/>
        <w:ind w:left="0" w:right="0" w:firstLine="9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940"/>
        <w:jc w:val="left"/>
      </w:pPr>
      <w:r>
        <w:rPr>
          <w:color w:val="000000"/>
          <w:spacing w:val="0"/>
          <w:w w:val="100"/>
          <w:position w:val="0"/>
        </w:rPr>
        <w:t>公司报告期不存在控股股东及其关联方对上市公司的非经营性占用资金。</w:t>
      </w:r>
    </w:p>
    <w:p>
      <w:pPr>
        <w:pStyle w:val="Style47"/>
        <w:keepNext/>
        <w:keepLines/>
        <w:widowControl w:val="0"/>
        <w:shd w:val="clear" w:color="auto" w:fill="auto"/>
        <w:bidi w:val="0"/>
        <w:spacing w:before="0" w:after="360" w:line="240" w:lineRule="auto"/>
        <w:ind w:left="0" w:right="0" w:firstLine="940"/>
        <w:jc w:val="left"/>
      </w:pPr>
      <w:bookmarkStart w:id="316" w:name="bookmark316"/>
      <w:bookmarkStart w:id="317" w:name="bookmark317"/>
      <w:bookmarkStart w:id="318" w:name="bookmark318"/>
      <w:bookmarkStart w:id="319" w:name="bookmark319"/>
      <w:r>
        <w:rPr>
          <w:color w:val="000000"/>
          <w:spacing w:val="0"/>
          <w:w w:val="100"/>
          <w:position w:val="0"/>
          <w:sz w:val="24"/>
          <w:szCs w:val="24"/>
        </w:rPr>
        <w:t>四</w:t>
      </w:r>
      <w:bookmarkEnd w:id="318"/>
      <w:r>
        <w:rPr>
          <w:color w:val="000000"/>
          <w:spacing w:val="0"/>
          <w:w w:val="100"/>
          <w:position w:val="0"/>
          <w:sz w:val="24"/>
          <w:szCs w:val="24"/>
        </w:rPr>
        <w:t>、董事会对最近一期“非标准审计报告”相关情况的说明</w:t>
      </w:r>
      <w:bookmarkEnd w:id="316"/>
      <w:bookmarkEnd w:id="317"/>
      <w:bookmarkEnd w:id="319"/>
    </w:p>
    <w:p>
      <w:pPr>
        <w:pStyle w:val="Style32"/>
        <w:keepNext w:val="0"/>
        <w:keepLines w:val="0"/>
        <w:widowControl w:val="0"/>
        <w:shd w:val="clear" w:color="auto" w:fill="auto"/>
        <w:bidi w:val="0"/>
        <w:spacing w:before="0" w:after="360" w:line="240" w:lineRule="auto"/>
        <w:ind w:left="0" w:right="0" w:firstLine="9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47"/>
        <w:keepNext/>
        <w:keepLines/>
        <w:widowControl w:val="0"/>
        <w:shd w:val="clear" w:color="auto" w:fill="auto"/>
        <w:bidi w:val="0"/>
        <w:spacing w:before="0" w:after="360" w:line="240" w:lineRule="auto"/>
        <w:ind w:left="0" w:right="0" w:firstLine="940"/>
        <w:jc w:val="left"/>
      </w:pPr>
      <w:bookmarkStart w:id="320" w:name="bookmark320"/>
      <w:bookmarkStart w:id="321" w:name="bookmark321"/>
      <w:bookmarkStart w:id="322" w:name="bookmark322"/>
      <w:bookmarkStart w:id="323" w:name="bookmark323"/>
      <w:r>
        <w:rPr>
          <w:color w:val="000000"/>
          <w:spacing w:val="0"/>
          <w:w w:val="100"/>
          <w:position w:val="0"/>
          <w:sz w:val="24"/>
          <w:szCs w:val="24"/>
        </w:rPr>
        <w:t>五</w:t>
      </w:r>
      <w:bookmarkEnd w:id="322"/>
      <w:r>
        <w:rPr>
          <w:color w:val="000000"/>
          <w:spacing w:val="0"/>
          <w:w w:val="100"/>
          <w:position w:val="0"/>
          <w:sz w:val="24"/>
          <w:szCs w:val="24"/>
        </w:rPr>
        <w:t>、董事会、监事会、独立董事（如有）对会计师事务所本报告期“非标准审计报告”的说明</w:t>
      </w:r>
      <w:bookmarkEnd w:id="320"/>
      <w:bookmarkEnd w:id="321"/>
      <w:bookmarkEnd w:id="323"/>
    </w:p>
    <w:p>
      <w:pPr>
        <w:pStyle w:val="Style32"/>
        <w:keepNext w:val="0"/>
        <w:keepLines w:val="0"/>
        <w:widowControl w:val="0"/>
        <w:shd w:val="clear" w:color="auto" w:fill="auto"/>
        <w:bidi w:val="0"/>
        <w:spacing w:before="0" w:after="360" w:line="240" w:lineRule="auto"/>
        <w:ind w:left="0" w:right="0" w:firstLine="9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47"/>
        <w:keepNext/>
        <w:keepLines/>
        <w:widowControl w:val="0"/>
        <w:shd w:val="clear" w:color="auto" w:fill="auto"/>
        <w:bidi w:val="0"/>
        <w:spacing w:before="0" w:after="360" w:line="240" w:lineRule="auto"/>
        <w:ind w:left="0" w:right="0" w:firstLine="940"/>
        <w:jc w:val="left"/>
      </w:pPr>
      <w:bookmarkStart w:id="324" w:name="bookmark324"/>
      <w:bookmarkStart w:id="325" w:name="bookmark325"/>
      <w:bookmarkStart w:id="326" w:name="bookmark326"/>
      <w:bookmarkStart w:id="327" w:name="bookmark327"/>
      <w:r>
        <w:rPr>
          <w:color w:val="000000"/>
          <w:spacing w:val="0"/>
          <w:w w:val="100"/>
          <w:position w:val="0"/>
          <w:sz w:val="24"/>
          <w:szCs w:val="24"/>
        </w:rPr>
        <w:t>六</w:t>
      </w:r>
      <w:bookmarkEnd w:id="326"/>
      <w:r>
        <w:rPr>
          <w:color w:val="000000"/>
          <w:spacing w:val="0"/>
          <w:w w:val="100"/>
          <w:position w:val="0"/>
          <w:sz w:val="24"/>
          <w:szCs w:val="24"/>
        </w:rPr>
        <w:t>、董事会关于报告期会计政策、会计估计变更或重大会计差错更正的说明</w:t>
      </w:r>
      <w:bookmarkEnd w:id="324"/>
      <w:bookmarkEnd w:id="325"/>
      <w:bookmarkEnd w:id="327"/>
    </w:p>
    <w:p>
      <w:pPr>
        <w:pStyle w:val="Style32"/>
        <w:keepNext w:val="0"/>
        <w:keepLines w:val="0"/>
        <w:widowControl w:val="0"/>
        <w:shd w:val="clear" w:color="auto" w:fill="auto"/>
        <w:bidi w:val="0"/>
        <w:spacing w:before="0" w:after="120" w:line="240" w:lineRule="auto"/>
        <w:ind w:left="0" w:right="0" w:firstLine="940"/>
        <w:jc w:val="left"/>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940"/>
        <w:jc w:val="left"/>
      </w:pPr>
      <w:r>
        <w:rPr>
          <w:color w:val="000000"/>
          <w:spacing w:val="0"/>
          <w:w w:val="100"/>
          <w:position w:val="0"/>
        </w:rPr>
        <w:t>见本报告</w:t>
      </w:r>
      <w:r>
        <w:rPr>
          <w:rFonts w:ascii="Times New Roman" w:eastAsia="Times New Roman" w:hAnsi="Times New Roman" w:cs="Times New Roman"/>
          <w:color w:val="000000"/>
          <w:spacing w:val="0"/>
          <w:w w:val="100"/>
          <w:position w:val="0"/>
        </w:rPr>
        <w:t>“</w:t>
      </w:r>
      <w:r>
        <w:rPr>
          <w:color w:val="000000"/>
          <w:spacing w:val="0"/>
          <w:w w:val="100"/>
          <w:position w:val="0"/>
        </w:rPr>
        <w:t>第十二节、五、</w:t>
      </w:r>
      <w:r>
        <w:rPr>
          <w:rFonts w:ascii="Times New Roman" w:eastAsia="Times New Roman" w:hAnsi="Times New Roman" w:cs="Times New Roman"/>
          <w:color w:val="000000"/>
          <w:spacing w:val="0"/>
          <w:w w:val="100"/>
          <w:position w:val="0"/>
        </w:rPr>
        <w:t>44</w:t>
      </w:r>
      <w:r>
        <w:rPr>
          <w:color w:val="000000"/>
          <w:spacing w:val="0"/>
          <w:w w:val="100"/>
          <w:position w:val="0"/>
        </w:rPr>
        <w:t>、重要会计政策和会计估计变更</w:t>
      </w:r>
      <w:r>
        <w:rPr>
          <w:rFonts w:ascii="Times New Roman" w:eastAsia="Times New Roman" w:hAnsi="Times New Roman" w:cs="Times New Roman"/>
          <w:color w:val="000000"/>
          <w:spacing w:val="0"/>
          <w:w w:val="100"/>
          <w:position w:val="0"/>
        </w:rPr>
        <w:t>”</w:t>
      </w:r>
    </w:p>
    <w:p>
      <w:pPr>
        <w:pStyle w:val="Style47"/>
        <w:keepNext/>
        <w:keepLines/>
        <w:widowControl w:val="0"/>
        <w:shd w:val="clear" w:color="auto" w:fill="auto"/>
        <w:bidi w:val="0"/>
        <w:spacing w:before="0" w:after="360" w:line="240" w:lineRule="auto"/>
        <w:ind w:left="0" w:right="0" w:firstLine="940"/>
        <w:jc w:val="left"/>
      </w:pPr>
      <w:bookmarkStart w:id="328" w:name="bookmark328"/>
      <w:bookmarkStart w:id="329" w:name="bookmark329"/>
      <w:bookmarkStart w:id="330" w:name="bookmark330"/>
      <w:bookmarkStart w:id="331" w:name="bookmark331"/>
      <w:r>
        <w:rPr>
          <w:color w:val="000000"/>
          <w:spacing w:val="0"/>
          <w:w w:val="100"/>
          <w:position w:val="0"/>
          <w:sz w:val="24"/>
          <w:szCs w:val="24"/>
        </w:rPr>
        <w:t>七</w:t>
      </w:r>
      <w:bookmarkEnd w:id="330"/>
      <w:r>
        <w:rPr>
          <w:color w:val="000000"/>
          <w:spacing w:val="0"/>
          <w:w w:val="100"/>
          <w:position w:val="0"/>
          <w:sz w:val="24"/>
          <w:szCs w:val="24"/>
        </w:rPr>
        <w:t>、与上年度财务报告相比，合并报表范围发生变化的情况说明</w:t>
      </w:r>
      <w:bookmarkEnd w:id="328"/>
      <w:bookmarkEnd w:id="329"/>
      <w:bookmarkEnd w:id="331"/>
    </w:p>
    <w:p>
      <w:pPr>
        <w:pStyle w:val="Style32"/>
        <w:keepNext w:val="0"/>
        <w:keepLines w:val="0"/>
        <w:widowControl w:val="0"/>
        <w:shd w:val="clear" w:color="auto" w:fill="auto"/>
        <w:bidi w:val="0"/>
        <w:spacing w:before="0" w:after="120" w:line="240" w:lineRule="auto"/>
        <w:ind w:left="0" w:right="0" w:firstLine="940"/>
        <w:jc w:val="left"/>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940"/>
        <w:jc w:val="left"/>
      </w:pPr>
      <w:r>
        <w:rPr>
          <w:color w:val="000000"/>
          <w:spacing w:val="0"/>
          <w:w w:val="100"/>
          <w:position w:val="0"/>
        </w:rPr>
        <w:t>公司本期合并财务报表范围的变化详见本报告第十二节、八、合并范围的变更。</w:t>
      </w:r>
    </w:p>
    <w:p>
      <w:pPr>
        <w:pStyle w:val="Style47"/>
        <w:keepNext/>
        <w:keepLines/>
        <w:widowControl w:val="0"/>
        <w:shd w:val="clear" w:color="auto" w:fill="auto"/>
        <w:bidi w:val="0"/>
        <w:spacing w:before="0" w:after="360" w:line="240" w:lineRule="auto"/>
        <w:ind w:left="0" w:right="0" w:firstLine="940"/>
        <w:jc w:val="left"/>
      </w:pPr>
      <w:bookmarkStart w:id="332" w:name="bookmark332"/>
      <w:bookmarkStart w:id="333" w:name="bookmark333"/>
      <w:bookmarkStart w:id="334" w:name="bookmark334"/>
      <w:bookmarkStart w:id="335" w:name="bookmark335"/>
      <w:r>
        <w:rPr>
          <w:color w:val="000000"/>
          <w:spacing w:val="0"/>
          <w:w w:val="100"/>
          <w:position w:val="0"/>
          <w:sz w:val="24"/>
          <w:szCs w:val="24"/>
        </w:rPr>
        <w:t>八</w:t>
      </w:r>
      <w:bookmarkEnd w:id="334"/>
      <w:r>
        <w:rPr>
          <w:color w:val="000000"/>
          <w:spacing w:val="0"/>
          <w:w w:val="100"/>
          <w:position w:val="0"/>
          <w:sz w:val="24"/>
          <w:szCs w:val="24"/>
        </w:rPr>
        <w:t>、聘任、解聘会计师事务所情况</w:t>
      </w:r>
      <w:bookmarkEnd w:id="332"/>
      <w:bookmarkEnd w:id="333"/>
      <w:bookmarkEnd w:id="335"/>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现聘任的会计事务所</w:t>
      </w:r>
    </w:p>
    <w:tbl>
      <w:tblPr>
        <w:tblOverlap w:val="never"/>
        <w:jc w:val="right"/>
        <w:tblLayout w:type="fixed"/>
      </w:tblPr>
      <w:tblGrid>
        <w:gridCol w:w="4800"/>
        <w:gridCol w:w="4786"/>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境内会计师事务所名称</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容诚会计师事务所（特殊普通合伙）</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境内会计师事务所报酬（万元）</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境内会计师事务所审计服务的连续年限</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境内会计师事务所注册会计师姓名</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陆红、王逸飞</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境内会计师事务所注册会计师审计服务的连续年限</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陆红连续</w:t>
            </w:r>
            <w:r>
              <w:rPr>
                <w:rFonts w:ascii="Times New Roman" w:eastAsia="Times New Roman" w:hAnsi="Times New Roman" w:cs="Times New Roman"/>
                <w:color w:val="000000"/>
                <w:spacing w:val="0"/>
                <w:w w:val="100"/>
                <w:position w:val="0"/>
              </w:rPr>
              <w:t>5</w:t>
            </w:r>
            <w:r>
              <w:rPr>
                <w:color w:val="000000"/>
                <w:spacing w:val="0"/>
                <w:w w:val="100"/>
                <w:position w:val="0"/>
              </w:rPr>
              <w:t>年，王逸飞连续</w:t>
            </w:r>
            <w:r>
              <w:rPr>
                <w:rFonts w:ascii="Times New Roman" w:eastAsia="Times New Roman" w:hAnsi="Times New Roman" w:cs="Times New Roman"/>
                <w:color w:val="000000"/>
                <w:spacing w:val="0"/>
                <w:w w:val="100"/>
                <w:position w:val="0"/>
              </w:rPr>
              <w:t>1</w:t>
            </w:r>
            <w:r>
              <w:rPr>
                <w:color w:val="000000"/>
                <w:spacing w:val="0"/>
                <w:w w:val="100"/>
                <w:position w:val="0"/>
              </w:rPr>
              <w:t>年</w:t>
            </w:r>
          </w:p>
        </w:tc>
      </w:tr>
    </w:tbl>
    <w:p>
      <w:pPr>
        <w:pStyle w:val="Style32"/>
        <w:keepNext w:val="0"/>
        <w:keepLines w:val="0"/>
        <w:widowControl w:val="0"/>
        <w:shd w:val="clear" w:color="auto" w:fill="auto"/>
        <w:bidi w:val="0"/>
        <w:spacing w:before="0" w:after="120" w:line="314" w:lineRule="exact"/>
        <w:ind w:left="940" w:right="0" w:firstLine="20"/>
        <w:jc w:val="both"/>
      </w:pPr>
      <w:r>
        <w:rPr>
          <w:color w:val="000000"/>
          <w:spacing w:val="0"/>
          <w:w w:val="100"/>
          <w:position w:val="0"/>
        </w:rPr>
        <w:t>是否改聘会计师事务所</w:t>
      </w:r>
    </w:p>
    <w:p>
      <w:pPr>
        <w:pStyle w:val="Style32"/>
        <w:keepNext w:val="0"/>
        <w:keepLines w:val="0"/>
        <w:widowControl w:val="0"/>
        <w:shd w:val="clear" w:color="auto" w:fill="auto"/>
        <w:bidi w:val="0"/>
        <w:spacing w:before="0" w:after="0"/>
        <w:ind w:left="940" w:right="0" w:firstLine="20"/>
        <w:jc w:val="both"/>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2"/>
        <w:keepNext w:val="0"/>
        <w:keepLines w:val="0"/>
        <w:widowControl w:val="0"/>
        <w:shd w:val="clear" w:color="auto" w:fill="auto"/>
        <w:bidi w:val="0"/>
        <w:spacing w:before="0" w:after="120" w:line="314" w:lineRule="exact"/>
        <w:ind w:left="940" w:right="0" w:firstLine="20"/>
        <w:jc w:val="both"/>
      </w:pPr>
      <w:r>
        <w:rPr>
          <w:color w:val="000000"/>
          <w:spacing w:val="0"/>
          <w:w w:val="100"/>
          <w:position w:val="0"/>
        </w:rPr>
        <w:t>聘请内部控制审计会计师事务所、财务顾问或保荐人情况</w:t>
      </w:r>
    </w:p>
    <w:p>
      <w:pPr>
        <w:pStyle w:val="Style32"/>
        <w:keepNext w:val="0"/>
        <w:keepLines w:val="0"/>
        <w:widowControl w:val="0"/>
        <w:shd w:val="clear" w:color="auto" w:fill="auto"/>
        <w:bidi w:val="0"/>
        <w:spacing w:before="0" w:after="0"/>
        <w:ind w:left="940" w:right="0" w:firstLine="2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360" w:line="314" w:lineRule="exact"/>
        <w:ind w:left="940" w:right="0" w:firstLine="20"/>
        <w:jc w:val="both"/>
        <w:sectPr>
          <w:footnotePr>
            <w:pos w:val="pageBottom"/>
            <w:numFmt w:val="decimal"/>
            <w:numRestart w:val="continuous"/>
          </w:footnotePr>
          <w:pgSz w:w="11900" w:h="16840"/>
          <w:pgMar w:top="1057" w:right="1073" w:bottom="1163" w:left="167" w:header="0" w:footer="3" w:gutter="0"/>
          <w:cols w:space="720"/>
          <w:noEndnote/>
          <w:rtlGutter w:val="0"/>
          <w:docGrid w:linePitch="360"/>
        </w:sectP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日，公司与开源证券股份有限公司分别签订了《荣科科技股份有限公司与开源证券股份有限公司关于荣科科技 股份有限公司发行股份及支付现金购买资产之独立财务顾问协议》、《荣科科技股份有限公司与开源证券股份有限公司签订 的荣科科技股份有限公司非公开发行人民币普通股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股）之承销协议》，聘任开源证券作为公司发行股份购买资产并募集 配套资金的独立财务顾问及主承销商，财务顾问费及股票承销费用为人民币</w:t>
      </w:r>
      <w:r>
        <w:rPr>
          <w:rFonts w:ascii="Times New Roman" w:eastAsia="Times New Roman" w:hAnsi="Times New Roman" w:cs="Times New Roman"/>
          <w:color w:val="000000"/>
          <w:spacing w:val="0"/>
          <w:w w:val="100"/>
          <w:position w:val="0"/>
        </w:rPr>
        <w:t>300.00</w:t>
      </w:r>
      <w:r>
        <w:rPr>
          <w:color w:val="000000"/>
          <w:spacing w:val="0"/>
          <w:w w:val="100"/>
          <w:position w:val="0"/>
        </w:rPr>
        <w:t>万元，持续督导期至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日止。</w:t>
      </w:r>
    </w:p>
    <w:p>
      <w:pPr>
        <w:pStyle w:val="Style2"/>
        <w:keepNext/>
        <w:keepLines/>
        <w:widowControl w:val="0"/>
        <w:shd w:val="clear" w:color="auto" w:fill="auto"/>
        <w:bidi w:val="0"/>
        <w:spacing w:before="0" w:after="0" w:line="240" w:lineRule="auto"/>
        <w:ind w:left="0" w:right="0" w:firstLine="940"/>
        <w:jc w:val="left"/>
      </w:pPr>
      <w:bookmarkStart w:id="336" w:name="bookmark336"/>
      <w:bookmarkStart w:id="337" w:name="bookmark337"/>
      <w:bookmarkStart w:id="338" w:name="bookmark338"/>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336"/>
      <w:bookmarkEnd w:id="337"/>
      <w:bookmarkEnd w:id="338"/>
    </w:p>
    <w:p>
      <w:pPr>
        <w:pStyle w:val="Style5"/>
        <w:keepNext w:val="0"/>
        <w:keepLines w:val="0"/>
        <w:widowControl w:val="0"/>
        <w:shd w:val="clear" w:color="auto" w:fill="auto"/>
        <w:bidi w:val="0"/>
        <w:spacing w:before="0" w:after="0" w:line="240" w:lineRule="auto"/>
        <w:ind w:left="1780" w:right="0" w:firstLine="0"/>
        <w:jc w:val="left"/>
      </w:pPr>
      <w:r>
        <w:rPr>
          <w:spacing w:val="0"/>
          <w:w w:val="100"/>
          <w:position w:val="0"/>
        </w:rPr>
        <w:t>国家高新技术企业</w:t>
      </w:r>
    </w:p>
    <w:p>
      <w:pPr>
        <w:pStyle w:val="Style32"/>
        <w:keepNext w:val="0"/>
        <w:keepLines w:val="0"/>
        <w:widowControl w:val="0"/>
        <w:shd w:val="clear" w:color="auto" w:fill="auto"/>
        <w:tabs>
          <w:tab w:pos="1710" w:val="left"/>
        </w:tabs>
        <w:bidi w:val="0"/>
        <w:spacing w:before="0" w:after="0" w:line="240" w:lineRule="auto"/>
        <w:ind w:left="1120" w:right="0" w:firstLine="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360" w:line="240" w:lineRule="auto"/>
        <w:ind w:left="0" w:right="0" w:firstLine="940"/>
        <w:jc w:val="left"/>
      </w:pPr>
      <w:bookmarkStart w:id="339" w:name="bookmark339"/>
      <w:bookmarkStart w:id="340" w:name="bookmark340"/>
      <w:bookmarkStart w:id="341" w:name="bookmark341"/>
      <w:bookmarkStart w:id="342" w:name="bookmark342"/>
      <w:r>
        <w:rPr>
          <w:color w:val="000000"/>
          <w:spacing w:val="0"/>
          <w:w w:val="100"/>
          <w:position w:val="0"/>
          <w:sz w:val="24"/>
          <w:szCs w:val="24"/>
        </w:rPr>
        <w:t>九</w:t>
      </w:r>
      <w:bookmarkEnd w:id="341"/>
      <w:r>
        <w:rPr>
          <w:color w:val="000000"/>
          <w:spacing w:val="0"/>
          <w:w w:val="100"/>
          <w:position w:val="0"/>
          <w:sz w:val="24"/>
          <w:szCs w:val="24"/>
        </w:rPr>
        <w:t>、年度报告披露后面临退市情况</w:t>
      </w:r>
      <w:bookmarkEnd w:id="339"/>
      <w:bookmarkEnd w:id="340"/>
      <w:bookmarkEnd w:id="342"/>
    </w:p>
    <w:p>
      <w:pPr>
        <w:pStyle w:val="Style32"/>
        <w:keepNext w:val="0"/>
        <w:keepLines w:val="0"/>
        <w:widowControl w:val="0"/>
        <w:shd w:val="clear" w:color="auto" w:fill="auto"/>
        <w:bidi w:val="0"/>
        <w:spacing w:before="0" w:after="360" w:line="240" w:lineRule="auto"/>
        <w:ind w:left="0" w:right="0" w:firstLine="94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7"/>
        <w:keepNext/>
        <w:keepLines/>
        <w:widowControl w:val="0"/>
        <w:shd w:val="clear" w:color="auto" w:fill="auto"/>
        <w:bidi w:val="0"/>
        <w:spacing w:before="0" w:after="360" w:line="240" w:lineRule="auto"/>
        <w:ind w:left="0" w:right="0" w:firstLine="940"/>
        <w:jc w:val="left"/>
      </w:pPr>
      <w:bookmarkStart w:id="343" w:name="bookmark343"/>
      <w:bookmarkStart w:id="344" w:name="bookmark344"/>
      <w:bookmarkStart w:id="345" w:name="bookmark345"/>
      <w:r>
        <w:rPr>
          <w:color w:val="000000"/>
          <w:spacing w:val="0"/>
          <w:w w:val="100"/>
          <w:position w:val="0"/>
          <w:sz w:val="24"/>
          <w:szCs w:val="24"/>
        </w:rPr>
        <w:t>十、破产重整相关事项</w:t>
      </w:r>
      <w:bookmarkEnd w:id="343"/>
      <w:bookmarkEnd w:id="344"/>
      <w:bookmarkEnd w:id="345"/>
    </w:p>
    <w:p>
      <w:pPr>
        <w:pStyle w:val="Style32"/>
        <w:keepNext w:val="0"/>
        <w:keepLines w:val="0"/>
        <w:widowControl w:val="0"/>
        <w:shd w:val="clear" w:color="auto" w:fill="auto"/>
        <w:bidi w:val="0"/>
        <w:spacing w:before="0" w:after="140" w:line="240" w:lineRule="auto"/>
        <w:ind w:left="0" w:right="0" w:firstLine="9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940"/>
        <w:jc w:val="left"/>
      </w:pPr>
      <w:r>
        <w:rPr>
          <w:color w:val="000000"/>
          <w:spacing w:val="0"/>
          <w:w w:val="100"/>
          <w:position w:val="0"/>
        </w:rPr>
        <w:t>公司报告期未发生破产重整相关事项。</w:t>
      </w:r>
    </w:p>
    <w:p>
      <w:pPr>
        <w:pStyle w:val="Style47"/>
        <w:keepNext/>
        <w:keepLines/>
        <w:widowControl w:val="0"/>
        <w:shd w:val="clear" w:color="auto" w:fill="auto"/>
        <w:bidi w:val="0"/>
        <w:spacing w:before="0" w:after="360" w:line="240" w:lineRule="auto"/>
        <w:ind w:left="0" w:right="0" w:firstLine="940"/>
        <w:jc w:val="left"/>
      </w:pPr>
      <w:bookmarkStart w:id="346" w:name="bookmark346"/>
      <w:bookmarkStart w:id="347" w:name="bookmark347"/>
      <w:bookmarkStart w:id="348" w:name="bookmark348"/>
      <w:r>
        <w:rPr>
          <w:color w:val="000000"/>
          <w:spacing w:val="0"/>
          <w:w w:val="100"/>
          <w:position w:val="0"/>
          <w:sz w:val="24"/>
          <w:szCs w:val="24"/>
        </w:rPr>
        <w:t>十一、重大诉讼、仲裁事项</w:t>
      </w:r>
      <w:bookmarkEnd w:id="346"/>
      <w:bookmarkEnd w:id="347"/>
      <w:bookmarkEnd w:id="348"/>
    </w:p>
    <w:p>
      <w:pPr>
        <w:pStyle w:val="Style32"/>
        <w:keepNext w:val="0"/>
        <w:keepLines w:val="0"/>
        <w:widowControl w:val="0"/>
        <w:shd w:val="clear" w:color="auto" w:fill="auto"/>
        <w:bidi w:val="0"/>
        <w:spacing w:before="0" w:after="140" w:line="240" w:lineRule="auto"/>
        <w:ind w:left="0" w:right="0" w:firstLine="94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40" w:line="240" w:lineRule="auto"/>
        <w:ind w:left="0" w:right="0" w:firstLine="940"/>
        <w:jc w:val="left"/>
      </w:pPr>
      <w:r>
        <w:rPr>
          <w:color w:val="000000"/>
          <w:spacing w:val="0"/>
          <w:w w:val="100"/>
          <w:position w:val="0"/>
        </w:rPr>
        <w:t>本年度公司无重大诉讼、仲裁事项。</w:t>
      </w:r>
    </w:p>
    <w:p>
      <w:pPr>
        <w:pStyle w:val="Style32"/>
        <w:keepNext w:val="0"/>
        <w:keepLines w:val="0"/>
        <w:widowControl w:val="0"/>
        <w:shd w:val="clear" w:color="auto" w:fill="auto"/>
        <w:bidi w:val="0"/>
        <w:spacing w:before="0" w:after="80" w:line="240" w:lineRule="auto"/>
        <w:ind w:left="0" w:right="0" w:firstLine="940"/>
        <w:jc w:val="both"/>
      </w:pPr>
      <w:r>
        <w:rPr>
          <w:color w:val="000000"/>
          <w:spacing w:val="0"/>
          <w:w w:val="100"/>
          <w:position w:val="0"/>
        </w:rPr>
        <w:t>其他诉讼、仲裁事项如下：</w:t>
      </w:r>
    </w:p>
    <w:tbl>
      <w:tblPr>
        <w:tblOverlap w:val="never"/>
        <w:jc w:val="right"/>
        <w:tblLayout w:type="fixed"/>
      </w:tblPr>
      <w:tblGrid>
        <w:gridCol w:w="1459"/>
        <w:gridCol w:w="1085"/>
        <w:gridCol w:w="1267"/>
        <w:gridCol w:w="950"/>
        <w:gridCol w:w="1483"/>
        <w:gridCol w:w="1421"/>
        <w:gridCol w:w="989"/>
        <w:gridCol w:w="936"/>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诉讼</w:t>
            </w:r>
            <w:r>
              <w:rPr>
                <w:rFonts w:ascii="Times New Roman" w:eastAsia="Times New Roman" w:hAnsi="Times New Roman" w:cs="Times New Roman"/>
                <w:color w:val="000000"/>
                <w:spacing w:val="0"/>
                <w:w w:val="100"/>
                <w:position w:val="0"/>
              </w:rPr>
              <w:t>（</w:t>
            </w:r>
            <w:r>
              <w:rPr>
                <w:color w:val="000000"/>
                <w:spacing w:val="0"/>
                <w:w w:val="100"/>
                <w:position w:val="0"/>
              </w:rPr>
              <w:t>仲裁</w:t>
            </w:r>
            <w:r>
              <w:rPr>
                <w:rFonts w:ascii="Times New Roman" w:eastAsia="Times New Roman" w:hAnsi="Times New Roman" w:cs="Times New Roman"/>
                <w:color w:val="000000"/>
                <w:spacing w:val="0"/>
                <w:w w:val="100"/>
                <w:position w:val="0"/>
              </w:rPr>
              <w:t>）</w:t>
            </w:r>
            <w:r>
              <w:rPr>
                <w:color w:val="000000"/>
                <w:spacing w:val="0"/>
                <w:w w:val="100"/>
                <w:position w:val="0"/>
              </w:rPr>
              <w:t>基本情 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涉案金额（万 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是否形成预计 负债</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诉讼</w:t>
            </w:r>
            <w:r>
              <w:rPr>
                <w:rFonts w:ascii="Times New Roman" w:eastAsia="Times New Roman" w:hAnsi="Times New Roman" w:cs="Times New Roman"/>
                <w:color w:val="000000"/>
                <w:spacing w:val="0"/>
                <w:w w:val="100"/>
                <w:position w:val="0"/>
              </w:rPr>
              <w:t>（</w:t>
            </w:r>
            <w:r>
              <w:rPr>
                <w:color w:val="000000"/>
                <w:spacing w:val="0"/>
                <w:w w:val="100"/>
                <w:position w:val="0"/>
              </w:rPr>
              <w:t>仲裁</w:t>
            </w:r>
            <w:r>
              <w:rPr>
                <w:rFonts w:ascii="Times New Roman" w:eastAsia="Times New Roman" w:hAnsi="Times New Roman" w:cs="Times New Roman"/>
                <w:color w:val="000000"/>
                <w:spacing w:val="0"/>
                <w:w w:val="100"/>
                <w:position w:val="0"/>
              </w:rPr>
              <w:t xml:space="preserve">） </w:t>
            </w:r>
            <w:r>
              <w:rPr>
                <w:color w:val="000000"/>
                <w:spacing w:val="0"/>
                <w:w w:val="100"/>
                <w:position w:val="0"/>
              </w:rPr>
              <w:t>进展</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诉讼</w:t>
            </w:r>
            <w:r>
              <w:rPr>
                <w:rFonts w:ascii="Times New Roman" w:eastAsia="Times New Roman" w:hAnsi="Times New Roman" w:cs="Times New Roman"/>
                <w:color w:val="000000"/>
                <w:spacing w:val="0"/>
                <w:w w:val="100"/>
                <w:position w:val="0"/>
              </w:rPr>
              <w:t>（</w:t>
            </w:r>
            <w:r>
              <w:rPr>
                <w:color w:val="000000"/>
                <w:spacing w:val="0"/>
                <w:w w:val="100"/>
                <w:position w:val="0"/>
              </w:rPr>
              <w:t>仲裁</w:t>
            </w:r>
            <w:r>
              <w:rPr>
                <w:rFonts w:ascii="Times New Roman" w:eastAsia="Times New Roman" w:hAnsi="Times New Roman" w:cs="Times New Roman"/>
                <w:color w:val="000000"/>
                <w:spacing w:val="0"/>
                <w:w w:val="100"/>
                <w:position w:val="0"/>
              </w:rPr>
              <w:t>）</w:t>
            </w:r>
            <w:r>
              <w:rPr>
                <w:color w:val="000000"/>
                <w:spacing w:val="0"/>
                <w:w w:val="100"/>
                <w:position w:val="0"/>
              </w:rPr>
              <w:t>审理结 果及影响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诉讼</w:t>
            </w:r>
            <w:r>
              <w:rPr>
                <w:rFonts w:ascii="Times New Roman" w:eastAsia="Times New Roman" w:hAnsi="Times New Roman" w:cs="Times New Roman"/>
                <w:color w:val="000000"/>
                <w:spacing w:val="0"/>
                <w:w w:val="100"/>
                <w:position w:val="0"/>
              </w:rPr>
              <w:t>（</w:t>
            </w:r>
            <w:r>
              <w:rPr>
                <w:color w:val="000000"/>
                <w:spacing w:val="0"/>
                <w:w w:val="100"/>
                <w:position w:val="0"/>
              </w:rPr>
              <w:t>仲裁</w:t>
            </w:r>
            <w:r>
              <w:rPr>
                <w:rFonts w:ascii="Times New Roman" w:eastAsia="Times New Roman" w:hAnsi="Times New Roman" w:cs="Times New Roman"/>
                <w:color w:val="000000"/>
                <w:spacing w:val="0"/>
                <w:w w:val="100"/>
                <w:position w:val="0"/>
              </w:rPr>
              <w:t>）</w:t>
            </w:r>
            <w:r>
              <w:rPr>
                <w:color w:val="000000"/>
                <w:spacing w:val="0"/>
                <w:w w:val="100"/>
                <w:position w:val="0"/>
              </w:rPr>
              <w:t>判决 执行情况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披露日期</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披露索引</w:t>
            </w:r>
          </w:p>
        </w:tc>
      </w:tr>
      <w:tr>
        <w:trPr>
          <w:trHeight w:val="1651"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买卖合同纠纷 案</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rPr>
              <w:t>658.00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已结案</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4" w:lineRule="exact"/>
              <w:ind w:left="0" w:right="0" w:firstLine="0"/>
              <w:jc w:val="left"/>
            </w:pPr>
            <w:r>
              <w:rPr>
                <w:color w:val="000000"/>
                <w:spacing w:val="0"/>
                <w:w w:val="100"/>
                <w:position w:val="0"/>
              </w:rPr>
              <w:t>北京市高级人民 法院民事调解书</w:t>
            </w:r>
          </w:p>
          <w:p>
            <w:pPr>
              <w:pStyle w:val="Style44"/>
              <w:keepNext w:val="0"/>
              <w:keepLines w:val="0"/>
              <w:widowControl w:val="0"/>
              <w:shd w:val="clear" w:color="auto" w:fill="auto"/>
              <w:bidi w:val="0"/>
              <w:spacing w:before="0" w:after="0" w:line="314"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）京民终</w:t>
            </w:r>
          </w:p>
          <w:p>
            <w:pPr>
              <w:pStyle w:val="Style44"/>
              <w:keepNext w:val="0"/>
              <w:keepLines w:val="0"/>
              <w:widowControl w:val="0"/>
              <w:shd w:val="clear" w:color="auto" w:fill="auto"/>
              <w:bidi w:val="0"/>
              <w:spacing w:before="0" w:after="0" w:line="314" w:lineRule="exact"/>
              <w:ind w:left="0" w:right="0" w:firstLine="0"/>
              <w:jc w:val="left"/>
            </w:pPr>
            <w:r>
              <w:rPr>
                <w:rFonts w:ascii="Times New Roman" w:eastAsia="Times New Roman" w:hAnsi="Times New Roman" w:cs="Times New Roman"/>
                <w:color w:val="000000"/>
                <w:spacing w:val="0"/>
                <w:w w:val="100"/>
                <w:position w:val="0"/>
              </w:rPr>
              <w:t>315</w:t>
            </w:r>
            <w:r>
              <w:rPr>
                <w:color w:val="000000"/>
                <w:spacing w:val="0"/>
                <w:w w:val="100"/>
                <w:position w:val="0"/>
              </w:rPr>
              <w:t>号。荣科需向 原告支付</w:t>
            </w:r>
            <w:r>
              <w:rPr>
                <w:rFonts w:ascii="Times New Roman" w:eastAsia="Times New Roman" w:hAnsi="Times New Roman" w:cs="Times New Roman"/>
                <w:color w:val="000000"/>
                <w:spacing w:val="0"/>
                <w:w w:val="100"/>
                <w:position w:val="0"/>
              </w:rPr>
              <w:t>240</w:t>
            </w:r>
            <w:r>
              <w:rPr>
                <w:color w:val="000000"/>
                <w:spacing w:val="0"/>
                <w:w w:val="100"/>
                <w:position w:val="0"/>
              </w:rPr>
              <w:t>万元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已结案</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11</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买卖合同纠纷 案</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rPr>
              <w:t>707.48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审理中</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未知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尚未判决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20"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其他诉讼及仲裁 情况</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18"/>
                <w:szCs w:val="18"/>
              </w:rPr>
              <w:t>409.00</w:t>
            </w:r>
            <w:r>
              <w:rPr>
                <w:rFonts w:ascii="Times New Roman" w:eastAsia="Times New Roman" w:hAnsi="Times New Roman" w:cs="Times New Roman"/>
                <w:color w:val="FF0000"/>
                <w:spacing w:val="0"/>
                <w:w w:val="100"/>
                <w:position w:val="0"/>
                <w:sz w:val="20"/>
                <w:szCs w:val="20"/>
                <w:vertAlign w:val="superscript"/>
              </w:rPr>
              <w:t>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340</w:t>
            </w:r>
            <w:r>
              <w:rPr>
                <w:color w:val="000000"/>
                <w:spacing w:val="0"/>
                <w:w w:val="100"/>
                <w:position w:val="0"/>
              </w:rPr>
              <w:t>万元已经胜诉</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176</w:t>
            </w:r>
            <w:r>
              <w:rPr>
                <w:color w:val="000000"/>
                <w:spacing w:val="0"/>
                <w:w w:val="100"/>
                <w:position w:val="0"/>
              </w:rPr>
              <w:t>万元进入胜 诉执行阶段</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注：</w:t>
      </w:r>
      <w:r>
        <w:rPr>
          <w:rFonts w:ascii="Times New Roman" w:eastAsia="Times New Roman" w:hAnsi="Times New Roman" w:cs="Times New Roman"/>
          <w:color w:val="000000"/>
          <w:spacing w:val="0"/>
          <w:w w:val="100"/>
          <w:position w:val="0"/>
        </w:rPr>
        <w:t>1</w:t>
      </w:r>
      <w:r>
        <w:rPr>
          <w:color w:val="000000"/>
          <w:spacing w:val="0"/>
          <w:w w:val="100"/>
          <w:position w:val="0"/>
        </w:rPr>
        <w:t>,本公司作为原告的涉案金额为</w:t>
      </w:r>
      <w:r>
        <w:rPr>
          <w:rFonts w:ascii="Times New Roman" w:eastAsia="Times New Roman" w:hAnsi="Times New Roman" w:cs="Times New Roman"/>
          <w:color w:val="000000"/>
          <w:spacing w:val="0"/>
          <w:w w:val="100"/>
          <w:position w:val="0"/>
        </w:rPr>
        <w:t>340.00</w:t>
      </w:r>
      <w:r>
        <w:rPr>
          <w:color w:val="000000"/>
          <w:spacing w:val="0"/>
          <w:w w:val="100"/>
          <w:position w:val="0"/>
        </w:rPr>
        <w:t>万元；作为被告的涉案金额为</w:t>
      </w:r>
      <w:r>
        <w:rPr>
          <w:rFonts w:ascii="Times New Roman" w:eastAsia="Times New Roman" w:hAnsi="Times New Roman" w:cs="Times New Roman"/>
          <w:color w:val="000000"/>
          <w:spacing w:val="0"/>
          <w:w w:val="100"/>
          <w:position w:val="0"/>
        </w:rPr>
        <w:t>69.00</w:t>
      </w:r>
      <w:r>
        <w:rPr>
          <w:color w:val="000000"/>
          <w:spacing w:val="0"/>
          <w:w w:val="100"/>
          <w:position w:val="0"/>
        </w:rPr>
        <w:t>万元。</w:t>
      </w:r>
    </w:p>
    <w:p>
      <w:pPr>
        <w:widowControl w:val="0"/>
        <w:spacing w:after="359" w:line="1" w:lineRule="exact"/>
      </w:pPr>
    </w:p>
    <w:p>
      <w:pPr>
        <w:pStyle w:val="Style47"/>
        <w:keepNext/>
        <w:keepLines/>
        <w:widowControl w:val="0"/>
        <w:shd w:val="clear" w:color="auto" w:fill="auto"/>
        <w:bidi w:val="0"/>
        <w:spacing w:before="0" w:after="360" w:line="240" w:lineRule="auto"/>
        <w:ind w:left="0" w:right="0" w:firstLine="940"/>
        <w:jc w:val="left"/>
      </w:pPr>
      <w:bookmarkStart w:id="349" w:name="bookmark349"/>
      <w:bookmarkStart w:id="350" w:name="bookmark350"/>
      <w:bookmarkStart w:id="351" w:name="bookmark351"/>
      <w:r>
        <w:rPr>
          <w:color w:val="000000"/>
          <w:spacing w:val="0"/>
          <w:w w:val="100"/>
          <w:position w:val="0"/>
          <w:sz w:val="24"/>
          <w:szCs w:val="24"/>
        </w:rPr>
        <w:t>十二、处罚及整改情况</w:t>
      </w:r>
      <w:bookmarkEnd w:id="349"/>
      <w:bookmarkEnd w:id="350"/>
      <w:bookmarkEnd w:id="351"/>
    </w:p>
    <w:p>
      <w:pPr>
        <w:pStyle w:val="Style32"/>
        <w:keepNext w:val="0"/>
        <w:keepLines w:val="0"/>
        <w:widowControl w:val="0"/>
        <w:shd w:val="clear" w:color="auto" w:fill="auto"/>
        <w:bidi w:val="0"/>
        <w:spacing w:before="0" w:after="140" w:line="240" w:lineRule="auto"/>
        <w:ind w:left="0" w:right="0" w:firstLine="9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940"/>
        <w:jc w:val="left"/>
      </w:pPr>
      <w:r>
        <w:rPr>
          <w:color w:val="000000"/>
          <w:spacing w:val="0"/>
          <w:w w:val="100"/>
          <w:position w:val="0"/>
        </w:rPr>
        <w:t>公司报告期不存在处罚及整改情况。</w:t>
      </w:r>
    </w:p>
    <w:p>
      <w:pPr>
        <w:pStyle w:val="Style47"/>
        <w:keepNext/>
        <w:keepLines/>
        <w:widowControl w:val="0"/>
        <w:shd w:val="clear" w:color="auto" w:fill="auto"/>
        <w:bidi w:val="0"/>
        <w:spacing w:before="0" w:after="360" w:line="240" w:lineRule="auto"/>
        <w:ind w:left="0" w:right="0" w:firstLine="940"/>
        <w:jc w:val="left"/>
      </w:pPr>
      <w:bookmarkStart w:id="352" w:name="bookmark352"/>
      <w:bookmarkStart w:id="353" w:name="bookmark353"/>
      <w:bookmarkStart w:id="354" w:name="bookmark354"/>
      <w:r>
        <w:rPr>
          <w:color w:val="000000"/>
          <w:spacing w:val="0"/>
          <w:w w:val="100"/>
          <w:position w:val="0"/>
          <w:sz w:val="24"/>
          <w:szCs w:val="24"/>
        </w:rPr>
        <w:t>十三、公司及其控股股东、实际控制人的诚信状况</w:t>
      </w:r>
      <w:bookmarkEnd w:id="352"/>
      <w:bookmarkEnd w:id="353"/>
      <w:bookmarkEnd w:id="354"/>
    </w:p>
    <w:p>
      <w:pPr>
        <w:pStyle w:val="Style32"/>
        <w:keepNext w:val="0"/>
        <w:keepLines w:val="0"/>
        <w:widowControl w:val="0"/>
        <w:shd w:val="clear" w:color="auto" w:fill="auto"/>
        <w:bidi w:val="0"/>
        <w:spacing w:before="0" w:after="240"/>
        <w:ind w:left="0" w:right="0" w:firstLine="9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7"/>
        <w:keepNext/>
        <w:keepLines/>
        <w:widowControl w:val="0"/>
        <w:shd w:val="clear" w:color="auto" w:fill="auto"/>
        <w:bidi w:val="0"/>
        <w:spacing w:before="0" w:after="360" w:line="240" w:lineRule="auto"/>
        <w:ind w:left="0" w:right="0" w:firstLine="940"/>
        <w:jc w:val="left"/>
      </w:pPr>
      <w:bookmarkStart w:id="355" w:name="bookmark355"/>
      <w:bookmarkStart w:id="356" w:name="bookmark356"/>
      <w:bookmarkStart w:id="357" w:name="bookmark357"/>
      <w:r>
        <w:rPr>
          <w:color w:val="000000"/>
          <w:spacing w:val="0"/>
          <w:w w:val="100"/>
          <w:position w:val="0"/>
          <w:sz w:val="24"/>
          <w:szCs w:val="24"/>
        </w:rPr>
        <w:t>十四、公司股权激励计划、员工持股计划或其他员工激励措施的实施情况</w:t>
      </w:r>
      <w:bookmarkEnd w:id="355"/>
      <w:bookmarkEnd w:id="356"/>
      <w:bookmarkEnd w:id="357"/>
    </w:p>
    <w:p>
      <w:pPr>
        <w:pStyle w:val="Style32"/>
        <w:keepNext w:val="0"/>
        <w:keepLines w:val="0"/>
        <w:widowControl w:val="0"/>
        <w:shd w:val="clear" w:color="auto" w:fill="auto"/>
        <w:bidi w:val="0"/>
        <w:spacing w:before="0" w:after="140"/>
        <w:ind w:left="0" w:right="0" w:firstLine="94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0"/>
        <w:ind w:left="0" w:right="0" w:firstLine="940"/>
        <w:jc w:val="left"/>
      </w:pPr>
      <w:bookmarkStart w:id="358" w:name="bookmark358"/>
      <w:r>
        <w:rPr>
          <w:rFonts w:ascii="Times New Roman" w:eastAsia="Times New Roman" w:hAnsi="Times New Roman" w:cs="Times New Roman"/>
          <w:b/>
          <w:bCs/>
          <w:color w:val="000000"/>
          <w:spacing w:val="0"/>
          <w:w w:val="100"/>
          <w:position w:val="0"/>
        </w:rPr>
        <w:t>1</w:t>
      </w:r>
      <w:bookmarkEnd w:id="358"/>
      <w:r>
        <w:rPr>
          <w:b/>
          <w:bCs/>
          <w:color w:val="000000"/>
          <w:spacing w:val="0"/>
          <w:w w:val="100"/>
          <w:position w:val="0"/>
        </w:rPr>
        <w:t>、荣科科技第</w:t>
      </w:r>
      <w:r>
        <w:rPr>
          <w:rFonts w:ascii="Times New Roman" w:eastAsia="Times New Roman" w:hAnsi="Times New Roman" w:cs="Times New Roman"/>
          <w:b/>
          <w:bCs/>
          <w:color w:val="000000"/>
          <w:spacing w:val="0"/>
          <w:w w:val="100"/>
          <w:position w:val="0"/>
        </w:rPr>
        <w:t>1</w:t>
      </w:r>
      <w:r>
        <w:rPr>
          <w:b/>
          <w:bCs/>
          <w:color w:val="000000"/>
          <w:spacing w:val="0"/>
          <w:w w:val="100"/>
          <w:position w:val="0"/>
        </w:rPr>
        <w:t>期员工持股计划</w:t>
      </w:r>
    </w:p>
    <w:p>
      <w:pPr>
        <w:pStyle w:val="Style32"/>
        <w:keepNext w:val="0"/>
        <w:keepLines w:val="0"/>
        <w:widowControl w:val="0"/>
        <w:shd w:val="clear" w:color="auto" w:fill="auto"/>
        <w:bidi w:val="0"/>
        <w:spacing w:before="0" w:after="360" w:line="317" w:lineRule="exact"/>
        <w:ind w:left="940" w:right="0" w:firstLine="20"/>
        <w:jc w:val="both"/>
        <w:sectPr>
          <w:footnotePr>
            <w:pos w:val="pageBottom"/>
            <w:numFmt w:val="decimal"/>
            <w:numRestart w:val="continuous"/>
          </w:footnotePr>
          <w:pgSz w:w="11900" w:h="16840"/>
          <w:pgMar w:top="678" w:right="1073" w:bottom="1158" w:left="167" w:header="0" w:footer="3" w:gutter="0"/>
          <w:cols w:space="720"/>
          <w:noEndnote/>
          <w:rtlGutter w:val="0"/>
          <w:docGrid w:linePitch="360"/>
        </w:sectPr>
      </w:pP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日，公司召开第二届董事会第十三次会议，审议通过了《荣科科技股份有限公司第</w:t>
      </w:r>
      <w:r>
        <w:rPr>
          <w:rFonts w:ascii="Times New Roman" w:eastAsia="Times New Roman" w:hAnsi="Times New Roman" w:cs="Times New Roman"/>
          <w:color w:val="000000"/>
          <w:spacing w:val="0"/>
          <w:w w:val="100"/>
          <w:position w:val="0"/>
        </w:rPr>
        <w:t>1</w:t>
      </w:r>
      <w:r>
        <w:rPr>
          <w:color w:val="000000"/>
          <w:spacing w:val="0"/>
          <w:w w:val="100"/>
          <w:position w:val="0"/>
        </w:rPr>
        <w:t>期员工持股计划（草案）（认 购非公开发行股票方式）》：本次员工持股计划每</w:t>
      </w:r>
      <w:r>
        <w:rPr>
          <w:rFonts w:ascii="Times New Roman" w:eastAsia="Times New Roman" w:hAnsi="Times New Roman" w:cs="Times New Roman"/>
          <w:color w:val="000000"/>
          <w:spacing w:val="0"/>
          <w:w w:val="100"/>
          <w:position w:val="0"/>
        </w:rPr>
        <w:t>1</w:t>
      </w:r>
      <w:r>
        <w:rPr>
          <w:color w:val="000000"/>
          <w:spacing w:val="0"/>
          <w:w w:val="100"/>
          <w:position w:val="0"/>
        </w:rPr>
        <w:t>计划份额的认购价格为人民币</w:t>
      </w:r>
      <w:r>
        <w:rPr>
          <w:rFonts w:ascii="Times New Roman" w:eastAsia="Times New Roman" w:hAnsi="Times New Roman" w:cs="Times New Roman"/>
          <w:color w:val="000000"/>
          <w:spacing w:val="0"/>
          <w:w w:val="100"/>
          <w:position w:val="0"/>
        </w:rPr>
        <w:t>1</w:t>
      </w:r>
      <w:r>
        <w:rPr>
          <w:color w:val="000000"/>
          <w:spacing w:val="0"/>
          <w:w w:val="100"/>
          <w:position w:val="0"/>
        </w:rPr>
        <w:t>元，设立时计划份额合计不超过</w:t>
      </w:r>
      <w:r>
        <w:rPr>
          <w:rFonts w:ascii="Times New Roman" w:eastAsia="Times New Roman" w:hAnsi="Times New Roman" w:cs="Times New Roman"/>
          <w:color w:val="000000"/>
          <w:spacing w:val="0"/>
          <w:w w:val="100"/>
          <w:position w:val="0"/>
        </w:rPr>
        <w:t>6,000</w:t>
      </w:r>
      <w:r>
        <w:rPr>
          <w:color w:val="000000"/>
          <w:spacing w:val="0"/>
          <w:w w:val="100"/>
          <w:position w:val="0"/>
        </w:rPr>
        <w:t>万</w:t>
      </w:r>
    </w:p>
    <w:p>
      <w:pPr>
        <w:widowControl w:val="0"/>
        <w:spacing w:line="1" w:lineRule="exact"/>
      </w:pPr>
      <w:r>
        <mc:AlternateContent>
          <mc:Choice Requires="wps">
            <w:drawing>
              <wp:anchor distT="0" distB="0" distL="114300" distR="114300" simplePos="0" relativeHeight="125829422" behindDoc="0" locked="0" layoutInCell="1" allowOverlap="1">
                <wp:simplePos x="0" y="0"/>
                <wp:positionH relativeFrom="page">
                  <wp:posOffset>803910</wp:posOffset>
                </wp:positionH>
                <wp:positionV relativeFrom="paragraph">
                  <wp:posOffset>12700</wp:posOffset>
                </wp:positionV>
                <wp:extent cx="1243330" cy="298450"/>
                <wp:wrapTopAndBottom/>
                <wp:docPr id="309" name="Shape 309"/>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335" type="#_x0000_t202" style="position:absolute;margin-left:63.300000000000004pt;margin-top:1.pt;width:97.900000000000006pt;height:23.5pt;z-index:-125829331;mso-wrap-distance-left:9.pt;mso-wrap-distance-right:9.pt;mso-position-horizontal-relative:page"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v:shape>
            </w:pict>
          </mc:Fallback>
        </mc:AlternateContent>
      </w:r>
    </w:p>
    <w:p>
      <w:pPr>
        <w:pStyle w:val="Style32"/>
        <w:keepNext w:val="0"/>
        <w:keepLines w:val="0"/>
        <w:widowControl w:val="0"/>
        <w:shd w:val="clear" w:color="auto" w:fill="auto"/>
        <w:bidi w:val="0"/>
        <w:spacing w:before="0" w:after="100" w:line="240" w:lineRule="auto"/>
        <w:ind w:left="900" w:right="0" w:firstLine="0"/>
        <w:jc w:val="both"/>
      </w:pPr>
      <w:r>
        <w:rPr>
          <w:color w:val="000000"/>
          <w:spacing w:val="0"/>
          <w:w w:val="100"/>
          <w:position w:val="0"/>
        </w:rPr>
        <w:t>份，资金总额不超过</w:t>
      </w:r>
      <w:r>
        <w:rPr>
          <w:rFonts w:ascii="Times New Roman" w:eastAsia="Times New Roman" w:hAnsi="Times New Roman" w:cs="Times New Roman"/>
          <w:color w:val="000000"/>
          <w:spacing w:val="0"/>
          <w:w w:val="100"/>
          <w:position w:val="0"/>
        </w:rPr>
        <w:t>6,000</w:t>
      </w:r>
      <w:r>
        <w:rPr>
          <w:color w:val="000000"/>
          <w:spacing w:val="0"/>
          <w:w w:val="100"/>
          <w:position w:val="0"/>
        </w:rPr>
        <w:t>万元，其中认购员工持股计划的公司董事、监事和高级管理人员不超过</w:t>
      </w:r>
      <w:r>
        <w:rPr>
          <w:rFonts w:ascii="Times New Roman" w:eastAsia="Times New Roman" w:hAnsi="Times New Roman" w:cs="Times New Roman"/>
          <w:color w:val="000000"/>
          <w:spacing w:val="0"/>
          <w:w w:val="100"/>
          <w:position w:val="0"/>
        </w:rPr>
        <w:t>7</w:t>
      </w:r>
      <w:r>
        <w:rPr>
          <w:color w:val="000000"/>
          <w:spacing w:val="0"/>
          <w:w w:val="100"/>
          <w:position w:val="0"/>
        </w:rPr>
        <w:t xml:space="preserve">人。参加对象认购员工持 </w:t>
      </w:r>
      <w:r>
        <w:rPr>
          <w:color w:val="000000"/>
          <w:spacing w:val="0"/>
          <w:w w:val="100"/>
          <w:position w:val="0"/>
        </w:rPr>
        <w:t xml:space="preserve">股计划份额的款项来源于参加对象的合法薪酬及其他合法方式筹集。员工持股计划的股票来源为认购本公司非公开发行的股 </w:t>
      </w:r>
      <w:r>
        <w:rPr>
          <w:color w:val="000000"/>
          <w:spacing w:val="0"/>
          <w:w w:val="100"/>
          <w:position w:val="0"/>
        </w:rPr>
        <w:t>票。员工持股计划认购本公司非公开发行股票金额不超过</w:t>
      </w:r>
      <w:r>
        <w:rPr>
          <w:rFonts w:ascii="Times New Roman" w:eastAsia="Times New Roman" w:hAnsi="Times New Roman" w:cs="Times New Roman"/>
          <w:color w:val="000000"/>
          <w:spacing w:val="0"/>
          <w:w w:val="100"/>
          <w:position w:val="0"/>
        </w:rPr>
        <w:t>6,000</w:t>
      </w:r>
      <w:r>
        <w:rPr>
          <w:color w:val="000000"/>
          <w:spacing w:val="0"/>
          <w:w w:val="100"/>
          <w:position w:val="0"/>
        </w:rPr>
        <w:t>万元，认购股份不超过</w:t>
      </w:r>
      <w:r>
        <w:rPr>
          <w:rFonts w:ascii="Times New Roman" w:eastAsia="Times New Roman" w:hAnsi="Times New Roman" w:cs="Times New Roman"/>
          <w:color w:val="000000"/>
          <w:spacing w:val="0"/>
          <w:w w:val="100"/>
          <w:position w:val="0"/>
        </w:rPr>
        <w:t>378.0718</w:t>
      </w:r>
      <w:r>
        <w:rPr>
          <w:color w:val="000000"/>
          <w:spacing w:val="0"/>
          <w:w w:val="100"/>
          <w:position w:val="0"/>
        </w:rPr>
        <w:t>万股。本次员工持股计划的存 续期为</w:t>
      </w:r>
      <w:r>
        <w:rPr>
          <w:rFonts w:ascii="Times New Roman" w:eastAsia="Times New Roman" w:hAnsi="Times New Roman" w:cs="Times New Roman"/>
          <w:color w:val="000000"/>
          <w:spacing w:val="0"/>
          <w:w w:val="100"/>
          <w:position w:val="0"/>
        </w:rPr>
        <w:t>48</w:t>
      </w:r>
      <w:r>
        <w:rPr>
          <w:color w:val="000000"/>
          <w:spacing w:val="0"/>
          <w:w w:val="100"/>
          <w:position w:val="0"/>
        </w:rPr>
        <w:t xml:space="preserve">个月，自公司公告本次非公开发行的股票登记至员工持股计划名下时起算。员工持股计划认购非公开发行股票的锁 </w:t>
      </w:r>
      <w:r>
        <w:rPr>
          <w:color w:val="000000"/>
          <w:spacing w:val="0"/>
          <w:w w:val="100"/>
          <w:position w:val="0"/>
        </w:rPr>
        <w:t>定期为</w:t>
      </w:r>
      <w:r>
        <w:rPr>
          <w:rFonts w:ascii="Times New Roman" w:eastAsia="Times New Roman" w:hAnsi="Times New Roman" w:cs="Times New Roman"/>
          <w:color w:val="000000"/>
          <w:spacing w:val="0"/>
          <w:w w:val="100"/>
          <w:position w:val="0"/>
        </w:rPr>
        <w:t>36</w:t>
      </w:r>
      <w:r>
        <w:rPr>
          <w:color w:val="000000"/>
          <w:spacing w:val="0"/>
          <w:w w:val="100"/>
          <w:position w:val="0"/>
        </w:rPr>
        <w:t>个月，自公司公告本次非公开发行的股票登记至员工持股计划名下时起算。详见:</w:t>
      </w:r>
    </w:p>
    <w:p>
      <w:pPr>
        <w:pStyle w:val="Style103"/>
        <w:keepNext w:val="0"/>
        <w:keepLines w:val="0"/>
        <w:widowControl w:val="0"/>
        <w:shd w:val="clear" w:color="auto" w:fill="auto"/>
        <w:bidi w:val="0"/>
        <w:spacing w:before="0" w:after="100" w:line="240" w:lineRule="auto"/>
        <w:ind w:left="0" w:right="0" w:firstLine="900"/>
        <w:jc w:val="both"/>
      </w:pPr>
      <w:r>
        <w:rPr>
          <w:color w:val="000000"/>
          <w:spacing w:val="0"/>
          <w:w w:val="100"/>
          <w:position w:val="0"/>
        </w:rPr>
        <w:t xml:space="preserve">http://www. </w:t>
      </w:r>
      <w:r>
        <w:rPr>
          <w:color w:val="000000"/>
          <w:spacing w:val="0"/>
          <w:w w:val="100"/>
          <w:position w:val="0"/>
        </w:rPr>
        <w:t>cninfo.com</w:t>
      </w:r>
      <w:r>
        <w:rPr>
          <w:color w:val="000000"/>
          <w:spacing w:val="0"/>
          <w:w w:val="100"/>
          <w:position w:val="0"/>
        </w:rPr>
        <w:t>. cn/cninfo-new/disclo sure/sz se_gem/bulletin_detail/true/1200274404?announceT ime=2014-09-30</w:t>
      </w:r>
    </w:p>
    <w:p>
      <w:pPr>
        <w:pStyle w:val="Style32"/>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日，公司召开</w:t>
      </w:r>
      <w:r>
        <w:rPr>
          <w:rFonts w:ascii="Times New Roman" w:eastAsia="Times New Roman" w:hAnsi="Times New Roman" w:cs="Times New Roman"/>
          <w:color w:val="000000"/>
          <w:spacing w:val="0"/>
          <w:w w:val="100"/>
          <w:position w:val="0"/>
        </w:rPr>
        <w:t>2014</w:t>
      </w:r>
      <w:r>
        <w:rPr>
          <w:color w:val="000000"/>
          <w:spacing w:val="0"/>
          <w:w w:val="100"/>
          <w:position w:val="0"/>
        </w:rPr>
        <w:t>年度第二次临时股东大会，审议通过了该项议案。</w:t>
      </w:r>
    </w:p>
    <w:p>
      <w:pPr>
        <w:pStyle w:val="Style32"/>
        <w:keepNext w:val="0"/>
        <w:keepLines w:val="0"/>
        <w:widowControl w:val="0"/>
        <w:shd w:val="clear" w:color="auto" w:fill="auto"/>
        <w:bidi w:val="0"/>
        <w:spacing w:before="0" w:after="100" w:line="317" w:lineRule="exact"/>
        <w:ind w:left="900" w:right="0" w:firstLine="0"/>
        <w:jc w:val="left"/>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日，公司收到中国证监会《关于核准荣科科技股份有限公司非公开发行股票的批复》（证监许可</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2015]996</w:t>
      </w:r>
      <w:r>
        <w:rPr>
          <w:color w:val="000000"/>
          <w:spacing w:val="0"/>
          <w:w w:val="100"/>
          <w:position w:val="0"/>
        </w:rPr>
        <w:t>号） 核准了本次发行。</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日，公司通过中国结算深圳分公司办理了股份登记事宜。</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日，公司本次非公开发 行股票在深交所创业板上市。本次非公开发行股票上市情况详见：</w:t>
      </w:r>
    </w:p>
    <w:p>
      <w:pPr>
        <w:pStyle w:val="Style103"/>
        <w:keepNext w:val="0"/>
        <w:keepLines w:val="0"/>
        <w:widowControl w:val="0"/>
        <w:shd w:val="clear" w:color="auto" w:fill="auto"/>
        <w:bidi w:val="0"/>
        <w:spacing w:before="0" w:after="0"/>
        <w:ind w:left="0" w:right="0" w:firstLine="900"/>
        <w:jc w:val="both"/>
      </w:pPr>
      <w:r>
        <w:fldChar w:fldCharType="begin"/>
      </w:r>
      <w:r>
        <w:rPr/>
        <w:instrText> HYPERLINK "http://www.cninfo.com.cn/cninfo-new/disclosure/szse_gem/bulletin_detail/true/1201237053?announceTime=2015-07-03" </w:instrText>
      </w:r>
      <w:r>
        <w:fldChar w:fldCharType="separate"/>
      </w:r>
      <w:r>
        <w:rPr>
          <w:color w:val="000000"/>
          <w:spacing w:val="0"/>
          <w:w w:val="100"/>
          <w:position w:val="0"/>
          <w:u w:val="single"/>
        </w:rPr>
        <w:t>http://www.cninfo.com.cn/cninfo-new/disclosure/szse gem/bulletin detail/true/1201237053?announceTime=2015-07-03</w:t>
      </w:r>
      <w:r>
        <w:fldChar w:fldCharType="end"/>
      </w:r>
    </w:p>
    <w:p>
      <w:pPr>
        <w:pStyle w:val="Style103"/>
        <w:keepNext w:val="0"/>
        <w:keepLines w:val="0"/>
        <w:widowControl w:val="0"/>
        <w:shd w:val="clear" w:color="auto" w:fill="auto"/>
        <w:bidi w:val="0"/>
        <w:spacing w:before="0" w:after="100" w:line="310" w:lineRule="exact"/>
        <w:ind w:right="0" w:firstLine="0"/>
        <w:jc w:val="both"/>
      </w:pPr>
      <w:r>
        <w:rPr>
          <w:rFonts w:ascii="SimSun" w:eastAsia="SimSun" w:hAnsi="SimSun" w:cs="SimSun"/>
          <w:color w:val="000000"/>
          <w:spacing w:val="0"/>
          <w:w w:val="100"/>
          <w:position w:val="0"/>
        </w:rPr>
        <w:t>公司第</w:t>
      </w:r>
      <w:r>
        <w:rPr>
          <w:color w:val="000000"/>
          <w:spacing w:val="0"/>
          <w:w w:val="100"/>
          <w:position w:val="0"/>
        </w:rPr>
        <w:t>1</w:t>
      </w:r>
      <w:r>
        <w:rPr>
          <w:rFonts w:ascii="SimSun" w:eastAsia="SimSun" w:hAnsi="SimSun" w:cs="SimSun"/>
          <w:color w:val="000000"/>
          <w:spacing w:val="0"/>
          <w:w w:val="100"/>
          <w:position w:val="0"/>
        </w:rPr>
        <w:t>期员工持股计划已于</w:t>
      </w:r>
      <w:r>
        <w:rPr>
          <w:color w:val="000000"/>
          <w:spacing w:val="0"/>
          <w:w w:val="100"/>
          <w:position w:val="0"/>
        </w:rPr>
        <w:t>2018</w:t>
      </w:r>
      <w:r>
        <w:rPr>
          <w:rFonts w:ascii="SimSun" w:eastAsia="SimSun" w:hAnsi="SimSun" w:cs="SimSun"/>
          <w:color w:val="000000"/>
          <w:spacing w:val="0"/>
          <w:w w:val="100"/>
          <w:position w:val="0"/>
        </w:rPr>
        <w:t>年</w:t>
      </w:r>
      <w:r>
        <w:rPr>
          <w:color w:val="000000"/>
          <w:spacing w:val="0"/>
          <w:w w:val="100"/>
          <w:position w:val="0"/>
        </w:rPr>
        <w:t>7</w:t>
      </w:r>
      <w:r>
        <w:rPr>
          <w:rFonts w:ascii="SimSun" w:eastAsia="SimSun" w:hAnsi="SimSun" w:cs="SimSun"/>
          <w:color w:val="000000"/>
          <w:spacing w:val="0"/>
          <w:w w:val="100"/>
          <w:position w:val="0"/>
        </w:rPr>
        <w:t>月</w:t>
      </w:r>
      <w:r>
        <w:rPr>
          <w:color w:val="000000"/>
          <w:spacing w:val="0"/>
          <w:w w:val="100"/>
          <w:position w:val="0"/>
        </w:rPr>
        <w:t>13</w:t>
      </w:r>
      <w:r>
        <w:rPr>
          <w:rFonts w:ascii="SimSun" w:eastAsia="SimSun" w:hAnsi="SimSun" w:cs="SimSun"/>
          <w:color w:val="000000"/>
          <w:spacing w:val="0"/>
          <w:w w:val="100"/>
          <w:position w:val="0"/>
        </w:rPr>
        <w:t xml:space="preserve">日起解除限售，上市流通。具体情况详见： </w:t>
      </w:r>
      <w:r>
        <w:fldChar w:fldCharType="begin"/>
      </w:r>
      <w:r>
        <w:rPr/>
        <w:instrText> HYPERLINK "http://www.cninfo.com.cn/new/disclosure/detail?plate=&amp;orgId=9900021761&amp;stockCode=300290&amp;announcementId=1205135908&amp;" </w:instrText>
      </w:r>
      <w:r>
        <w:fldChar w:fldCharType="separate"/>
      </w:r>
      <w:r>
        <w:rPr>
          <w:color w:val="000000"/>
          <w:spacing w:val="0"/>
          <w:w w:val="100"/>
          <w:position w:val="0"/>
        </w:rPr>
        <w:t>http://www.cninfo.com.cn/new/disclosure/detail?plate=&amp;orgId=9900021761&amp;stockCode=300290&amp;announcementId=1205135908</w:t>
      </w:r>
      <w:r>
        <w:rPr>
          <w:color w:val="000000"/>
          <w:spacing w:val="0"/>
          <w:w w:val="100"/>
          <w:position w:val="0"/>
        </w:rPr>
        <w:t>&amp;</w:t>
      </w:r>
      <w:r>
        <w:fldChar w:fldCharType="end"/>
      </w:r>
      <w:r>
        <w:rPr>
          <w:color w:val="000000"/>
          <w:spacing w:val="0"/>
          <w:w w:val="100"/>
          <w:position w:val="0"/>
        </w:rPr>
        <w:t xml:space="preserve"> </w:t>
      </w:r>
      <w:r>
        <w:rPr>
          <w:color w:val="000000"/>
          <w:spacing w:val="0"/>
          <w:w w:val="100"/>
          <w:position w:val="0"/>
        </w:rPr>
        <w:t>announcementT ime=20</w:t>
      </w:r>
      <w:r>
        <w:rPr>
          <w:color w:val="000000"/>
          <w:spacing w:val="0"/>
          <w:w w:val="100"/>
          <w:position w:val="0"/>
        </w:rPr>
        <w:t>1</w:t>
      </w:r>
      <w:r>
        <w:rPr>
          <w:color w:val="000000"/>
          <w:spacing w:val="0"/>
          <w:w w:val="100"/>
          <w:position w:val="0"/>
        </w:rPr>
        <w:t xml:space="preserve">8-07-10 </w:t>
      </w:r>
      <w:r>
        <w:rPr>
          <w:rStyle w:val="CharStyle33"/>
          <w:rFonts w:ascii="Times New Roman" w:eastAsia="Times New Roman" w:hAnsi="Times New Roman" w:cs="Times New Roman"/>
        </w:rPr>
        <w:t>2019</w:t>
      </w:r>
      <w:r>
        <w:rPr>
          <w:rStyle w:val="CharStyle33"/>
        </w:rPr>
        <w:t>年</w:t>
      </w:r>
      <w:r>
        <w:rPr>
          <w:rStyle w:val="CharStyle33"/>
          <w:rFonts w:ascii="Times New Roman" w:eastAsia="Times New Roman" w:hAnsi="Times New Roman" w:cs="Times New Roman"/>
        </w:rPr>
        <w:t>1</w:t>
      </w:r>
      <w:r>
        <w:rPr>
          <w:rStyle w:val="CharStyle33"/>
        </w:rPr>
        <w:t>月</w:t>
      </w:r>
      <w:r>
        <w:rPr>
          <w:rStyle w:val="CharStyle33"/>
          <w:rFonts w:ascii="Times New Roman" w:eastAsia="Times New Roman" w:hAnsi="Times New Roman" w:cs="Times New Roman"/>
        </w:rPr>
        <w:t>4</w:t>
      </w:r>
      <w:r>
        <w:rPr>
          <w:rStyle w:val="CharStyle33"/>
        </w:rPr>
        <w:t>日，根据中国证券监督管理委员会《关于上市公司实施员工持股计划试点的指导意见》、深圳证券交易所《创业 板信息披露业务备忘录第</w:t>
      </w:r>
      <w:r>
        <w:rPr>
          <w:rStyle w:val="CharStyle33"/>
          <w:rFonts w:ascii="Times New Roman" w:eastAsia="Times New Roman" w:hAnsi="Times New Roman" w:cs="Times New Roman"/>
        </w:rPr>
        <w:t>20</w:t>
      </w:r>
      <w:r>
        <w:rPr>
          <w:rStyle w:val="CharStyle33"/>
        </w:rPr>
        <w:t>号：员工持股计划》的相关规定，公司按照员工持股计划的相关规定，在巨潮资讯网披露了《关 于公司第</w:t>
      </w:r>
      <w:r>
        <w:rPr>
          <w:rStyle w:val="CharStyle33"/>
          <w:rFonts w:ascii="Times New Roman" w:eastAsia="Times New Roman" w:hAnsi="Times New Roman" w:cs="Times New Roman"/>
        </w:rPr>
        <w:t>1</w:t>
      </w:r>
      <w:r>
        <w:rPr>
          <w:rStyle w:val="CharStyle33"/>
        </w:rPr>
        <w:t>期员工持股计划存续期即将届满的提示性公告》，具体情况详见：</w:t>
      </w:r>
    </w:p>
    <w:p>
      <w:pPr>
        <w:pStyle w:val="Style103"/>
        <w:keepNext w:val="0"/>
        <w:keepLines w:val="0"/>
        <w:widowControl w:val="0"/>
        <w:shd w:val="clear" w:color="auto" w:fill="auto"/>
        <w:bidi w:val="0"/>
        <w:spacing w:before="0" w:after="0"/>
        <w:ind w:right="0" w:firstLine="0"/>
        <w:jc w:val="both"/>
      </w:pPr>
      <w:r>
        <w:fldChar w:fldCharType="begin"/>
      </w:r>
      <w:r>
        <w:rPr/>
        <w:instrText> HYPERLINK "http://www.cninfo.com.cn/new/disclosure/detail?plate=szse&amp;stockCode=300290&amp;announcementId=1205711476&amp;announcementTi" </w:instrText>
      </w:r>
      <w:r>
        <w:fldChar w:fldCharType="separate"/>
      </w:r>
      <w:r>
        <w:rPr>
          <w:color w:val="000000"/>
          <w:spacing w:val="0"/>
          <w:w w:val="100"/>
          <w:position w:val="0"/>
        </w:rPr>
        <w:t>http://www.cninfo.com.cn/new/disclosure/detail?plate=szse&amp;stockCode=300290&amp;announcementId=1205711476&amp;announcementTi</w:t>
      </w:r>
      <w:r>
        <w:fldChar w:fldCharType="end"/>
      </w:r>
      <w:r>
        <w:rPr>
          <w:color w:val="000000"/>
          <w:spacing w:val="0"/>
          <w:w w:val="100"/>
          <w:position w:val="0"/>
        </w:rPr>
        <w:t xml:space="preserve"> me=2019-01-04 </w:t>
      </w:r>
      <w:r>
        <w:rPr>
          <w:color w:val="000000"/>
          <w:spacing w:val="0"/>
          <w:w w:val="100"/>
          <w:position w:val="0"/>
        </w:rPr>
        <w:t>17:15</w:t>
      </w:r>
    </w:p>
    <w:p>
      <w:pPr>
        <w:pStyle w:val="Style32"/>
        <w:keepNext w:val="0"/>
        <w:keepLines w:val="0"/>
        <w:widowControl w:val="0"/>
        <w:shd w:val="clear" w:color="auto" w:fill="auto"/>
        <w:bidi w:val="0"/>
        <w:spacing w:before="0" w:after="100" w:line="312" w:lineRule="exact"/>
        <w:ind w:left="90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日，公司在巨潮资讯网披露了《关于第</w:t>
      </w:r>
      <w:r>
        <w:rPr>
          <w:rFonts w:ascii="Times New Roman" w:eastAsia="Times New Roman" w:hAnsi="Times New Roman" w:cs="Times New Roman"/>
          <w:color w:val="000000"/>
          <w:spacing w:val="0"/>
          <w:w w:val="100"/>
          <w:position w:val="0"/>
        </w:rPr>
        <w:t>1</w:t>
      </w:r>
      <w:r>
        <w:rPr>
          <w:color w:val="000000"/>
          <w:spacing w:val="0"/>
          <w:w w:val="100"/>
          <w:position w:val="0"/>
        </w:rPr>
        <w:t>期员工持股计划延期的公告》，鉴于公司第</w:t>
      </w:r>
      <w:r>
        <w:rPr>
          <w:rFonts w:ascii="Times New Roman" w:eastAsia="Times New Roman" w:hAnsi="Times New Roman" w:cs="Times New Roman"/>
          <w:color w:val="000000"/>
          <w:spacing w:val="0"/>
          <w:w w:val="100"/>
          <w:position w:val="0"/>
        </w:rPr>
        <w:t>1</w:t>
      </w:r>
      <w:r>
        <w:rPr>
          <w:color w:val="000000"/>
          <w:spacing w:val="0"/>
          <w:w w:val="100"/>
          <w:position w:val="0"/>
        </w:rPr>
        <w:t>期员工持股计划存续期已 届满，根据《上市公司股东、董监高减持股份的若干规定》等相关规定，公司无法在第</w:t>
      </w:r>
      <w:r>
        <w:rPr>
          <w:rFonts w:ascii="Times New Roman" w:eastAsia="Times New Roman" w:hAnsi="Times New Roman" w:cs="Times New Roman"/>
          <w:color w:val="000000"/>
          <w:spacing w:val="0"/>
          <w:w w:val="100"/>
          <w:position w:val="0"/>
        </w:rPr>
        <w:t>1</w:t>
      </w:r>
      <w:r>
        <w:rPr>
          <w:color w:val="000000"/>
          <w:spacing w:val="0"/>
          <w:w w:val="100"/>
          <w:position w:val="0"/>
        </w:rPr>
        <w:t>期员工持股计划存续期届满前全部 变现。公司于</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日召开第</w:t>
      </w:r>
      <w:r>
        <w:rPr>
          <w:rFonts w:ascii="Times New Roman" w:eastAsia="Times New Roman" w:hAnsi="Times New Roman" w:cs="Times New Roman"/>
          <w:color w:val="000000"/>
          <w:spacing w:val="0"/>
          <w:w w:val="100"/>
          <w:position w:val="0"/>
        </w:rPr>
        <w:t>1</w:t>
      </w:r>
      <w:r>
        <w:rPr>
          <w:color w:val="000000"/>
          <w:spacing w:val="0"/>
          <w:w w:val="100"/>
          <w:position w:val="0"/>
        </w:rPr>
        <w:t>期员工持股计划第二次持有人会议，经出席持有人会议的持有人所持</w:t>
      </w:r>
      <w:r>
        <w:rPr>
          <w:rFonts w:ascii="Times New Roman" w:eastAsia="Times New Roman" w:hAnsi="Times New Roman" w:cs="Times New Roman"/>
          <w:color w:val="000000"/>
          <w:spacing w:val="0"/>
          <w:w w:val="100"/>
          <w:position w:val="0"/>
        </w:rPr>
        <w:t>2/3</w:t>
      </w:r>
      <w:r>
        <w:rPr>
          <w:color w:val="000000"/>
          <w:spacing w:val="0"/>
          <w:w w:val="100"/>
          <w:position w:val="0"/>
        </w:rPr>
        <w:t>以上份额同意, 审议通过了《关于公司第</w:t>
      </w:r>
      <w:r>
        <w:rPr>
          <w:rFonts w:ascii="Times New Roman" w:eastAsia="Times New Roman" w:hAnsi="Times New Roman" w:cs="Times New Roman"/>
          <w:color w:val="000000"/>
          <w:spacing w:val="0"/>
          <w:w w:val="100"/>
          <w:position w:val="0"/>
        </w:rPr>
        <w:t>1</w:t>
      </w:r>
      <w:r>
        <w:rPr>
          <w:color w:val="000000"/>
          <w:spacing w:val="0"/>
          <w:w w:val="100"/>
          <w:position w:val="0"/>
        </w:rPr>
        <w:t>期员工持股计划延期的议案》。同意将公司第</w:t>
      </w:r>
      <w:r>
        <w:rPr>
          <w:rFonts w:ascii="Times New Roman" w:eastAsia="Times New Roman" w:hAnsi="Times New Roman" w:cs="Times New Roman"/>
          <w:color w:val="000000"/>
          <w:spacing w:val="0"/>
          <w:w w:val="100"/>
          <w:position w:val="0"/>
        </w:rPr>
        <w:t>1</w:t>
      </w:r>
      <w:r>
        <w:rPr>
          <w:color w:val="000000"/>
          <w:spacing w:val="0"/>
          <w:w w:val="100"/>
          <w:position w:val="0"/>
        </w:rPr>
        <w:t>期员工持股计划存续期延长，延长期限不超过</w:t>
      </w:r>
      <w:r>
        <w:rPr>
          <w:rFonts w:ascii="Times New Roman" w:eastAsia="Times New Roman" w:hAnsi="Times New Roman" w:cs="Times New Roman"/>
          <w:color w:val="000000"/>
          <w:spacing w:val="0"/>
          <w:w w:val="100"/>
          <w:position w:val="0"/>
        </w:rPr>
        <w:t xml:space="preserve">12 </w:t>
      </w:r>
      <w:r>
        <w:rPr>
          <w:color w:val="000000"/>
          <w:spacing w:val="0"/>
          <w:w w:val="100"/>
          <w:position w:val="0"/>
        </w:rPr>
        <w:t>个月，自</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日始至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日止。具体情况详见：</w:t>
      </w:r>
    </w:p>
    <w:p>
      <w:pPr>
        <w:pStyle w:val="Style103"/>
        <w:keepNext w:val="0"/>
        <w:keepLines w:val="0"/>
        <w:widowControl w:val="0"/>
        <w:shd w:val="clear" w:color="auto" w:fill="auto"/>
        <w:bidi w:val="0"/>
        <w:spacing w:before="0" w:after="0"/>
        <w:ind w:right="0" w:firstLine="0"/>
        <w:jc w:val="both"/>
      </w:pPr>
      <w:r>
        <w:fldChar w:fldCharType="begin"/>
      </w:r>
      <w:r>
        <w:rPr/>
        <w:instrText> HYPERLINK "http://www.cninfo.com.cn/new/disclosure/detail?plate=szse&amp;stockCode=300290&amp;announcementId=1206256735&amp;announcementTi" </w:instrText>
      </w:r>
      <w:r>
        <w:fldChar w:fldCharType="separate"/>
      </w:r>
      <w:r>
        <w:rPr>
          <w:color w:val="000000"/>
          <w:spacing w:val="0"/>
          <w:w w:val="100"/>
          <w:position w:val="0"/>
        </w:rPr>
        <w:t>http://www.cninfo.com.cn/new/disclosure/detail?plate=szse&amp;stockCode=300290&amp;announcementId=1206256735&amp;announcementTi</w:t>
      </w:r>
      <w:r>
        <w:fldChar w:fldCharType="end"/>
      </w:r>
      <w:r>
        <w:rPr>
          <w:color w:val="000000"/>
          <w:spacing w:val="0"/>
          <w:w w:val="100"/>
          <w:position w:val="0"/>
        </w:rPr>
        <w:t xml:space="preserve"> me=2019-05-10 </w:t>
      </w:r>
      <w:r>
        <w:rPr>
          <w:color w:val="000000"/>
          <w:spacing w:val="0"/>
          <w:w w:val="100"/>
          <w:position w:val="0"/>
        </w:rPr>
        <w:t>15:45</w:t>
      </w:r>
    </w:p>
    <w:p>
      <w:pPr>
        <w:pStyle w:val="Style103"/>
        <w:keepNext w:val="0"/>
        <w:keepLines w:val="0"/>
        <w:widowControl w:val="0"/>
        <w:shd w:val="clear" w:color="auto" w:fill="auto"/>
        <w:bidi w:val="0"/>
        <w:spacing w:before="0" w:after="160" w:line="312" w:lineRule="exact"/>
        <w:ind w:right="0" w:firstLine="0"/>
        <w:jc w:val="both"/>
      </w:pPr>
      <w:r>
        <w:rPr>
          <w:rFonts w:ascii="SimSun" w:eastAsia="SimSun" w:hAnsi="SimSun" w:cs="SimSun"/>
          <w:color w:val="000000"/>
          <w:spacing w:val="0"/>
          <w:w w:val="100"/>
          <w:position w:val="0"/>
        </w:rPr>
        <w:t>截至</w:t>
      </w:r>
      <w:r>
        <w:rPr>
          <w:color w:val="000000"/>
          <w:spacing w:val="0"/>
          <w:w w:val="100"/>
          <w:position w:val="0"/>
        </w:rPr>
        <w:t>2020</w:t>
      </w:r>
      <w:r>
        <w:rPr>
          <w:rFonts w:ascii="SimSun" w:eastAsia="SimSun" w:hAnsi="SimSun" w:cs="SimSun"/>
          <w:color w:val="000000"/>
          <w:spacing w:val="0"/>
          <w:w w:val="100"/>
          <w:position w:val="0"/>
        </w:rPr>
        <w:t>年</w:t>
      </w:r>
      <w:r>
        <w:rPr>
          <w:color w:val="000000"/>
          <w:spacing w:val="0"/>
          <w:w w:val="100"/>
          <w:position w:val="0"/>
        </w:rPr>
        <w:t>6</w:t>
      </w:r>
      <w:r>
        <w:rPr>
          <w:rFonts w:ascii="SimSun" w:eastAsia="SimSun" w:hAnsi="SimSun" w:cs="SimSun"/>
          <w:color w:val="000000"/>
          <w:spacing w:val="0"/>
          <w:w w:val="100"/>
          <w:position w:val="0"/>
        </w:rPr>
        <w:t>月</w:t>
      </w:r>
      <w:r>
        <w:rPr>
          <w:color w:val="000000"/>
          <w:spacing w:val="0"/>
          <w:w w:val="100"/>
          <w:position w:val="0"/>
        </w:rPr>
        <w:t>18</w:t>
      </w:r>
      <w:r>
        <w:rPr>
          <w:rFonts w:ascii="SimSun" w:eastAsia="SimSun" w:hAnsi="SimSun" w:cs="SimSun"/>
          <w:color w:val="000000"/>
          <w:spacing w:val="0"/>
          <w:w w:val="100"/>
          <w:position w:val="0"/>
        </w:rPr>
        <w:t>日，公司第</w:t>
      </w:r>
      <w:r>
        <w:rPr>
          <w:color w:val="000000"/>
          <w:spacing w:val="0"/>
          <w:w w:val="100"/>
          <w:position w:val="0"/>
        </w:rPr>
        <w:t>1</w:t>
      </w:r>
      <w:r>
        <w:rPr>
          <w:rFonts w:ascii="SimSun" w:eastAsia="SimSun" w:hAnsi="SimSun" w:cs="SimSun"/>
          <w:color w:val="000000"/>
          <w:spacing w:val="0"/>
          <w:w w:val="100"/>
          <w:position w:val="0"/>
        </w:rPr>
        <w:t xml:space="preserve">期员工持股计划减持完毕。具体情况详见： </w:t>
      </w:r>
      <w:r>
        <w:fldChar w:fldCharType="begin"/>
      </w:r>
      <w:r>
        <w:rPr/>
        <w:instrText> HYPERLINK "http://www.cninfo.com.cn/new/disclosure/detail?stockCode=300290&amp;announcementId=1207949435&amp;orgId=9900021761&amp;announc" </w:instrText>
      </w:r>
      <w:r>
        <w:fldChar w:fldCharType="separate"/>
      </w:r>
      <w:r>
        <w:rPr>
          <w:color w:val="000000"/>
          <w:spacing w:val="0"/>
          <w:w w:val="100"/>
          <w:position w:val="0"/>
        </w:rPr>
        <w:t>http://www.cninfo.com.cn/new/disclosure/detail?stockCode=300290&amp;announcementId=1207949435&amp;orgId=9900021761&amp;announc</w:t>
      </w:r>
      <w:r>
        <w:fldChar w:fldCharType="end"/>
      </w:r>
      <w:r>
        <w:rPr>
          <w:color w:val="000000"/>
          <w:spacing w:val="0"/>
          <w:w w:val="100"/>
          <w:position w:val="0"/>
        </w:rPr>
        <w:t xml:space="preserve"> ementTime=2020-06-22</w:t>
      </w:r>
    </w:p>
    <w:p>
      <w:pPr>
        <w:pStyle w:val="Style32"/>
        <w:keepNext w:val="0"/>
        <w:keepLines w:val="0"/>
        <w:widowControl w:val="0"/>
        <w:shd w:val="clear" w:color="auto" w:fill="auto"/>
        <w:bidi w:val="0"/>
        <w:spacing w:before="0" w:after="0" w:line="314" w:lineRule="exact"/>
        <w:ind w:left="0" w:right="0" w:firstLine="900"/>
        <w:jc w:val="both"/>
      </w:pPr>
      <w:bookmarkStart w:id="359" w:name="bookmark359"/>
      <w:r>
        <w:rPr>
          <w:rFonts w:ascii="Times New Roman" w:eastAsia="Times New Roman" w:hAnsi="Times New Roman" w:cs="Times New Roman"/>
          <w:b/>
          <w:bCs/>
          <w:color w:val="000000"/>
          <w:spacing w:val="0"/>
          <w:w w:val="100"/>
          <w:position w:val="0"/>
        </w:rPr>
        <w:t>2</w:t>
      </w:r>
      <w:bookmarkEnd w:id="359"/>
      <w:r>
        <w:rPr>
          <w:b/>
          <w:bCs/>
          <w:color w:val="000000"/>
          <w:spacing w:val="0"/>
          <w:w w:val="100"/>
          <w:position w:val="0"/>
        </w:rPr>
        <w:t>、</w:t>
      </w:r>
      <w:r>
        <w:rPr>
          <w:rFonts w:ascii="Times New Roman" w:eastAsia="Times New Roman" w:hAnsi="Times New Roman" w:cs="Times New Roman"/>
          <w:b/>
          <w:bCs/>
          <w:color w:val="000000"/>
          <w:spacing w:val="0"/>
          <w:w w:val="100"/>
          <w:position w:val="0"/>
        </w:rPr>
        <w:t>2018</w:t>
      </w:r>
      <w:r>
        <w:rPr>
          <w:b/>
          <w:bCs/>
          <w:color w:val="000000"/>
          <w:spacing w:val="0"/>
          <w:w w:val="100"/>
          <w:position w:val="0"/>
        </w:rPr>
        <w:t>年股票期权与限制性股票激励计划</w:t>
      </w:r>
    </w:p>
    <w:p>
      <w:pPr>
        <w:pStyle w:val="Style32"/>
        <w:keepNext w:val="0"/>
        <w:keepLines w:val="0"/>
        <w:widowControl w:val="0"/>
        <w:shd w:val="clear" w:color="auto" w:fill="auto"/>
        <w:bidi w:val="0"/>
        <w:spacing w:before="0" w:after="0" w:line="314" w:lineRule="exact"/>
        <w:ind w:left="90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日，公司召开第三届董事会第十七次会议、第三届监事会第十五次会议，审议通过了《关于公司</w:t>
      </w:r>
      <w:r>
        <w:rPr>
          <w:rFonts w:ascii="Times New Roman" w:eastAsia="Times New Roman" w:hAnsi="Times New Roman" w:cs="Times New Roman"/>
          <w:color w:val="000000"/>
          <w:spacing w:val="0"/>
          <w:w w:val="100"/>
          <w:position w:val="0"/>
        </w:rPr>
        <w:t>＜2018</w:t>
      </w:r>
      <w:r>
        <w:rPr>
          <w:color w:val="000000"/>
          <w:spacing w:val="0"/>
          <w:w w:val="100"/>
          <w:position w:val="0"/>
        </w:rPr>
        <w:t>年股票 期权与限制性股票激励计划（草案）</w:t>
      </w:r>
      <w:r>
        <w:rPr>
          <w:rFonts w:ascii="Times New Roman" w:eastAsia="Times New Roman" w:hAnsi="Times New Roman" w:cs="Times New Roman"/>
          <w:color w:val="000000"/>
          <w:spacing w:val="0"/>
          <w:w w:val="100"/>
          <w:position w:val="0"/>
        </w:rPr>
        <w:t>＞</w:t>
      </w:r>
      <w:r>
        <w:rPr>
          <w:color w:val="000000"/>
          <w:spacing w:val="0"/>
          <w:w w:val="100"/>
          <w:position w:val="0"/>
        </w:rPr>
        <w:t>及其摘要的议案》、《关于公司</w:t>
      </w:r>
      <w:r>
        <w:rPr>
          <w:rFonts w:ascii="Times New Roman" w:eastAsia="Times New Roman" w:hAnsi="Times New Roman" w:cs="Times New Roman"/>
          <w:color w:val="000000"/>
          <w:spacing w:val="0"/>
          <w:w w:val="100"/>
          <w:position w:val="0"/>
        </w:rPr>
        <w:t>＜2018</w:t>
      </w:r>
      <w:r>
        <w:rPr>
          <w:color w:val="000000"/>
          <w:spacing w:val="0"/>
          <w:w w:val="100"/>
          <w:position w:val="0"/>
        </w:rPr>
        <w:t xml:space="preserve">年股票期权与限制性股票激励计划实施考核管 理办法 </w:t>
      </w:r>
      <w:r>
        <w:rPr>
          <w:rFonts w:ascii="Times New Roman" w:eastAsia="Times New Roman" w:hAnsi="Times New Roman" w:cs="Times New Roman"/>
          <w:color w:val="000000"/>
          <w:spacing w:val="0"/>
          <w:w w:val="100"/>
          <w:position w:val="0"/>
        </w:rPr>
        <w:t>＞</w:t>
      </w:r>
      <w:r>
        <w:rPr>
          <w:color w:val="000000"/>
          <w:spacing w:val="0"/>
          <w:w w:val="100"/>
          <w:position w:val="0"/>
        </w:rPr>
        <w:t>的议案》、《关于提请股东大会授权董事会办理股权激励相关事宜的议案》等股权激励相关议案，拟向激励对象授 予</w:t>
      </w:r>
      <w:r>
        <w:rPr>
          <w:rFonts w:ascii="Times New Roman" w:eastAsia="Times New Roman" w:hAnsi="Times New Roman" w:cs="Times New Roman"/>
          <w:color w:val="000000"/>
          <w:spacing w:val="0"/>
          <w:w w:val="100"/>
          <w:position w:val="0"/>
        </w:rPr>
        <w:t>530.00</w:t>
      </w:r>
      <w:r>
        <w:rPr>
          <w:color w:val="000000"/>
          <w:spacing w:val="0"/>
          <w:w w:val="100"/>
          <w:position w:val="0"/>
        </w:rPr>
        <w:t>万份股票期权，涉及的标的股票种类为</w:t>
      </w:r>
      <w:r>
        <w:rPr>
          <w:rFonts w:ascii="Times New Roman" w:eastAsia="Times New Roman" w:hAnsi="Times New Roman" w:cs="Times New Roman"/>
          <w:color w:val="000000"/>
          <w:spacing w:val="0"/>
          <w:w w:val="100"/>
          <w:position w:val="0"/>
        </w:rPr>
        <w:t>A</w:t>
      </w:r>
      <w:r>
        <w:rPr>
          <w:color w:val="000000"/>
          <w:spacing w:val="0"/>
          <w:w w:val="100"/>
          <w:position w:val="0"/>
        </w:rPr>
        <w:t>股普通股，约占本计划草案公告时公司股本总额</w:t>
      </w:r>
      <w:r>
        <w:rPr>
          <w:rFonts w:ascii="Times New Roman" w:eastAsia="Times New Roman" w:hAnsi="Times New Roman" w:cs="Times New Roman"/>
          <w:color w:val="000000"/>
          <w:spacing w:val="0"/>
          <w:w w:val="100"/>
          <w:position w:val="0"/>
        </w:rPr>
        <w:t>33,857.2507</w:t>
      </w:r>
      <w:r>
        <w:rPr>
          <w:color w:val="000000"/>
          <w:spacing w:val="0"/>
          <w:w w:val="100"/>
          <w:position w:val="0"/>
        </w:rPr>
        <w:t>万股的</w:t>
      </w:r>
      <w:r>
        <w:rPr>
          <w:rFonts w:ascii="Times New Roman" w:eastAsia="Times New Roman" w:hAnsi="Times New Roman" w:cs="Times New Roman"/>
          <w:color w:val="000000"/>
          <w:spacing w:val="0"/>
          <w:w w:val="100"/>
          <w:position w:val="0"/>
        </w:rPr>
        <w:t>1.57%</w:t>
      </w:r>
      <w:r>
        <w:rPr>
          <w:color w:val="000000"/>
          <w:spacing w:val="0"/>
          <w:w w:val="100"/>
          <w:position w:val="0"/>
        </w:rPr>
        <w:t>。 激励对象获授的每份股票期权在满足行权条件的情况下，拥有在有效期内以行权价格购买</w:t>
      </w:r>
      <w:r>
        <w:rPr>
          <w:rFonts w:ascii="Times New Roman" w:eastAsia="Times New Roman" w:hAnsi="Times New Roman" w:cs="Times New Roman"/>
          <w:color w:val="000000"/>
          <w:spacing w:val="0"/>
          <w:w w:val="100"/>
          <w:position w:val="0"/>
        </w:rPr>
        <w:t>1</w:t>
      </w:r>
      <w:r>
        <w:rPr>
          <w:color w:val="000000"/>
          <w:spacing w:val="0"/>
          <w:w w:val="100"/>
          <w:position w:val="0"/>
        </w:rPr>
        <w:t>股公司股票的权利；拟向激励对 象授予</w:t>
      </w:r>
      <w:r>
        <w:rPr>
          <w:rFonts w:ascii="Times New Roman" w:eastAsia="Times New Roman" w:hAnsi="Times New Roman" w:cs="Times New Roman"/>
          <w:color w:val="000000"/>
          <w:spacing w:val="0"/>
          <w:w w:val="100"/>
          <w:position w:val="0"/>
        </w:rPr>
        <w:t>280.00</w:t>
      </w:r>
      <w:r>
        <w:rPr>
          <w:color w:val="000000"/>
          <w:spacing w:val="0"/>
          <w:w w:val="100"/>
          <w:position w:val="0"/>
        </w:rPr>
        <w:t>万股限制性股票，涉及的标的股票种类为</w:t>
      </w:r>
      <w:r>
        <w:rPr>
          <w:rFonts w:ascii="Times New Roman" w:eastAsia="Times New Roman" w:hAnsi="Times New Roman" w:cs="Times New Roman"/>
          <w:color w:val="000000"/>
          <w:spacing w:val="0"/>
          <w:w w:val="100"/>
          <w:position w:val="0"/>
        </w:rPr>
        <w:t>A</w:t>
      </w:r>
      <w:r>
        <w:rPr>
          <w:color w:val="000000"/>
          <w:spacing w:val="0"/>
          <w:w w:val="100"/>
          <w:position w:val="0"/>
        </w:rPr>
        <w:t>股普通股，约占本计划草案公告时公司股本总额</w:t>
      </w:r>
      <w:r>
        <w:rPr>
          <w:rFonts w:ascii="Times New Roman" w:eastAsia="Times New Roman" w:hAnsi="Times New Roman" w:cs="Times New Roman"/>
          <w:color w:val="000000"/>
          <w:spacing w:val="0"/>
          <w:w w:val="100"/>
          <w:position w:val="0"/>
        </w:rPr>
        <w:t>33,857.2507</w:t>
      </w:r>
      <w:r>
        <w:rPr>
          <w:color w:val="000000"/>
          <w:spacing w:val="0"/>
          <w:w w:val="100"/>
          <w:position w:val="0"/>
        </w:rPr>
        <w:t xml:space="preserve">万股的 </w:t>
      </w:r>
      <w:r>
        <w:rPr>
          <w:rFonts w:ascii="Times New Roman" w:eastAsia="Times New Roman" w:hAnsi="Times New Roman" w:cs="Times New Roman"/>
          <w:color w:val="000000"/>
          <w:spacing w:val="0"/>
          <w:w w:val="100"/>
          <w:position w:val="0"/>
        </w:rPr>
        <w:t>0.83%</w:t>
      </w:r>
      <w:r>
        <w:rPr>
          <w:color w:val="000000"/>
          <w:spacing w:val="0"/>
          <w:w w:val="100"/>
          <w:position w:val="0"/>
        </w:rPr>
        <w:t>。上海荣正投资咨询股份有限公司为本次股权激励计划出具了独立财务顾问意见，北京海润天睿律师事务所为本次股 权激励计划出具了法律意见。</w:t>
      </w:r>
    </w:p>
    <w:p>
      <w:pPr>
        <w:pStyle w:val="Style32"/>
        <w:keepNext w:val="0"/>
        <w:keepLines w:val="0"/>
        <w:widowControl w:val="0"/>
        <w:shd w:val="clear" w:color="auto" w:fill="auto"/>
        <w:bidi w:val="0"/>
        <w:spacing w:before="0" w:after="0" w:line="314" w:lineRule="exact"/>
        <w:ind w:left="90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日，公司监事会发布了《监事会关于</w:t>
      </w:r>
      <w:r>
        <w:rPr>
          <w:rFonts w:ascii="Times New Roman" w:eastAsia="Times New Roman" w:hAnsi="Times New Roman" w:cs="Times New Roman"/>
          <w:color w:val="000000"/>
          <w:spacing w:val="0"/>
          <w:w w:val="100"/>
          <w:position w:val="0"/>
        </w:rPr>
        <w:t>2018</w:t>
      </w:r>
      <w:r>
        <w:rPr>
          <w:color w:val="000000"/>
          <w:spacing w:val="0"/>
          <w:w w:val="100"/>
          <w:position w:val="0"/>
        </w:rPr>
        <w:t>年股票期权与限制性股票激励计划激励对象名单的审核及公示情况说 明》；</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日，公司召开</w:t>
      </w:r>
      <w:r>
        <w:rPr>
          <w:rFonts w:ascii="Times New Roman" w:eastAsia="Times New Roman" w:hAnsi="Times New Roman" w:cs="Times New Roman"/>
          <w:color w:val="000000"/>
          <w:spacing w:val="0"/>
          <w:w w:val="100"/>
          <w:position w:val="0"/>
        </w:rPr>
        <w:t>2018</w:t>
      </w:r>
      <w:r>
        <w:rPr>
          <w:color w:val="000000"/>
          <w:spacing w:val="0"/>
          <w:w w:val="100"/>
          <w:position w:val="0"/>
        </w:rPr>
        <w:t>年度第一次临时股东大会，审议通过了《</w:t>
      </w:r>
      <w:r>
        <w:rPr>
          <w:rFonts w:ascii="Times New Roman" w:eastAsia="Times New Roman" w:hAnsi="Times New Roman" w:cs="Times New Roman"/>
          <w:color w:val="000000"/>
          <w:spacing w:val="0"/>
          <w:w w:val="100"/>
          <w:position w:val="0"/>
        </w:rPr>
        <w:t>2018</w:t>
      </w:r>
      <w:r>
        <w:rPr>
          <w:color w:val="000000"/>
          <w:spacing w:val="0"/>
          <w:w w:val="100"/>
          <w:position w:val="0"/>
        </w:rPr>
        <w:t>年股票期权与限制性股票激励计划（草案）》 等相关议案。</w:t>
      </w:r>
    </w:p>
    <w:p>
      <w:pPr>
        <w:pStyle w:val="Style32"/>
        <w:keepNext w:val="0"/>
        <w:keepLines w:val="0"/>
        <w:widowControl w:val="0"/>
        <w:shd w:val="clear" w:color="auto" w:fill="auto"/>
        <w:bidi w:val="0"/>
        <w:spacing w:before="0" w:after="100" w:line="322" w:lineRule="exact"/>
        <w:ind w:left="90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日，公司召开第三届董事会第十九次会议、第三届监事会第十七次会议，审议通过了《关于向激励对象授予 股票期权与限制性股票的议案》</w:t>
      </w:r>
      <w:r>
        <w:rPr>
          <w:color w:val="000000"/>
          <w:spacing w:val="0"/>
          <w:w w:val="100"/>
          <w:position w:val="0"/>
        </w:rPr>
        <w:t>，</w:t>
      </w:r>
      <w:r>
        <w:rPr>
          <w:color w:val="000000"/>
          <w:spacing w:val="0"/>
          <w:w w:val="100"/>
          <w:position w:val="0"/>
        </w:rPr>
        <w:t>上海荣正投资咨询股份有限公司为本次股权激励计划的授予事项出具了独立财务顾问意见,</w:t>
      </w:r>
      <w:r>
        <w:br w:type="page"/>
      </w:r>
    </w:p>
    <w:p>
      <w:pPr>
        <w:pStyle w:val="Style32"/>
        <w:keepNext w:val="0"/>
        <w:keepLines w:val="0"/>
        <w:widowControl w:val="0"/>
        <w:shd w:val="clear" w:color="auto" w:fill="auto"/>
        <w:bidi w:val="0"/>
        <w:spacing w:before="0" w:after="0" w:line="240" w:lineRule="auto"/>
        <w:ind w:left="0" w:right="0" w:firstLine="900"/>
        <w:jc w:val="both"/>
      </w:pPr>
      <w:r>
        <mc:AlternateContent>
          <mc:Choice Requires="wps">
            <w:drawing>
              <wp:anchor distT="0" distB="0" distL="114300" distR="114300" simplePos="0" relativeHeight="125829424" behindDoc="0" locked="0" layoutInCell="1" allowOverlap="1">
                <wp:simplePos x="0" y="0"/>
                <wp:positionH relativeFrom="page">
                  <wp:posOffset>803910</wp:posOffset>
                </wp:positionH>
                <wp:positionV relativeFrom="margin">
                  <wp:posOffset>-277495</wp:posOffset>
                </wp:positionV>
                <wp:extent cx="1243330" cy="298450"/>
                <wp:wrapTopAndBottom/>
                <wp:docPr id="311" name="Shape 311"/>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337" type="#_x0000_t202" style="position:absolute;margin-left:63.300000000000004pt;margin-top:-21.850000000000001pt;width:97.900000000000006pt;height:23.5pt;z-index:-125829329;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北京海润天睿律师事务所为本次股权激励计划的授予事项出具了法律意见。</w:t>
      </w:r>
    </w:p>
    <w:p>
      <w:pPr>
        <w:pStyle w:val="Style32"/>
        <w:keepNext w:val="0"/>
        <w:keepLines w:val="0"/>
        <w:widowControl w:val="0"/>
        <w:shd w:val="clear" w:color="auto" w:fill="auto"/>
        <w:bidi w:val="0"/>
        <w:spacing w:before="0" w:after="120" w:line="326" w:lineRule="exact"/>
        <w:ind w:left="90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日，公司完成了本次股权激励计划股票期权的授予登记工作，期权简称：荣科</w:t>
      </w:r>
      <w:r>
        <w:rPr>
          <w:rFonts w:ascii="Times New Roman" w:eastAsia="Times New Roman" w:hAnsi="Times New Roman" w:cs="Times New Roman"/>
          <w:color w:val="000000"/>
          <w:spacing w:val="0"/>
          <w:w w:val="100"/>
          <w:position w:val="0"/>
        </w:rPr>
        <w:t>JLC1</w:t>
      </w:r>
      <w:r>
        <w:rPr>
          <w:color w:val="000000"/>
          <w:spacing w:val="0"/>
          <w:w w:val="100"/>
          <w:position w:val="0"/>
        </w:rPr>
        <w:t>，</w:t>
      </w:r>
      <w:r>
        <w:rPr>
          <w:color w:val="000000"/>
          <w:spacing w:val="0"/>
          <w:w w:val="100"/>
          <w:position w:val="0"/>
        </w:rPr>
        <w:t>期权代码：</w:t>
      </w:r>
      <w:r>
        <w:rPr>
          <w:rFonts w:ascii="Times New Roman" w:eastAsia="Times New Roman" w:hAnsi="Times New Roman" w:cs="Times New Roman"/>
          <w:color w:val="000000"/>
          <w:spacing w:val="0"/>
          <w:w w:val="100"/>
          <w:position w:val="0"/>
        </w:rPr>
        <w:t>036340</w:t>
      </w:r>
      <w:r>
        <w:rPr>
          <w:color w:val="000000"/>
          <w:spacing w:val="0"/>
          <w:w w:val="100"/>
          <w:position w:val="0"/>
        </w:rPr>
        <w:t>。具体 情况详见：</w:t>
      </w:r>
    </w:p>
    <w:p>
      <w:pPr>
        <w:pStyle w:val="Style103"/>
        <w:keepNext w:val="0"/>
        <w:keepLines w:val="0"/>
        <w:widowControl w:val="0"/>
        <w:shd w:val="clear" w:color="auto" w:fill="auto"/>
        <w:bidi w:val="0"/>
        <w:spacing w:before="0" w:after="120"/>
        <w:ind w:right="0" w:firstLine="0"/>
        <w:jc w:val="left"/>
      </w:pPr>
      <w:r>
        <w:fldChar w:fldCharType="begin"/>
      </w:r>
      <w:r>
        <w:rPr/>
        <w:instrText> HYPERLINK "http://www.cninfb.com.cn/new/disclosure/detail?plate=szse&amp;stockCode=300290&amp;announcementId=1205832953&amp;announcementTi" </w:instrText>
      </w:r>
      <w:r>
        <w:fldChar w:fldCharType="separate"/>
      </w:r>
      <w:r>
        <w:rPr>
          <w:color w:val="000000"/>
          <w:spacing w:val="0"/>
          <w:w w:val="100"/>
          <w:position w:val="0"/>
        </w:rPr>
        <w:t>http://www.cninfb.com.cn/new/disclosure/detail?plate=szse&amp;stockCode=300290&amp;announcementId=1205832953&amp;announcementTi</w:t>
      </w:r>
      <w:r>
        <w:fldChar w:fldCharType="end"/>
      </w:r>
      <w:r>
        <w:rPr>
          <w:color w:val="000000"/>
          <w:spacing w:val="0"/>
          <w:w w:val="100"/>
          <w:position w:val="0"/>
        </w:rPr>
        <w:t xml:space="preserve"> me=2019-02-13 </w:t>
      </w:r>
      <w:r>
        <w:rPr>
          <w:color w:val="000000"/>
          <w:spacing w:val="0"/>
          <w:w w:val="100"/>
          <w:position w:val="0"/>
        </w:rPr>
        <w:t xml:space="preserve">16:43 </w:t>
      </w:r>
      <w:r>
        <w:rPr>
          <w:rStyle w:val="CharStyle33"/>
          <w:rFonts w:ascii="Times New Roman" w:eastAsia="Times New Roman" w:hAnsi="Times New Roman" w:cs="Times New Roman"/>
        </w:rPr>
        <w:t>2019</w:t>
      </w:r>
      <w:r>
        <w:rPr>
          <w:rStyle w:val="CharStyle33"/>
        </w:rPr>
        <w:t>年</w:t>
      </w:r>
      <w:r>
        <w:rPr>
          <w:rStyle w:val="CharStyle33"/>
          <w:rFonts w:ascii="Times New Roman" w:eastAsia="Times New Roman" w:hAnsi="Times New Roman" w:cs="Times New Roman"/>
        </w:rPr>
        <w:t>3</w:t>
      </w:r>
      <w:r>
        <w:rPr>
          <w:rStyle w:val="CharStyle33"/>
        </w:rPr>
        <w:t>月</w:t>
      </w:r>
      <w:r>
        <w:rPr>
          <w:rStyle w:val="CharStyle33"/>
          <w:rFonts w:ascii="Times New Roman" w:eastAsia="Times New Roman" w:hAnsi="Times New Roman" w:cs="Times New Roman"/>
        </w:rPr>
        <w:t>5</w:t>
      </w:r>
      <w:r>
        <w:rPr>
          <w:rStyle w:val="CharStyle33"/>
        </w:rPr>
        <w:t>日，公司完成了本次股权激励计划限制性股票的授予登记工作，本次授予的限制性股票上市日期为</w:t>
      </w:r>
      <w:r>
        <w:rPr>
          <w:rStyle w:val="CharStyle33"/>
          <w:rFonts w:ascii="Times New Roman" w:eastAsia="Times New Roman" w:hAnsi="Times New Roman" w:cs="Times New Roman"/>
        </w:rPr>
        <w:t>2019</w:t>
      </w:r>
      <w:r>
        <w:rPr>
          <w:rStyle w:val="CharStyle33"/>
        </w:rPr>
        <w:t>年</w:t>
      </w:r>
      <w:r>
        <w:rPr>
          <w:rStyle w:val="CharStyle33"/>
          <w:rFonts w:ascii="Times New Roman" w:eastAsia="Times New Roman" w:hAnsi="Times New Roman" w:cs="Times New Roman"/>
        </w:rPr>
        <w:t>3</w:t>
      </w:r>
      <w:r>
        <w:rPr>
          <w:rStyle w:val="CharStyle33"/>
        </w:rPr>
        <w:t>月</w:t>
      </w:r>
      <w:r>
        <w:rPr>
          <w:rStyle w:val="CharStyle33"/>
          <w:rFonts w:ascii="Times New Roman" w:eastAsia="Times New Roman" w:hAnsi="Times New Roman" w:cs="Times New Roman"/>
        </w:rPr>
        <w:t xml:space="preserve">7 </w:t>
      </w:r>
      <w:r>
        <w:rPr>
          <w:rStyle w:val="CharStyle33"/>
        </w:rPr>
        <w:t>日。具体情况详见：</w:t>
      </w:r>
    </w:p>
    <w:p>
      <w:pPr>
        <w:pStyle w:val="Style103"/>
        <w:keepNext w:val="0"/>
        <w:keepLines w:val="0"/>
        <w:widowControl w:val="0"/>
        <w:shd w:val="clear" w:color="auto" w:fill="auto"/>
        <w:bidi w:val="0"/>
        <w:spacing w:before="0" w:after="0"/>
        <w:ind w:right="0" w:firstLine="0"/>
        <w:jc w:val="left"/>
      </w:pPr>
      <w:r>
        <w:fldChar w:fldCharType="begin"/>
      </w:r>
      <w:r>
        <w:rPr/>
        <w:instrText> HYPERLINK "http://www.cninfo.com.cn/new/disclosure/detairPplate=szse&amp;stockCode=300290&amp;announcementId=1205876369&amp;announcementTi" </w:instrText>
      </w:r>
      <w:r>
        <w:fldChar w:fldCharType="separate"/>
      </w:r>
      <w:r>
        <w:rPr>
          <w:color w:val="000000"/>
          <w:spacing w:val="0"/>
          <w:w w:val="100"/>
          <w:position w:val="0"/>
        </w:rPr>
        <w:t>http://www.cninfo.com.cn/new/disclosure/detairPplate</w:t>
      </w:r>
      <w:r>
        <w:rPr>
          <w:color w:val="000000"/>
          <w:spacing w:val="0"/>
          <w:w w:val="100"/>
          <w:position w:val="0"/>
        </w:rPr>
        <w:t>=</w:t>
      </w:r>
      <w:r>
        <w:rPr>
          <w:color w:val="000000"/>
          <w:spacing w:val="0"/>
          <w:w w:val="100"/>
          <w:position w:val="0"/>
        </w:rPr>
        <w:t>szse&amp;stockCode=300290&amp;announcementId=1205876369&amp;announcementTi</w:t>
      </w:r>
      <w:r>
        <w:fldChar w:fldCharType="end"/>
      </w:r>
      <w:r>
        <w:rPr>
          <w:color w:val="000000"/>
          <w:spacing w:val="0"/>
          <w:w w:val="100"/>
          <w:position w:val="0"/>
        </w:rPr>
        <w:t xml:space="preserve"> me=2019-03-05 </w:t>
      </w:r>
      <w:r>
        <w:rPr>
          <w:color w:val="000000"/>
          <w:spacing w:val="0"/>
          <w:w w:val="100"/>
          <w:position w:val="0"/>
        </w:rPr>
        <w:t>16:59</w:t>
      </w:r>
    </w:p>
    <w:p>
      <w:pPr>
        <w:pStyle w:val="Style32"/>
        <w:keepNext w:val="0"/>
        <w:keepLines w:val="0"/>
        <w:widowControl w:val="0"/>
        <w:shd w:val="clear" w:color="auto" w:fill="auto"/>
        <w:bidi w:val="0"/>
        <w:spacing w:before="0" w:after="380" w:line="312" w:lineRule="exact"/>
        <w:ind w:left="900" w:right="0" w:firstLine="0"/>
        <w:jc w:val="left"/>
      </w:pPr>
      <w:r>
        <w:rPr>
          <w:color w:val="000000"/>
          <w:spacing w:val="0"/>
          <w:w w:val="100"/>
          <w:position w:val="0"/>
        </w:rPr>
        <w:t>报告期内，公司限制性股票第一期解除限售</w:t>
      </w:r>
      <w:r>
        <w:rPr>
          <w:rFonts w:ascii="Times New Roman" w:eastAsia="Times New Roman" w:hAnsi="Times New Roman" w:cs="Times New Roman"/>
          <w:color w:val="000000"/>
          <w:spacing w:val="0"/>
          <w:w w:val="100"/>
          <w:position w:val="0"/>
        </w:rPr>
        <w:t>126</w:t>
      </w:r>
      <w:r>
        <w:rPr>
          <w:color w:val="000000"/>
          <w:spacing w:val="0"/>
          <w:w w:val="100"/>
          <w:position w:val="0"/>
        </w:rPr>
        <w:t>万股，第一期股票期权行权</w:t>
      </w:r>
      <w:r>
        <w:rPr>
          <w:rFonts w:ascii="Times New Roman" w:eastAsia="Times New Roman" w:hAnsi="Times New Roman" w:cs="Times New Roman"/>
          <w:color w:val="000000"/>
          <w:spacing w:val="0"/>
          <w:w w:val="100"/>
          <w:position w:val="0"/>
        </w:rPr>
        <w:t>216.45</w:t>
      </w:r>
      <w:r>
        <w:rPr>
          <w:color w:val="000000"/>
          <w:spacing w:val="0"/>
          <w:w w:val="100"/>
          <w:position w:val="0"/>
        </w:rPr>
        <w:t>万股；公司实施</w:t>
      </w:r>
      <w:r>
        <w:rPr>
          <w:color w:val="000000"/>
          <w:spacing w:val="0"/>
          <w:w w:val="100"/>
          <w:position w:val="0"/>
          <w:sz w:val="18"/>
          <w:szCs w:val="18"/>
        </w:rPr>
        <w:t>2018</w:t>
      </w:r>
      <w:r>
        <w:rPr>
          <w:color w:val="000000"/>
          <w:spacing w:val="0"/>
          <w:w w:val="100"/>
          <w:position w:val="0"/>
        </w:rPr>
        <w:t>年股权激励计划计提 费用合计</w:t>
      </w:r>
      <w:r>
        <w:rPr>
          <w:rFonts w:ascii="Times New Roman" w:eastAsia="Times New Roman" w:hAnsi="Times New Roman" w:cs="Times New Roman"/>
          <w:color w:val="000000"/>
          <w:spacing w:val="0"/>
          <w:w w:val="100"/>
          <w:position w:val="0"/>
        </w:rPr>
        <w:t>985.29</w:t>
      </w:r>
      <w:r>
        <w:rPr>
          <w:color w:val="000000"/>
          <w:spacing w:val="0"/>
          <w:w w:val="100"/>
          <w:position w:val="0"/>
        </w:rPr>
        <w:t>万元，对本期净利润影响额为</w:t>
      </w:r>
      <w:r>
        <w:rPr>
          <w:rFonts w:ascii="Times New Roman" w:eastAsia="Times New Roman" w:hAnsi="Times New Roman" w:cs="Times New Roman"/>
          <w:color w:val="000000"/>
          <w:spacing w:val="0"/>
          <w:w w:val="100"/>
          <w:position w:val="0"/>
        </w:rPr>
        <w:t>283.99</w:t>
      </w:r>
      <w:r>
        <w:rPr>
          <w:color w:val="000000"/>
          <w:spacing w:val="0"/>
          <w:w w:val="100"/>
          <w:position w:val="0"/>
        </w:rPr>
        <w:t>万元，其中，核心技术人员计提费用</w:t>
      </w:r>
      <w:r>
        <w:rPr>
          <w:rFonts w:ascii="Times New Roman" w:eastAsia="Times New Roman" w:hAnsi="Times New Roman" w:cs="Times New Roman"/>
          <w:color w:val="000000"/>
          <w:spacing w:val="0"/>
          <w:w w:val="100"/>
          <w:position w:val="0"/>
        </w:rPr>
        <w:t>40.43</w:t>
      </w:r>
      <w:r>
        <w:rPr>
          <w:color w:val="000000"/>
          <w:spacing w:val="0"/>
          <w:w w:val="100"/>
          <w:position w:val="0"/>
        </w:rPr>
        <w:t xml:space="preserve">万元，占当期股权激励费用的 </w:t>
      </w:r>
      <w:r>
        <w:rPr>
          <w:rFonts w:ascii="Times New Roman" w:eastAsia="Times New Roman" w:hAnsi="Times New Roman" w:cs="Times New Roman"/>
          <w:color w:val="000000"/>
          <w:spacing w:val="0"/>
          <w:w w:val="100"/>
          <w:position w:val="0"/>
        </w:rPr>
        <w:t>14.24%</w:t>
      </w:r>
      <w:r>
        <w:rPr>
          <w:color w:val="000000"/>
          <w:spacing w:val="0"/>
          <w:w w:val="100"/>
          <w:position w:val="0"/>
        </w:rPr>
        <w:t>。</w:t>
      </w:r>
    </w:p>
    <w:p>
      <w:pPr>
        <w:pStyle w:val="Style47"/>
        <w:keepNext/>
        <w:keepLines/>
        <w:widowControl w:val="0"/>
        <w:shd w:val="clear" w:color="auto" w:fill="auto"/>
        <w:bidi w:val="0"/>
        <w:spacing w:before="0" w:after="380" w:line="240" w:lineRule="auto"/>
        <w:ind w:left="900" w:right="0" w:firstLine="0"/>
        <w:jc w:val="left"/>
      </w:pPr>
      <w:bookmarkStart w:id="360" w:name="bookmark360"/>
      <w:bookmarkStart w:id="361" w:name="bookmark361"/>
      <w:bookmarkStart w:id="362" w:name="bookmark362"/>
      <w:r>
        <w:rPr>
          <w:color w:val="000000"/>
          <w:spacing w:val="0"/>
          <w:w w:val="100"/>
          <w:position w:val="0"/>
          <w:sz w:val="24"/>
          <w:szCs w:val="24"/>
        </w:rPr>
        <w:t>十五、重大关联交易</w:t>
      </w:r>
      <w:bookmarkEnd w:id="360"/>
      <w:bookmarkEnd w:id="361"/>
      <w:bookmarkEnd w:id="362"/>
    </w:p>
    <w:p>
      <w:pPr>
        <w:pStyle w:val="Style55"/>
        <w:keepNext/>
        <w:keepLines/>
        <w:widowControl w:val="0"/>
        <w:shd w:val="clear" w:color="auto" w:fill="auto"/>
        <w:tabs>
          <w:tab w:pos="1268" w:val="left"/>
        </w:tabs>
        <w:bidi w:val="0"/>
        <w:spacing w:before="0" w:after="380" w:line="240" w:lineRule="auto"/>
        <w:ind w:left="0" w:right="0" w:firstLine="900"/>
        <w:jc w:val="left"/>
      </w:pPr>
      <w:bookmarkStart w:id="363" w:name="bookmark363"/>
      <w:bookmarkStart w:id="364" w:name="bookmark364"/>
      <w:bookmarkStart w:id="365" w:name="bookmark365"/>
      <w:bookmarkStart w:id="366" w:name="bookmark366"/>
      <w:r>
        <w:rPr>
          <w:rFonts w:ascii="Times New Roman" w:eastAsia="Times New Roman" w:hAnsi="Times New Roman" w:cs="Times New Roman"/>
          <w:color w:val="000000"/>
          <w:spacing w:val="0"/>
          <w:w w:val="100"/>
          <w:position w:val="0"/>
        </w:rPr>
        <w:t>1</w:t>
      </w:r>
      <w:bookmarkEnd w:id="365"/>
      <w:r>
        <w:rPr>
          <w:color w:val="000000"/>
          <w:spacing w:val="0"/>
          <w:w w:val="100"/>
          <w:position w:val="0"/>
        </w:rPr>
        <w:t>、</w:t>
        <w:tab/>
        <w:t>与日常经营相关的关联交易</w:t>
      </w:r>
      <w:bookmarkEnd w:id="363"/>
      <w:bookmarkEnd w:id="364"/>
      <w:bookmarkEnd w:id="366"/>
    </w:p>
    <w:p>
      <w:pPr>
        <w:pStyle w:val="Style32"/>
        <w:keepNext w:val="0"/>
        <w:keepLines w:val="0"/>
        <w:widowControl w:val="0"/>
        <w:shd w:val="clear" w:color="auto" w:fill="auto"/>
        <w:bidi w:val="0"/>
        <w:spacing w:before="0" w:after="120" w:line="240" w:lineRule="auto"/>
        <w:ind w:left="0" w:right="0" w:firstLine="9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900"/>
        <w:jc w:val="left"/>
      </w:pPr>
      <w:r>
        <w:rPr>
          <w:color w:val="000000"/>
          <w:spacing w:val="0"/>
          <w:w w:val="100"/>
          <w:position w:val="0"/>
        </w:rPr>
        <w:t>公司报告期未发生与日常经营相关的关联交易。</w:t>
      </w:r>
    </w:p>
    <w:p>
      <w:pPr>
        <w:pStyle w:val="Style55"/>
        <w:keepNext/>
        <w:keepLines/>
        <w:widowControl w:val="0"/>
        <w:shd w:val="clear" w:color="auto" w:fill="auto"/>
        <w:tabs>
          <w:tab w:pos="1278" w:val="left"/>
        </w:tabs>
        <w:bidi w:val="0"/>
        <w:spacing w:before="0" w:after="380" w:line="240" w:lineRule="auto"/>
        <w:ind w:left="0" w:right="0" w:firstLine="900"/>
        <w:jc w:val="left"/>
      </w:pPr>
      <w:bookmarkStart w:id="367" w:name="bookmark367"/>
      <w:bookmarkStart w:id="368" w:name="bookmark368"/>
      <w:bookmarkStart w:id="369" w:name="bookmark369"/>
      <w:bookmarkStart w:id="370" w:name="bookmark370"/>
      <w:r>
        <w:rPr>
          <w:rFonts w:ascii="Times New Roman" w:eastAsia="Times New Roman" w:hAnsi="Times New Roman" w:cs="Times New Roman"/>
          <w:color w:val="000000"/>
          <w:spacing w:val="0"/>
          <w:w w:val="100"/>
          <w:position w:val="0"/>
        </w:rPr>
        <w:t>2</w:t>
      </w:r>
      <w:bookmarkEnd w:id="369"/>
      <w:r>
        <w:rPr>
          <w:color w:val="000000"/>
          <w:spacing w:val="0"/>
          <w:w w:val="100"/>
          <w:position w:val="0"/>
        </w:rPr>
        <w:t>、</w:t>
        <w:tab/>
        <w:t>资产或股权收购、出售发生的关联交易</w:t>
      </w:r>
      <w:bookmarkEnd w:id="367"/>
      <w:bookmarkEnd w:id="368"/>
      <w:bookmarkEnd w:id="370"/>
    </w:p>
    <w:p>
      <w:pPr>
        <w:pStyle w:val="Style32"/>
        <w:keepNext w:val="0"/>
        <w:keepLines w:val="0"/>
        <w:widowControl w:val="0"/>
        <w:shd w:val="clear" w:color="auto" w:fill="auto"/>
        <w:bidi w:val="0"/>
        <w:spacing w:before="0" w:after="120" w:line="240" w:lineRule="auto"/>
        <w:ind w:left="0" w:right="0" w:firstLine="90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900"/>
        <w:jc w:val="both"/>
      </w:pPr>
      <w:r>
        <w:rPr>
          <w:color w:val="000000"/>
          <w:spacing w:val="0"/>
          <w:w w:val="100"/>
          <w:position w:val="0"/>
        </w:rPr>
        <w:t>公司报告期未发生资产或股权收购、出售的关联交易。</w:t>
      </w:r>
    </w:p>
    <w:p>
      <w:pPr>
        <w:pStyle w:val="Style55"/>
        <w:keepNext/>
        <w:keepLines/>
        <w:widowControl w:val="0"/>
        <w:shd w:val="clear" w:color="auto" w:fill="auto"/>
        <w:tabs>
          <w:tab w:pos="1278" w:val="left"/>
        </w:tabs>
        <w:bidi w:val="0"/>
        <w:spacing w:before="0" w:after="380" w:line="240" w:lineRule="auto"/>
        <w:ind w:left="0" w:right="0" w:firstLine="900"/>
        <w:jc w:val="both"/>
      </w:pPr>
      <w:bookmarkStart w:id="371" w:name="bookmark371"/>
      <w:bookmarkStart w:id="372" w:name="bookmark372"/>
      <w:bookmarkStart w:id="373" w:name="bookmark373"/>
      <w:bookmarkStart w:id="374" w:name="bookmark374"/>
      <w:r>
        <w:rPr>
          <w:rFonts w:ascii="Times New Roman" w:eastAsia="Times New Roman" w:hAnsi="Times New Roman" w:cs="Times New Roman"/>
          <w:color w:val="000000"/>
          <w:spacing w:val="0"/>
          <w:w w:val="100"/>
          <w:position w:val="0"/>
        </w:rPr>
        <w:t>3</w:t>
      </w:r>
      <w:bookmarkEnd w:id="373"/>
      <w:r>
        <w:rPr>
          <w:color w:val="000000"/>
          <w:spacing w:val="0"/>
          <w:w w:val="100"/>
          <w:position w:val="0"/>
        </w:rPr>
        <w:t>、</w:t>
        <w:tab/>
        <w:t>共同对外投资的关联交易</w:t>
      </w:r>
      <w:bookmarkEnd w:id="371"/>
      <w:bookmarkEnd w:id="372"/>
      <w:bookmarkEnd w:id="374"/>
    </w:p>
    <w:p>
      <w:pPr>
        <w:pStyle w:val="Style32"/>
        <w:keepNext w:val="0"/>
        <w:keepLines w:val="0"/>
        <w:widowControl w:val="0"/>
        <w:shd w:val="clear" w:color="auto" w:fill="auto"/>
        <w:bidi w:val="0"/>
        <w:spacing w:before="0" w:after="120" w:line="240" w:lineRule="auto"/>
        <w:ind w:left="0" w:right="0" w:firstLine="90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900"/>
        <w:jc w:val="both"/>
      </w:pPr>
      <w:r>
        <w:rPr>
          <w:color w:val="000000"/>
          <w:spacing w:val="0"/>
          <w:w w:val="100"/>
          <w:position w:val="0"/>
        </w:rPr>
        <w:t>公司报告期未发生共同对外投资的关联交易。</w:t>
      </w:r>
    </w:p>
    <w:p>
      <w:pPr>
        <w:pStyle w:val="Style55"/>
        <w:keepNext/>
        <w:keepLines/>
        <w:widowControl w:val="0"/>
        <w:shd w:val="clear" w:color="auto" w:fill="auto"/>
        <w:tabs>
          <w:tab w:pos="1278" w:val="left"/>
        </w:tabs>
        <w:bidi w:val="0"/>
        <w:spacing w:before="0" w:after="380" w:line="240" w:lineRule="auto"/>
        <w:ind w:left="0" w:right="0" w:firstLine="900"/>
        <w:jc w:val="both"/>
      </w:pPr>
      <w:bookmarkStart w:id="375" w:name="bookmark375"/>
      <w:bookmarkStart w:id="376" w:name="bookmark376"/>
      <w:bookmarkStart w:id="377" w:name="bookmark377"/>
      <w:bookmarkStart w:id="378" w:name="bookmark378"/>
      <w:r>
        <w:rPr>
          <w:rFonts w:ascii="Times New Roman" w:eastAsia="Times New Roman" w:hAnsi="Times New Roman" w:cs="Times New Roman"/>
          <w:color w:val="000000"/>
          <w:spacing w:val="0"/>
          <w:w w:val="100"/>
          <w:position w:val="0"/>
        </w:rPr>
        <w:t>4</w:t>
      </w:r>
      <w:bookmarkEnd w:id="377"/>
      <w:r>
        <w:rPr>
          <w:color w:val="000000"/>
          <w:spacing w:val="0"/>
          <w:w w:val="100"/>
          <w:position w:val="0"/>
        </w:rPr>
        <w:t>、</w:t>
        <w:tab/>
        <w:t>关联债权债务往来</w:t>
      </w:r>
      <w:bookmarkEnd w:id="375"/>
      <w:bookmarkEnd w:id="376"/>
      <w:bookmarkEnd w:id="378"/>
    </w:p>
    <w:p>
      <w:pPr>
        <w:pStyle w:val="Style32"/>
        <w:keepNext w:val="0"/>
        <w:keepLines w:val="0"/>
        <w:widowControl w:val="0"/>
        <w:shd w:val="clear" w:color="auto" w:fill="auto"/>
        <w:bidi w:val="0"/>
        <w:spacing w:before="0" w:after="120" w:line="240" w:lineRule="auto"/>
        <w:ind w:left="0" w:right="0" w:firstLine="90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900"/>
        <w:jc w:val="both"/>
      </w:pPr>
      <w:r>
        <w:rPr>
          <w:color w:val="000000"/>
          <w:spacing w:val="0"/>
          <w:w w:val="100"/>
          <w:position w:val="0"/>
        </w:rPr>
        <w:t>公司报告期不存在关联债权债务往来。</w:t>
      </w:r>
    </w:p>
    <w:p>
      <w:pPr>
        <w:pStyle w:val="Style55"/>
        <w:keepNext/>
        <w:keepLines/>
        <w:widowControl w:val="0"/>
        <w:shd w:val="clear" w:color="auto" w:fill="auto"/>
        <w:tabs>
          <w:tab w:pos="1278" w:val="left"/>
        </w:tabs>
        <w:bidi w:val="0"/>
        <w:spacing w:before="0" w:after="380" w:line="240" w:lineRule="auto"/>
        <w:ind w:left="0" w:right="0" w:firstLine="900"/>
        <w:jc w:val="both"/>
      </w:pPr>
      <w:bookmarkStart w:id="379" w:name="bookmark379"/>
      <w:bookmarkStart w:id="380" w:name="bookmark380"/>
      <w:bookmarkStart w:id="381" w:name="bookmark381"/>
      <w:bookmarkStart w:id="382" w:name="bookmark382"/>
      <w:r>
        <w:rPr>
          <w:rFonts w:ascii="Times New Roman" w:eastAsia="Times New Roman" w:hAnsi="Times New Roman" w:cs="Times New Roman"/>
          <w:color w:val="000000"/>
          <w:spacing w:val="0"/>
          <w:w w:val="100"/>
          <w:position w:val="0"/>
        </w:rPr>
        <w:t>5</w:t>
      </w:r>
      <w:bookmarkEnd w:id="381"/>
      <w:r>
        <w:rPr>
          <w:color w:val="000000"/>
          <w:spacing w:val="0"/>
          <w:w w:val="100"/>
          <w:position w:val="0"/>
        </w:rPr>
        <w:t>、</w:t>
        <w:tab/>
        <w:t>其他重大关联交易</w:t>
      </w:r>
      <w:bookmarkEnd w:id="379"/>
      <w:bookmarkEnd w:id="380"/>
      <w:bookmarkEnd w:id="382"/>
    </w:p>
    <w:p>
      <w:pPr>
        <w:pStyle w:val="Style32"/>
        <w:keepNext w:val="0"/>
        <w:keepLines w:val="0"/>
        <w:widowControl w:val="0"/>
        <w:shd w:val="clear" w:color="auto" w:fill="auto"/>
        <w:bidi w:val="0"/>
        <w:spacing w:before="0" w:after="120" w:line="240" w:lineRule="auto"/>
        <w:ind w:left="0" w:right="0" w:firstLine="90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900"/>
        <w:jc w:val="both"/>
        <w:sectPr>
          <w:headerReference w:type="default" r:id="rId143"/>
          <w:footerReference w:type="default" r:id="rId144"/>
          <w:headerReference w:type="even" r:id="rId145"/>
          <w:footerReference w:type="even" r:id="rId146"/>
          <w:footnotePr>
            <w:pos w:val="pageBottom"/>
            <w:numFmt w:val="decimal"/>
            <w:numRestart w:val="continuous"/>
          </w:footnotePr>
          <w:pgSz w:w="11900" w:h="16840"/>
          <w:pgMar w:top="1479" w:right="1020" w:bottom="1493" w:left="219" w:header="0" w:footer="3" w:gutter="0"/>
          <w:cols w:space="720"/>
          <w:noEndnote/>
          <w:rtlGutter w:val="0"/>
          <w:docGrid w:linePitch="360"/>
        </w:sectPr>
      </w:pPr>
      <w:r>
        <w:rPr>
          <w:color w:val="000000"/>
          <w:spacing w:val="0"/>
          <w:w w:val="100"/>
          <w:position w:val="0"/>
        </w:rPr>
        <w:t>公司报告期无其他重大关联交易。</w:t>
      </w:r>
    </w:p>
    <w:p>
      <w:pPr>
        <w:pStyle w:val="Style2"/>
        <w:keepNext/>
        <w:keepLines/>
        <w:widowControl w:val="0"/>
        <w:shd w:val="clear" w:color="auto" w:fill="auto"/>
        <w:bidi w:val="0"/>
        <w:spacing w:before="0" w:after="0" w:line="240" w:lineRule="auto"/>
        <w:ind w:left="0" w:right="0" w:firstLine="460"/>
        <w:jc w:val="left"/>
      </w:pPr>
      <w:bookmarkStart w:id="383" w:name="bookmark383"/>
      <w:bookmarkStart w:id="384" w:name="bookmark384"/>
      <w:bookmarkStart w:id="385" w:name="bookmark385"/>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383"/>
      <w:bookmarkEnd w:id="384"/>
      <w:bookmarkEnd w:id="385"/>
    </w:p>
    <w:p>
      <w:pPr>
        <w:pStyle w:val="Style5"/>
        <w:keepNext w:val="0"/>
        <w:keepLines w:val="0"/>
        <w:widowControl w:val="0"/>
        <w:shd w:val="clear" w:color="auto" w:fill="auto"/>
        <w:bidi w:val="0"/>
        <w:spacing w:before="0" w:after="0" w:line="240" w:lineRule="auto"/>
        <w:ind w:left="0" w:right="0" w:firstLine="460"/>
        <w:jc w:val="left"/>
      </w:pPr>
      <w:r>
        <w:rPr>
          <w:color w:val="245994"/>
          <w:spacing w:val="0"/>
          <w:w w:val="100"/>
          <w:position w:val="0"/>
        </w:rPr>
        <w:t>，厂</w:t>
      </w:r>
      <w:r>
        <w:rPr>
          <w:color w:val="2D2B2E"/>
          <w:spacing w:val="0"/>
          <w:w w:val="100"/>
          <w:position w:val="0"/>
        </w:rPr>
        <w:t>I</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1260" w:right="0" w:firstLine="0"/>
        <w:jc w:val="left"/>
      </w:pP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360" w:line="240" w:lineRule="auto"/>
        <w:ind w:left="0" w:right="0" w:firstLine="460"/>
        <w:jc w:val="left"/>
      </w:pPr>
      <w:bookmarkStart w:id="386" w:name="bookmark386"/>
      <w:bookmarkStart w:id="387" w:name="bookmark387"/>
      <w:bookmarkStart w:id="388" w:name="bookmark388"/>
      <w:r>
        <w:rPr>
          <w:color w:val="000000"/>
          <w:spacing w:val="0"/>
          <w:w w:val="100"/>
          <w:position w:val="0"/>
          <w:sz w:val="24"/>
          <w:szCs w:val="24"/>
        </w:rPr>
        <w:t>十六、重大合同及其履行情况</w:t>
      </w:r>
      <w:bookmarkEnd w:id="386"/>
      <w:bookmarkEnd w:id="387"/>
      <w:bookmarkEnd w:id="388"/>
    </w:p>
    <w:p>
      <w:pPr>
        <w:pStyle w:val="Style55"/>
        <w:keepNext/>
        <w:keepLines/>
        <w:widowControl w:val="0"/>
        <w:shd w:val="clear" w:color="auto" w:fill="auto"/>
        <w:bidi w:val="0"/>
        <w:spacing w:before="0" w:after="360" w:line="240" w:lineRule="auto"/>
        <w:ind w:left="0" w:right="0" w:firstLine="460"/>
        <w:jc w:val="left"/>
      </w:pPr>
      <w:bookmarkStart w:id="389" w:name="bookmark389"/>
      <w:bookmarkStart w:id="390" w:name="bookmark390"/>
      <w:bookmarkStart w:id="391" w:name="bookmark391"/>
      <w:bookmarkStart w:id="392" w:name="bookmark392"/>
      <w:r>
        <w:rPr>
          <w:rFonts w:ascii="Times New Roman" w:eastAsia="Times New Roman" w:hAnsi="Times New Roman" w:cs="Times New Roman"/>
          <w:color w:val="000000"/>
          <w:spacing w:val="0"/>
          <w:w w:val="100"/>
          <w:position w:val="0"/>
        </w:rPr>
        <w:t>1</w:t>
      </w:r>
      <w:bookmarkEnd w:id="391"/>
      <w:r>
        <w:rPr>
          <w:color w:val="000000"/>
          <w:spacing w:val="0"/>
          <w:w w:val="100"/>
          <w:position w:val="0"/>
        </w:rPr>
        <w:t>、托管、承包、租赁事项情况</w:t>
      </w:r>
      <w:bookmarkEnd w:id="389"/>
      <w:bookmarkEnd w:id="390"/>
      <w:bookmarkEnd w:id="392"/>
    </w:p>
    <w:p>
      <w:pPr>
        <w:pStyle w:val="Style55"/>
        <w:keepNext/>
        <w:keepLines/>
        <w:widowControl w:val="0"/>
        <w:shd w:val="clear" w:color="auto" w:fill="auto"/>
        <w:bidi w:val="0"/>
        <w:spacing w:before="0" w:after="360" w:line="240" w:lineRule="auto"/>
        <w:ind w:left="0" w:right="0" w:firstLine="460"/>
        <w:jc w:val="left"/>
      </w:pPr>
      <w:bookmarkStart w:id="389" w:name="bookmark389"/>
      <w:bookmarkStart w:id="390" w:name="bookmark390"/>
      <w:bookmarkStart w:id="393" w:name="bookmark393"/>
      <w:bookmarkStart w:id="394" w:name="bookmark394"/>
      <w:r>
        <w:rPr>
          <w:color w:val="000000"/>
          <w:spacing w:val="0"/>
          <w:w w:val="100"/>
          <w:position w:val="0"/>
        </w:rPr>
        <w:t>（</w:t>
      </w:r>
      <w:bookmarkEnd w:id="393"/>
      <w:r>
        <w:rPr>
          <w:rFonts w:ascii="Times New Roman" w:eastAsia="Times New Roman" w:hAnsi="Times New Roman" w:cs="Times New Roman"/>
          <w:color w:val="000000"/>
          <w:spacing w:val="0"/>
          <w:w w:val="100"/>
          <w:position w:val="0"/>
        </w:rPr>
        <w:t>1</w:t>
      </w:r>
      <w:r>
        <w:rPr>
          <w:color w:val="000000"/>
          <w:spacing w:val="0"/>
          <w:w w:val="100"/>
          <w:position w:val="0"/>
        </w:rPr>
        <w:t>）托管情况</w:t>
      </w:r>
      <w:bookmarkEnd w:id="389"/>
      <w:bookmarkEnd w:id="390"/>
      <w:bookmarkEnd w:id="394"/>
    </w:p>
    <w:p>
      <w:pPr>
        <w:pStyle w:val="Style32"/>
        <w:keepNext w:val="0"/>
        <w:keepLines w:val="0"/>
        <w:widowControl w:val="0"/>
        <w:shd w:val="clear" w:color="auto" w:fill="auto"/>
        <w:bidi w:val="0"/>
        <w:spacing w:before="0" w:after="120" w:line="240" w:lineRule="auto"/>
        <w:ind w:left="0" w:right="0" w:firstLine="4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460"/>
        <w:jc w:val="left"/>
      </w:pPr>
      <w:r>
        <w:rPr>
          <w:color w:val="000000"/>
          <w:spacing w:val="0"/>
          <w:w w:val="100"/>
          <w:position w:val="0"/>
        </w:rPr>
        <w:t>公司报告期不存在托管情况。</w:t>
      </w:r>
    </w:p>
    <w:p>
      <w:pPr>
        <w:pStyle w:val="Style55"/>
        <w:keepNext/>
        <w:keepLines/>
        <w:widowControl w:val="0"/>
        <w:shd w:val="clear" w:color="auto" w:fill="auto"/>
        <w:bidi w:val="0"/>
        <w:spacing w:before="0" w:after="360" w:line="240" w:lineRule="auto"/>
        <w:ind w:left="0" w:right="0" w:firstLine="460"/>
        <w:jc w:val="left"/>
      </w:pPr>
      <w:bookmarkStart w:id="395" w:name="bookmark395"/>
      <w:bookmarkStart w:id="396" w:name="bookmark396"/>
      <w:bookmarkStart w:id="397" w:name="bookmark397"/>
      <w:bookmarkStart w:id="398" w:name="bookmark398"/>
      <w:r>
        <w:rPr>
          <w:color w:val="000000"/>
          <w:spacing w:val="0"/>
          <w:w w:val="100"/>
          <w:position w:val="0"/>
        </w:rPr>
        <w:t>（</w:t>
      </w:r>
      <w:bookmarkEnd w:id="397"/>
      <w:r>
        <w:rPr>
          <w:rFonts w:ascii="Times New Roman" w:eastAsia="Times New Roman" w:hAnsi="Times New Roman" w:cs="Times New Roman"/>
          <w:color w:val="000000"/>
          <w:spacing w:val="0"/>
          <w:w w:val="100"/>
          <w:position w:val="0"/>
        </w:rPr>
        <w:t>2</w:t>
      </w:r>
      <w:r>
        <w:rPr>
          <w:color w:val="000000"/>
          <w:spacing w:val="0"/>
          <w:w w:val="100"/>
          <w:position w:val="0"/>
        </w:rPr>
        <w:t>）承包情况</w:t>
      </w:r>
      <w:bookmarkEnd w:id="395"/>
      <w:bookmarkEnd w:id="396"/>
      <w:bookmarkEnd w:id="398"/>
    </w:p>
    <w:p>
      <w:pPr>
        <w:pStyle w:val="Style32"/>
        <w:keepNext w:val="0"/>
        <w:keepLines w:val="0"/>
        <w:widowControl w:val="0"/>
        <w:shd w:val="clear" w:color="auto" w:fill="auto"/>
        <w:bidi w:val="0"/>
        <w:spacing w:before="0" w:after="120" w:line="240" w:lineRule="auto"/>
        <w:ind w:left="0" w:right="0" w:firstLine="4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460"/>
        <w:jc w:val="left"/>
      </w:pPr>
      <w:r>
        <w:rPr>
          <w:color w:val="000000"/>
          <w:spacing w:val="0"/>
          <w:w w:val="100"/>
          <w:position w:val="0"/>
        </w:rPr>
        <w:t>公司报告期不存在承包情况。</w:t>
      </w:r>
    </w:p>
    <w:p>
      <w:pPr>
        <w:pStyle w:val="Style55"/>
        <w:keepNext/>
        <w:keepLines/>
        <w:widowControl w:val="0"/>
        <w:shd w:val="clear" w:color="auto" w:fill="auto"/>
        <w:bidi w:val="0"/>
        <w:spacing w:before="0" w:after="360" w:line="240" w:lineRule="auto"/>
        <w:ind w:left="0" w:right="0" w:firstLine="460"/>
        <w:jc w:val="left"/>
      </w:pPr>
      <w:bookmarkStart w:id="399" w:name="bookmark399"/>
      <w:bookmarkStart w:id="400" w:name="bookmark400"/>
      <w:bookmarkStart w:id="401" w:name="bookmark401"/>
      <w:bookmarkStart w:id="402" w:name="bookmark402"/>
      <w:r>
        <w:rPr>
          <w:color w:val="000000"/>
          <w:spacing w:val="0"/>
          <w:w w:val="100"/>
          <w:position w:val="0"/>
        </w:rPr>
        <w:t>（</w:t>
      </w:r>
      <w:bookmarkEnd w:id="401"/>
      <w:r>
        <w:rPr>
          <w:rFonts w:ascii="Times New Roman" w:eastAsia="Times New Roman" w:hAnsi="Times New Roman" w:cs="Times New Roman"/>
          <w:color w:val="000000"/>
          <w:spacing w:val="0"/>
          <w:w w:val="100"/>
          <w:position w:val="0"/>
        </w:rPr>
        <w:t>3</w:t>
      </w:r>
      <w:r>
        <w:rPr>
          <w:color w:val="000000"/>
          <w:spacing w:val="0"/>
          <w:w w:val="100"/>
          <w:position w:val="0"/>
        </w:rPr>
        <w:t>）租赁情况</w:t>
      </w:r>
      <w:bookmarkEnd w:id="399"/>
      <w:bookmarkEnd w:id="400"/>
      <w:bookmarkEnd w:id="402"/>
    </w:p>
    <w:p>
      <w:pPr>
        <w:pStyle w:val="Style32"/>
        <w:keepNext w:val="0"/>
        <w:keepLines w:val="0"/>
        <w:widowControl w:val="0"/>
        <w:shd w:val="clear" w:color="auto" w:fill="auto"/>
        <w:bidi w:val="0"/>
        <w:spacing w:before="0" w:after="120" w:line="240" w:lineRule="auto"/>
        <w:ind w:left="0" w:right="0" w:firstLine="4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460"/>
        <w:jc w:val="left"/>
      </w:pPr>
      <w:r>
        <w:rPr>
          <w:color w:val="000000"/>
          <w:spacing w:val="0"/>
          <w:w w:val="100"/>
          <w:position w:val="0"/>
        </w:rPr>
        <w:t>公司报告期不存在租赁情况。</w:t>
      </w:r>
    </w:p>
    <w:p>
      <w:pPr>
        <w:pStyle w:val="Style55"/>
        <w:keepNext/>
        <w:keepLines/>
        <w:widowControl w:val="0"/>
        <w:shd w:val="clear" w:color="auto" w:fill="auto"/>
        <w:bidi w:val="0"/>
        <w:spacing w:before="0" w:after="360" w:line="240" w:lineRule="auto"/>
        <w:ind w:left="0" w:right="0" w:firstLine="460"/>
        <w:jc w:val="both"/>
      </w:pPr>
      <w:bookmarkStart w:id="403" w:name="bookmark403"/>
      <w:bookmarkStart w:id="404" w:name="bookmark404"/>
      <w:bookmarkStart w:id="405" w:name="bookmark405"/>
      <w:bookmarkStart w:id="406" w:name="bookmark406"/>
      <w:r>
        <w:rPr>
          <w:rFonts w:ascii="Times New Roman" w:eastAsia="Times New Roman" w:hAnsi="Times New Roman" w:cs="Times New Roman"/>
          <w:color w:val="000000"/>
          <w:spacing w:val="0"/>
          <w:w w:val="100"/>
          <w:position w:val="0"/>
        </w:rPr>
        <w:t>2</w:t>
      </w:r>
      <w:bookmarkEnd w:id="405"/>
      <w:r>
        <w:rPr>
          <w:color w:val="000000"/>
          <w:spacing w:val="0"/>
          <w:w w:val="100"/>
          <w:position w:val="0"/>
        </w:rPr>
        <w:t>、重大担保</w:t>
      </w:r>
      <w:bookmarkEnd w:id="403"/>
      <w:bookmarkEnd w:id="404"/>
      <w:bookmarkEnd w:id="406"/>
    </w:p>
    <w:p>
      <w:pPr>
        <w:pStyle w:val="Style32"/>
        <w:keepNext w:val="0"/>
        <w:keepLines w:val="0"/>
        <w:widowControl w:val="0"/>
        <w:shd w:val="clear" w:color="auto" w:fill="auto"/>
        <w:bidi w:val="0"/>
        <w:spacing w:before="0" w:after="360" w:line="240" w:lineRule="auto"/>
        <w:ind w:left="0" w:right="0" w:firstLine="46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55"/>
        <w:keepNext/>
        <w:keepLines/>
        <w:widowControl w:val="0"/>
        <w:shd w:val="clear" w:color="auto" w:fill="auto"/>
        <w:bidi w:val="0"/>
        <w:spacing w:before="0" w:after="360" w:line="240" w:lineRule="auto"/>
        <w:ind w:left="0" w:right="0" w:firstLine="680"/>
        <w:jc w:val="both"/>
      </w:pPr>
      <w:bookmarkStart w:id="407" w:name="bookmark407"/>
      <w:bookmarkStart w:id="408" w:name="bookmark408"/>
      <w:bookmarkStart w:id="409" w:name="bookmark409"/>
      <w:bookmarkStart w:id="410" w:name="bookmark410"/>
      <w:r>
        <w:rPr>
          <w:rFonts w:ascii="Times New Roman" w:eastAsia="Times New Roman" w:hAnsi="Times New Roman" w:cs="Times New Roman"/>
          <w:color w:val="000000"/>
          <w:spacing w:val="0"/>
          <w:w w:val="100"/>
          <w:position w:val="0"/>
        </w:rPr>
        <w:t>1</w:t>
      </w:r>
      <w:bookmarkEnd w:id="409"/>
      <w:r>
        <w:rPr>
          <w:color w:val="000000"/>
          <w:spacing w:val="0"/>
          <w:w w:val="100"/>
          <w:position w:val="0"/>
        </w:rPr>
        <w:t>）担保情况</w:t>
      </w:r>
      <w:bookmarkEnd w:id="407"/>
      <w:bookmarkEnd w:id="408"/>
      <w:bookmarkEnd w:id="410"/>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2707"/>
        <w:gridCol w:w="1550"/>
        <w:gridCol w:w="850"/>
        <w:gridCol w:w="1560"/>
        <w:gridCol w:w="854"/>
        <w:gridCol w:w="850"/>
        <w:gridCol w:w="706"/>
        <w:gridCol w:w="715"/>
        <w:gridCol w:w="787"/>
      </w:tblGrid>
      <w:tr>
        <w:trPr>
          <w:trHeight w:val="408" w:hRule="exact"/>
        </w:trPr>
        <w:tc>
          <w:tcPr>
            <w:gridSpan w:val="9"/>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公司及其子公司对外担保情况（不包括对子公司的担保）</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担保对象名称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93" w:lineRule="exact"/>
              <w:ind w:left="0" w:right="0" w:firstLine="0"/>
              <w:jc w:val="center"/>
            </w:pPr>
            <w:r>
              <w:rPr>
                <w:color w:val="000000"/>
                <w:spacing w:val="0"/>
                <w:w w:val="100"/>
                <w:position w:val="0"/>
              </w:rPr>
              <w:t>担保额度相关公告 披露日期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担保额度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实际发生日期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实际担保 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担保类型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是否履 行完毕</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是否为关</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联方担保</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上海创业接力融资担保有限公司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上海市中小微企业政策性融资担 保基金管理中心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425.00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425.00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上海浦东科技融资担保有限公司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500.00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528.75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2" w:lineRule="exact"/>
              <w:ind w:left="0" w:right="0" w:firstLine="0"/>
              <w:jc w:val="left"/>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上海浦东科技融资担保有限公司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500.00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500.00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上海创业接力融资担保有限公司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06</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2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上海市中小微企业政策性融资担 保基金管理中心</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850.00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850.00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连带责任 保证</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三年</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bl>
    <w:p>
      <w:pPr>
        <w:sectPr>
          <w:headerReference w:type="default" r:id="rId147"/>
          <w:footerReference w:type="default" r:id="rId148"/>
          <w:headerReference w:type="even" r:id="rId149"/>
          <w:footerReference w:type="even" r:id="rId150"/>
          <w:footnotePr>
            <w:pos w:val="pageBottom"/>
            <w:numFmt w:val="decimal"/>
            <w:numRestart w:val="continuous"/>
          </w:footnotePr>
          <w:pgSz w:w="11900" w:h="16840"/>
          <w:pgMar w:top="678" w:right="663" w:bottom="1158" w:left="658" w:header="0" w:footer="3" w:gutter="0"/>
          <w:cols w:space="720"/>
          <w:noEndnote/>
          <w:rtlGutter w:val="0"/>
          <w:docGrid w:linePitch="360"/>
        </w:sectPr>
      </w:pPr>
    </w:p>
    <w:p>
      <w:pPr>
        <w:widowControl w:val="0"/>
        <w:jc w:val="left"/>
        <w:rPr>
          <w:sz w:val="2"/>
          <w:szCs w:val="2"/>
        </w:rPr>
      </w:pPr>
      <w:r>
        <w:drawing>
          <wp:inline>
            <wp:extent cx="1298575" cy="481330"/>
            <wp:docPr id="335" name="Picutre 335"/>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51"/>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168" w:lineRule="exact"/>
        <w:ind w:left="782"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bl>
      <w:tblPr>
        <w:tblOverlap w:val="never"/>
        <w:jc w:val="center"/>
        <w:tblLayout w:type="fixed"/>
      </w:tblPr>
      <w:tblGrid>
        <w:gridCol w:w="2414"/>
        <w:gridCol w:w="1214"/>
        <w:gridCol w:w="490"/>
        <w:gridCol w:w="850"/>
        <w:gridCol w:w="1699"/>
        <w:gridCol w:w="854"/>
        <w:gridCol w:w="850"/>
        <w:gridCol w:w="706"/>
        <w:gridCol w:w="715"/>
        <w:gridCol w:w="787"/>
      </w:tblGrid>
      <w:tr>
        <w:trPr>
          <w:trHeight w:val="715" w:hRule="exact"/>
        </w:trPr>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报告期内审批的对外担保额度合计</w:t>
            </w:r>
          </w:p>
        </w:tc>
        <w:tc>
          <w:tcPr>
            <w:gridSpan w:val="3"/>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1,150.00</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报告期内对外担保实 际发生额合计</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1,150.00</w:t>
            </w:r>
          </w:p>
        </w:tc>
      </w:tr>
      <w:tr>
        <w:trPr>
          <w:trHeight w:val="715" w:hRule="exact"/>
        </w:trPr>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报告期末已审批的对外担保额度合计</w:t>
            </w:r>
          </w:p>
        </w:tc>
        <w:tc>
          <w:tcPr>
            <w:gridSpan w:val="3"/>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2,875.00</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报告期末实际对外担</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保余额合计</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2,903.75</w:t>
            </w:r>
          </w:p>
        </w:tc>
      </w:tr>
      <w:tr>
        <w:trPr>
          <w:trHeight w:val="403" w:hRule="exact"/>
        </w:trPr>
        <w:tc>
          <w:tcPr>
            <w:gridSpan w:val="10"/>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公司对子公司的担保情况</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担保对象名称</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担保额度相关公告披 露日期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担保额度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实际发生日期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实际担保 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担保类型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是否履 行完毕</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是否为关</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联方担保</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360.00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200.00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2" w:lineRule="exact"/>
              <w:ind w:left="0" w:right="0" w:firstLine="0"/>
              <w:jc w:val="both"/>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06</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06</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200.00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2" w:lineRule="exact"/>
              <w:ind w:left="0" w:right="0" w:firstLine="0"/>
              <w:jc w:val="both"/>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三年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连带责任 保证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两年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报告期内审批对子公司担保额度合计</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880" w:right="0" w:firstLine="0"/>
              <w:jc w:val="left"/>
            </w:pPr>
            <w:r>
              <w:rPr>
                <w:rFonts w:ascii="Times New Roman" w:eastAsia="Times New Roman" w:hAnsi="Times New Roman" w:cs="Times New Roman"/>
                <w:color w:val="000000"/>
                <w:spacing w:val="0"/>
                <w:w w:val="100"/>
                <w:position w:val="0"/>
              </w:rPr>
              <w:t>4,400.00</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2" w:lineRule="exact"/>
              <w:ind w:left="0" w:right="0" w:firstLine="0"/>
              <w:jc w:val="both"/>
            </w:pPr>
            <w:r>
              <w:rPr>
                <w:color w:val="000000"/>
                <w:spacing w:val="0"/>
                <w:w w:val="100"/>
                <w:position w:val="0"/>
              </w:rPr>
              <w:t>报告期内对子公司担 保实际发生额合计</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3,160.00</w:t>
            </w:r>
          </w:p>
        </w:tc>
      </w:tr>
      <w:tr>
        <w:trPr>
          <w:trHeight w:val="715" w:hRule="exact"/>
        </w:trPr>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报告期末已审批的对子公司担保额度合计</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880" w:right="0" w:firstLine="0"/>
              <w:jc w:val="left"/>
            </w:pPr>
            <w:r>
              <w:rPr>
                <w:rFonts w:ascii="Times New Roman" w:eastAsia="Times New Roman" w:hAnsi="Times New Roman" w:cs="Times New Roman"/>
                <w:color w:val="000000"/>
                <w:spacing w:val="0"/>
                <w:w w:val="100"/>
                <w:position w:val="0"/>
              </w:rPr>
              <w:t>5,960.00</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6" w:lineRule="exact"/>
              <w:ind w:left="0" w:right="0" w:firstLine="0"/>
              <w:jc w:val="both"/>
            </w:pPr>
            <w:r>
              <w:rPr>
                <w:color w:val="000000"/>
                <w:spacing w:val="0"/>
                <w:w w:val="100"/>
                <w:position w:val="0"/>
              </w:rPr>
              <w:t>报告期末对子公司实 际担保余额合计</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4,720.00</w:t>
            </w:r>
          </w:p>
        </w:tc>
      </w:tr>
      <w:tr>
        <w:trPr>
          <w:trHeight w:val="403" w:hRule="exact"/>
        </w:trPr>
        <w:tc>
          <w:tcPr>
            <w:gridSpan w:val="10"/>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公司担保总额</w:t>
            </w:r>
          </w:p>
        </w:tc>
      </w:tr>
      <w:tr>
        <w:trPr>
          <w:trHeight w:val="710" w:hRule="exact"/>
        </w:trPr>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报告期内审批担保额度合计</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880" w:right="0" w:firstLine="0"/>
              <w:jc w:val="left"/>
            </w:pPr>
            <w:r>
              <w:rPr>
                <w:rFonts w:ascii="Times New Roman" w:eastAsia="Times New Roman" w:hAnsi="Times New Roman" w:cs="Times New Roman"/>
                <w:color w:val="000000"/>
                <w:spacing w:val="0"/>
                <w:w w:val="100"/>
                <w:position w:val="0"/>
              </w:rPr>
              <w:t>5,550.00</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both"/>
            </w:pPr>
            <w:r>
              <w:rPr>
                <w:color w:val="000000"/>
                <w:spacing w:val="0"/>
                <w:w w:val="100"/>
                <w:position w:val="0"/>
              </w:rPr>
              <w:t>报告期内担保实际发 生额合计</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4,310.00</w:t>
            </w:r>
          </w:p>
        </w:tc>
      </w:tr>
      <w:tr>
        <w:trPr>
          <w:trHeight w:val="715" w:hRule="exact"/>
        </w:trPr>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报告期末已审批的担保额度合计</w:t>
            </w:r>
          </w:p>
        </w:tc>
        <w:tc>
          <w:tcPr>
            <w:gridSpan w:val="2"/>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880" w:right="0" w:firstLine="0"/>
              <w:jc w:val="left"/>
            </w:pPr>
            <w:r>
              <w:rPr>
                <w:rFonts w:ascii="Times New Roman" w:eastAsia="Times New Roman" w:hAnsi="Times New Roman" w:cs="Times New Roman"/>
                <w:color w:val="000000"/>
                <w:spacing w:val="0"/>
                <w:w w:val="100"/>
                <w:position w:val="0"/>
              </w:rPr>
              <w:t>8,835.00</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报告期末实际担保余</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额合计</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7,623.75</w:t>
            </w:r>
          </w:p>
        </w:tc>
      </w:tr>
      <w:tr>
        <w:trPr>
          <w:trHeight w:val="413" w:hRule="exact"/>
        </w:trPr>
        <w:tc>
          <w:tcPr>
            <w:gridSpan w:val="5"/>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实际担保总额占公司净资产的比例</w:t>
            </w:r>
          </w:p>
        </w:tc>
        <w:tc>
          <w:tcPr>
            <w:gridSpan w:val="5"/>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5.58%</w:t>
            </w:r>
          </w:p>
        </w:tc>
      </w:tr>
    </w:tbl>
    <w:p>
      <w:pPr>
        <w:pStyle w:val="Style49"/>
        <w:keepNext w:val="0"/>
        <w:keepLines w:val="0"/>
        <w:widowControl w:val="0"/>
        <w:shd w:val="clear" w:color="auto" w:fill="auto"/>
        <w:bidi w:val="0"/>
        <w:spacing w:before="0" w:after="0" w:line="240" w:lineRule="auto"/>
        <w:ind w:left="451" w:right="0" w:firstLine="0"/>
        <w:jc w:val="left"/>
      </w:pPr>
      <w:r>
        <w:rPr>
          <w:color w:val="000000"/>
          <w:spacing w:val="0"/>
          <w:w w:val="100"/>
          <w:position w:val="0"/>
        </w:rPr>
        <w:t>采用复合方式担保的具体情况说明</w:t>
      </w:r>
    </w:p>
    <w:p>
      <w:pPr>
        <w:widowControl w:val="0"/>
        <w:spacing w:after="119" w:line="1" w:lineRule="exact"/>
      </w:pPr>
    </w:p>
    <w:p>
      <w:pPr>
        <w:pStyle w:val="Style32"/>
        <w:keepNext w:val="0"/>
        <w:keepLines w:val="0"/>
        <w:widowControl w:val="0"/>
        <w:shd w:val="clear" w:color="auto" w:fill="auto"/>
        <w:bidi w:val="0"/>
        <w:spacing w:before="0" w:after="0" w:line="240" w:lineRule="auto"/>
        <w:ind w:left="0" w:right="0" w:firstLine="460"/>
        <w:jc w:val="left"/>
        <w:sectPr>
          <w:footnotePr>
            <w:pos w:val="pageBottom"/>
            <w:numFmt w:val="decimal"/>
            <w:numRestart w:val="continuous"/>
          </w:footnotePr>
          <w:pgSz w:w="11900" w:h="16840"/>
          <w:pgMar w:top="692" w:right="663" w:bottom="1158" w:left="658" w:header="0" w:footer="3" w:gutter="0"/>
          <w:cols w:space="720"/>
          <w:noEndnote/>
          <w:rtlGutter w:val="0"/>
          <w:docGrid w:linePitch="360"/>
        </w:sectPr>
      </w:pPr>
      <w:r>
        <w:rPr>
          <w:color w:val="000000"/>
          <w:spacing w:val="0"/>
          <w:w w:val="100"/>
          <w:position w:val="0"/>
        </w:rPr>
        <w:t>详见本报告第十二节、十四、</w:t>
      </w:r>
      <w:r>
        <w:rPr>
          <w:rFonts w:ascii="Times New Roman" w:eastAsia="Times New Roman" w:hAnsi="Times New Roman" w:cs="Times New Roman"/>
          <w:color w:val="000000"/>
          <w:spacing w:val="0"/>
          <w:w w:val="100"/>
          <w:position w:val="0"/>
        </w:rPr>
        <w:t>2</w:t>
      </w:r>
      <w:r>
        <w:rPr>
          <w:color w:val="000000"/>
          <w:spacing w:val="0"/>
          <w:w w:val="100"/>
          <w:position w:val="0"/>
        </w:rPr>
        <w:t>。</w:t>
      </w:r>
    </w:p>
    <w:p>
      <w:pPr>
        <w:widowControl w:val="0"/>
        <w:spacing w:line="1" w:lineRule="exact"/>
      </w:pPr>
      <w:r>
        <mc:AlternateContent>
          <mc:Choice Requires="wps">
            <w:drawing>
              <wp:anchor distT="0" distB="0" distL="0" distR="0" simplePos="0" relativeHeight="125829426" behindDoc="0" locked="0" layoutInCell="1" allowOverlap="1">
                <wp:simplePos x="0" y="0"/>
                <wp:positionH relativeFrom="page">
                  <wp:posOffset>746760</wp:posOffset>
                </wp:positionH>
                <wp:positionV relativeFrom="paragraph">
                  <wp:posOffset>12700</wp:posOffset>
                </wp:positionV>
                <wp:extent cx="1301750" cy="323215"/>
                <wp:wrapSquare wrapText="right"/>
                <wp:docPr id="336" name="Shape 336"/>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1362" type="#_x0000_t202" style="position:absolute;margin-left:58.800000000000004pt;margin-top:1.pt;width:102.5pt;height:25.449999999999999pt;z-index:-125829327;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square" side="right" anchorx="page"/>
              </v:shape>
            </w:pict>
          </mc:Fallback>
        </mc:AlternateContent>
      </w:r>
    </w:p>
    <w:p>
      <w:pPr>
        <w:pStyle w:val="Style5"/>
        <w:keepNext w:val="0"/>
        <w:keepLines w:val="0"/>
        <w:widowControl w:val="0"/>
        <w:shd w:val="clear" w:color="auto" w:fill="auto"/>
        <w:bidi w:val="0"/>
        <w:spacing w:before="0" w:after="40" w:line="173" w:lineRule="exact"/>
        <w:ind w:left="1800" w:right="0" w:hanging="1800"/>
        <w:jc w:val="left"/>
        <w:rPr>
          <w:sz w:val="18"/>
          <w:szCs w:val="18"/>
        </w:rPr>
      </w:pPr>
      <w:r>
        <w:rPr>
          <w:spacing w:val="0"/>
          <w:w w:val="100"/>
          <w:position w:val="0"/>
          <w:sz w:val="15"/>
          <w:szCs w:val="15"/>
        </w:rPr>
        <w:t>国家高新技术企业</w:t>
      </w:r>
      <w:r>
        <w:rPr>
          <w:color w:val="000000"/>
          <w:spacing w:val="0"/>
          <w:w w:val="100"/>
          <w:position w:val="0"/>
          <w:sz w:val="15"/>
          <w:szCs w:val="15"/>
        </w:rPr>
        <w:t xml:space="preserve">- </w:t>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55"/>
        <w:keepNext/>
        <w:keepLines/>
        <w:widowControl w:val="0"/>
        <w:shd w:val="clear" w:color="auto" w:fill="auto"/>
        <w:bidi w:val="0"/>
        <w:spacing w:before="0" w:after="380" w:line="240" w:lineRule="auto"/>
        <w:ind w:left="1100" w:right="0" w:firstLine="0"/>
        <w:jc w:val="left"/>
      </w:pPr>
      <w:bookmarkStart w:id="411" w:name="bookmark411"/>
      <w:bookmarkStart w:id="412" w:name="bookmark412"/>
      <w:bookmarkStart w:id="413" w:name="bookmark413"/>
      <w:bookmarkStart w:id="414" w:name="bookmark414"/>
      <w:r>
        <w:rPr>
          <w:rFonts w:ascii="Times New Roman" w:eastAsia="Times New Roman" w:hAnsi="Times New Roman" w:cs="Times New Roman"/>
          <w:color w:val="000000"/>
          <w:spacing w:val="0"/>
          <w:w w:val="100"/>
          <w:position w:val="0"/>
        </w:rPr>
        <w:t>（</w:t>
      </w:r>
      <w:bookmarkEnd w:id="413"/>
      <w:r>
        <w:rPr>
          <w:rFonts w:ascii="Times New Roman" w:eastAsia="Times New Roman" w:hAnsi="Times New Roman" w:cs="Times New Roman"/>
          <w:color w:val="000000"/>
          <w:spacing w:val="0"/>
          <w:w w:val="100"/>
          <w:position w:val="0"/>
        </w:rPr>
        <w:t>2</w:t>
      </w:r>
      <w:r>
        <w:rPr>
          <w:color w:val="000000"/>
          <w:spacing w:val="0"/>
          <w:w w:val="100"/>
          <w:position w:val="0"/>
        </w:rPr>
        <w:t>）违规对外担保情况</w:t>
      </w:r>
      <w:bookmarkEnd w:id="411"/>
      <w:bookmarkEnd w:id="412"/>
      <w:bookmarkEnd w:id="414"/>
    </w:p>
    <w:p>
      <w:pPr>
        <w:pStyle w:val="Style32"/>
        <w:keepNext w:val="0"/>
        <w:keepLines w:val="0"/>
        <w:widowControl w:val="0"/>
        <w:shd w:val="clear" w:color="auto" w:fill="auto"/>
        <w:bidi w:val="0"/>
        <w:spacing w:before="0" w:after="12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公司报告期无违规对外担保情况。</w:t>
      </w:r>
    </w:p>
    <w:p>
      <w:pPr>
        <w:pStyle w:val="Style55"/>
        <w:keepNext/>
        <w:keepLines/>
        <w:widowControl w:val="0"/>
        <w:shd w:val="clear" w:color="auto" w:fill="auto"/>
        <w:bidi w:val="0"/>
        <w:spacing w:before="0" w:after="380" w:line="240" w:lineRule="auto"/>
        <w:ind w:left="0" w:right="0" w:firstLine="980"/>
        <w:jc w:val="left"/>
      </w:pPr>
      <w:bookmarkStart w:id="415" w:name="bookmark415"/>
      <w:bookmarkStart w:id="416" w:name="bookmark416"/>
      <w:bookmarkStart w:id="417" w:name="bookmark417"/>
      <w:bookmarkStart w:id="418" w:name="bookmark418"/>
      <w:r>
        <w:rPr>
          <w:rFonts w:ascii="Times New Roman" w:eastAsia="Times New Roman" w:hAnsi="Times New Roman" w:cs="Times New Roman"/>
          <w:color w:val="000000"/>
          <w:spacing w:val="0"/>
          <w:w w:val="100"/>
          <w:position w:val="0"/>
        </w:rPr>
        <w:t>3</w:t>
      </w:r>
      <w:bookmarkEnd w:id="417"/>
      <w:r>
        <w:rPr>
          <w:color w:val="000000"/>
          <w:spacing w:val="0"/>
          <w:w w:val="100"/>
          <w:position w:val="0"/>
        </w:rPr>
        <w:t>、日常经营重大合同</w:t>
      </w:r>
      <w:bookmarkEnd w:id="415"/>
      <w:bookmarkEnd w:id="416"/>
      <w:bookmarkEnd w:id="418"/>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bidi w:val="0"/>
        <w:spacing w:before="0" w:after="380" w:line="240" w:lineRule="auto"/>
        <w:ind w:left="0" w:right="0" w:firstLine="980"/>
        <w:jc w:val="left"/>
      </w:pPr>
      <w:bookmarkStart w:id="419" w:name="bookmark419"/>
      <w:bookmarkStart w:id="420" w:name="bookmark420"/>
      <w:bookmarkStart w:id="421" w:name="bookmark421"/>
      <w:bookmarkStart w:id="422" w:name="bookmark422"/>
      <w:r>
        <w:rPr>
          <w:rFonts w:ascii="Times New Roman" w:eastAsia="Times New Roman" w:hAnsi="Times New Roman" w:cs="Times New Roman"/>
          <w:color w:val="000000"/>
          <w:spacing w:val="0"/>
          <w:w w:val="100"/>
          <w:position w:val="0"/>
        </w:rPr>
        <w:t>4</w:t>
      </w:r>
      <w:bookmarkEnd w:id="421"/>
      <w:r>
        <w:rPr>
          <w:color w:val="000000"/>
          <w:spacing w:val="0"/>
          <w:w w:val="100"/>
          <w:position w:val="0"/>
        </w:rPr>
        <w:t>、委托他人进行现金资产管理情况</w:t>
      </w:r>
      <w:bookmarkEnd w:id="419"/>
      <w:bookmarkEnd w:id="420"/>
      <w:bookmarkEnd w:id="422"/>
    </w:p>
    <w:p>
      <w:pPr>
        <w:pStyle w:val="Style55"/>
        <w:keepNext/>
        <w:keepLines/>
        <w:widowControl w:val="0"/>
        <w:shd w:val="clear" w:color="auto" w:fill="auto"/>
        <w:bidi w:val="0"/>
        <w:spacing w:before="0" w:after="380" w:line="240" w:lineRule="auto"/>
        <w:ind w:left="0" w:right="0" w:firstLine="980"/>
        <w:jc w:val="left"/>
      </w:pPr>
      <w:bookmarkStart w:id="419" w:name="bookmark419"/>
      <w:bookmarkStart w:id="420" w:name="bookmark420"/>
      <w:bookmarkStart w:id="423" w:name="bookmark423"/>
      <w:bookmarkStart w:id="424" w:name="bookmark424"/>
      <w:r>
        <w:rPr>
          <w:color w:val="000000"/>
          <w:spacing w:val="0"/>
          <w:w w:val="100"/>
          <w:position w:val="0"/>
        </w:rPr>
        <w:t>（</w:t>
      </w:r>
      <w:bookmarkEnd w:id="423"/>
      <w:r>
        <w:rPr>
          <w:rFonts w:ascii="Times New Roman" w:eastAsia="Times New Roman" w:hAnsi="Times New Roman" w:cs="Times New Roman"/>
          <w:color w:val="000000"/>
          <w:spacing w:val="0"/>
          <w:w w:val="100"/>
          <w:position w:val="0"/>
        </w:rPr>
        <w:t>1</w:t>
      </w:r>
      <w:r>
        <w:rPr>
          <w:color w:val="000000"/>
          <w:spacing w:val="0"/>
          <w:w w:val="100"/>
          <w:position w:val="0"/>
        </w:rPr>
        <w:t>）委托理财情况</w:t>
      </w:r>
      <w:bookmarkEnd w:id="419"/>
      <w:bookmarkEnd w:id="420"/>
      <w:bookmarkEnd w:id="424"/>
    </w:p>
    <w:p>
      <w:pPr>
        <w:pStyle w:val="Style32"/>
        <w:keepNext w:val="0"/>
        <w:keepLines w:val="0"/>
        <w:widowControl w:val="0"/>
        <w:shd w:val="clear" w:color="auto" w:fill="auto"/>
        <w:bidi w:val="0"/>
        <w:spacing w:before="0" w:after="120" w:line="240" w:lineRule="auto"/>
        <w:ind w:left="0" w:right="0" w:firstLine="98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980"/>
        <w:jc w:val="both"/>
      </w:pPr>
      <w:r>
        <w:rPr>
          <w:color w:val="000000"/>
          <w:spacing w:val="0"/>
          <w:w w:val="100"/>
          <w:position w:val="0"/>
        </w:rPr>
        <w:t>报告期内委托理财概况</w:t>
      </w:r>
    </w:p>
    <w:p>
      <w:pPr>
        <w:pStyle w:val="Style32"/>
        <w:keepNext w:val="0"/>
        <w:keepLines w:val="0"/>
        <w:widowControl w:val="0"/>
        <w:shd w:val="clear" w:color="auto" w:fill="auto"/>
        <w:bidi w:val="0"/>
        <w:spacing w:before="0" w:after="120" w:line="240" w:lineRule="auto"/>
        <w:ind w:left="9720" w:right="0" w:firstLine="0"/>
        <w:jc w:val="left"/>
      </w:pPr>
      <w:r>
        <w:rPr>
          <w:color w:val="000000"/>
          <w:spacing w:val="0"/>
          <w:w w:val="100"/>
          <w:position w:val="0"/>
        </w:rPr>
        <w:t>单位：万元</w:t>
      </w:r>
    </w:p>
    <w:tbl>
      <w:tblPr>
        <w:tblOverlap w:val="never"/>
        <w:jc w:val="center"/>
        <w:tblLayout w:type="fixed"/>
      </w:tblPr>
      <w:tblGrid>
        <w:gridCol w:w="1877"/>
        <w:gridCol w:w="1963"/>
        <w:gridCol w:w="1978"/>
        <w:gridCol w:w="1910"/>
        <w:gridCol w:w="1858"/>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具体类型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60"/>
              <w:jc w:val="left"/>
            </w:pPr>
            <w:r>
              <w:rPr>
                <w:color w:val="000000"/>
                <w:spacing w:val="0"/>
                <w:w w:val="100"/>
                <w:position w:val="0"/>
              </w:rPr>
              <w:t>委托理财的资金来源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委托理财发生额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未到期余额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逾期未收回的金额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银行理财产品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闲置自有资金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21,800.00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00" w:right="0" w:firstLine="0"/>
              <w:jc w:val="lef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闲置自有资金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00" w:right="0" w:firstLine="0"/>
              <w:jc w:val="lef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1,051.77</w:t>
            </w:r>
          </w:p>
        </w:tc>
      </w:tr>
      <w:tr>
        <w:trPr>
          <w:trHeight w:val="413" w:hRule="exact"/>
        </w:trPr>
        <w:tc>
          <w:tcPr>
            <w:gridSpan w:val="2"/>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00" w:right="0" w:firstLine="0"/>
              <w:jc w:val="lef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1,051.77</w:t>
            </w:r>
          </w:p>
        </w:tc>
      </w:tr>
    </w:tbl>
    <w:p>
      <w:pPr>
        <w:pStyle w:val="Style32"/>
        <w:keepNext w:val="0"/>
        <w:keepLines w:val="0"/>
        <w:widowControl w:val="0"/>
        <w:shd w:val="clear" w:color="auto" w:fill="auto"/>
        <w:bidi w:val="0"/>
        <w:spacing w:before="0" w:after="120" w:line="346" w:lineRule="exact"/>
        <w:ind w:left="980" w:right="0" w:firstLine="0"/>
        <w:jc w:val="left"/>
      </w:pPr>
      <w:r>
        <w:rPr>
          <w:color w:val="000000"/>
          <w:spacing w:val="0"/>
          <w:w w:val="100"/>
          <w:position w:val="0"/>
        </w:rPr>
        <w:t xml:space="preserve">单项金额重大或安全性较低、流动性较差、不保本的高风险委托理财具体情况 </w:t>
      </w: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9"/>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单位：万元</w:t>
      </w:r>
    </w:p>
    <w:tbl>
      <w:tblPr>
        <w:tblOverlap w:val="never"/>
        <w:jc w:val="center"/>
        <w:tblLayout w:type="fixed"/>
      </w:tblPr>
      <w:tblGrid>
        <w:gridCol w:w="850"/>
        <w:gridCol w:w="571"/>
        <w:gridCol w:w="710"/>
        <w:gridCol w:w="797"/>
        <w:gridCol w:w="619"/>
        <w:gridCol w:w="850"/>
        <w:gridCol w:w="854"/>
        <w:gridCol w:w="566"/>
        <w:gridCol w:w="706"/>
        <w:gridCol w:w="710"/>
        <w:gridCol w:w="710"/>
        <w:gridCol w:w="706"/>
        <w:gridCol w:w="758"/>
        <w:gridCol w:w="662"/>
        <w:gridCol w:w="850"/>
        <w:gridCol w:w="720"/>
      </w:tblGrid>
      <w:tr>
        <w:trPr>
          <w:trHeight w:val="1454"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center"/>
              <w:rPr>
                <w:sz w:val="13"/>
                <w:szCs w:val="13"/>
              </w:rPr>
            </w:pPr>
            <w:r>
              <w:rPr>
                <w:color w:val="000000"/>
                <w:spacing w:val="0"/>
                <w:w w:val="100"/>
                <w:position w:val="0"/>
                <w:sz w:val="13"/>
                <w:szCs w:val="13"/>
              </w:rPr>
              <w:t>受托机构 名称（或受 托人姓名）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center"/>
              <w:rPr>
                <w:sz w:val="13"/>
                <w:szCs w:val="13"/>
              </w:rPr>
            </w:pPr>
            <w:r>
              <w:rPr>
                <w:color w:val="000000"/>
                <w:spacing w:val="0"/>
                <w:w w:val="100"/>
                <w:position w:val="0"/>
                <w:sz w:val="13"/>
                <w:szCs w:val="13"/>
              </w:rPr>
              <w:t>受托 机构</w:t>
            </w:r>
          </w:p>
          <w:p>
            <w:pPr>
              <w:pStyle w:val="Style44"/>
              <w:keepNext w:val="0"/>
              <w:keepLines w:val="0"/>
              <w:widowControl w:val="0"/>
              <w:shd w:val="clear" w:color="auto" w:fill="auto"/>
              <w:bidi w:val="0"/>
              <w:spacing w:before="0" w:after="0" w:line="240" w:lineRule="exact"/>
              <w:ind w:left="0" w:right="0" w:firstLine="0"/>
              <w:jc w:val="center"/>
              <w:rPr>
                <w:sz w:val="13"/>
                <w:szCs w:val="13"/>
              </w:rPr>
            </w:pPr>
            <w:r>
              <w:rPr>
                <w:color w:val="000000"/>
                <w:spacing w:val="0"/>
                <w:w w:val="100"/>
                <w:position w:val="0"/>
                <w:sz w:val="13"/>
                <w:szCs w:val="13"/>
              </w:rPr>
              <w:t>（或 受托 人）类</w:t>
            </w:r>
          </w:p>
          <w:p>
            <w:pPr>
              <w:pStyle w:val="Style44"/>
              <w:keepNext w:val="0"/>
              <w:keepLines w:val="0"/>
              <w:widowControl w:val="0"/>
              <w:shd w:val="clear" w:color="auto" w:fill="auto"/>
              <w:bidi w:val="0"/>
              <w:spacing w:before="0" w:after="0" w:line="240" w:lineRule="exact"/>
              <w:ind w:left="0" w:right="0" w:firstLine="0"/>
              <w:jc w:val="center"/>
              <w:rPr>
                <w:sz w:val="13"/>
                <w:szCs w:val="13"/>
              </w:rPr>
            </w:pPr>
            <w:r>
              <w:rPr>
                <w:color w:val="000000"/>
                <w:spacing w:val="0"/>
                <w:w w:val="100"/>
                <w:position w:val="0"/>
                <w:sz w:val="13"/>
                <w:szCs w:val="13"/>
              </w:rPr>
              <w:t>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35" w:lineRule="exact"/>
              <w:ind w:left="0" w:right="0" w:firstLine="0"/>
              <w:jc w:val="center"/>
              <w:rPr>
                <w:sz w:val="13"/>
                <w:szCs w:val="13"/>
              </w:rPr>
            </w:pPr>
            <w:r>
              <w:rPr>
                <w:color w:val="000000"/>
                <w:spacing w:val="0"/>
                <w:w w:val="100"/>
                <w:position w:val="0"/>
                <w:sz w:val="13"/>
                <w:szCs w:val="13"/>
              </w:rPr>
              <w:t>产品类 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80" w:line="240" w:lineRule="auto"/>
              <w:ind w:left="0" w:right="0" w:firstLine="0"/>
              <w:jc w:val="left"/>
              <w:rPr>
                <w:sz w:val="13"/>
                <w:szCs w:val="13"/>
              </w:rPr>
            </w:pPr>
            <w:r>
              <w:rPr>
                <w:color w:val="000000"/>
                <w:spacing w:val="0"/>
                <w:w w:val="100"/>
                <w:position w:val="0"/>
                <w:sz w:val="13"/>
                <w:szCs w:val="13"/>
              </w:rPr>
              <w:t>资金来</w:t>
            </w:r>
          </w:p>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起始日期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终止日期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80" w:line="240" w:lineRule="auto"/>
              <w:ind w:left="0" w:right="0" w:firstLine="0"/>
              <w:jc w:val="center"/>
              <w:rPr>
                <w:sz w:val="13"/>
                <w:szCs w:val="13"/>
              </w:rPr>
            </w:pPr>
            <w:r>
              <w:rPr>
                <w:color w:val="000000"/>
                <w:spacing w:val="0"/>
                <w:w w:val="100"/>
                <w:position w:val="0"/>
                <w:sz w:val="13"/>
                <w:szCs w:val="13"/>
              </w:rPr>
              <w:t>资金</w:t>
            </w:r>
          </w:p>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投向</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80" w:line="240" w:lineRule="auto"/>
              <w:ind w:left="0" w:right="0" w:firstLine="0"/>
              <w:jc w:val="center"/>
              <w:rPr>
                <w:sz w:val="13"/>
                <w:szCs w:val="13"/>
              </w:rPr>
            </w:pPr>
            <w:r>
              <w:rPr>
                <w:color w:val="000000"/>
                <w:spacing w:val="0"/>
                <w:w w:val="100"/>
                <w:position w:val="0"/>
                <w:sz w:val="13"/>
                <w:szCs w:val="13"/>
              </w:rPr>
              <w:t>报酬确</w:t>
            </w:r>
          </w:p>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定方式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80" w:line="240" w:lineRule="auto"/>
              <w:ind w:left="0" w:right="0" w:firstLine="160"/>
              <w:jc w:val="left"/>
              <w:rPr>
                <w:sz w:val="13"/>
                <w:szCs w:val="13"/>
              </w:rPr>
            </w:pPr>
            <w:r>
              <w:rPr>
                <w:color w:val="000000"/>
                <w:spacing w:val="0"/>
                <w:w w:val="100"/>
                <w:position w:val="0"/>
                <w:sz w:val="13"/>
                <w:szCs w:val="13"/>
              </w:rPr>
              <w:t>参考年</w:t>
            </w:r>
          </w:p>
          <w:p>
            <w:pPr>
              <w:pStyle w:val="Style44"/>
              <w:keepNext w:val="0"/>
              <w:keepLines w:val="0"/>
              <w:widowControl w:val="0"/>
              <w:shd w:val="clear" w:color="auto" w:fill="auto"/>
              <w:bidi w:val="0"/>
              <w:spacing w:before="0" w:after="80" w:line="240" w:lineRule="auto"/>
              <w:ind w:left="0" w:right="0" w:firstLine="160"/>
              <w:jc w:val="left"/>
              <w:rPr>
                <w:sz w:val="13"/>
                <w:szCs w:val="13"/>
              </w:rPr>
            </w:pPr>
            <w:r>
              <w:rPr>
                <w:color w:val="000000"/>
                <w:spacing w:val="0"/>
                <w:w w:val="100"/>
                <w:position w:val="0"/>
                <w:sz w:val="13"/>
                <w:szCs w:val="13"/>
              </w:rPr>
              <w:t>化收益</w:t>
            </w:r>
          </w:p>
          <w:p>
            <w:pPr>
              <w:pStyle w:val="Style44"/>
              <w:keepNext w:val="0"/>
              <w:keepLines w:val="0"/>
              <w:widowControl w:val="0"/>
              <w:shd w:val="clear" w:color="auto" w:fill="auto"/>
              <w:bidi w:val="0"/>
              <w:spacing w:before="0" w:after="80" w:line="240" w:lineRule="auto"/>
              <w:ind w:left="0" w:right="280" w:firstLine="0"/>
              <w:jc w:val="right"/>
              <w:rPr>
                <w:sz w:val="13"/>
                <w:szCs w:val="13"/>
              </w:rPr>
            </w:pPr>
            <w:r>
              <w:rPr>
                <w:color w:val="000000"/>
                <w:spacing w:val="0"/>
                <w:w w:val="100"/>
                <w:position w:val="0"/>
                <w:sz w:val="13"/>
                <w:szCs w:val="13"/>
              </w:rPr>
              <w:t>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30" w:lineRule="exact"/>
              <w:ind w:left="0" w:right="0" w:firstLine="0"/>
              <w:jc w:val="center"/>
              <w:rPr>
                <w:sz w:val="13"/>
                <w:szCs w:val="13"/>
              </w:rPr>
            </w:pPr>
            <w:r>
              <w:rPr>
                <w:color w:val="000000"/>
                <w:spacing w:val="0"/>
                <w:w w:val="100"/>
                <w:position w:val="0"/>
                <w:sz w:val="13"/>
                <w:szCs w:val="13"/>
              </w:rPr>
              <w:t>预期收 益</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80" w:line="240" w:lineRule="auto"/>
              <w:ind w:left="0" w:right="0" w:firstLine="140"/>
              <w:jc w:val="left"/>
              <w:rPr>
                <w:sz w:val="13"/>
                <w:szCs w:val="13"/>
              </w:rPr>
            </w:pPr>
            <w:r>
              <w:rPr>
                <w:color w:val="000000"/>
                <w:spacing w:val="0"/>
                <w:w w:val="100"/>
                <w:position w:val="0"/>
                <w:sz w:val="13"/>
                <w:szCs w:val="13"/>
              </w:rPr>
              <w:t>报告期</w:t>
            </w:r>
          </w:p>
          <w:p>
            <w:pPr>
              <w:pStyle w:val="Style44"/>
              <w:keepNext w:val="0"/>
              <w:keepLines w:val="0"/>
              <w:widowControl w:val="0"/>
              <w:shd w:val="clear" w:color="auto" w:fill="auto"/>
              <w:bidi w:val="0"/>
              <w:spacing w:before="0" w:after="80" w:line="240" w:lineRule="auto"/>
              <w:ind w:left="0" w:right="0" w:firstLine="140"/>
              <w:jc w:val="left"/>
              <w:rPr>
                <w:sz w:val="13"/>
                <w:szCs w:val="13"/>
              </w:rPr>
            </w:pPr>
            <w:r>
              <w:rPr>
                <w:color w:val="000000"/>
                <w:spacing w:val="0"/>
                <w:w w:val="100"/>
                <w:position w:val="0"/>
                <w:sz w:val="13"/>
                <w:szCs w:val="13"/>
              </w:rPr>
              <w:t>实际损</w:t>
            </w:r>
          </w:p>
          <w:p>
            <w:pPr>
              <w:pStyle w:val="Style44"/>
              <w:keepNext w:val="0"/>
              <w:keepLines w:val="0"/>
              <w:widowControl w:val="0"/>
              <w:shd w:val="clear" w:color="auto" w:fill="auto"/>
              <w:bidi w:val="0"/>
              <w:spacing w:before="0" w:after="80" w:line="240" w:lineRule="auto"/>
              <w:ind w:left="0" w:right="0" w:firstLine="140"/>
              <w:jc w:val="left"/>
              <w:rPr>
                <w:sz w:val="13"/>
                <w:szCs w:val="13"/>
              </w:rPr>
            </w:pPr>
            <w:r>
              <w:rPr>
                <w:color w:val="000000"/>
                <w:spacing w:val="0"/>
                <w:w w:val="100"/>
                <w:position w:val="0"/>
                <w:sz w:val="13"/>
                <w:szCs w:val="13"/>
              </w:rPr>
              <w:t>益金额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center"/>
              <w:rPr>
                <w:sz w:val="13"/>
                <w:szCs w:val="13"/>
              </w:rPr>
            </w:pPr>
            <w:r>
              <w:rPr>
                <w:color w:val="000000"/>
                <w:spacing w:val="0"/>
                <w:w w:val="100"/>
                <w:position w:val="0"/>
                <w:sz w:val="13"/>
                <w:szCs w:val="13"/>
              </w:rPr>
              <w:t>报告期损 益实际收 回情况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center"/>
              <w:rPr>
                <w:sz w:val="13"/>
                <w:szCs w:val="13"/>
              </w:rPr>
            </w:pPr>
            <w:r>
              <w:rPr>
                <w:color w:val="000000"/>
                <w:spacing w:val="0"/>
                <w:w w:val="100"/>
                <w:position w:val="0"/>
                <w:sz w:val="13"/>
                <w:szCs w:val="13"/>
              </w:rPr>
              <w:t>计提减 值准备 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160" w:right="0" w:firstLine="0"/>
              <w:jc w:val="left"/>
              <w:rPr>
                <w:sz w:val="13"/>
                <w:szCs w:val="13"/>
              </w:rPr>
            </w:pPr>
            <w:r>
              <w:rPr>
                <w:color w:val="000000"/>
                <w:spacing w:val="0"/>
                <w:w w:val="100"/>
                <w:position w:val="0"/>
                <w:sz w:val="13"/>
                <w:szCs w:val="13"/>
              </w:rPr>
              <w:t>是否经过 法定程序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160" w:right="0" w:firstLine="0"/>
              <w:jc w:val="both"/>
              <w:rPr>
                <w:sz w:val="13"/>
                <w:szCs w:val="13"/>
              </w:rPr>
            </w:pPr>
            <w:r>
              <w:rPr>
                <w:color w:val="000000"/>
                <w:spacing w:val="0"/>
                <w:w w:val="100"/>
                <w:position w:val="0"/>
                <w:sz w:val="13"/>
                <w:szCs w:val="13"/>
              </w:rPr>
              <w:t>未来是 否还有 委托理 财计划</w:t>
            </w:r>
          </w:p>
        </w:tc>
      </w:tr>
      <w:tr>
        <w:trPr>
          <w:trHeight w:val="43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02</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3.20%</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2.72</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2.72</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4" w:hRule="exact"/>
        </w:trPr>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24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03</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03</w:t>
            </w:r>
            <w:r>
              <w:rPr>
                <w:color w:val="000000"/>
                <w:spacing w:val="0"/>
                <w:w w:val="100"/>
                <w:position w:val="0"/>
                <w:sz w:val="13"/>
                <w:szCs w:val="13"/>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03</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3.60%</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6.21</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6.21</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24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03</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06</w:t>
            </w:r>
            <w:r>
              <w:rPr>
                <w:color w:val="000000"/>
                <w:spacing w:val="0"/>
                <w:w w:val="100"/>
                <w:position w:val="0"/>
                <w:sz w:val="13"/>
                <w:szCs w:val="13"/>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04</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3.65%</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9.1</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9.1</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24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03</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03</w:t>
            </w:r>
            <w:r>
              <w:rPr>
                <w:color w:val="000000"/>
                <w:spacing w:val="0"/>
                <w:w w:val="100"/>
                <w:position w:val="0"/>
                <w:sz w:val="13"/>
                <w:szCs w:val="13"/>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05</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3.70%</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12.77</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12.77</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24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03</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08</w:t>
            </w:r>
            <w:r>
              <w:rPr>
                <w:color w:val="000000"/>
                <w:spacing w:val="0"/>
                <w:w w:val="100"/>
                <w:position w:val="0"/>
                <w:sz w:val="13"/>
                <w:szCs w:val="13"/>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04</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3.50%</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3.36</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3.36</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4" w:hRule="exact"/>
        </w:trPr>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24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09</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13</w:t>
            </w:r>
            <w:r>
              <w:rPr>
                <w:color w:val="000000"/>
                <w:spacing w:val="0"/>
                <w:w w:val="100"/>
                <w:position w:val="0"/>
                <w:sz w:val="13"/>
                <w:szCs w:val="13"/>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42"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04</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3.50%</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1.68</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1.68</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4" w:hRule="exact"/>
        </w:trPr>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500.00</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06</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10</w:t>
            </w:r>
            <w:r>
              <w:rPr>
                <w:color w:val="000000"/>
                <w:spacing w:val="0"/>
                <w:w w:val="100"/>
                <w:position w:val="0"/>
                <w:sz w:val="13"/>
                <w:szCs w:val="13"/>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闲置自</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3.25%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5.61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5.61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全部收回</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bl>
    <w:p>
      <w:pPr>
        <w:sectPr>
          <w:footnotePr>
            <w:pos w:val="pageBottom"/>
            <w:numFmt w:val="decimal"/>
            <w:numRestart w:val="continuous"/>
          </w:footnotePr>
          <w:pgSz w:w="11900" w:h="16840"/>
          <w:pgMar w:top="1057" w:right="130" w:bottom="1158" w:left="130" w:header="0" w:footer="3" w:gutter="0"/>
          <w:cols w:space="720"/>
          <w:noEndnote/>
          <w:rtlGutter w:val="0"/>
          <w:docGrid w:linePitch="360"/>
        </w:sectPr>
      </w:pPr>
    </w:p>
    <w:p>
      <w:pPr>
        <w:pStyle w:val="Style5"/>
        <w:keepNext w:val="0"/>
        <w:keepLines w:val="0"/>
        <w:framePr w:w="1282" w:h="408" w:wrap="none" w:hAnchor="page" w:x="1931" w:y="-80"/>
        <w:widowControl w:val="0"/>
        <w:shd w:val="clear" w:color="auto" w:fill="auto"/>
        <w:bidi w:val="0"/>
        <w:spacing w:before="0" w:after="0" w:line="168" w:lineRule="exact"/>
        <w:ind w:left="0" w:right="0" w:firstLine="0"/>
        <w:jc w:val="left"/>
      </w:pPr>
      <w:r>
        <w:rPr>
          <w:spacing w:val="0"/>
          <w:w w:val="100"/>
          <w:position w:val="0"/>
        </w:rPr>
        <w:t>国家高新技术企业 股票代码：</w:t>
      </w:r>
      <w:r>
        <w:rPr>
          <w:rFonts w:ascii="SimSun" w:eastAsia="SimSun" w:hAnsi="SimSun" w:cs="SimSun"/>
          <w:spacing w:val="0"/>
          <w:w w:val="100"/>
          <w:position w:val="0"/>
          <w:sz w:val="18"/>
          <w:szCs w:val="18"/>
        </w:rPr>
        <w:t>3002</w:t>
      </w:r>
      <w:r>
        <w:rPr>
          <w:spacing w:val="0"/>
          <w:w w:val="100"/>
          <w:position w:val="0"/>
        </w:rPr>
        <w:t>四</w:t>
      </w:r>
    </w:p>
    <w:tbl>
      <w:tblPr>
        <w:tblOverlap w:val="never"/>
        <w:jc w:val="left"/>
        <w:tblLayout w:type="fixed"/>
      </w:tblPr>
      <w:tblGrid>
        <w:gridCol w:w="850"/>
        <w:gridCol w:w="571"/>
        <w:gridCol w:w="720"/>
        <w:gridCol w:w="787"/>
        <w:gridCol w:w="619"/>
        <w:gridCol w:w="850"/>
        <w:gridCol w:w="854"/>
        <w:gridCol w:w="566"/>
        <w:gridCol w:w="706"/>
        <w:gridCol w:w="710"/>
        <w:gridCol w:w="710"/>
        <w:gridCol w:w="706"/>
        <w:gridCol w:w="758"/>
        <w:gridCol w:w="662"/>
        <w:gridCol w:w="850"/>
        <w:gridCol w:w="720"/>
      </w:tblGrid>
      <w:tr>
        <w:trPr>
          <w:trHeight w:val="365"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20</w:t>
            </w:r>
            <w:r>
              <w:rPr>
                <w:color w:val="000000"/>
                <w:spacing w:val="0"/>
                <w:w w:val="100"/>
                <w:position w:val="0"/>
                <w:sz w:val="13"/>
                <w:szCs w:val="13"/>
              </w:rPr>
              <w:t>日</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22</w:t>
            </w:r>
            <w:r>
              <w:rPr>
                <w:color w:val="000000"/>
                <w:spacing w:val="0"/>
                <w:w w:val="100"/>
                <w:position w:val="0"/>
                <w:sz w:val="13"/>
                <w:szCs w:val="13"/>
              </w:rPr>
              <w:t>日</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04</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08</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3.45%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11.91</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rPr>
              <w:t>11.91</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20</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24</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05</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09</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3.20%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11.05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rPr>
              <w:t>11.05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11</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14</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04</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04</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1.96%</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rPr>
              <w:t>0.75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rPr>
              <w:t>0.75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4"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1,400.00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03</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13</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05</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06</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2.00%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rPr>
              <w:t>0.69</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rPr>
              <w:t>0.69</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600.00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18</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08</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06</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07</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2.90%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1.39</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1.39</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500.00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01</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06</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06</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08</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3.00%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2.59</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2.59</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500.00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15</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17</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06</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08</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2.90%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2.78</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2.78</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4"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29</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03</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07</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2.90%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3.89</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3.89</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500.00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13</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19</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07</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11</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2.90%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5.01</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5.01</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500.00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13</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16</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07</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2.80%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9.45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9.45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800.00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27</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28</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08</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2.65%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13.72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13.72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4"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1,500.00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17</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21</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08</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2.65%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4.57</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4.57</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500.00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24</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28</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08</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2.80%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7.52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7.52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31</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07</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09</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2.80%</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3.76</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3.76</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500.00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14</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21</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09</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2.65%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3.56</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3.56</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4"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500.00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21</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28</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09</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11</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2.75%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2.37</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2.37</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3"/>
                <w:szCs w:val="13"/>
              </w:rPr>
            </w:pPr>
            <w:r>
              <w:rPr>
                <w:rFonts w:ascii="Times New Roman" w:eastAsia="Times New Roman" w:hAnsi="Times New Roman" w:cs="Times New Roman"/>
                <w:color w:val="000000"/>
                <w:spacing w:val="0"/>
                <w:w w:val="100"/>
                <w:position w:val="0"/>
                <w:sz w:val="13"/>
                <w:szCs w:val="13"/>
              </w:rPr>
              <w:t>500.00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28</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30</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交通银行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10</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12</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2.75%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4.75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4.75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海淀支行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12</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14</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北京银行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01</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04</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3.15%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7.85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7.85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78" w:hRule="exact"/>
        </w:trPr>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阜裕支行</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08</w:t>
            </w:r>
            <w:r>
              <w:rPr>
                <w:color w:val="000000"/>
                <w:spacing w:val="0"/>
                <w:w w:val="100"/>
                <w:position w:val="0"/>
                <w:sz w:val="13"/>
                <w:szCs w:val="13"/>
              </w:rPr>
              <w:t>日</w:t>
            </w: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08</w:t>
            </w:r>
            <w:r>
              <w:rPr>
                <w:color w:val="000000"/>
                <w:spacing w:val="0"/>
                <w:w w:val="100"/>
                <w:position w:val="0"/>
                <w:sz w:val="13"/>
                <w:szCs w:val="13"/>
              </w:rPr>
              <w:t>日</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tcBorders>
            <w:shd w:val="clear" w:color="auto" w:fill="FFFFFF"/>
            <w:vAlign w:val="top"/>
          </w:tcPr>
          <w:p>
            <w:pPr>
              <w:framePr w:w="11640" w:h="13939" w:wrap="none" w:hAnchor="page" w:x="131" w:y="285"/>
              <w:widowControl w:val="0"/>
              <w:rPr>
                <w:sz w:val="10"/>
                <w:szCs w:val="10"/>
              </w:rPr>
            </w:pPr>
          </w:p>
        </w:tc>
        <w:tc>
          <w:tcPr>
            <w:tcBorders>
              <w:left w:val="single" w:sz="4"/>
              <w:right w:val="single" w:sz="4"/>
            </w:tcBorders>
            <w:shd w:val="clear" w:color="auto" w:fill="FFFFFF"/>
            <w:vAlign w:val="top"/>
          </w:tcPr>
          <w:p>
            <w:pPr>
              <w:framePr w:w="11640" w:h="13939" w:wrap="none" w:hAnchor="page" w:x="131" w:y="285"/>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北京银行</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银行</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结构性</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闲置自</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04</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07</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保本浮</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3.05%</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7.6</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7.6</w:t>
            </w: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全部收回</w:t>
            </w:r>
          </w:p>
        </w:tc>
        <w:tc>
          <w:tcPr>
            <w:tcBorders>
              <w:top w:val="single" w:sz="4"/>
              <w:left w:val="single" w:sz="4"/>
            </w:tcBorders>
            <w:shd w:val="clear" w:color="auto" w:fill="FFFFFF"/>
            <w:vAlign w:val="top"/>
          </w:tcPr>
          <w:p>
            <w:pPr>
              <w:framePr w:w="11640" w:h="13939" w:wrap="none" w:hAnchor="page" w:x="131" w:y="285"/>
              <w:widowControl w:val="0"/>
              <w:rPr>
                <w:sz w:val="10"/>
                <w:szCs w:val="10"/>
              </w:rPr>
            </w:pPr>
          </w:p>
        </w:tc>
        <w:tc>
          <w:tcPr>
            <w:tcBorders>
              <w:top w:val="single" w:sz="4"/>
              <w:lef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bottom"/>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是</w:t>
            </w:r>
          </w:p>
        </w:tc>
      </w:tr>
      <w:tr>
        <w:trPr>
          <w:trHeight w:val="283" w:hRule="exact"/>
        </w:trPr>
        <w:tc>
          <w:tcPr>
            <w:tcBorders>
              <w:left w:val="single" w:sz="4"/>
              <w:bottom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阜裕支行</w:t>
            </w:r>
          </w:p>
        </w:tc>
        <w:tc>
          <w:tcPr>
            <w:tcBorders>
              <w:left w:val="single" w:sz="4"/>
              <w:bottom w:val="single" w:sz="4"/>
            </w:tcBorders>
            <w:shd w:val="clear" w:color="auto" w:fill="FFFFFF"/>
            <w:vAlign w:val="top"/>
          </w:tcPr>
          <w:p>
            <w:pPr>
              <w:framePr w:w="11640" w:h="13939" w:wrap="none" w:hAnchor="page" w:x="131" w:y="285"/>
              <w:widowControl w:val="0"/>
              <w:rPr>
                <w:sz w:val="10"/>
                <w:szCs w:val="10"/>
              </w:rPr>
            </w:pPr>
          </w:p>
        </w:tc>
        <w:tc>
          <w:tcPr>
            <w:tcBorders>
              <w:left w:val="single" w:sz="4"/>
              <w:bottom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存款</w:t>
            </w:r>
          </w:p>
        </w:tc>
        <w:tc>
          <w:tcPr>
            <w:tcBorders>
              <w:left w:val="single" w:sz="4"/>
              <w:bottom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1,000.00</w:t>
            </w:r>
          </w:p>
        </w:tc>
        <w:tc>
          <w:tcPr>
            <w:tcBorders>
              <w:left w:val="single" w:sz="4"/>
              <w:bottom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有资金</w:t>
            </w:r>
          </w:p>
        </w:tc>
        <w:tc>
          <w:tcPr>
            <w:tcBorders>
              <w:left w:val="single" w:sz="4"/>
              <w:bottom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22</w:t>
            </w:r>
            <w:r>
              <w:rPr>
                <w:color w:val="000000"/>
                <w:spacing w:val="0"/>
                <w:w w:val="100"/>
                <w:position w:val="0"/>
                <w:sz w:val="13"/>
                <w:szCs w:val="13"/>
              </w:rPr>
              <w:t>日</w:t>
            </w:r>
          </w:p>
        </w:tc>
        <w:tc>
          <w:tcPr>
            <w:tcBorders>
              <w:left w:val="single" w:sz="4"/>
              <w:bottom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22</w:t>
            </w:r>
            <w:r>
              <w:rPr>
                <w:color w:val="000000"/>
                <w:spacing w:val="0"/>
                <w:w w:val="100"/>
                <w:position w:val="0"/>
                <w:sz w:val="13"/>
                <w:szCs w:val="13"/>
              </w:rPr>
              <w:t>日</w:t>
            </w:r>
          </w:p>
        </w:tc>
        <w:tc>
          <w:tcPr>
            <w:tcBorders>
              <w:left w:val="single" w:sz="4"/>
              <w:bottom w:val="single" w:sz="4"/>
            </w:tcBorders>
            <w:shd w:val="clear" w:color="auto" w:fill="FFFFFF"/>
            <w:vAlign w:val="top"/>
          </w:tcPr>
          <w:p>
            <w:pPr>
              <w:framePr w:w="11640" w:h="13939" w:wrap="none" w:hAnchor="page" w:x="131" w:y="285"/>
              <w:widowControl w:val="0"/>
              <w:rPr>
                <w:sz w:val="10"/>
                <w:szCs w:val="10"/>
              </w:rPr>
            </w:pPr>
          </w:p>
        </w:tc>
        <w:tc>
          <w:tcPr>
            <w:tcBorders>
              <w:left w:val="single" w:sz="4"/>
              <w:bottom w:val="single" w:sz="4"/>
            </w:tcBorders>
            <w:shd w:val="clear" w:color="auto" w:fill="FFFFFF"/>
            <w:vAlign w:val="top"/>
          </w:tcPr>
          <w:p>
            <w:pPr>
              <w:pStyle w:val="Style44"/>
              <w:keepNext w:val="0"/>
              <w:keepLines w:val="0"/>
              <w:framePr w:w="11640" w:h="13939" w:wrap="none" w:hAnchor="page" w:x="131"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动收益</w:t>
            </w:r>
          </w:p>
        </w:tc>
        <w:tc>
          <w:tcPr>
            <w:tcBorders>
              <w:left w:val="single" w:sz="4"/>
              <w:bottom w:val="single" w:sz="4"/>
            </w:tcBorders>
            <w:shd w:val="clear" w:color="auto" w:fill="FFFFFF"/>
            <w:vAlign w:val="top"/>
          </w:tcPr>
          <w:p>
            <w:pPr>
              <w:framePr w:w="11640" w:h="13939" w:wrap="none" w:hAnchor="page" w:x="131" w:y="285"/>
              <w:widowControl w:val="0"/>
              <w:rPr>
                <w:sz w:val="10"/>
                <w:szCs w:val="10"/>
              </w:rPr>
            </w:pPr>
          </w:p>
        </w:tc>
        <w:tc>
          <w:tcPr>
            <w:tcBorders>
              <w:left w:val="single" w:sz="4"/>
              <w:bottom w:val="single" w:sz="4"/>
            </w:tcBorders>
            <w:shd w:val="clear" w:color="auto" w:fill="FFFFFF"/>
            <w:vAlign w:val="top"/>
          </w:tcPr>
          <w:p>
            <w:pPr>
              <w:framePr w:w="11640" w:h="13939" w:wrap="none" w:hAnchor="page" w:x="131" w:y="285"/>
              <w:widowControl w:val="0"/>
              <w:rPr>
                <w:sz w:val="10"/>
                <w:szCs w:val="10"/>
              </w:rPr>
            </w:pPr>
          </w:p>
        </w:tc>
        <w:tc>
          <w:tcPr>
            <w:tcBorders>
              <w:left w:val="single" w:sz="4"/>
              <w:bottom w:val="single" w:sz="4"/>
            </w:tcBorders>
            <w:shd w:val="clear" w:color="auto" w:fill="FFFFFF"/>
            <w:vAlign w:val="top"/>
          </w:tcPr>
          <w:p>
            <w:pPr>
              <w:framePr w:w="11640" w:h="13939" w:wrap="none" w:hAnchor="page" w:x="131" w:y="285"/>
              <w:widowControl w:val="0"/>
              <w:rPr>
                <w:sz w:val="10"/>
                <w:szCs w:val="10"/>
              </w:rPr>
            </w:pPr>
          </w:p>
        </w:tc>
        <w:tc>
          <w:tcPr>
            <w:tcBorders>
              <w:left w:val="single" w:sz="4"/>
              <w:bottom w:val="single" w:sz="4"/>
            </w:tcBorders>
            <w:shd w:val="clear" w:color="auto" w:fill="FFFFFF"/>
            <w:vAlign w:val="top"/>
          </w:tcPr>
          <w:p>
            <w:pPr>
              <w:framePr w:w="11640" w:h="13939" w:wrap="none" w:hAnchor="page" w:x="131" w:y="285"/>
              <w:widowControl w:val="0"/>
              <w:rPr>
                <w:sz w:val="10"/>
                <w:szCs w:val="10"/>
              </w:rPr>
            </w:pPr>
          </w:p>
        </w:tc>
        <w:tc>
          <w:tcPr>
            <w:tcBorders>
              <w:left w:val="single" w:sz="4"/>
              <w:bottom w:val="single" w:sz="4"/>
            </w:tcBorders>
            <w:shd w:val="clear" w:color="auto" w:fill="FFFFFF"/>
            <w:vAlign w:val="top"/>
          </w:tcPr>
          <w:p>
            <w:pPr>
              <w:framePr w:w="11640" w:h="13939" w:wrap="none" w:hAnchor="page" w:x="131" w:y="285"/>
              <w:widowControl w:val="0"/>
              <w:rPr>
                <w:sz w:val="10"/>
                <w:szCs w:val="10"/>
              </w:rPr>
            </w:pPr>
          </w:p>
        </w:tc>
        <w:tc>
          <w:tcPr>
            <w:tcBorders>
              <w:left w:val="single" w:sz="4"/>
              <w:bottom w:val="single" w:sz="4"/>
            </w:tcBorders>
            <w:shd w:val="clear" w:color="auto" w:fill="FFFFFF"/>
            <w:vAlign w:val="top"/>
          </w:tcPr>
          <w:p>
            <w:pPr>
              <w:framePr w:w="11640" w:h="13939" w:wrap="none" w:hAnchor="page" w:x="131" w:y="285"/>
              <w:widowControl w:val="0"/>
              <w:rPr>
                <w:sz w:val="10"/>
                <w:szCs w:val="10"/>
              </w:rPr>
            </w:pPr>
          </w:p>
        </w:tc>
        <w:tc>
          <w:tcPr>
            <w:tcBorders>
              <w:left w:val="single" w:sz="4"/>
              <w:bottom w:val="single" w:sz="4"/>
              <w:right w:val="single" w:sz="4"/>
            </w:tcBorders>
            <w:shd w:val="clear" w:color="auto" w:fill="FFFFFF"/>
            <w:vAlign w:val="top"/>
          </w:tcPr>
          <w:p>
            <w:pPr>
              <w:framePr w:w="11640" w:h="13939" w:wrap="none" w:hAnchor="page" w:x="131" w:y="285"/>
              <w:widowControl w:val="0"/>
              <w:rPr>
                <w:sz w:val="10"/>
                <w:szCs w:val="10"/>
              </w:rPr>
            </w:pPr>
          </w:p>
        </w:tc>
      </w:tr>
    </w:tbl>
    <w:p>
      <w:pPr>
        <w:framePr w:w="11640" w:h="13939" w:wrap="none" w:hAnchor="page" w:x="131" w:y="285"/>
        <w:widowControl w:val="0"/>
        <w:spacing w:line="1" w:lineRule="exact"/>
      </w:pPr>
    </w:p>
    <w:p>
      <w:pPr>
        <w:widowControl w:val="0"/>
        <w:spacing w:line="360" w:lineRule="exact"/>
      </w:pPr>
      <w:r>
        <w:drawing>
          <wp:anchor distT="0" distB="0" distL="0" distR="0" simplePos="0" relativeHeight="62914929" behindDoc="1" locked="0" layoutInCell="1" allowOverlap="1">
            <wp:simplePos x="0" y="0"/>
            <wp:positionH relativeFrom="page">
              <wp:posOffset>615950</wp:posOffset>
            </wp:positionH>
            <wp:positionV relativeFrom="margin">
              <wp:posOffset>-295275</wp:posOffset>
            </wp:positionV>
            <wp:extent cx="1414145" cy="481330"/>
            <wp:wrapNone/>
            <wp:docPr id="338" name="Shape 338"/>
            <a:graphic xmlns:a="http://schemas.openxmlformats.org/drawingml/2006/main">
              <a:graphicData uri="http://schemas.openxmlformats.org/drawingml/2006/picture">
                <pic:pic xmlns:pic="http://schemas.openxmlformats.org/drawingml/2006/picture">
                  <pic:nvPicPr>
                    <pic:cNvPr id="339" name="Picture box 339"/>
                    <pic:cNvPicPr/>
                  </pic:nvPicPr>
                  <pic:blipFill>
                    <a:blip r:embed="rId153"/>
                    <a:stretch/>
                  </pic:blipFill>
                  <pic:spPr>
                    <a:xfrm>
                      <a:ext cx="1414145" cy="4813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2" w:line="1" w:lineRule="exact"/>
      </w:pPr>
    </w:p>
    <w:p>
      <w:pPr>
        <w:widowControl w:val="0"/>
        <w:spacing w:line="1" w:lineRule="exact"/>
        <w:sectPr>
          <w:footnotePr>
            <w:pos w:val="pageBottom"/>
            <w:numFmt w:val="decimal"/>
            <w:numRestart w:val="continuous"/>
          </w:footnotePr>
          <w:pgSz w:w="11900" w:h="16840"/>
          <w:pgMar w:top="1157" w:right="130" w:bottom="1158" w:left="130" w:header="0" w:footer="3" w:gutter="0"/>
          <w:cols w:space="720"/>
          <w:noEndnote/>
          <w:rtlGutter w:val="0"/>
          <w:docGrid w:linePitch="360"/>
        </w:sectPr>
      </w:pPr>
    </w:p>
    <w:p>
      <w:pPr>
        <w:widowControl w:val="0"/>
        <w:jc w:val="center"/>
        <w:rPr>
          <w:sz w:val="2"/>
          <w:szCs w:val="2"/>
        </w:rPr>
      </w:pPr>
      <w:r>
        <w:drawing>
          <wp:inline>
            <wp:extent cx="1304290" cy="481330"/>
            <wp:docPr id="340" name="Picutre 340"/>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55"/>
                    <a:stretch/>
                  </pic:blipFill>
                  <pic:spPr>
                    <a:xfrm>
                      <a:ext cx="1304290"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9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92" w:right="0" w:firstLine="0"/>
        <w:jc w:val="left"/>
        <w:rPr>
          <w:sz w:val="16"/>
          <w:szCs w:val="16"/>
        </w:rPr>
      </w:pPr>
      <w:r>
        <w:rPr>
          <w:color w:val="000000"/>
          <w:spacing w:val="0"/>
          <w:w w:val="100"/>
          <w:position w:val="0"/>
          <w:sz w:val="15"/>
          <w:szCs w:val="15"/>
        </w:rPr>
        <w:t>股票.弋码：</w:t>
      </w:r>
      <w:r>
        <w:rPr>
          <w:rFonts w:ascii="Times New Roman" w:eastAsia="Times New Roman" w:hAnsi="Times New Roman" w:cs="Times New Roman"/>
          <w:color w:val="000000"/>
          <w:spacing w:val="0"/>
          <w:w w:val="100"/>
          <w:position w:val="0"/>
          <w:sz w:val="16"/>
          <w:szCs w:val="16"/>
        </w:rPr>
        <w:t>300290</w:t>
      </w:r>
    </w:p>
    <w:p>
      <w:pPr>
        <w:widowControl w:val="0"/>
        <w:spacing w:line="1" w:lineRule="exact"/>
      </w:pPr>
    </w:p>
    <w:tbl>
      <w:tblPr>
        <w:tblOverlap w:val="never"/>
        <w:jc w:val="center"/>
        <w:tblLayout w:type="fixed"/>
      </w:tblPr>
      <w:tblGrid>
        <w:gridCol w:w="850"/>
        <w:gridCol w:w="571"/>
        <w:gridCol w:w="720"/>
        <w:gridCol w:w="787"/>
        <w:gridCol w:w="619"/>
        <w:gridCol w:w="850"/>
        <w:gridCol w:w="854"/>
        <w:gridCol w:w="566"/>
        <w:gridCol w:w="706"/>
        <w:gridCol w:w="710"/>
        <w:gridCol w:w="710"/>
        <w:gridCol w:w="706"/>
        <w:gridCol w:w="758"/>
        <w:gridCol w:w="662"/>
        <w:gridCol w:w="850"/>
        <w:gridCol w:w="720"/>
      </w:tblGrid>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招商证券</w:t>
            </w:r>
          </w:p>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股份有限</w:t>
            </w:r>
          </w:p>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证券</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其他</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2,000.00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60" w:line="240" w:lineRule="auto"/>
              <w:ind w:left="0" w:right="0" w:firstLine="0"/>
              <w:jc w:val="center"/>
              <w:rPr>
                <w:sz w:val="13"/>
                <w:szCs w:val="13"/>
              </w:rPr>
            </w:pPr>
            <w:r>
              <w:rPr>
                <w:color w:val="000000"/>
                <w:spacing w:val="0"/>
                <w:w w:val="100"/>
                <w:position w:val="0"/>
                <w:sz w:val="13"/>
                <w:szCs w:val="13"/>
              </w:rPr>
              <w:t>闲置自</w:t>
            </w:r>
          </w:p>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有资金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11</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06</w:t>
            </w:r>
            <w:r>
              <w:rPr>
                <w:color w:val="000000"/>
                <w:spacing w:val="0"/>
                <w:w w:val="100"/>
                <w:position w:val="0"/>
                <w:sz w:val="13"/>
                <w:szCs w:val="13"/>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2020 </w:t>
            </w:r>
            <w:r>
              <w:rPr>
                <w:color w:val="000000"/>
                <w:spacing w:val="0"/>
                <w:w w:val="100"/>
                <w:position w:val="0"/>
                <w:sz w:val="13"/>
                <w:szCs w:val="13"/>
              </w:rPr>
              <w:t xml:space="preserve">年 </w:t>
            </w:r>
            <w:r>
              <w:rPr>
                <w:rFonts w:ascii="Times New Roman" w:eastAsia="Times New Roman" w:hAnsi="Times New Roman" w:cs="Times New Roman"/>
                <w:color w:val="000000"/>
                <w:spacing w:val="0"/>
                <w:w w:val="100"/>
                <w:position w:val="0"/>
                <w:sz w:val="13"/>
                <w:szCs w:val="13"/>
              </w:rPr>
              <w:t>12</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月</w:t>
            </w:r>
            <w:r>
              <w:rPr>
                <w:rFonts w:ascii="Times New Roman" w:eastAsia="Times New Roman" w:hAnsi="Times New Roman" w:cs="Times New Roman"/>
                <w:color w:val="000000"/>
                <w:spacing w:val="0"/>
                <w:w w:val="100"/>
                <w:position w:val="0"/>
                <w:sz w:val="13"/>
                <w:szCs w:val="13"/>
              </w:rPr>
              <w:t>29</w:t>
            </w:r>
            <w:r>
              <w:rPr>
                <w:color w:val="000000"/>
                <w:spacing w:val="0"/>
                <w:w w:val="100"/>
                <w:position w:val="0"/>
                <w:sz w:val="13"/>
                <w:szCs w:val="13"/>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3"/>
                <w:szCs w:val="13"/>
              </w:rPr>
            </w:pPr>
            <w:r>
              <w:rPr>
                <w:color w:val="000000"/>
                <w:spacing w:val="0"/>
                <w:w w:val="100"/>
                <w:position w:val="0"/>
                <w:sz w:val="13"/>
                <w:szCs w:val="13"/>
              </w:rPr>
              <w:t>非保本</w:t>
            </w:r>
          </w:p>
          <w:p>
            <w:pPr>
              <w:pStyle w:val="Style44"/>
              <w:keepNext w:val="0"/>
              <w:keepLines w:val="0"/>
              <w:widowControl w:val="0"/>
              <w:shd w:val="clear" w:color="auto" w:fill="auto"/>
              <w:bidi w:val="0"/>
              <w:spacing w:before="0" w:after="140" w:line="240" w:lineRule="auto"/>
              <w:ind w:left="0" w:right="0" w:firstLine="0"/>
              <w:jc w:val="left"/>
              <w:rPr>
                <w:sz w:val="13"/>
                <w:szCs w:val="13"/>
              </w:rPr>
            </w:pPr>
            <w:r>
              <w:rPr>
                <w:color w:val="000000"/>
                <w:spacing w:val="0"/>
                <w:w w:val="100"/>
                <w:position w:val="0"/>
                <w:sz w:val="13"/>
                <w:szCs w:val="13"/>
              </w:rPr>
              <w:t>浮动收</w:t>
            </w:r>
          </w:p>
          <w:p>
            <w:pPr>
              <w:pStyle w:val="Style44"/>
              <w:keepNext w:val="0"/>
              <w:keepLines w:val="0"/>
              <w:widowControl w:val="0"/>
              <w:shd w:val="clear" w:color="auto" w:fill="auto"/>
              <w:bidi w:val="0"/>
              <w:spacing w:before="0" w:after="140" w:line="240" w:lineRule="auto"/>
              <w:ind w:left="0" w:right="0" w:firstLine="0"/>
              <w:jc w:val="left"/>
              <w:rPr>
                <w:sz w:val="13"/>
                <w:szCs w:val="13"/>
              </w:rPr>
            </w:pPr>
            <w:r>
              <w:rPr>
                <w:color w:val="000000"/>
                <w:spacing w:val="0"/>
                <w:w w:val="100"/>
                <w:position w:val="0"/>
                <w:sz w:val="13"/>
                <w:szCs w:val="13"/>
              </w:rPr>
              <w:t>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47.58%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138.18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138.18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部分收回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rPr>
              <w:t>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否</w:t>
            </w:r>
          </w:p>
        </w:tc>
      </w:tr>
      <w:tr>
        <w:trPr>
          <w:trHeight w:val="413" w:hRule="exact"/>
        </w:trPr>
        <w:tc>
          <w:tcPr>
            <w:gridSpan w:val="3"/>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23,800.00</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w:t>
            </w: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rPr>
                <w:sz w:val="13"/>
                <w:szCs w:val="13"/>
              </w:rPr>
            </w:pPr>
            <w:r>
              <w:rPr>
                <w:rFonts w:ascii="Times New Roman" w:eastAsia="Times New Roman" w:hAnsi="Times New Roman" w:cs="Times New Roman"/>
                <w:color w:val="000000"/>
                <w:spacing w:val="0"/>
                <w:w w:val="100"/>
                <w:position w:val="0"/>
                <w:sz w:val="13"/>
                <w:szCs w:val="13"/>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00" w:firstLine="0"/>
              <w:jc w:val="right"/>
              <w:rPr>
                <w:sz w:val="13"/>
                <w:szCs w:val="13"/>
              </w:rPr>
            </w:pPr>
            <w:r>
              <w:rPr>
                <w:rFonts w:ascii="Times New Roman" w:eastAsia="Times New Roman" w:hAnsi="Times New Roman" w:cs="Times New Roman"/>
                <w:color w:val="000000"/>
                <w:spacing w:val="0"/>
                <w:w w:val="100"/>
                <w:position w:val="0"/>
                <w:sz w:val="13"/>
                <w:szCs w:val="13"/>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284.84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284.84</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both"/>
              <w:rPr>
                <w:sz w:val="13"/>
                <w:szCs w:val="13"/>
              </w:rPr>
            </w:pPr>
            <w:r>
              <w:rPr>
                <w:rFonts w:ascii="Times New Roman" w:eastAsia="Times New Roman" w:hAnsi="Times New Roman" w:cs="Times New Roman"/>
                <w:color w:val="000000"/>
                <w:spacing w:val="0"/>
                <w:w w:val="100"/>
                <w:position w:val="0"/>
                <w:sz w:val="13"/>
                <w:szCs w:val="13"/>
              </w:rPr>
              <w:t>--</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20" w:firstLine="0"/>
              <w:jc w:val="right"/>
              <w:rPr>
                <w:sz w:val="13"/>
                <w:szCs w:val="13"/>
              </w:rPr>
            </w:pPr>
            <w:r>
              <w:rPr>
                <w:rFonts w:ascii="Times New Roman" w:eastAsia="Times New Roman" w:hAnsi="Times New Roman" w:cs="Times New Roman"/>
                <w:color w:val="000000"/>
                <w:spacing w:val="0"/>
                <w:w w:val="100"/>
                <w:position w:val="0"/>
                <w:sz w:val="13"/>
                <w:szCs w:val="13"/>
              </w:rPr>
              <w:t>--</w:t>
            </w:r>
          </w:p>
        </w:tc>
      </w:tr>
    </w:tbl>
    <w:p>
      <w:pPr>
        <w:pStyle w:val="Style49"/>
        <w:keepNext w:val="0"/>
        <w:keepLines w:val="0"/>
        <w:widowControl w:val="0"/>
        <w:shd w:val="clear" w:color="auto" w:fill="auto"/>
        <w:bidi w:val="0"/>
        <w:spacing w:before="0" w:after="0" w:line="240" w:lineRule="auto"/>
        <w:ind w:left="979" w:right="0" w:firstLine="0"/>
        <w:jc w:val="left"/>
      </w:pPr>
      <w:r>
        <w:rPr>
          <w:color w:val="000000"/>
          <w:spacing w:val="0"/>
          <w:w w:val="100"/>
          <w:position w:val="0"/>
        </w:rPr>
        <w:t>委托理财出现预期无法收回本金或存在其他可能导致减值的情形</w:t>
      </w:r>
    </w:p>
    <w:p>
      <w:pPr>
        <w:widowControl w:val="0"/>
        <w:spacing w:after="119" w:line="1" w:lineRule="exact"/>
      </w:pPr>
    </w:p>
    <w:p>
      <w:pPr>
        <w:pStyle w:val="Style32"/>
        <w:keepNext w:val="0"/>
        <w:keepLines w:val="0"/>
        <w:widowControl w:val="0"/>
        <w:shd w:val="clear" w:color="auto" w:fill="auto"/>
        <w:bidi w:val="0"/>
        <w:spacing w:before="0" w:after="38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bidi w:val="0"/>
        <w:spacing w:before="0" w:after="380" w:line="240" w:lineRule="auto"/>
        <w:ind w:left="0" w:right="0" w:firstLine="980"/>
        <w:jc w:val="left"/>
      </w:pPr>
      <w:bookmarkStart w:id="425" w:name="bookmark425"/>
      <w:bookmarkStart w:id="426" w:name="bookmark426"/>
      <w:bookmarkStart w:id="427" w:name="bookmark427"/>
      <w:bookmarkStart w:id="428" w:name="bookmark428"/>
      <w:r>
        <w:rPr>
          <w:color w:val="000000"/>
          <w:spacing w:val="0"/>
          <w:w w:val="100"/>
          <w:position w:val="0"/>
        </w:rPr>
        <w:t>（</w:t>
      </w:r>
      <w:bookmarkEnd w:id="427"/>
      <w:r>
        <w:rPr>
          <w:rFonts w:ascii="Times New Roman" w:eastAsia="Times New Roman" w:hAnsi="Times New Roman" w:cs="Times New Roman"/>
          <w:color w:val="000000"/>
          <w:spacing w:val="0"/>
          <w:w w:val="100"/>
          <w:position w:val="0"/>
        </w:rPr>
        <w:t>2</w:t>
      </w:r>
      <w:r>
        <w:rPr>
          <w:color w:val="000000"/>
          <w:spacing w:val="0"/>
          <w:w w:val="100"/>
          <w:position w:val="0"/>
        </w:rPr>
        <w:t>）委托贷款情况</w:t>
      </w:r>
      <w:bookmarkEnd w:id="425"/>
      <w:bookmarkEnd w:id="426"/>
      <w:bookmarkEnd w:id="428"/>
    </w:p>
    <w:p>
      <w:pPr>
        <w:pStyle w:val="Style32"/>
        <w:keepNext w:val="0"/>
        <w:keepLines w:val="0"/>
        <w:widowControl w:val="0"/>
        <w:shd w:val="clear" w:color="auto" w:fill="auto"/>
        <w:bidi w:val="0"/>
        <w:spacing w:before="0" w:after="12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公司报告期不存在委托贷款。</w:t>
      </w:r>
    </w:p>
    <w:p>
      <w:pPr>
        <w:pStyle w:val="Style55"/>
        <w:keepNext/>
        <w:keepLines/>
        <w:widowControl w:val="0"/>
        <w:shd w:val="clear" w:color="auto" w:fill="auto"/>
        <w:bidi w:val="0"/>
        <w:spacing w:before="0" w:after="380" w:line="240" w:lineRule="auto"/>
        <w:ind w:left="0" w:right="0" w:firstLine="980"/>
        <w:jc w:val="left"/>
      </w:pPr>
      <w:bookmarkStart w:id="429" w:name="bookmark429"/>
      <w:bookmarkStart w:id="430" w:name="bookmark430"/>
      <w:bookmarkStart w:id="431" w:name="bookmark431"/>
      <w:bookmarkStart w:id="432" w:name="bookmark432"/>
      <w:r>
        <w:rPr>
          <w:rFonts w:ascii="Times New Roman" w:eastAsia="Times New Roman" w:hAnsi="Times New Roman" w:cs="Times New Roman"/>
          <w:color w:val="000000"/>
          <w:spacing w:val="0"/>
          <w:w w:val="100"/>
          <w:position w:val="0"/>
        </w:rPr>
        <w:t>5</w:t>
      </w:r>
      <w:bookmarkEnd w:id="431"/>
      <w:r>
        <w:rPr>
          <w:color w:val="000000"/>
          <w:spacing w:val="0"/>
          <w:w w:val="100"/>
          <w:position w:val="0"/>
        </w:rPr>
        <w:t>、其他重大合同</w:t>
      </w:r>
      <w:bookmarkEnd w:id="429"/>
      <w:bookmarkEnd w:id="430"/>
      <w:bookmarkEnd w:id="432"/>
    </w:p>
    <w:p>
      <w:pPr>
        <w:pStyle w:val="Style32"/>
        <w:keepNext w:val="0"/>
        <w:keepLines w:val="0"/>
        <w:widowControl w:val="0"/>
        <w:shd w:val="clear" w:color="auto" w:fill="auto"/>
        <w:bidi w:val="0"/>
        <w:spacing w:before="0" w:after="12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公司报告期不存在其他重大合同。</w:t>
      </w:r>
    </w:p>
    <w:p>
      <w:pPr>
        <w:pStyle w:val="Style47"/>
        <w:keepNext/>
        <w:keepLines/>
        <w:widowControl w:val="0"/>
        <w:shd w:val="clear" w:color="auto" w:fill="auto"/>
        <w:bidi w:val="0"/>
        <w:spacing w:before="0" w:after="380" w:line="240" w:lineRule="auto"/>
        <w:ind w:left="0" w:right="0" w:firstLine="980"/>
        <w:jc w:val="left"/>
      </w:pPr>
      <w:bookmarkStart w:id="433" w:name="bookmark433"/>
      <w:bookmarkStart w:id="434" w:name="bookmark434"/>
      <w:bookmarkStart w:id="435" w:name="bookmark435"/>
      <w:r>
        <w:rPr>
          <w:color w:val="000000"/>
          <w:spacing w:val="0"/>
          <w:w w:val="100"/>
          <w:position w:val="0"/>
          <w:sz w:val="24"/>
          <w:szCs w:val="24"/>
        </w:rPr>
        <w:t>十七、社会责任情况</w:t>
      </w:r>
      <w:bookmarkEnd w:id="433"/>
      <w:bookmarkEnd w:id="434"/>
      <w:bookmarkEnd w:id="435"/>
    </w:p>
    <w:p>
      <w:pPr>
        <w:pStyle w:val="Style55"/>
        <w:keepNext/>
        <w:keepLines/>
        <w:widowControl w:val="0"/>
        <w:shd w:val="clear" w:color="auto" w:fill="auto"/>
        <w:tabs>
          <w:tab w:pos="1348" w:val="left"/>
        </w:tabs>
        <w:bidi w:val="0"/>
        <w:spacing w:before="0" w:after="380" w:line="240" w:lineRule="auto"/>
        <w:ind w:left="0" w:right="0" w:firstLine="980"/>
        <w:jc w:val="left"/>
      </w:pPr>
      <w:bookmarkStart w:id="436" w:name="bookmark436"/>
      <w:bookmarkStart w:id="437" w:name="bookmark437"/>
      <w:bookmarkStart w:id="438" w:name="bookmark438"/>
      <w:bookmarkStart w:id="439" w:name="bookmark439"/>
      <w:r>
        <w:rPr>
          <w:rFonts w:ascii="Times New Roman" w:eastAsia="Times New Roman" w:hAnsi="Times New Roman" w:cs="Times New Roman"/>
          <w:color w:val="000000"/>
          <w:spacing w:val="0"/>
          <w:w w:val="100"/>
          <w:position w:val="0"/>
        </w:rPr>
        <w:t>1</w:t>
      </w:r>
      <w:bookmarkEnd w:id="438"/>
      <w:r>
        <w:rPr>
          <w:color w:val="000000"/>
          <w:spacing w:val="0"/>
          <w:w w:val="100"/>
          <w:position w:val="0"/>
        </w:rPr>
        <w:t>、</w:t>
        <w:tab/>
        <w:t>履行社会责任情况</w:t>
      </w:r>
      <w:bookmarkEnd w:id="436"/>
      <w:bookmarkEnd w:id="437"/>
      <w:bookmarkEnd w:id="439"/>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tabs>
          <w:tab w:pos="1358" w:val="left"/>
        </w:tabs>
        <w:bidi w:val="0"/>
        <w:spacing w:before="0" w:after="380" w:line="240" w:lineRule="auto"/>
        <w:ind w:left="0" w:right="0" w:firstLine="980"/>
        <w:jc w:val="left"/>
      </w:pPr>
      <w:bookmarkStart w:id="440" w:name="bookmark440"/>
      <w:bookmarkStart w:id="441" w:name="bookmark441"/>
      <w:bookmarkStart w:id="442" w:name="bookmark442"/>
      <w:bookmarkStart w:id="443" w:name="bookmark443"/>
      <w:r>
        <w:rPr>
          <w:rFonts w:ascii="Times New Roman" w:eastAsia="Times New Roman" w:hAnsi="Times New Roman" w:cs="Times New Roman"/>
          <w:color w:val="000000"/>
          <w:spacing w:val="0"/>
          <w:w w:val="100"/>
          <w:position w:val="0"/>
        </w:rPr>
        <w:t>2</w:t>
      </w:r>
      <w:bookmarkEnd w:id="442"/>
      <w:r>
        <w:rPr>
          <w:color w:val="000000"/>
          <w:spacing w:val="0"/>
          <w:w w:val="100"/>
          <w:position w:val="0"/>
        </w:rPr>
        <w:t>、</w:t>
        <w:tab/>
        <w:t>履行精准扶贫社会责任情况</w:t>
      </w:r>
      <w:bookmarkEnd w:id="440"/>
      <w:bookmarkEnd w:id="441"/>
      <w:bookmarkEnd w:id="443"/>
    </w:p>
    <w:p>
      <w:pPr>
        <w:pStyle w:val="Style55"/>
        <w:keepNext/>
        <w:keepLines/>
        <w:widowControl w:val="0"/>
        <w:shd w:val="clear" w:color="auto" w:fill="auto"/>
        <w:tabs>
          <w:tab w:pos="1473" w:val="left"/>
        </w:tabs>
        <w:bidi w:val="0"/>
        <w:spacing w:before="0" w:after="380" w:line="240" w:lineRule="auto"/>
        <w:ind w:left="0" w:right="0" w:firstLine="980"/>
        <w:jc w:val="left"/>
      </w:pPr>
      <w:bookmarkStart w:id="440" w:name="bookmark440"/>
      <w:bookmarkStart w:id="441" w:name="bookmark441"/>
      <w:bookmarkStart w:id="444" w:name="bookmark444"/>
      <w:bookmarkStart w:id="445" w:name="bookmark445"/>
      <w:r>
        <w:rPr>
          <w:color w:val="000000"/>
          <w:spacing w:val="0"/>
          <w:w w:val="100"/>
          <w:position w:val="0"/>
        </w:rPr>
        <w:t>（</w:t>
      </w:r>
      <w:bookmarkEnd w:id="444"/>
      <w:r>
        <w:rPr>
          <w:rFonts w:ascii="Times New Roman" w:eastAsia="Times New Roman" w:hAnsi="Times New Roman" w:cs="Times New Roman"/>
          <w:color w:val="000000"/>
          <w:spacing w:val="0"/>
          <w:w w:val="100"/>
          <w:position w:val="0"/>
        </w:rPr>
        <w:t>1</w:t>
      </w:r>
      <w:r>
        <w:rPr>
          <w:color w:val="000000"/>
          <w:spacing w:val="0"/>
          <w:w w:val="100"/>
          <w:position w:val="0"/>
        </w:rPr>
        <w:t>）</w:t>
        <w:tab/>
        <w:t>精准扶贫规划</w:t>
      </w:r>
      <w:bookmarkEnd w:id="440"/>
      <w:bookmarkEnd w:id="441"/>
      <w:bookmarkEnd w:id="445"/>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公司报告年度暂未开展精准扶贫工作，也暂无后续精准扶贫计划。</w:t>
      </w:r>
    </w:p>
    <w:p>
      <w:pPr>
        <w:pStyle w:val="Style55"/>
        <w:keepNext/>
        <w:keepLines/>
        <w:widowControl w:val="0"/>
        <w:shd w:val="clear" w:color="auto" w:fill="auto"/>
        <w:tabs>
          <w:tab w:pos="1473" w:val="left"/>
        </w:tabs>
        <w:bidi w:val="0"/>
        <w:spacing w:before="0" w:after="380" w:line="240" w:lineRule="auto"/>
        <w:ind w:left="0" w:right="0" w:firstLine="980"/>
        <w:jc w:val="left"/>
      </w:pPr>
      <w:bookmarkStart w:id="446" w:name="bookmark446"/>
      <w:bookmarkStart w:id="447" w:name="bookmark447"/>
      <w:bookmarkStart w:id="448" w:name="bookmark448"/>
      <w:bookmarkStart w:id="449" w:name="bookmark449"/>
      <w:r>
        <w:rPr>
          <w:color w:val="000000"/>
          <w:spacing w:val="0"/>
          <w:w w:val="100"/>
          <w:position w:val="0"/>
        </w:rPr>
        <w:t>（</w:t>
      </w:r>
      <w:bookmarkEnd w:id="448"/>
      <w:r>
        <w:rPr>
          <w:rFonts w:ascii="Times New Roman" w:eastAsia="Times New Roman" w:hAnsi="Times New Roman" w:cs="Times New Roman"/>
          <w:color w:val="000000"/>
          <w:spacing w:val="0"/>
          <w:w w:val="100"/>
          <w:position w:val="0"/>
        </w:rPr>
        <w:t>2</w:t>
      </w:r>
      <w:r>
        <w:rPr>
          <w:color w:val="000000"/>
          <w:spacing w:val="0"/>
          <w:w w:val="100"/>
          <w:position w:val="0"/>
        </w:rPr>
        <w:t>）</w:t>
        <w:tab/>
        <w:t>年度精准扶贫概要</w:t>
      </w:r>
      <w:bookmarkEnd w:id="446"/>
      <w:bookmarkEnd w:id="447"/>
      <w:bookmarkEnd w:id="449"/>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bidi w:val="0"/>
        <w:spacing w:before="0" w:after="380" w:line="240" w:lineRule="auto"/>
        <w:ind w:left="0" w:right="0" w:firstLine="980"/>
        <w:jc w:val="left"/>
      </w:pPr>
      <w:bookmarkStart w:id="450" w:name="bookmark450"/>
      <w:bookmarkStart w:id="451" w:name="bookmark451"/>
      <w:bookmarkStart w:id="452" w:name="bookmark452"/>
      <w:bookmarkStart w:id="453" w:name="bookmark453"/>
      <w:r>
        <w:rPr>
          <w:color w:val="000000"/>
          <w:spacing w:val="0"/>
          <w:w w:val="100"/>
          <w:position w:val="0"/>
        </w:rPr>
        <w:t>（</w:t>
      </w:r>
      <w:bookmarkEnd w:id="452"/>
      <w:r>
        <w:rPr>
          <w:rFonts w:ascii="Times New Roman" w:eastAsia="Times New Roman" w:hAnsi="Times New Roman" w:cs="Times New Roman"/>
          <w:color w:val="000000"/>
          <w:spacing w:val="0"/>
          <w:w w:val="100"/>
          <w:position w:val="0"/>
        </w:rPr>
        <w:t>3</w:t>
      </w:r>
      <w:r>
        <w:rPr>
          <w:color w:val="000000"/>
          <w:spacing w:val="0"/>
          <w:w w:val="100"/>
          <w:position w:val="0"/>
        </w:rPr>
        <w:t>）后续精准扶贫计划</w:t>
      </w:r>
      <w:bookmarkEnd w:id="450"/>
      <w:bookmarkEnd w:id="451"/>
      <w:bookmarkEnd w:id="453"/>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bidi w:val="0"/>
        <w:spacing w:before="0" w:after="380" w:line="240" w:lineRule="auto"/>
        <w:ind w:left="0" w:right="0" w:firstLine="980"/>
        <w:jc w:val="left"/>
      </w:pPr>
      <w:bookmarkStart w:id="454" w:name="bookmark454"/>
      <w:bookmarkStart w:id="455" w:name="bookmark455"/>
      <w:bookmarkStart w:id="456" w:name="bookmark456"/>
      <w:bookmarkStart w:id="457" w:name="bookmark457"/>
      <w:r>
        <w:rPr>
          <w:rFonts w:ascii="Times New Roman" w:eastAsia="Times New Roman" w:hAnsi="Times New Roman" w:cs="Times New Roman"/>
          <w:color w:val="000000"/>
          <w:spacing w:val="0"/>
          <w:w w:val="100"/>
          <w:position w:val="0"/>
        </w:rPr>
        <w:t>3</w:t>
      </w:r>
      <w:bookmarkEnd w:id="456"/>
      <w:r>
        <w:rPr>
          <w:color w:val="000000"/>
          <w:spacing w:val="0"/>
          <w:w w:val="100"/>
          <w:position w:val="0"/>
        </w:rPr>
        <w:t>、环境保护相关的情况</w:t>
      </w:r>
      <w:bookmarkEnd w:id="454"/>
      <w:bookmarkEnd w:id="455"/>
      <w:bookmarkEnd w:id="457"/>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上市公司及其子公司是否属于环境保护部门公布的重点排污单位</w:t>
      </w:r>
    </w:p>
    <w:p>
      <w:pPr>
        <w:pStyle w:val="Style32"/>
        <w:keepNext w:val="0"/>
        <w:keepLines w:val="0"/>
        <w:widowControl w:val="0"/>
        <w:shd w:val="clear" w:color="auto" w:fill="auto"/>
        <w:bidi w:val="0"/>
        <w:spacing w:before="0" w:after="380" w:line="240" w:lineRule="auto"/>
        <w:ind w:left="0" w:right="0" w:firstLine="980"/>
        <w:jc w:val="left"/>
        <w:sectPr>
          <w:footnotePr>
            <w:pos w:val="pageBottom"/>
            <w:numFmt w:val="decimal"/>
            <w:numRestart w:val="continuous"/>
          </w:footnotePr>
          <w:pgSz w:w="11900" w:h="16840"/>
          <w:pgMar w:top="692" w:right="130" w:bottom="1158" w:left="130" w:header="0" w:footer="3" w:gutter="0"/>
          <w:cols w:space="720"/>
          <w:noEndnote/>
          <w:rtlGutter w:val="0"/>
          <w:docGrid w:linePitch="360"/>
        </w:sectPr>
      </w:pPr>
      <w:r>
        <w:rPr>
          <w:color w:val="000000"/>
          <w:spacing w:val="0"/>
          <w:w w:val="100"/>
          <w:position w:val="0"/>
        </w:rPr>
        <w:t>否</w:t>
      </w:r>
    </w:p>
    <w:p>
      <w:pPr>
        <w:pStyle w:val="Style5"/>
        <w:keepNext w:val="0"/>
        <w:keepLines w:val="0"/>
        <w:widowControl w:val="0"/>
        <w:shd w:val="clear" w:color="auto" w:fill="auto"/>
        <w:bidi w:val="0"/>
        <w:spacing w:before="0" w:after="40" w:line="240" w:lineRule="auto"/>
        <w:ind w:left="0" w:right="0" w:firstLine="960"/>
        <w:jc w:val="both"/>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tabs>
          <w:tab w:pos="1730" w:val="left"/>
        </w:tabs>
        <w:bidi w:val="0"/>
        <w:spacing w:before="0" w:after="0" w:line="240" w:lineRule="auto"/>
        <w:ind w:left="1140" w:right="0" w:firstLine="0"/>
        <w:jc w:val="left"/>
      </w:pPr>
      <w:r>
        <w:rPr>
          <w:rFonts w:ascii="SimHei" w:eastAsia="SimHei" w:hAnsi="SimHei" w:cs="SimHei"/>
          <w:b/>
          <w:bCs/>
          <w:color w:val="245994"/>
          <w:spacing w:val="0"/>
          <w:w w:val="100"/>
          <w:position w:val="0"/>
          <w:sz w:val="15"/>
          <w:szCs w:val="15"/>
        </w:rPr>
        <w:t xml:space="preserve">r </w:t>
      </w:r>
      <w:r>
        <w:rPr>
          <w:rFonts w:ascii="SimHei" w:eastAsia="SimHei" w:hAnsi="SimHei" w:cs="SimHei"/>
          <w:b/>
          <w:bCs/>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360" w:line="240" w:lineRule="auto"/>
        <w:ind w:left="0" w:right="0" w:firstLine="960"/>
        <w:jc w:val="both"/>
      </w:pPr>
      <w:bookmarkStart w:id="458" w:name="bookmark458"/>
      <w:bookmarkStart w:id="459" w:name="bookmark459"/>
      <w:bookmarkStart w:id="460" w:name="bookmark460"/>
      <w:r>
        <w:rPr>
          <w:color w:val="000000"/>
          <w:spacing w:val="0"/>
          <w:w w:val="100"/>
          <w:position w:val="0"/>
          <w:sz w:val="24"/>
          <w:szCs w:val="24"/>
        </w:rPr>
        <w:t>十八、其他重大事项的说明</w:t>
      </w:r>
      <w:bookmarkEnd w:id="458"/>
      <w:bookmarkEnd w:id="459"/>
      <w:bookmarkEnd w:id="460"/>
    </w:p>
    <w:p>
      <w:pPr>
        <w:pStyle w:val="Style32"/>
        <w:keepNext w:val="0"/>
        <w:keepLines w:val="0"/>
        <w:widowControl w:val="0"/>
        <w:shd w:val="clear" w:color="auto" w:fill="auto"/>
        <w:bidi w:val="0"/>
        <w:spacing w:before="0" w:after="140" w:line="240" w:lineRule="auto"/>
        <w:ind w:left="0" w:right="0" w:firstLine="960"/>
        <w:jc w:val="both"/>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960"/>
        <w:jc w:val="both"/>
      </w:pPr>
      <w:r>
        <w:rPr>
          <w:color w:val="000000"/>
          <w:spacing w:val="0"/>
          <w:w w:val="100"/>
          <w:position w:val="0"/>
        </w:rPr>
        <w:t>公司报告期不存在需要说明的其他重大事项。</w:t>
      </w:r>
    </w:p>
    <w:p>
      <w:pPr>
        <w:pStyle w:val="Style47"/>
        <w:keepNext/>
        <w:keepLines/>
        <w:widowControl w:val="0"/>
        <w:shd w:val="clear" w:color="auto" w:fill="auto"/>
        <w:bidi w:val="0"/>
        <w:spacing w:before="0" w:after="360" w:line="240" w:lineRule="auto"/>
        <w:ind w:left="0" w:right="0" w:firstLine="960"/>
        <w:jc w:val="both"/>
      </w:pPr>
      <w:bookmarkStart w:id="461" w:name="bookmark461"/>
      <w:bookmarkStart w:id="462" w:name="bookmark462"/>
      <w:bookmarkStart w:id="463" w:name="bookmark463"/>
      <w:r>
        <w:rPr>
          <w:color w:val="000000"/>
          <w:spacing w:val="0"/>
          <w:w w:val="100"/>
          <w:position w:val="0"/>
          <w:sz w:val="24"/>
          <w:szCs w:val="24"/>
        </w:rPr>
        <w:t>十九、公司子公司重大事项</w:t>
      </w:r>
      <w:bookmarkEnd w:id="461"/>
      <w:bookmarkEnd w:id="462"/>
      <w:bookmarkEnd w:id="463"/>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1858"/>
        <w:gridCol w:w="2266"/>
        <w:gridCol w:w="1709"/>
        <w:gridCol w:w="3974"/>
      </w:tblGrid>
      <w:tr>
        <w:trPr>
          <w:trHeight w:val="36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子公司名称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公告名称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披露日期</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披露索引</w:t>
            </w:r>
          </w:p>
        </w:tc>
      </w:tr>
      <w:tr>
        <w:trPr>
          <w:trHeight w:val="974"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98" w:lineRule="exact"/>
              <w:ind w:left="0" w:right="0" w:firstLine="0"/>
              <w:jc w:val="left"/>
            </w:pPr>
            <w:r>
              <w:rPr>
                <w:color w:val="000000"/>
                <w:spacing w:val="0"/>
                <w:w w:val="100"/>
                <w:position w:val="0"/>
              </w:rPr>
              <w:t>北京神州视翰科技有限 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关于全资子公司认购证券投 资基金份额的公告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http</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//www. cninfo. com. cn/new/disclosure/detail?stock</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Code=300290&amp;announcementId=1208706522&amp;orgId</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=9900021761&amp;announcementTime=2020-11-06</w:t>
            </w:r>
          </w:p>
        </w:tc>
      </w:tr>
      <w:tr>
        <w:trPr>
          <w:trHeight w:val="97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关于全资子公司认购证券投 资基金份额的进展公告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http</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//www. cninfo. com. cn/new/disclosure/detail?stock</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Code=300290&amp;announcementId=1208900485&amp;orgId</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=9900021761 &amp;announcementTime=2020-12-14</w:t>
            </w:r>
          </w:p>
        </w:tc>
      </w:tr>
      <w:tr>
        <w:trPr>
          <w:trHeight w:val="979"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关于全资子公司转让证券投 资基金份额的公告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fldChar w:fldCharType="begin"/>
            </w:r>
            <w:r>
              <w:rPr/>
              <w:instrText> HYPERLINK "http://www.cninfo.com.cn/new/disclosure/detail?stock" </w:instrText>
            </w:r>
            <w:r>
              <w:fldChar w:fldCharType="separate"/>
            </w:r>
            <w:r>
              <w:rPr>
                <w:rFonts w:ascii="Times New Roman" w:eastAsia="Times New Roman" w:hAnsi="Times New Roman" w:cs="Times New Roman"/>
                <w:color w:val="000000"/>
                <w:spacing w:val="0"/>
                <w:w w:val="100"/>
                <w:position w:val="0"/>
              </w:rPr>
              <w:t>http://www.cninfo.com.cn/new/disclosure/detail?stock</w:t>
            </w:r>
            <w:r>
              <w:fldChar w:fldCharType="end"/>
            </w:r>
          </w:p>
          <w:p>
            <w:pPr>
              <w:pStyle w:val="Style44"/>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Code=300290&amp;announcementId=1209024482&amp;orgId</w:t>
            </w:r>
          </w:p>
          <w:p>
            <w:pPr>
              <w:pStyle w:val="Style44"/>
              <w:keepNext w:val="0"/>
              <w:keepLines w:val="0"/>
              <w:widowControl w:val="0"/>
              <w:shd w:val="clear" w:color="auto" w:fill="auto"/>
              <w:bidi w:val="0"/>
              <w:spacing w:before="0" w:after="80" w:line="240" w:lineRule="auto"/>
              <w:ind w:left="0" w:right="0" w:firstLine="0"/>
              <w:jc w:val="left"/>
            </w:pPr>
            <w:r>
              <w:rPr>
                <w:color w:val="000000"/>
                <w:spacing w:val="0"/>
                <w:w w:val="100"/>
                <w:position w:val="0"/>
              </w:rPr>
              <w:t>二</w:t>
            </w:r>
            <w:r>
              <w:rPr>
                <w:rFonts w:ascii="Times New Roman" w:eastAsia="Times New Roman" w:hAnsi="Times New Roman" w:cs="Times New Roman"/>
                <w:color w:val="000000"/>
                <w:spacing w:val="0"/>
                <w:w w:val="100"/>
                <w:position w:val="0"/>
              </w:rPr>
              <w:t>9900021761&amp;announcementTime=2020-12-30</w:t>
            </w:r>
          </w:p>
        </w:tc>
      </w:tr>
      <w:tr>
        <w:trPr>
          <w:trHeight w:val="974"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上海米健信息技术有限 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关于为全资子公司提供担保 及为第三方担保机构提供反 担保的公告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fldChar w:fldCharType="begin"/>
            </w:r>
            <w:r>
              <w:rPr/>
              <w:instrText> HYPERLINK "http://www.cninfo.com.cn/new/disclosure/detail?stock" </w:instrText>
            </w:r>
            <w:r>
              <w:fldChar w:fldCharType="separate"/>
            </w:r>
            <w:r>
              <w:rPr>
                <w:rFonts w:ascii="Times New Roman" w:eastAsia="Times New Roman" w:hAnsi="Times New Roman" w:cs="Times New Roman"/>
                <w:color w:val="000000"/>
                <w:spacing w:val="0"/>
                <w:w w:val="100"/>
                <w:position w:val="0"/>
              </w:rPr>
              <w:t>http://www.cninfo.com.cn/new/disclosure/detail?stock</w:t>
            </w:r>
            <w:r>
              <w:fldChar w:fldCharType="end"/>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Code=300290&amp;announcementId=1207311307&amp;orgId</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=9900021761 &amp;announcementTime=2020-02</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18</w:t>
            </w:r>
          </w:p>
        </w:tc>
      </w:tr>
      <w:tr>
        <w:trPr>
          <w:trHeight w:val="97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关于对全资子公司提供财务 资助展期的公告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fldChar w:fldCharType="begin"/>
            </w:r>
            <w:r>
              <w:rPr/>
              <w:instrText> HYPERLINK "http://www.cninfo.com.cn/new/disclosure/detail?stock" </w:instrText>
            </w:r>
            <w:r>
              <w:fldChar w:fldCharType="separate"/>
            </w:r>
            <w:r>
              <w:rPr>
                <w:rFonts w:ascii="Times New Roman" w:eastAsia="Times New Roman" w:hAnsi="Times New Roman" w:cs="Times New Roman"/>
                <w:color w:val="000000"/>
                <w:spacing w:val="0"/>
                <w:w w:val="100"/>
                <w:position w:val="0"/>
              </w:rPr>
              <w:t>http://www.cninfo.com.cn/new/disclosure/detail?stock</w:t>
            </w:r>
            <w:r>
              <w:fldChar w:fldCharType="end"/>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Code=300290&amp;announcementId=1207311308&amp;orgId</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=9900021761 &amp;announcementTime=2020-02</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18</w:t>
            </w:r>
          </w:p>
        </w:tc>
      </w:tr>
      <w:tr>
        <w:trPr>
          <w:trHeight w:val="979"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关于全资子公司完成工商登 记变更的公告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fldChar w:fldCharType="begin"/>
            </w:r>
            <w:r>
              <w:rPr/>
              <w:instrText> HYPERLINK "http://www.cninfo.com.cn/new/disclosure/detail?stock" </w:instrText>
            </w:r>
            <w:r>
              <w:fldChar w:fldCharType="separate"/>
            </w:r>
            <w:r>
              <w:rPr>
                <w:rFonts w:ascii="Times New Roman" w:eastAsia="Times New Roman" w:hAnsi="Times New Roman" w:cs="Times New Roman"/>
                <w:color w:val="000000"/>
                <w:spacing w:val="0"/>
                <w:w w:val="100"/>
                <w:position w:val="0"/>
              </w:rPr>
              <w:t>http://www.cninfo.com.cn/new/disclosure/detail?stock</w:t>
            </w:r>
            <w:r>
              <w:fldChar w:fldCharType="end"/>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Code=300290&amp;announcementId=1207372425&amp;orgId</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=9900021761&amp;announcementTime=2020-03-13</w:t>
            </w:r>
          </w:p>
        </w:tc>
      </w:tr>
      <w:tr>
        <w:trPr>
          <w:trHeight w:val="97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98" w:lineRule="exact"/>
              <w:ind w:left="0" w:right="0" w:firstLine="0"/>
              <w:jc w:val="both"/>
            </w:pPr>
            <w:r>
              <w:rPr>
                <w:color w:val="000000"/>
                <w:spacing w:val="0"/>
                <w:w w:val="100"/>
                <w:position w:val="0"/>
              </w:rPr>
              <w:t>关于为全资子公司提供担保 的公告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fldChar w:fldCharType="begin"/>
            </w:r>
            <w:r>
              <w:rPr/>
              <w:instrText> HYPERLINK "http://www.cninfo.com.cn/new/disclosure/detail?stock" </w:instrText>
            </w:r>
            <w:r>
              <w:fldChar w:fldCharType="separate"/>
            </w:r>
            <w:r>
              <w:rPr>
                <w:rFonts w:ascii="Times New Roman" w:eastAsia="Times New Roman" w:hAnsi="Times New Roman" w:cs="Times New Roman"/>
                <w:color w:val="000000"/>
                <w:spacing w:val="0"/>
                <w:w w:val="100"/>
                <w:position w:val="0"/>
              </w:rPr>
              <w:t>http://www.cninfo.com.cn/new/disclosure/detail?stock</w:t>
            </w:r>
            <w:r>
              <w:fldChar w:fldCharType="end"/>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Code=300290&amp;announcementId=1207935151&amp;orgId</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=9900021761&amp;announcementTime=2020-06-17</w:t>
            </w:r>
          </w:p>
        </w:tc>
      </w:tr>
      <w:tr>
        <w:trPr>
          <w:trHeight w:val="97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98" w:lineRule="exact"/>
              <w:ind w:left="0" w:right="0" w:firstLine="0"/>
              <w:jc w:val="both"/>
            </w:pPr>
            <w:r>
              <w:rPr>
                <w:color w:val="000000"/>
                <w:spacing w:val="0"/>
                <w:w w:val="100"/>
                <w:position w:val="0"/>
              </w:rPr>
              <w:t>关于为全资子公司提供担保 的公告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fldChar w:fldCharType="begin"/>
            </w:r>
            <w:r>
              <w:rPr/>
              <w:instrText> HYPERLINK "http://www.cninfo.com.cn/new/disclosure/detail?stock" </w:instrText>
            </w:r>
            <w:r>
              <w:fldChar w:fldCharType="separate"/>
            </w:r>
            <w:r>
              <w:rPr>
                <w:rFonts w:ascii="Times New Roman" w:eastAsia="Times New Roman" w:hAnsi="Times New Roman" w:cs="Times New Roman"/>
                <w:color w:val="000000"/>
                <w:spacing w:val="0"/>
                <w:w w:val="100"/>
                <w:position w:val="0"/>
              </w:rPr>
              <w:t>http://www.cninfo.com.cn/new/disclosure/detail?stock</w:t>
            </w:r>
            <w:r>
              <w:fldChar w:fldCharType="end"/>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Code=300290&amp;announcementId=1208263187&amp;orgId</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=9900021761&amp;announcementTime=2020-08-27</w:t>
            </w:r>
          </w:p>
        </w:tc>
      </w:tr>
      <w:tr>
        <w:trPr>
          <w:trHeight w:val="979"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关于为全资子公司提供担保 及为第三方担保机构提供反 担保的公告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fldChar w:fldCharType="begin"/>
            </w:r>
            <w:r>
              <w:rPr/>
              <w:instrText> HYPERLINK "http://www.cninfo.com.cn/new/disclosure/detail?stock" </w:instrText>
            </w:r>
            <w:r>
              <w:fldChar w:fldCharType="separate"/>
            </w:r>
            <w:r>
              <w:rPr>
                <w:rFonts w:ascii="Times New Roman" w:eastAsia="Times New Roman" w:hAnsi="Times New Roman" w:cs="Times New Roman"/>
                <w:color w:val="000000"/>
                <w:spacing w:val="0"/>
                <w:w w:val="100"/>
                <w:position w:val="0"/>
              </w:rPr>
              <w:t>http://www.cninfo.com.cn/new/disclosure/detail?stock</w:t>
            </w:r>
            <w:r>
              <w:fldChar w:fldCharType="end"/>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Code=300290&amp;announcementId=1208602396&amp;orgId</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=9900021761&amp;announcementTime=2020-10-22</w:t>
            </w:r>
          </w:p>
        </w:tc>
      </w:tr>
      <w:tr>
        <w:trPr>
          <w:trHeight w:val="97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关于为全资子公司提供担保 并向第三方担保机构提供反 担保的公告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60" w:lineRule="auto"/>
              <w:ind w:left="0" w:right="0" w:firstLine="0"/>
              <w:jc w:val="left"/>
            </w:pPr>
            <w:r>
              <w:fldChar w:fldCharType="begin"/>
            </w:r>
            <w:r>
              <w:rPr/>
              <w:instrText> HYPERLINK "http://www.cninfo.com.cn/new/disclosure/detail?stock" </w:instrText>
            </w:r>
            <w:r>
              <w:fldChar w:fldCharType="separate"/>
            </w:r>
            <w:r>
              <w:rPr>
                <w:rFonts w:ascii="Times New Roman" w:eastAsia="Times New Roman" w:hAnsi="Times New Roman" w:cs="Times New Roman"/>
                <w:color w:val="000000"/>
                <w:spacing w:val="0"/>
                <w:w w:val="100"/>
                <w:position w:val="0"/>
              </w:rPr>
              <w:t>http://www.cninfo.com.cn/new/disclosure/detail?stock</w:t>
            </w:r>
            <w:r>
              <w:fldChar w:fldCharType="end"/>
            </w:r>
            <w:r>
              <w:rPr>
                <w:rFonts w:ascii="Times New Roman" w:eastAsia="Times New Roman" w:hAnsi="Times New Roman" w:cs="Times New Roman"/>
                <w:color w:val="000000"/>
                <w:spacing w:val="0"/>
                <w:w w:val="100"/>
                <w:position w:val="0"/>
              </w:rPr>
              <w:t xml:space="preserve"> Code=300290&amp;announcementId=1208857238&amp;orgId =9900021761 &amp;announcementT ime=2020</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12-05</w:t>
            </w:r>
          </w:p>
        </w:tc>
      </w:tr>
      <w:tr>
        <w:trPr>
          <w:trHeight w:val="994"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享云科技有限责任公司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关于转让全资子公司</w:t>
            </w:r>
            <w:r>
              <w:rPr>
                <w:rFonts w:ascii="Times New Roman" w:eastAsia="Times New Roman" w:hAnsi="Times New Roman" w:cs="Times New Roman"/>
                <w:color w:val="000000"/>
                <w:spacing w:val="0"/>
                <w:w w:val="100"/>
                <w:position w:val="0"/>
              </w:rPr>
              <w:t>100%</w:t>
            </w:r>
            <w:r>
              <w:rPr>
                <w:color w:val="000000"/>
                <w:spacing w:val="0"/>
                <w:w w:val="100"/>
                <w:position w:val="0"/>
              </w:rPr>
              <w:t>股</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权暨关联交易的公告</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fldChar w:fldCharType="begin"/>
            </w:r>
            <w:r>
              <w:rPr/>
              <w:instrText> HYPERLINK "http://www.cninfo.com.cn/new/disclosure/detail?stock" </w:instrText>
            </w:r>
            <w:r>
              <w:fldChar w:fldCharType="separate"/>
            </w:r>
            <w:r>
              <w:rPr>
                <w:rFonts w:ascii="Times New Roman" w:eastAsia="Times New Roman" w:hAnsi="Times New Roman" w:cs="Times New Roman"/>
                <w:color w:val="000000"/>
                <w:spacing w:val="0"/>
                <w:w w:val="100"/>
                <w:position w:val="0"/>
              </w:rPr>
              <w:t>http://www.cninfo.com.cn/new/disclosure/detail?stock</w:t>
            </w:r>
            <w:r>
              <w:fldChar w:fldCharType="end"/>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Code=300290&amp;announcementId=1208900490&amp;orgId</w:t>
            </w:r>
          </w:p>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=9900021761 &amp;announcementTime=2020-12-14</w:t>
            </w:r>
          </w:p>
        </w:tc>
      </w:tr>
    </w:tbl>
    <w:p>
      <w:pPr>
        <w:spacing w:lineRule="exact" w:line="1"/>
        <w:rPr>
          <w:sz w:val="2"/>
          <w:szCs w:val="2"/>
        </w:rPr>
      </w:pPr>
      <w:r>
        <w:br w:type="page"/>
      </w:r>
    </w:p>
    <w:p>
      <w:pPr>
        <w:pStyle w:val="Style5"/>
        <w:keepNext w:val="0"/>
        <w:keepLines w:val="0"/>
        <w:widowControl w:val="0"/>
        <w:shd w:val="clear" w:color="auto" w:fill="auto"/>
        <w:tabs>
          <w:tab w:pos="1749" w:val="left"/>
        </w:tabs>
        <w:bidi w:val="0"/>
        <w:spacing w:before="0" w:after="480" w:line="206" w:lineRule="exact"/>
        <w:ind w:left="1120" w:right="0" w:firstLine="20"/>
        <w:jc w:val="both"/>
        <w:rPr>
          <w:sz w:val="18"/>
          <w:szCs w:val="18"/>
        </w:rPr>
      </w:pPr>
      <w:r>
        <w:rPr>
          <w:color w:val="245994"/>
          <w:spacing w:val="0"/>
          <w:w w:val="100"/>
          <w:position w:val="0"/>
          <w:sz w:val="30"/>
          <w:szCs w:val="30"/>
        </w:rPr>
        <w:t>七一</w:t>
      </w:r>
      <w:r>
        <w:rPr>
          <w:spacing w:val="0"/>
          <w:w w:val="100"/>
          <w:position w:val="0"/>
          <w:sz w:val="15"/>
          <w:szCs w:val="15"/>
        </w:rPr>
        <w:t xml:space="preserve">国家高新技术企业 </w:t>
      </w:r>
      <w:r>
        <w:rPr>
          <w:color w:val="245994"/>
          <w:spacing w:val="0"/>
          <w:w w:val="100"/>
          <w:position w:val="0"/>
          <w:sz w:val="30"/>
          <w:szCs w:val="30"/>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20"/>
        <w:keepNext/>
        <w:keepLines/>
        <w:widowControl w:val="0"/>
        <w:shd w:val="clear" w:color="auto" w:fill="auto"/>
        <w:bidi w:val="0"/>
        <w:spacing w:before="0" w:after="540" w:line="240" w:lineRule="auto"/>
        <w:ind w:left="0" w:right="0" w:firstLine="0"/>
        <w:jc w:val="center"/>
      </w:pPr>
      <w:bookmarkStart w:id="464" w:name="bookmark464"/>
      <w:bookmarkStart w:id="465" w:name="bookmark465"/>
      <w:bookmarkStart w:id="466" w:name="bookmark466"/>
      <w:r>
        <w:rPr>
          <w:color w:val="000000"/>
          <w:spacing w:val="0"/>
          <w:w w:val="100"/>
          <w:position w:val="0"/>
        </w:rPr>
        <w:t>第六节股份变动及股东情况</w:t>
      </w:r>
      <w:bookmarkEnd w:id="464"/>
      <w:bookmarkEnd w:id="465"/>
      <w:bookmarkEnd w:id="466"/>
    </w:p>
    <w:p>
      <w:pPr>
        <w:pStyle w:val="Style47"/>
        <w:keepNext/>
        <w:keepLines/>
        <w:widowControl w:val="0"/>
        <w:shd w:val="clear" w:color="auto" w:fill="auto"/>
        <w:bidi w:val="0"/>
        <w:spacing w:before="0" w:after="360" w:line="240" w:lineRule="auto"/>
        <w:ind w:left="0" w:right="0" w:firstLine="960"/>
        <w:jc w:val="left"/>
      </w:pPr>
      <w:bookmarkStart w:id="467" w:name="bookmark467"/>
      <w:bookmarkStart w:id="468" w:name="bookmark468"/>
      <w:bookmarkStart w:id="469" w:name="bookmark469"/>
      <w:bookmarkStart w:id="470" w:name="bookmark470"/>
      <w:r>
        <w:rPr>
          <w:color w:val="000000"/>
          <w:spacing w:val="0"/>
          <w:w w:val="100"/>
          <w:position w:val="0"/>
          <w:sz w:val="24"/>
          <w:szCs w:val="24"/>
        </w:rPr>
        <w:t>一</w:t>
      </w:r>
      <w:bookmarkEnd w:id="469"/>
      <w:r>
        <w:rPr>
          <w:color w:val="000000"/>
          <w:spacing w:val="0"/>
          <w:w w:val="100"/>
          <w:position w:val="0"/>
          <w:sz w:val="24"/>
          <w:szCs w:val="24"/>
        </w:rPr>
        <w:t>、股份变动情况</w:t>
      </w:r>
      <w:bookmarkEnd w:id="467"/>
      <w:bookmarkEnd w:id="468"/>
      <w:bookmarkEnd w:id="470"/>
    </w:p>
    <w:p>
      <w:pPr>
        <w:pStyle w:val="Style55"/>
        <w:keepNext/>
        <w:keepLines/>
        <w:widowControl w:val="0"/>
        <w:shd w:val="clear" w:color="auto" w:fill="auto"/>
        <w:bidi w:val="0"/>
        <w:spacing w:before="0" w:after="360" w:line="240" w:lineRule="auto"/>
        <w:ind w:left="0" w:right="0" w:firstLine="960"/>
        <w:jc w:val="left"/>
      </w:pPr>
      <w:bookmarkStart w:id="471" w:name="bookmark471"/>
      <w:bookmarkStart w:id="472" w:name="bookmark472"/>
      <w:bookmarkStart w:id="473" w:name="bookmark473"/>
      <w:bookmarkStart w:id="474" w:name="bookmark474"/>
      <w:r>
        <w:rPr>
          <w:rFonts w:ascii="Times New Roman" w:eastAsia="Times New Roman" w:hAnsi="Times New Roman" w:cs="Times New Roman"/>
          <w:color w:val="000000"/>
          <w:spacing w:val="0"/>
          <w:w w:val="100"/>
          <w:position w:val="0"/>
        </w:rPr>
        <w:t>1</w:t>
      </w:r>
      <w:bookmarkEnd w:id="473"/>
      <w:r>
        <w:rPr>
          <w:color w:val="000000"/>
          <w:spacing w:val="0"/>
          <w:w w:val="100"/>
          <w:position w:val="0"/>
        </w:rPr>
        <w:t>、股份变动情况</w:t>
      </w:r>
      <w:bookmarkEnd w:id="471"/>
      <w:bookmarkEnd w:id="472"/>
      <w:bookmarkEnd w:id="474"/>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center"/>
        <w:tblLayout w:type="fixed"/>
      </w:tblPr>
      <w:tblGrid>
        <w:gridCol w:w="1992"/>
        <w:gridCol w:w="1133"/>
        <w:gridCol w:w="850"/>
        <w:gridCol w:w="994"/>
        <w:gridCol w:w="566"/>
        <w:gridCol w:w="1133"/>
        <w:gridCol w:w="994"/>
        <w:gridCol w:w="1133"/>
        <w:gridCol w:w="984"/>
        <w:gridCol w:w="802"/>
      </w:tblGrid>
      <w:tr>
        <w:trPr>
          <w:trHeight w:val="403" w:hRule="exact"/>
        </w:trPr>
        <w:tc>
          <w:tcPr>
            <w:vMerge w:val="restart"/>
            <w:tcBorders>
              <w:top w:val="single" w:sz="4"/>
              <w:left w:val="single" w:sz="4"/>
            </w:tcBorders>
            <w:shd w:val="clear" w:color="auto" w:fill="D4D4D4"/>
            <w:vAlign w:val="top"/>
          </w:tcPr>
          <w:p>
            <w:pPr>
              <w:widowControl w:val="0"/>
              <w:rPr>
                <w:sz w:val="10"/>
                <w:szCs w:val="10"/>
              </w:rPr>
            </w:pP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本次变动前</w:t>
            </w:r>
          </w:p>
        </w:tc>
        <w:tc>
          <w:tcPr>
            <w:gridSpan w:val="5"/>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color w:val="000000"/>
                <w:spacing w:val="0"/>
                <w:w w:val="100"/>
                <w:position w:val="0"/>
              </w:rPr>
              <w:t>+,一）</w:t>
            </w: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本次变动后</w:t>
            </w:r>
          </w:p>
        </w:tc>
      </w:tr>
      <w:tr>
        <w:trPr>
          <w:trHeight w:val="403" w:hRule="exact"/>
        </w:trPr>
        <w:tc>
          <w:tcPr>
            <w:vMerge/>
            <w:tcBorders>
              <w:left w:val="single" w:sz="4"/>
            </w:tcBorders>
            <w:shd w:val="clear" w:color="auto" w:fill="D4D4D4"/>
            <w:vAlign w:val="top"/>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数量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发行新股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送股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公积金转股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00" w:firstLine="0"/>
              <w:jc w:val="right"/>
            </w:pPr>
            <w:r>
              <w:rPr>
                <w:color w:val="000000"/>
                <w:spacing w:val="0"/>
                <w:w w:val="100"/>
                <w:position w:val="0"/>
              </w:rPr>
              <w:t>其他</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80" w:firstLine="0"/>
              <w:jc w:val="right"/>
            </w:pPr>
            <w:r>
              <w:rPr>
                <w:color w:val="000000"/>
                <w:spacing w:val="0"/>
                <w:w w:val="100"/>
                <w:position w:val="0"/>
              </w:rPr>
              <w:t>小计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00" w:firstLine="0"/>
              <w:jc w:val="right"/>
            </w:pPr>
            <w:r>
              <w:rPr>
                <w:color w:val="000000"/>
                <w:spacing w:val="0"/>
                <w:w w:val="100"/>
                <w:position w:val="0"/>
              </w:rPr>
              <w:t>数量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20" w:firstLine="0"/>
              <w:jc w:val="right"/>
            </w:pPr>
            <w:r>
              <w:rPr>
                <w:color w:val="000000"/>
                <w:spacing w:val="0"/>
                <w:w w:val="100"/>
                <w:position w:val="0"/>
              </w:rPr>
              <w:t>比例</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一、有限售条件股份</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70,797,623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12.79%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43,771,219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-45,346,473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-1,575,254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69,222,369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w:t>
            </w:r>
            <w:r>
              <w:rPr>
                <w:color w:val="000000"/>
                <w:spacing w:val="0"/>
                <w:w w:val="100"/>
                <w:position w:val="0"/>
              </w:rPr>
              <w:t>、国家持股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w:t>
            </w:r>
            <w:r>
              <w:rPr>
                <w:color w:val="000000"/>
                <w:spacing w:val="0"/>
                <w:w w:val="100"/>
                <w:position w:val="0"/>
              </w:rPr>
              <w:t>、国有法人持股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w:t>
            </w:r>
            <w:r>
              <w:rPr>
                <w:color w:val="000000"/>
                <w:spacing w:val="0"/>
                <w:w w:val="100"/>
                <w:position w:val="0"/>
              </w:rPr>
              <w:t>、其他内资持股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70,797,623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12.79%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43,771,219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-45,346,473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-1,575,254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69,222,369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其中：境内法人持股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43,724,584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7.90%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41,606,719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-41,697,950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-91,231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43,633,353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境内自然人持股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27,073,039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2,164,500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-3,648,523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-1,484,023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25,589,016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4.28%</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w:t>
            </w:r>
            <w:r>
              <w:rPr>
                <w:color w:val="000000"/>
                <w:spacing w:val="0"/>
                <w:w w:val="100"/>
                <w:position w:val="0"/>
              </w:rPr>
              <w:t>、外资持股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二、无限售条件股份</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482,959,088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87.21%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45,346,473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45,346,473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528,305,561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88.42%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、人民币普通股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482,959,088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87.21%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45,346,473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45,346,473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528,305,561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88.42%</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三、股份总数</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553,756,711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43,771,219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43,771,219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597,527,930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r>
    </w:tbl>
    <w:p>
      <w:pPr>
        <w:widowControl w:val="0"/>
        <w:spacing w:after="79" w:line="1" w:lineRule="exact"/>
      </w:pPr>
    </w:p>
    <w:p>
      <w:pPr>
        <w:pStyle w:val="Style32"/>
        <w:keepNext w:val="0"/>
        <w:keepLines w:val="0"/>
        <w:widowControl w:val="0"/>
        <w:shd w:val="clear" w:color="auto" w:fill="auto"/>
        <w:bidi w:val="0"/>
        <w:spacing w:before="0" w:after="140" w:line="240" w:lineRule="auto"/>
        <w:ind w:left="0" w:right="0" w:firstLine="960"/>
        <w:jc w:val="both"/>
      </w:pPr>
      <w:r>
        <w:rPr>
          <w:color w:val="000000"/>
          <w:spacing w:val="0"/>
          <w:w w:val="100"/>
          <w:position w:val="0"/>
        </w:rPr>
        <w:t>股份变动的原因</w:t>
      </w:r>
    </w:p>
    <w:p>
      <w:pPr>
        <w:pStyle w:val="Style32"/>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9"/>
        <w:keepNext w:val="0"/>
        <w:keepLines w:val="0"/>
        <w:widowControl w:val="0"/>
        <w:shd w:val="clear" w:color="auto" w:fill="auto"/>
        <w:bidi w:val="0"/>
        <w:spacing w:before="0" w:after="0" w:line="315" w:lineRule="exact"/>
        <w:ind w:left="0" w:right="0" w:firstLine="0"/>
        <w:jc w:val="left"/>
      </w:pPr>
      <w:r>
        <w:rPr>
          <w:color w:val="000000"/>
          <w:spacing w:val="0"/>
          <w:w w:val="100"/>
          <w:position w:val="0"/>
        </w:rPr>
        <w:t>报告期内，公司完成了发行股份及支付现金购买资产并募集配套资金、</w:t>
      </w:r>
      <w:r>
        <w:rPr>
          <w:rFonts w:ascii="Times New Roman" w:eastAsia="Times New Roman" w:hAnsi="Times New Roman" w:cs="Times New Roman"/>
          <w:color w:val="000000"/>
          <w:spacing w:val="0"/>
          <w:w w:val="100"/>
          <w:position w:val="0"/>
        </w:rPr>
        <w:t>2018</w:t>
      </w:r>
      <w:r>
        <w:rPr>
          <w:color w:val="000000"/>
          <w:spacing w:val="0"/>
          <w:w w:val="100"/>
          <w:position w:val="0"/>
        </w:rPr>
        <w:t>年度股权激励计划第一期行权</w:t>
      </w:r>
      <w:r>
        <w:rPr>
          <w:rFonts w:ascii="Times New Roman" w:eastAsia="Times New Roman" w:hAnsi="Times New Roman" w:cs="Times New Roman"/>
          <w:color w:val="000000"/>
          <w:spacing w:val="0"/>
          <w:w w:val="100"/>
          <w:position w:val="0"/>
        </w:rPr>
        <w:t>/</w:t>
      </w:r>
      <w:r>
        <w:rPr>
          <w:color w:val="000000"/>
          <w:spacing w:val="0"/>
          <w:w w:val="100"/>
          <w:position w:val="0"/>
        </w:rPr>
        <w:t>解除限售、限售 股份解除限售等导致公司股份、股本结构发生变化的事项，上述股份变动的批准情况、股份变动的过户情况及股份变动对每 股收益、归属于公司普通股股东的每股净资产等财务指标的影响情况、股份变动的批准情况、股份变动的过户情况等详见以 下信息披露索引：</w:t>
      </w:r>
    </w:p>
    <w:tbl>
      <w:tblPr>
        <w:tblOverlap w:val="never"/>
        <w:jc w:val="right"/>
        <w:tblLayout w:type="fixed"/>
      </w:tblPr>
      <w:tblGrid>
        <w:gridCol w:w="576"/>
        <w:gridCol w:w="1560"/>
        <w:gridCol w:w="1704"/>
        <w:gridCol w:w="1843"/>
        <w:gridCol w:w="4685"/>
      </w:tblGrid>
      <w:tr>
        <w:trPr>
          <w:trHeight w:val="355" w:hRule="exact"/>
        </w:trPr>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序号</w:t>
            </w:r>
          </w:p>
        </w:tc>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事项</w:t>
            </w:r>
          </w:p>
        </w:tc>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变动对象</w:t>
            </w:r>
          </w:p>
        </w:tc>
        <w:tc>
          <w:tcPr>
            <w:tcBorders>
              <w:top w:val="single" w:sz="4"/>
              <w:lef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right"/>
            </w:pPr>
            <w:r>
              <w:rPr>
                <w:b/>
                <w:bCs/>
                <w:color w:val="000000"/>
                <w:spacing w:val="0"/>
                <w:w w:val="100"/>
                <w:position w:val="0"/>
              </w:rPr>
              <w:t>股份变动数量（股）</w:t>
            </w:r>
          </w:p>
        </w:tc>
        <w:tc>
          <w:tcPr>
            <w:tcBorders>
              <w:top w:val="single" w:sz="4"/>
              <w:left w:val="single" w:sz="4"/>
              <w:right w:val="single" w:sz="4"/>
            </w:tcBorders>
            <w:shd w:val="clear" w:color="auto" w:fill="BFBFBF"/>
            <w:vAlign w:val="center"/>
          </w:tcPr>
          <w:p>
            <w:pPr>
              <w:pStyle w:val="Style4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信息披露索引</w:t>
            </w:r>
          </w:p>
        </w:tc>
      </w:tr>
      <w:tr>
        <w:trPr>
          <w:trHeight w:val="259"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发行股份并支付现 金购买资产并募集 配套资金</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徐州瀚举、徐州鸿源</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21,538,460</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http: //www. cninfo .</w:t>
            </w:r>
            <w:r>
              <w:rPr>
                <w:rFonts w:ascii="Times New Roman" w:eastAsia="Times New Roman" w:hAnsi="Times New Roman" w:cs="Times New Roman"/>
                <w:color w:val="000000"/>
                <w:spacing w:val="0"/>
                <w:w w:val="100"/>
                <w:position w:val="0"/>
              </w:rPr>
              <w:t>com.cn/new/disclo</w:t>
            </w:r>
            <w:r>
              <w:rPr>
                <w:rFonts w:ascii="Times New Roman" w:eastAsia="Times New Roman" w:hAnsi="Times New Roman" w:cs="Times New Roman"/>
                <w:color w:val="000000"/>
                <w:spacing w:val="0"/>
                <w:w w:val="100"/>
                <w:position w:val="0"/>
              </w:rPr>
              <w:t xml:space="preserve"> sure/detail?stockCode= 3 0</w:t>
            </w:r>
          </w:p>
        </w:tc>
      </w:tr>
      <w:tr>
        <w:trPr>
          <w:trHeight w:val="31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0290&amp;announcementId=1207383203&amp;oraId=9900021761 &amp;ann</w:t>
            </w:r>
          </w:p>
        </w:tc>
      </w:tr>
      <w:tr>
        <w:trPr>
          <w:trHeight w:val="39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u w:val="single"/>
              </w:rPr>
              <w:t>ouncementTime=2020-03-18</w:t>
            </w:r>
          </w:p>
        </w:tc>
      </w:tr>
      <w:tr>
        <w:trPr>
          <w:trHeight w:val="269"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2</w:t>
            </w:r>
          </w:p>
        </w:tc>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4" w:lineRule="exact"/>
              <w:ind w:left="0" w:right="0" w:firstLine="0"/>
              <w:jc w:val="both"/>
            </w:pPr>
            <w:r>
              <w:rPr>
                <w:color w:val="000000"/>
                <w:spacing w:val="0"/>
                <w:w w:val="100"/>
                <w:position w:val="0"/>
              </w:rPr>
              <w:t>财通基金管理有限公 司、杭州乐信投资管 理有限公司</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20,068,259</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http</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rPr>
              <w:t>//www. cninfo .</w:t>
            </w:r>
            <w:r>
              <w:rPr>
                <w:rFonts w:ascii="Times New Roman" w:eastAsia="Times New Roman" w:hAnsi="Times New Roman" w:cs="Times New Roman"/>
                <w:color w:val="000000"/>
                <w:spacing w:val="0"/>
                <w:w w:val="100"/>
                <w:position w:val="0"/>
              </w:rPr>
              <w:t>com.cn/new/disclo</w:t>
            </w:r>
            <w:r>
              <w:rPr>
                <w:rFonts w:ascii="Times New Roman" w:eastAsia="Times New Roman" w:hAnsi="Times New Roman" w:cs="Times New Roman"/>
                <w:color w:val="000000"/>
                <w:spacing w:val="0"/>
                <w:w w:val="100"/>
                <w:position w:val="0"/>
              </w:rPr>
              <w:t xml:space="preserve"> sure/detail?stockCode= 3 0</w:t>
            </w:r>
          </w:p>
        </w:tc>
      </w:tr>
      <w:tr>
        <w:trPr>
          <w:trHeight w:val="30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0290&amp;announcementId=1208389231&amp;orgId=9900021761&amp;ann</w:t>
            </w:r>
          </w:p>
        </w:tc>
      </w:tr>
      <w:tr>
        <w:trPr>
          <w:trHeight w:val="38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u w:val="single"/>
              </w:rPr>
              <w:t>ouncementTime=2020-09-03</w:t>
            </w:r>
          </w:p>
        </w:tc>
      </w:tr>
      <w:tr>
        <w:trPr>
          <w:trHeight w:val="278"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年股权激励计 划第一期行权</w:t>
            </w:r>
            <w:r>
              <w:rPr>
                <w:rFonts w:ascii="Times New Roman" w:eastAsia="Times New Roman" w:hAnsi="Times New Roman" w:cs="Times New Roman"/>
                <w:color w:val="000000"/>
                <w:spacing w:val="0"/>
                <w:w w:val="100"/>
                <w:position w:val="0"/>
              </w:rPr>
              <w:t>/</w:t>
            </w:r>
            <w:r>
              <w:rPr>
                <w:color w:val="000000"/>
                <w:spacing w:val="0"/>
                <w:w w:val="100"/>
                <w:position w:val="0"/>
              </w:rPr>
              <w:t>解除 限售</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符合条件的限制性股 票授予对象</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1,260,000</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http</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rPr>
              <w:t>//www. cninfo .</w:t>
            </w:r>
            <w:r>
              <w:rPr>
                <w:rFonts w:ascii="Times New Roman" w:eastAsia="Times New Roman" w:hAnsi="Times New Roman" w:cs="Times New Roman"/>
                <w:color w:val="000000"/>
                <w:spacing w:val="0"/>
                <w:w w:val="100"/>
                <w:position w:val="0"/>
              </w:rPr>
              <w:t>com.cn/new/disclo</w:t>
            </w:r>
            <w:r>
              <w:rPr>
                <w:rFonts w:ascii="Times New Roman" w:eastAsia="Times New Roman" w:hAnsi="Times New Roman" w:cs="Times New Roman"/>
                <w:color w:val="000000"/>
                <w:spacing w:val="0"/>
                <w:w w:val="100"/>
                <w:position w:val="0"/>
              </w:rPr>
              <w:t xml:space="preserve"> sure/detail?stockCode=30</w:t>
            </w:r>
          </w:p>
        </w:tc>
      </w:tr>
      <w:tr>
        <w:trPr>
          <w:trHeight w:val="30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0290&amp;announcementId=1208423911 &amp;orgId=9900021761 &amp;ann</w:t>
            </w:r>
          </w:p>
        </w:tc>
      </w:tr>
      <w:tr>
        <w:trPr>
          <w:trHeight w:val="379"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u w:val="single"/>
              </w:rPr>
              <w:t>ouncementTime=2020-09-11</w:t>
            </w:r>
          </w:p>
        </w:tc>
      </w:tr>
      <w:tr>
        <w:trPr>
          <w:trHeight w:val="278"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4</w:t>
            </w:r>
          </w:p>
        </w:tc>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符合条件的期权授予 对象</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2,164,500</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http: //www. cninfo .</w:t>
            </w:r>
            <w:r>
              <w:rPr>
                <w:rFonts w:ascii="Times New Roman" w:eastAsia="Times New Roman" w:hAnsi="Times New Roman" w:cs="Times New Roman"/>
                <w:color w:val="000000"/>
                <w:spacing w:val="0"/>
                <w:w w:val="100"/>
                <w:position w:val="0"/>
              </w:rPr>
              <w:t>com.cn/new/disclo</w:t>
            </w:r>
            <w:r>
              <w:rPr>
                <w:rFonts w:ascii="Times New Roman" w:eastAsia="Times New Roman" w:hAnsi="Times New Roman" w:cs="Times New Roman"/>
                <w:color w:val="000000"/>
                <w:spacing w:val="0"/>
                <w:w w:val="100"/>
                <w:position w:val="0"/>
              </w:rPr>
              <w:t xml:space="preserve"> sure/detail?stockCode= 3 0</w:t>
            </w:r>
          </w:p>
        </w:tc>
      </w:tr>
      <w:tr>
        <w:trPr>
          <w:trHeight w:val="408"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0290&amp;announcementId=1208460486&amp;orgId=9900021761&amp;ann</w:t>
            </w:r>
          </w:p>
        </w:tc>
      </w:tr>
    </w:tbl>
    <w:p>
      <w:pPr>
        <w:sectPr>
          <w:headerReference w:type="default" r:id="rId157"/>
          <w:footerReference w:type="default" r:id="rId158"/>
          <w:headerReference w:type="even" r:id="rId159"/>
          <w:footerReference w:type="even" r:id="rId160"/>
          <w:footnotePr>
            <w:pos w:val="pageBottom"/>
            <w:numFmt w:val="decimal"/>
            <w:numRestart w:val="continuous"/>
          </w:footnotePr>
          <w:pgSz w:w="11900" w:h="16840"/>
          <w:pgMar w:top="1119" w:right="197" w:bottom="1537" w:left="64" w:header="0" w:footer="3" w:gutter="0"/>
          <w:cols w:space="720"/>
          <w:noEndnote/>
          <w:rtlGutter w:val="0"/>
          <w:docGrid w:linePitch="360"/>
        </w:sectPr>
      </w:pPr>
    </w:p>
    <w:p>
      <w:pPr>
        <w:widowControl w:val="0"/>
        <w:spacing w:line="1" w:lineRule="exact"/>
      </w:pPr>
      <w:r>
        <w:drawing>
          <wp:anchor distT="0" distB="804545" distL="0" distR="21590" simplePos="0" relativeHeight="125829428" behindDoc="0" locked="0" layoutInCell="1" allowOverlap="1">
            <wp:simplePos x="0" y="0"/>
            <wp:positionH relativeFrom="page">
              <wp:posOffset>704850</wp:posOffset>
            </wp:positionH>
            <wp:positionV relativeFrom="paragraph">
              <wp:posOffset>0</wp:posOffset>
            </wp:positionV>
            <wp:extent cx="1316990" cy="719455"/>
            <wp:wrapTopAndBottom/>
            <wp:docPr id="353" name="Shape 353"/>
            <a:graphic xmlns:a="http://schemas.openxmlformats.org/drawingml/2006/main">
              <a:graphicData uri="http://schemas.openxmlformats.org/drawingml/2006/picture">
                <pic:pic xmlns:pic="http://schemas.openxmlformats.org/drawingml/2006/picture">
                  <pic:nvPicPr>
                    <pic:cNvPr id="354" name="Picture box 354"/>
                    <pic:cNvPicPr/>
                  </pic:nvPicPr>
                  <pic:blipFill>
                    <a:blip r:embed="rId161"/>
                    <a:stretch/>
                  </pic:blipFill>
                  <pic:spPr>
                    <a:xfrm>
                      <a:ext cx="1316990" cy="71945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1223010</wp:posOffset>
                </wp:positionH>
                <wp:positionV relativeFrom="paragraph">
                  <wp:posOffset>243840</wp:posOffset>
                </wp:positionV>
                <wp:extent cx="819785" cy="247015"/>
                <wp:wrapNone/>
                <wp:docPr id="355" name="Shape 355"/>
                <a:graphic xmlns:a="http://schemas.openxmlformats.org/drawingml/2006/main">
                  <a:graphicData uri="http://schemas.microsoft.com/office/word/2010/wordprocessingShape">
                    <wps:wsp>
                      <wps:cNvSpPr txBox="1"/>
                      <wps:spPr>
                        <a:xfrm>
                          <a:ext cx="819785" cy="247015"/>
                        </a:xfrm>
                        <a:prstGeom prst="rect"/>
                        <a:noFill/>
                      </wps:spPr>
                      <wps:txbx>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381" type="#_x0000_t202" style="position:absolute;margin-left:96.299999999999997pt;margin-top:19.199999999999999pt;width:64.549999999999997pt;height:19.449999999999999pt;z-index:251657729;mso-wrap-distance-left:0;mso-wrap-distance-right:0;mso-position-horizontal-relative:page" filled="f" stroked="f">
                <v:textbox inset="0,0,0,0">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anchorx="page"/>
              </v:shape>
            </w:pict>
          </mc:Fallback>
        </mc:AlternateContent>
      </w:r>
      <w:r>
        <mc:AlternateContent>
          <mc:Choice Requires="wps">
            <w:drawing>
              <wp:anchor distT="475615" distB="201295" distL="6350" distR="0" simplePos="0" relativeHeight="125829429" behindDoc="0" locked="0" layoutInCell="1" allowOverlap="1">
                <wp:simplePos x="0" y="0"/>
                <wp:positionH relativeFrom="page">
                  <wp:posOffset>714375</wp:posOffset>
                </wp:positionH>
                <wp:positionV relativeFrom="paragraph">
                  <wp:posOffset>475615</wp:posOffset>
                </wp:positionV>
                <wp:extent cx="6583680" cy="847090"/>
                <wp:wrapTopAndBottom/>
                <wp:docPr id="357" name="Shape 357"/>
                <a:graphic xmlns:a="http://schemas.openxmlformats.org/drawingml/2006/main">
                  <a:graphicData uri="http://schemas.microsoft.com/office/word/2010/wordprocessingShape">
                    <wps:wsp>
                      <wps:cNvSpPr txBox="1"/>
                      <wps:spPr>
                        <a:xfrm>
                          <a:ext cx="6583680" cy="847090"/>
                        </a:xfrm>
                        <a:prstGeom prst="rect"/>
                        <a:noFill/>
                      </wps:spPr>
                      <wps:txbx>
                        <w:txbxContent>
                          <w:tbl>
                            <w:tblPr>
                              <w:tblOverlap w:val="never"/>
                              <w:jc w:val="left"/>
                              <w:tblLayout w:type="fixed"/>
                            </w:tblPr>
                            <w:tblGrid>
                              <w:gridCol w:w="576"/>
                              <w:gridCol w:w="1560"/>
                              <w:gridCol w:w="1704"/>
                              <w:gridCol w:w="1843"/>
                              <w:gridCol w:w="4685"/>
                            </w:tblGrid>
                            <w:tr>
                              <w:trPr>
                                <w:tblHeader/>
                                <w:trHeight w:val="3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rPr>
                                    <w:t>ouncementTime=2020-09-21</w:t>
                                  </w:r>
                                </w:p>
                              </w:tc>
                            </w:tr>
                            <w:tr>
                              <w:trPr>
                                <w:trHeight w:val="274"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5</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限售股份解除限售</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沈阳惜远石油化工有 限公司、沈阳源远石 油化工有限公司</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41,697,950</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http: //www. cninfo .</w:t>
                                  </w:r>
                                  <w:r>
                                    <w:rPr>
                                      <w:rFonts w:ascii="Times New Roman" w:eastAsia="Times New Roman" w:hAnsi="Times New Roman" w:cs="Times New Roman"/>
                                      <w:color w:val="000000"/>
                                      <w:spacing w:val="0"/>
                                      <w:w w:val="100"/>
                                      <w:position w:val="0"/>
                                    </w:rPr>
                                    <w:t>com.cn/new/disclo</w:t>
                                  </w:r>
                                  <w:r>
                                    <w:rPr>
                                      <w:rFonts w:ascii="Times New Roman" w:eastAsia="Times New Roman" w:hAnsi="Times New Roman" w:cs="Times New Roman"/>
                                      <w:color w:val="000000"/>
                                      <w:spacing w:val="0"/>
                                      <w:w w:val="100"/>
                                      <w:position w:val="0"/>
                                    </w:rPr>
                                    <w:t xml:space="preserve"> sure/detail?stockCode= 3 0</w:t>
                                  </w:r>
                                </w:p>
                              </w:tc>
                            </w:tr>
                            <w:tr>
                              <w:trPr>
                                <w:trHeight w:val="31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0290&amp;announcementId=1207328742&amp;orgId=9900021761 &amp;ann</w:t>
                                  </w:r>
                                </w:p>
                              </w:tc>
                            </w:tr>
                            <w:tr>
                              <w:trPr>
                                <w:trHeight w:val="403"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rPr>
                                    <w:t>ouncementTime=2020-02-28</w:t>
                                  </w:r>
                                </w:p>
                              </w:tc>
                            </w:tr>
                          </w:tbl>
                          <w:p>
                            <w:pPr>
                              <w:widowControl w:val="0"/>
                              <w:spacing w:line="1" w:lineRule="exact"/>
                            </w:pPr>
                          </w:p>
                        </w:txbxContent>
                      </wps:txbx>
                      <wps:bodyPr lIns="0" tIns="0" rIns="0" bIns="0">
                        <a:noAutoFit/>
                      </wps:bodyPr>
                    </wps:wsp>
                  </a:graphicData>
                </a:graphic>
              </wp:anchor>
            </w:drawing>
          </mc:Choice>
          <mc:Fallback>
            <w:pict>
              <v:shape id="_x0000_s1383" type="#_x0000_t202" style="position:absolute;margin-left:56.25pt;margin-top:37.450000000000003pt;width:518.39999999999998pt;height:66.700000000000003pt;z-index:-125829324;mso-wrap-distance-left:0.5pt;mso-wrap-distance-top:37.450000000000003pt;mso-wrap-distance-right:0;mso-wrap-distance-bottom:15.85pt;mso-position-horizontal-relative:page" filled="f" stroked="f">
                <v:textbox inset="0,0,0,0">
                  <w:txbxContent>
                    <w:tbl>
                      <w:tblPr>
                        <w:tblOverlap w:val="never"/>
                        <w:jc w:val="left"/>
                        <w:tblLayout w:type="fixed"/>
                      </w:tblPr>
                      <w:tblGrid>
                        <w:gridCol w:w="576"/>
                        <w:gridCol w:w="1560"/>
                        <w:gridCol w:w="1704"/>
                        <w:gridCol w:w="1843"/>
                        <w:gridCol w:w="4685"/>
                      </w:tblGrid>
                      <w:tr>
                        <w:trPr>
                          <w:tblHeader/>
                          <w:trHeight w:val="3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rPr>
                              <w:t>ouncementTime=2020-09-21</w:t>
                            </w:r>
                          </w:p>
                        </w:tc>
                      </w:tr>
                      <w:tr>
                        <w:trPr>
                          <w:trHeight w:val="274"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5</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限售股份解除限售</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沈阳惜远石油化工有 限公司、沈阳源远石 油化工有限公司</w:t>
                            </w:r>
                          </w:p>
                        </w:tc>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41,697,950</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http: //www. cninfo .</w:t>
                            </w:r>
                            <w:r>
                              <w:rPr>
                                <w:rFonts w:ascii="Times New Roman" w:eastAsia="Times New Roman" w:hAnsi="Times New Roman" w:cs="Times New Roman"/>
                                <w:color w:val="000000"/>
                                <w:spacing w:val="0"/>
                                <w:w w:val="100"/>
                                <w:position w:val="0"/>
                              </w:rPr>
                              <w:t>com.cn/new/disclo</w:t>
                            </w:r>
                            <w:r>
                              <w:rPr>
                                <w:rFonts w:ascii="Times New Roman" w:eastAsia="Times New Roman" w:hAnsi="Times New Roman" w:cs="Times New Roman"/>
                                <w:color w:val="000000"/>
                                <w:spacing w:val="0"/>
                                <w:w w:val="100"/>
                                <w:position w:val="0"/>
                              </w:rPr>
                              <w:t xml:space="preserve"> sure/detail?stockCode= 3 0</w:t>
                            </w:r>
                          </w:p>
                        </w:tc>
                      </w:tr>
                      <w:tr>
                        <w:trPr>
                          <w:trHeight w:val="31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0290&amp;announcementId=1207328742&amp;orgId=9900021761 &amp;ann</w:t>
                            </w:r>
                          </w:p>
                        </w:tc>
                      </w:tr>
                      <w:tr>
                        <w:trPr>
                          <w:trHeight w:val="403"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rPr>
                              <w:t>ouncementTime=2020-02-28</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708025</wp:posOffset>
                </wp:positionH>
                <wp:positionV relativeFrom="paragraph">
                  <wp:posOffset>1374775</wp:posOffset>
                </wp:positionV>
                <wp:extent cx="1283335" cy="149225"/>
                <wp:wrapNone/>
                <wp:docPr id="359" name="Shape 359"/>
                <a:graphic xmlns:a="http://schemas.openxmlformats.org/drawingml/2006/main">
                  <a:graphicData uri="http://schemas.microsoft.com/office/word/2010/wordprocessingShape">
                    <wps:wsp>
                      <wps:cNvSpPr txBox="1"/>
                      <wps:spPr>
                        <a:xfrm>
                          <a:ext cx="1283335" cy="1492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股份回购的实施进展情况</w:t>
                            </w:r>
                          </w:p>
                        </w:txbxContent>
                      </wps:txbx>
                      <wps:bodyPr lIns="0" tIns="0" rIns="0" bIns="0">
                        <a:noAutoFit/>
                      </wps:bodyPr>
                    </wps:wsp>
                  </a:graphicData>
                </a:graphic>
              </wp:anchor>
            </w:drawing>
          </mc:Choice>
          <mc:Fallback>
            <w:pict>
              <v:shape id="_x0000_s1385" type="#_x0000_t202" style="position:absolute;margin-left:55.75pt;margin-top:108.25pt;width:101.05pt;height:11.75pt;z-index:251657731;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股份回购的实施进展情况</w:t>
                      </w:r>
                    </w:p>
                  </w:txbxContent>
                </v:textbox>
                <w10:wrap anchorx="page"/>
              </v:shape>
            </w:pict>
          </mc:Fallback>
        </mc:AlternateContent>
      </w:r>
    </w:p>
    <w:p>
      <w:pPr>
        <w:pStyle w:val="Style32"/>
        <w:keepNext w:val="0"/>
        <w:keepLines w:val="0"/>
        <w:widowControl w:val="0"/>
        <w:shd w:val="clear" w:color="auto" w:fill="auto"/>
        <w:bidi w:val="0"/>
        <w:spacing w:before="0" w:after="140" w:line="240" w:lineRule="auto"/>
        <w:ind w:left="0" w:right="0" w:firstLine="84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140" w:line="240" w:lineRule="auto"/>
        <w:ind w:left="0" w:right="0" w:firstLine="840"/>
        <w:jc w:val="both"/>
      </w:pPr>
      <w:r>
        <w:rPr>
          <w:color w:val="000000"/>
          <w:spacing w:val="0"/>
          <w:w w:val="100"/>
          <w:position w:val="0"/>
        </w:rPr>
        <w:t>采用集中竞价方式减持回购股份的实施进展情况</w:t>
      </w:r>
    </w:p>
    <w:p>
      <w:pPr>
        <w:pStyle w:val="Style32"/>
        <w:keepNext w:val="0"/>
        <w:keepLines w:val="0"/>
        <w:widowControl w:val="0"/>
        <w:shd w:val="clear" w:color="auto" w:fill="auto"/>
        <w:bidi w:val="0"/>
        <w:spacing w:before="0" w:after="140" w:line="240" w:lineRule="auto"/>
        <w:ind w:left="0" w:right="0" w:firstLine="84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140" w:line="240" w:lineRule="auto"/>
        <w:ind w:left="0" w:right="0" w:firstLine="840"/>
        <w:jc w:val="both"/>
      </w:pPr>
      <w:r>
        <w:rPr>
          <w:color w:val="000000"/>
          <w:spacing w:val="0"/>
          <w:w w:val="100"/>
          <w:position w:val="0"/>
        </w:rPr>
        <w:t>公司认为必要或证券监管机构要求披露的其他内容</w:t>
      </w:r>
    </w:p>
    <w:p>
      <w:pPr>
        <w:pStyle w:val="Style32"/>
        <w:keepNext w:val="0"/>
        <w:keepLines w:val="0"/>
        <w:widowControl w:val="0"/>
        <w:shd w:val="clear" w:color="auto" w:fill="auto"/>
        <w:bidi w:val="0"/>
        <w:spacing w:before="0" w:after="360" w:line="240" w:lineRule="auto"/>
        <w:ind w:left="0" w:right="0" w:firstLine="84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55"/>
        <w:keepNext/>
        <w:keepLines/>
        <w:widowControl w:val="0"/>
        <w:shd w:val="clear" w:color="auto" w:fill="auto"/>
        <w:bidi w:val="0"/>
        <w:spacing w:before="0" w:after="360" w:line="240" w:lineRule="auto"/>
        <w:ind w:left="0" w:right="0" w:firstLine="840"/>
        <w:jc w:val="both"/>
      </w:pPr>
      <w:bookmarkStart w:id="475" w:name="bookmark475"/>
      <w:bookmarkStart w:id="476" w:name="bookmark476"/>
      <w:bookmarkStart w:id="477" w:name="bookmark477"/>
      <w:bookmarkStart w:id="478" w:name="bookmark478"/>
      <w:r>
        <w:rPr>
          <w:rFonts w:ascii="Times New Roman" w:eastAsia="Times New Roman" w:hAnsi="Times New Roman" w:cs="Times New Roman"/>
          <w:color w:val="000000"/>
          <w:spacing w:val="0"/>
          <w:w w:val="100"/>
          <w:position w:val="0"/>
        </w:rPr>
        <w:t>2</w:t>
      </w:r>
      <w:bookmarkEnd w:id="477"/>
      <w:r>
        <w:rPr>
          <w:color w:val="000000"/>
          <w:spacing w:val="0"/>
          <w:w w:val="100"/>
          <w:position w:val="0"/>
        </w:rPr>
        <w:t>、限售股份变动情况</w:t>
      </w:r>
      <w:bookmarkEnd w:id="475"/>
      <w:bookmarkEnd w:id="476"/>
      <w:bookmarkEnd w:id="478"/>
    </w:p>
    <w:p>
      <w:pPr>
        <w:pStyle w:val="Style32"/>
        <w:keepNext w:val="0"/>
        <w:keepLines w:val="0"/>
        <w:widowControl w:val="0"/>
        <w:shd w:val="clear" w:color="auto" w:fill="auto"/>
        <w:bidi w:val="0"/>
        <w:spacing w:before="0" w:after="140" w:line="240" w:lineRule="auto"/>
        <w:ind w:left="0" w:right="0" w:firstLine="840"/>
        <w:jc w:val="both"/>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80" w:line="240" w:lineRule="auto"/>
        <w:ind w:left="9760" w:right="0" w:firstLine="0"/>
        <w:jc w:val="left"/>
      </w:pPr>
      <w:r>
        <w:rPr>
          <w:color w:val="000000"/>
          <w:spacing w:val="0"/>
          <w:w w:val="100"/>
          <w:position w:val="0"/>
        </w:rPr>
        <w:t>单位：股</w:t>
      </w:r>
    </w:p>
    <w:tbl>
      <w:tblPr>
        <w:tblOverlap w:val="never"/>
        <w:jc w:val="left"/>
        <w:tblLayout w:type="fixed"/>
      </w:tblPr>
      <w:tblGrid>
        <w:gridCol w:w="2419"/>
        <w:gridCol w:w="1272"/>
        <w:gridCol w:w="1421"/>
        <w:gridCol w:w="1344"/>
        <w:gridCol w:w="1349"/>
        <w:gridCol w:w="1133"/>
        <w:gridCol w:w="1498"/>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期初限售股数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本期增加限售股 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本期解除限售股 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期末限售股数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限售原因</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拟解除限售日期</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沈阳惜远石油化工有限公司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20,477,815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20,477,815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沈阳源远石油化工有限公司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21,220,135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21,220,135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徐州瀚举创业投资合伙企业</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（有限合伙）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17,692,307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17,692,307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徐州鸿源企业管理合伙企业</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（有限合伙）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3,846,153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3,846,153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杭州乐信投资管理有限公司一 乐信鑫汇一号私募证券投资基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16,484,642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16,484,642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财通基金一孙韬雄一财通基金 玉泉</w:t>
            </w:r>
            <w:r>
              <w:rPr>
                <w:rFonts w:ascii="Times New Roman" w:eastAsia="Times New Roman" w:hAnsi="Times New Roman" w:cs="Times New Roman"/>
                <w:color w:val="000000"/>
                <w:spacing w:val="0"/>
                <w:w w:val="100"/>
                <w:position w:val="0"/>
              </w:rPr>
              <w:t>963</w:t>
            </w:r>
            <w:r>
              <w:rPr>
                <w:color w:val="000000"/>
                <w:spacing w:val="0"/>
                <w:w w:val="100"/>
                <w:position w:val="0"/>
              </w:rPr>
              <w:t>号单一资产管理计划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341,297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341,297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r>
        <w:trPr>
          <w:trHeight w:val="1022"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both"/>
            </w:pPr>
            <w:r>
              <w:rPr>
                <w:color w:val="000000"/>
                <w:spacing w:val="0"/>
                <w:w w:val="100"/>
                <w:position w:val="0"/>
              </w:rPr>
              <w:t>财通基金一高彩娥一财通基金 天禧定增</w:t>
            </w:r>
            <w:r>
              <w:rPr>
                <w:rFonts w:ascii="Times New Roman" w:eastAsia="Times New Roman" w:hAnsi="Times New Roman" w:cs="Times New Roman"/>
                <w:color w:val="000000"/>
                <w:spacing w:val="0"/>
                <w:w w:val="100"/>
                <w:position w:val="0"/>
              </w:rPr>
              <w:t>6</w:t>
            </w:r>
            <w:r>
              <w:rPr>
                <w:color w:val="000000"/>
                <w:spacing w:val="0"/>
                <w:w w:val="100"/>
                <w:position w:val="0"/>
              </w:rPr>
              <w:t>号单一资产管理计 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853,242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853,242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both"/>
            </w:pPr>
            <w:r>
              <w:rPr>
                <w:color w:val="000000"/>
                <w:spacing w:val="0"/>
                <w:w w:val="100"/>
                <w:position w:val="0"/>
              </w:rPr>
              <w:t>财通基金一李树平一财通基金 玉泉弘龙</w:t>
            </w:r>
            <w:r>
              <w:rPr>
                <w:rFonts w:ascii="Times New Roman" w:eastAsia="Times New Roman" w:hAnsi="Times New Roman" w:cs="Times New Roman"/>
                <w:color w:val="000000"/>
                <w:spacing w:val="0"/>
                <w:w w:val="100"/>
                <w:position w:val="0"/>
              </w:rPr>
              <w:t>1</w:t>
            </w:r>
            <w:r>
              <w:rPr>
                <w:color w:val="000000"/>
                <w:spacing w:val="0"/>
                <w:w w:val="100"/>
                <w:position w:val="0"/>
              </w:rPr>
              <w:t>号单一资产管理计 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511,945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511,945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r>
        <w:trPr>
          <w:trHeight w:val="1349"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5" w:lineRule="exact"/>
              <w:ind w:left="0" w:right="0" w:firstLine="0"/>
              <w:jc w:val="both"/>
            </w:pPr>
            <w:r>
              <w:rPr>
                <w:color w:val="000000"/>
                <w:spacing w:val="0"/>
                <w:w w:val="100"/>
                <w:position w:val="0"/>
              </w:rPr>
              <w:t>财通基金一博永宏域二号多层 次资本市场精选契约型私募证 券投资基金一财通基金博永宏 域二号单一资产管理计划</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341,297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341,297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非公开发行 股份限售</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bl>
    <w:p>
      <w:pPr>
        <w:sectPr>
          <w:headerReference w:type="default" r:id="rId163"/>
          <w:footerReference w:type="default" r:id="rId164"/>
          <w:headerReference w:type="even" r:id="rId165"/>
          <w:footerReference w:type="even" r:id="rId166"/>
          <w:footnotePr>
            <w:pos w:val="pageBottom"/>
            <w:numFmt w:val="decimal"/>
            <w:numRestart w:val="continuous"/>
          </w:footnotePr>
          <w:pgSz w:w="11900" w:h="16840"/>
          <w:pgMar w:top="1119" w:right="197" w:bottom="1537" w:left="64" w:header="0" w:footer="3" w:gutter="0"/>
          <w:cols w:space="720"/>
          <w:noEndnote/>
          <w:rtlGutter w:val="0"/>
          <w:docGrid w:linePitch="360"/>
        </w:sectPr>
      </w:pPr>
    </w:p>
    <w:p>
      <w:pPr>
        <w:widowControl w:val="0"/>
        <w:jc w:val="center"/>
        <w:rPr>
          <w:sz w:val="2"/>
          <w:szCs w:val="2"/>
        </w:rPr>
      </w:pPr>
      <w:r>
        <w:drawing>
          <wp:inline>
            <wp:extent cx="1134110" cy="262255"/>
            <wp:docPr id="371" name="Picutre 371"/>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67"/>
                    <a:stretch/>
                  </pic:blipFill>
                  <pic:spPr>
                    <a:xfrm>
                      <a:ext cx="1134110" cy="262255"/>
                    </a:xfrm>
                    <a:prstGeom prst="rect"/>
                  </pic:spPr>
                </pic:pic>
              </a:graphicData>
            </a:graphic>
          </wp:inline>
        </w:drawing>
      </w:r>
    </w:p>
    <w:p>
      <w:pPr>
        <w:pStyle w:val="Style49"/>
        <w:keepNext w:val="0"/>
        <w:keepLines w:val="0"/>
        <w:widowControl w:val="0"/>
        <w:shd w:val="clear" w:color="auto" w:fill="auto"/>
        <w:bidi w:val="0"/>
        <w:spacing w:before="0" w:after="0" w:line="240" w:lineRule="auto"/>
        <w:ind w:left="0" w:right="0" w:firstLine="0"/>
        <w:jc w:val="right"/>
        <w:rPr>
          <w:sz w:val="15"/>
          <w:szCs w:val="15"/>
        </w:rPr>
      </w:pP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576" w:val="left"/>
        </w:tabs>
        <w:bidi w:val="0"/>
        <w:spacing w:before="0" w:after="0" w:line="240" w:lineRule="auto"/>
        <w:ind w:left="0" w:right="0" w:firstLine="0"/>
        <w:jc w:val="right"/>
      </w:pPr>
      <w:r>
        <w:rPr>
          <w:color w:val="2B4F7D"/>
          <w:spacing w:val="0"/>
          <w:w w:val="100"/>
          <w:position w:val="0"/>
          <w:sz w:val="46"/>
          <w:szCs w:val="46"/>
        </w:rPr>
        <w:t>，</w:t>
      </w:r>
      <w:r>
        <w:rPr>
          <w:rFonts w:ascii="Arial" w:eastAsia="Arial" w:hAnsi="Arial" w:cs="Arial"/>
          <w:color w:val="2B4F7D"/>
          <w:spacing w:val="0"/>
          <w:w w:val="100"/>
          <w:position w:val="0"/>
          <w:sz w:val="38"/>
          <w:szCs w:val="38"/>
        </w:rPr>
        <w:t>1</w:t>
        <w:tab/>
      </w:r>
      <w:r>
        <w:rPr>
          <w:rFonts w:ascii="SimHei" w:eastAsia="SimHei" w:hAnsi="SimHei" w:cs="SimHei"/>
          <w:color w:val="4E698D"/>
          <w:spacing w:val="0"/>
          <w:w w:val="100"/>
          <w:position w:val="0"/>
          <w:sz w:val="15"/>
          <w:szCs w:val="15"/>
        </w:rPr>
        <w:t>股票代码</w:t>
      </w:r>
      <w:r>
        <w:rPr>
          <w:color w:val="2B4F7D"/>
          <w:spacing w:val="0"/>
          <w:w w:val="100"/>
          <w:position w:val="0"/>
          <w:sz w:val="18"/>
          <w:szCs w:val="18"/>
        </w:rPr>
        <w:t>p00290</w:t>
      </w:r>
    </w:p>
    <w:tbl>
      <w:tblPr>
        <w:tblOverlap w:val="never"/>
        <w:jc w:val="left"/>
        <w:tblLayout w:type="fixed"/>
      </w:tblPr>
      <w:tblGrid>
        <w:gridCol w:w="2419"/>
        <w:gridCol w:w="1272"/>
        <w:gridCol w:w="1421"/>
        <w:gridCol w:w="1344"/>
        <w:gridCol w:w="1349"/>
        <w:gridCol w:w="1133"/>
        <w:gridCol w:w="1498"/>
      </w:tblGrid>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5" w:lineRule="exact"/>
              <w:ind w:left="0" w:right="0" w:firstLine="0"/>
              <w:jc w:val="left"/>
            </w:pPr>
            <w:r>
              <w:rPr>
                <w:color w:val="000000"/>
                <w:spacing w:val="0"/>
                <w:w w:val="100"/>
                <w:position w:val="0"/>
              </w:rPr>
              <w:t>财通基金一证大量化价值私募 证券投资基金一财通基金证大 定增</w:t>
            </w:r>
            <w:r>
              <w:rPr>
                <w:rFonts w:ascii="Times New Roman" w:eastAsia="Times New Roman" w:hAnsi="Times New Roman" w:cs="Times New Roman"/>
                <w:color w:val="000000"/>
                <w:spacing w:val="0"/>
                <w:w w:val="100"/>
                <w:position w:val="0"/>
              </w:rPr>
              <w:t>1</w:t>
            </w:r>
            <w:r>
              <w:rPr>
                <w:color w:val="000000"/>
                <w:spacing w:val="0"/>
                <w:w w:val="100"/>
                <w:position w:val="0"/>
              </w:rPr>
              <w:t>号单一资产管理计划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341,297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341,297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财通基金一黄聿成一财通基金 理享</w:t>
            </w:r>
            <w:r>
              <w:rPr>
                <w:rFonts w:ascii="Times New Roman" w:eastAsia="Times New Roman" w:hAnsi="Times New Roman" w:cs="Times New Roman"/>
                <w:color w:val="000000"/>
                <w:spacing w:val="0"/>
                <w:w w:val="100"/>
                <w:position w:val="0"/>
              </w:rPr>
              <w:t>1</w:t>
            </w:r>
            <w:r>
              <w:rPr>
                <w:color w:val="000000"/>
                <w:spacing w:val="0"/>
                <w:w w:val="100"/>
                <w:position w:val="0"/>
              </w:rPr>
              <w:t>号单一资产管理计划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1,023,891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1,023,891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财通基金一平安银行一郝慧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170,648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170,648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秦毅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11,113,800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11,113,800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钟小春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10,677,966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10,677,966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2" w:lineRule="exact"/>
              <w:ind w:left="0" w:right="0" w:firstLine="0"/>
              <w:jc w:val="left"/>
            </w:pPr>
            <w:r>
              <w:rPr>
                <w:color w:val="000000"/>
                <w:spacing w:val="0"/>
                <w:w w:val="100"/>
                <w:position w:val="0"/>
              </w:rPr>
              <w:t>宁波梅山保税港区逐鹿投资管 理合伙企业（有限合伙）</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2,026,634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2,026,634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非公开发行 股份限售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尹春福</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397,575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457,575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每年解锁</w:t>
            </w:r>
            <w:r>
              <w:rPr>
                <w:rFonts w:ascii="Times New Roman" w:eastAsia="Times New Roman" w:hAnsi="Times New Roman" w:cs="Times New Roman"/>
                <w:color w:val="000000"/>
                <w:spacing w:val="0"/>
                <w:w w:val="100"/>
                <w:position w:val="0"/>
              </w:rPr>
              <w:t>25%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余力兴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287,550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287,550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每年解锁</w:t>
            </w:r>
            <w:r>
              <w:rPr>
                <w:rFonts w:ascii="Times New Roman" w:eastAsia="Times New Roman" w:hAnsi="Times New Roman" w:cs="Times New Roman"/>
                <w:color w:val="000000"/>
                <w:spacing w:val="0"/>
                <w:w w:val="100"/>
                <w:position w:val="0"/>
              </w:rPr>
              <w:t>25%</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朱良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37,125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每年解锁</w:t>
            </w:r>
            <w:r>
              <w:rPr>
                <w:rFonts w:ascii="Times New Roman" w:eastAsia="Times New Roman" w:hAnsi="Times New Roman" w:cs="Times New Roman"/>
                <w:color w:val="000000"/>
                <w:spacing w:val="0"/>
                <w:w w:val="100"/>
                <w:position w:val="0"/>
              </w:rPr>
              <w:t>25%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张羽</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每年解锁</w:t>
            </w:r>
            <w:r>
              <w:rPr>
                <w:rFonts w:ascii="Times New Roman" w:eastAsia="Times New Roman" w:hAnsi="Times New Roman" w:cs="Times New Roman"/>
                <w:color w:val="000000"/>
                <w:spacing w:val="0"/>
                <w:w w:val="100"/>
                <w:position w:val="0"/>
              </w:rPr>
              <w:t>25%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刘斌</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22,500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每年解锁</w:t>
            </w:r>
            <w:r>
              <w:rPr>
                <w:rFonts w:ascii="Times New Roman" w:eastAsia="Times New Roman" w:hAnsi="Times New Roman" w:cs="Times New Roman"/>
                <w:color w:val="000000"/>
                <w:spacing w:val="0"/>
                <w:w w:val="100"/>
                <w:position w:val="0"/>
              </w:rPr>
              <w:t>25%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22,500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每年解锁</w:t>
            </w:r>
            <w:r>
              <w:rPr>
                <w:rFonts w:ascii="Times New Roman" w:eastAsia="Times New Roman" w:hAnsi="Times New Roman" w:cs="Times New Roman"/>
                <w:color w:val="000000"/>
                <w:spacing w:val="0"/>
                <w:w w:val="100"/>
                <w:position w:val="0"/>
              </w:rPr>
              <w:t>25%</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冯丽</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353,398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353,398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离任高管锁 定</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离任高管锁定</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艾川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离任高管锁 定</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离任高管锁定</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王莉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离任高管锁 定</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离任高管锁定</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尹春福</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限制性股票</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分三期解锁</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张继武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750,000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限制性股票</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分三期解锁</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雷新刚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限制性股票</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分三期解锁</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张羽</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600,000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限制性股票</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分三期解锁</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限制性股票</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分三期解锁</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李绣</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限制性股票</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分三期解锁</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张俭</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300,000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限制性股票</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分三期解锁</w:t>
            </w:r>
          </w:p>
        </w:tc>
      </w:tr>
    </w:tbl>
    <w:p>
      <w:pPr>
        <w:sectPr>
          <w:headerReference w:type="default" r:id="rId169"/>
          <w:footerReference w:type="default" r:id="rId170"/>
          <w:headerReference w:type="even" r:id="rId171"/>
          <w:footerReference w:type="even" r:id="rId172"/>
          <w:footnotePr>
            <w:pos w:val="pageBottom"/>
            <w:numFmt w:val="decimal"/>
            <w:numRestart w:val="continuous"/>
          </w:footnotePr>
          <w:pgSz w:w="11900" w:h="16840"/>
          <w:pgMar w:top="678" w:right="412" w:bottom="1158" w:left="270" w:header="0" w:footer="3" w:gutter="0"/>
          <w:cols w:space="720"/>
          <w:noEndnote/>
          <w:rtlGutter w:val="0"/>
          <w:docGrid w:linePitch="360"/>
        </w:sectPr>
      </w:pPr>
    </w:p>
    <w:p>
      <w:pPr>
        <w:widowControl w:val="0"/>
        <w:spacing w:line="1" w:lineRule="exact"/>
      </w:pPr>
      <w:r>
        <w:drawing>
          <wp:anchor distT="0" distB="0" distL="0" distR="0" simplePos="0" relativeHeight="125829431" behindDoc="0" locked="0" layoutInCell="1" allowOverlap="1">
            <wp:simplePos x="0" y="0"/>
            <wp:positionH relativeFrom="page">
              <wp:posOffset>794385</wp:posOffset>
            </wp:positionH>
            <wp:positionV relativeFrom="paragraph">
              <wp:posOffset>12700</wp:posOffset>
            </wp:positionV>
            <wp:extent cx="487680" cy="237490"/>
            <wp:wrapTight wrapText="bothSides">
              <wp:wrapPolygon>
                <wp:start x="0" y="0"/>
                <wp:lineTo x="21600" y="0"/>
                <wp:lineTo x="21600" y="21600"/>
                <wp:lineTo x="0" y="21600"/>
                <wp:lineTo x="0" y="0"/>
              </wp:wrapPolygon>
            </wp:wrapTight>
            <wp:docPr id="381" name="Shape 381"/>
            <a:graphic xmlns:a="http://schemas.openxmlformats.org/drawingml/2006/main">
              <a:graphicData uri="http://schemas.openxmlformats.org/drawingml/2006/picture">
                <pic:pic xmlns:pic="http://schemas.openxmlformats.org/drawingml/2006/picture">
                  <pic:nvPicPr>
                    <pic:cNvPr id="382" name="Picture box 382"/>
                    <pic:cNvPicPr/>
                  </pic:nvPicPr>
                  <pic:blipFill>
                    <a:blip r:embed="rId173"/>
                    <a:stretch/>
                  </pic:blipFill>
                  <pic:spPr>
                    <a:xfrm>
                      <a:ext cx="487680" cy="237490"/>
                    </a:xfrm>
                    <a:prstGeom prst="rect"/>
                  </pic:spPr>
                </pic:pic>
              </a:graphicData>
            </a:graphic>
          </wp:anchor>
        </w:drawing>
      </w:r>
    </w:p>
    <w:tbl>
      <w:tblPr>
        <w:tblOverlap w:val="never"/>
        <w:jc w:val="left"/>
        <w:tblLayout w:type="fixed"/>
      </w:tblPr>
      <w:tblGrid>
        <w:gridCol w:w="2419"/>
        <w:gridCol w:w="1272"/>
        <w:gridCol w:w="1421"/>
        <w:gridCol w:w="1344"/>
        <w:gridCol w:w="1349"/>
        <w:gridCol w:w="1133"/>
        <w:gridCol w:w="1498"/>
      </w:tblGrid>
      <w:tr>
        <w:trPr>
          <w:trHeight w:val="365" w:hRule="exact"/>
        </w:trPr>
        <w:tc>
          <w:tcPr>
            <w:tcBorders>
              <w:top w:val="single" w:sz="4"/>
              <w:left w:val="single" w:sz="4"/>
            </w:tcBorders>
            <w:shd w:val="clear" w:color="auto" w:fill="FFFFFF"/>
            <w:vAlign w:val="top"/>
          </w:tcPr>
          <w:p>
            <w:pPr>
              <w:framePr w:w="10435" w:h="778" w:vSpace="365" w:wrap="notBeside" w:vAnchor="text" w:hAnchor="text" w:x="267" w:y="366"/>
              <w:widowControl w:val="0"/>
              <w:rPr>
                <w:sz w:val="10"/>
                <w:szCs w:val="10"/>
              </w:rPr>
            </w:pPr>
          </w:p>
        </w:tc>
        <w:tc>
          <w:tcPr>
            <w:tcBorders>
              <w:top w:val="single" w:sz="4"/>
              <w:left w:val="single" w:sz="4"/>
            </w:tcBorders>
            <w:shd w:val="clear" w:color="auto" w:fill="FFFFFF"/>
            <w:vAlign w:val="top"/>
          </w:tcPr>
          <w:p>
            <w:pPr>
              <w:framePr w:w="10435" w:h="778" w:vSpace="365" w:wrap="notBeside" w:vAnchor="text" w:hAnchor="text" w:x="267" w:y="366"/>
              <w:widowControl w:val="0"/>
              <w:rPr>
                <w:sz w:val="10"/>
                <w:szCs w:val="10"/>
              </w:rPr>
            </w:pPr>
          </w:p>
        </w:tc>
        <w:tc>
          <w:tcPr>
            <w:tcBorders>
              <w:top w:val="single" w:sz="4"/>
              <w:left w:val="single" w:sz="4"/>
            </w:tcBorders>
            <w:shd w:val="clear" w:color="auto" w:fill="FFFFFF"/>
            <w:vAlign w:val="top"/>
          </w:tcPr>
          <w:p>
            <w:pPr>
              <w:framePr w:w="10435" w:h="778" w:vSpace="365" w:wrap="notBeside" w:vAnchor="text" w:hAnchor="text" w:x="267" w:y="366"/>
              <w:widowControl w:val="0"/>
              <w:rPr>
                <w:sz w:val="10"/>
                <w:szCs w:val="10"/>
              </w:rPr>
            </w:pPr>
          </w:p>
        </w:tc>
        <w:tc>
          <w:tcPr>
            <w:tcBorders>
              <w:top w:val="single" w:sz="4"/>
              <w:left w:val="single" w:sz="4"/>
            </w:tcBorders>
            <w:shd w:val="clear" w:color="auto" w:fill="FFFFFF"/>
            <w:vAlign w:val="top"/>
          </w:tcPr>
          <w:p>
            <w:pPr>
              <w:framePr w:w="10435" w:h="778" w:vSpace="365" w:wrap="notBeside" w:vAnchor="text" w:hAnchor="text" w:x="267" w:y="366"/>
              <w:widowControl w:val="0"/>
              <w:rPr>
                <w:sz w:val="10"/>
                <w:szCs w:val="10"/>
              </w:rPr>
            </w:pPr>
          </w:p>
        </w:tc>
        <w:tc>
          <w:tcPr>
            <w:tcBorders>
              <w:top w:val="single" w:sz="4"/>
              <w:left w:val="single" w:sz="4"/>
            </w:tcBorders>
            <w:shd w:val="clear" w:color="auto" w:fill="FFFFFF"/>
            <w:vAlign w:val="top"/>
          </w:tcPr>
          <w:p>
            <w:pPr>
              <w:framePr w:w="10435" w:h="778" w:vSpace="365" w:wrap="notBeside" w:vAnchor="text" w:hAnchor="text" w:x="267"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435" w:h="778" w:vSpace="365" w:wrap="notBeside" w:vAnchor="text" w:hAnchor="text" w:x="267" w:y="366"/>
              <w:widowControl w:val="0"/>
              <w:shd w:val="clear" w:color="auto" w:fill="auto"/>
              <w:bidi w:val="0"/>
              <w:spacing w:before="0" w:after="0" w:line="240" w:lineRule="auto"/>
              <w:ind w:left="0" w:right="0" w:firstLine="0"/>
              <w:jc w:val="left"/>
            </w:pPr>
            <w:r>
              <w:rPr>
                <w:color w:val="000000"/>
                <w:spacing w:val="0"/>
                <w:w w:val="100"/>
                <w:position w:val="0"/>
              </w:rPr>
              <w:t>授予</w:t>
            </w:r>
          </w:p>
        </w:tc>
        <w:tc>
          <w:tcPr>
            <w:tcBorders>
              <w:top w:val="single" w:sz="4"/>
              <w:left w:val="single" w:sz="4"/>
              <w:right w:val="single" w:sz="4"/>
            </w:tcBorders>
            <w:shd w:val="clear" w:color="auto" w:fill="FFFFFF"/>
            <w:vAlign w:val="top"/>
          </w:tcPr>
          <w:p>
            <w:pPr>
              <w:framePr w:w="10435" w:h="778" w:vSpace="365" w:wrap="notBeside" w:vAnchor="text" w:hAnchor="text" w:x="267" w:y="366"/>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10435" w:h="778" w:vSpace="365" w:wrap="notBeside" w:vAnchor="text" w:hAnchor="text" w:x="267"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framePr w:w="10435" w:h="778" w:vSpace="365" w:wrap="notBeside" w:vAnchor="text" w:hAnchor="text" w:x="26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70,797,623</w:t>
            </w:r>
          </w:p>
        </w:tc>
        <w:tc>
          <w:tcPr>
            <w:tcBorders>
              <w:top w:val="single" w:sz="4"/>
              <w:left w:val="single" w:sz="4"/>
              <w:bottom w:val="single" w:sz="4"/>
            </w:tcBorders>
            <w:shd w:val="clear" w:color="auto" w:fill="FFFFFF"/>
            <w:vAlign w:val="center"/>
          </w:tcPr>
          <w:p>
            <w:pPr>
              <w:pStyle w:val="Style44"/>
              <w:keepNext w:val="0"/>
              <w:keepLines w:val="0"/>
              <w:framePr w:w="10435" w:h="778" w:vSpace="365" w:wrap="notBeside" w:vAnchor="text" w:hAnchor="text" w:x="26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41,775,469</w:t>
            </w:r>
          </w:p>
        </w:tc>
        <w:tc>
          <w:tcPr>
            <w:tcBorders>
              <w:top w:val="single" w:sz="4"/>
              <w:left w:val="single" w:sz="4"/>
              <w:bottom w:val="single" w:sz="4"/>
            </w:tcBorders>
            <w:shd w:val="clear" w:color="auto" w:fill="FFFFFF"/>
            <w:vAlign w:val="center"/>
          </w:tcPr>
          <w:p>
            <w:pPr>
              <w:pStyle w:val="Style44"/>
              <w:keepNext w:val="0"/>
              <w:keepLines w:val="0"/>
              <w:framePr w:w="10435" w:h="778" w:vSpace="365" w:wrap="notBeside" w:vAnchor="text" w:hAnchor="text" w:x="26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43,350,723</w:t>
            </w:r>
          </w:p>
        </w:tc>
        <w:tc>
          <w:tcPr>
            <w:tcBorders>
              <w:top w:val="single" w:sz="4"/>
              <w:left w:val="single" w:sz="4"/>
              <w:bottom w:val="single" w:sz="4"/>
            </w:tcBorders>
            <w:shd w:val="clear" w:color="auto" w:fill="FFFFFF"/>
            <w:vAlign w:val="center"/>
          </w:tcPr>
          <w:p>
            <w:pPr>
              <w:pStyle w:val="Style44"/>
              <w:keepNext w:val="0"/>
              <w:keepLines w:val="0"/>
              <w:framePr w:w="10435" w:h="778" w:vSpace="365" w:wrap="notBeside" w:vAnchor="text" w:hAnchor="text" w:x="26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69,222,369</w:t>
            </w:r>
          </w:p>
        </w:tc>
        <w:tc>
          <w:tcPr>
            <w:tcBorders>
              <w:top w:val="single" w:sz="4"/>
              <w:left w:val="single" w:sz="4"/>
              <w:bottom w:val="single" w:sz="4"/>
            </w:tcBorders>
            <w:shd w:val="clear" w:color="auto" w:fill="D4D4D4"/>
            <w:vAlign w:val="center"/>
          </w:tcPr>
          <w:p>
            <w:pPr>
              <w:pStyle w:val="Style44"/>
              <w:keepNext w:val="0"/>
              <w:keepLines w:val="0"/>
              <w:framePr w:w="10435" w:h="778" w:vSpace="365" w:wrap="notBeside" w:vAnchor="text" w:hAnchor="text" w:x="267" w:y="366"/>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4D4D4"/>
            <w:vAlign w:val="center"/>
          </w:tcPr>
          <w:p>
            <w:pPr>
              <w:pStyle w:val="Style44"/>
              <w:keepNext w:val="0"/>
              <w:keepLines w:val="0"/>
              <w:framePr w:w="10435" w:h="778" w:vSpace="365" w:wrap="notBeside" w:vAnchor="text" w:hAnchor="text" w:x="267" w:y="366"/>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49"/>
        <w:keepNext w:val="0"/>
        <w:keepLines w:val="0"/>
        <w:framePr w:w="1296" w:h="365" w:hSpace="266" w:wrap="notBeside" w:vAnchor="text" w:hAnchor="text" w:x="1918" w:y="1"/>
        <w:widowControl w:val="0"/>
        <w:shd w:val="clear" w:color="auto" w:fill="auto"/>
        <w:bidi w:val="0"/>
        <w:spacing w:before="0" w:after="0" w:line="173"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47"/>
        <w:keepNext/>
        <w:keepLines/>
        <w:widowControl w:val="0"/>
        <w:shd w:val="clear" w:color="auto" w:fill="auto"/>
        <w:bidi w:val="0"/>
        <w:spacing w:before="0" w:after="360" w:line="240" w:lineRule="auto"/>
        <w:ind w:left="0" w:right="0" w:firstLine="840"/>
        <w:jc w:val="left"/>
      </w:pPr>
      <w:bookmarkStart w:id="479" w:name="bookmark479"/>
      <w:bookmarkStart w:id="480" w:name="bookmark480"/>
      <w:bookmarkStart w:id="481" w:name="bookmark481"/>
      <w:bookmarkStart w:id="482" w:name="bookmark482"/>
      <w:r>
        <w:rPr>
          <w:color w:val="000000"/>
          <w:spacing w:val="0"/>
          <w:w w:val="100"/>
          <w:position w:val="0"/>
          <w:sz w:val="24"/>
          <w:szCs w:val="24"/>
        </w:rPr>
        <w:t>二</w:t>
      </w:r>
      <w:bookmarkEnd w:id="481"/>
      <w:r>
        <w:rPr>
          <w:color w:val="000000"/>
          <w:spacing w:val="0"/>
          <w:w w:val="100"/>
          <w:position w:val="0"/>
          <w:sz w:val="24"/>
          <w:szCs w:val="24"/>
        </w:rPr>
        <w:t>、证券发行与上市情况</w:t>
      </w:r>
      <w:bookmarkEnd w:id="479"/>
      <w:bookmarkEnd w:id="480"/>
      <w:bookmarkEnd w:id="482"/>
    </w:p>
    <w:p>
      <w:pPr>
        <w:pStyle w:val="Style55"/>
        <w:keepNext/>
        <w:keepLines/>
        <w:widowControl w:val="0"/>
        <w:shd w:val="clear" w:color="auto" w:fill="auto"/>
        <w:bidi w:val="0"/>
        <w:spacing w:before="0" w:after="360" w:line="240" w:lineRule="auto"/>
        <w:ind w:left="0" w:right="0" w:firstLine="840"/>
        <w:jc w:val="left"/>
      </w:pPr>
      <w:bookmarkStart w:id="483" w:name="bookmark483"/>
      <w:bookmarkStart w:id="484" w:name="bookmark484"/>
      <w:bookmarkStart w:id="485" w:name="bookmark485"/>
      <w:bookmarkStart w:id="486" w:name="bookmark486"/>
      <w:r>
        <w:rPr>
          <w:rFonts w:ascii="Times New Roman" w:eastAsia="Times New Roman" w:hAnsi="Times New Roman" w:cs="Times New Roman"/>
          <w:color w:val="000000"/>
          <w:spacing w:val="0"/>
          <w:w w:val="100"/>
          <w:position w:val="0"/>
        </w:rPr>
        <w:t>1</w:t>
      </w:r>
      <w:bookmarkEnd w:id="485"/>
      <w:r>
        <w:rPr>
          <w:color w:val="000000"/>
          <w:spacing w:val="0"/>
          <w:w w:val="100"/>
          <w:position w:val="0"/>
        </w:rPr>
        <w:t>、报告期内证券发行（不含优先股）情况</w:t>
      </w:r>
      <w:bookmarkEnd w:id="483"/>
      <w:bookmarkEnd w:id="484"/>
      <w:bookmarkEnd w:id="486"/>
    </w:p>
    <w:p>
      <w:pPr>
        <w:pStyle w:val="Style49"/>
        <w:keepNext w:val="0"/>
        <w:keepLines w:val="0"/>
        <w:widowControl w:val="0"/>
        <w:shd w:val="clear" w:color="auto" w:fill="auto"/>
        <w:bidi w:val="0"/>
        <w:spacing w:before="0" w:after="0" w:line="240" w:lineRule="auto"/>
        <w:ind w:left="84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1142"/>
        <w:gridCol w:w="994"/>
        <w:gridCol w:w="1272"/>
        <w:gridCol w:w="1138"/>
        <w:gridCol w:w="1133"/>
        <w:gridCol w:w="994"/>
        <w:gridCol w:w="989"/>
        <w:gridCol w:w="1843"/>
        <w:gridCol w:w="931"/>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股票及其衍</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生证券名称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发行日期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发行价格（或利 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发行数量</w:t>
            </w:r>
          </w:p>
          <w:p>
            <w:pPr>
              <w:pStyle w:val="Style44"/>
              <w:keepNext w:val="0"/>
              <w:keepLines w:val="0"/>
              <w:widowControl w:val="0"/>
              <w:shd w:val="clear" w:color="auto" w:fill="auto"/>
              <w:bidi w:val="0"/>
              <w:spacing w:before="0" w:after="0" w:line="240" w:lineRule="auto"/>
              <w:ind w:left="0" w:right="0" w:firstLine="280"/>
              <w:jc w:val="left"/>
            </w:pPr>
            <w:r>
              <w:rPr>
                <w:color w:val="000000"/>
                <w:spacing w:val="0"/>
                <w:w w:val="100"/>
                <w:position w:val="0"/>
              </w:rPr>
              <w:t>（股）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上市日期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获准上市交 易数量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交易终止日 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披露日期</w:t>
            </w:r>
          </w:p>
        </w:tc>
      </w:tr>
      <w:tr>
        <w:trPr>
          <w:trHeight w:val="403" w:hRule="exact"/>
        </w:trPr>
        <w:tc>
          <w:tcPr>
            <w:gridSpan w:val="9"/>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股票类</w:t>
            </w:r>
          </w:p>
        </w:tc>
      </w:tr>
      <w:tr>
        <w:trPr>
          <w:trHeight w:val="1771"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02 </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5.46</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21,538,460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rPr>
              <w:t>http: //www. cninfo. com. cn/new/disclo sure/detail ?stockCode=300290&amp;a nnouncementId= 12073 8 3203&amp;orgld=99000217</w:t>
            </w:r>
          </w:p>
          <w:p>
            <w:pPr>
              <w:pStyle w:val="Style44"/>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rPr>
              <w:t>61 &amp;announcementTime =2020-03-18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r>
      <w:tr>
        <w:trPr>
          <w:trHeight w:val="1776"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08 </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5.86</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20,068,259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rPr>
              <w:t>http: //www. cninfo. com. cn/new/disclo sure/detail ?stockCode=300290&amp;a nnouncementId= 120838 9231&amp;orgld=99000217</w:t>
            </w:r>
          </w:p>
          <w:p>
            <w:pPr>
              <w:pStyle w:val="Style44"/>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rPr>
              <w:t>61 &amp;announcementTime =2020-09-03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09 </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r>
    </w:tbl>
    <w:p>
      <w:pPr>
        <w:pStyle w:val="Style32"/>
        <w:keepNext w:val="0"/>
        <w:keepLines w:val="0"/>
        <w:widowControl w:val="0"/>
        <w:shd w:val="clear" w:color="auto" w:fill="auto"/>
        <w:bidi w:val="0"/>
        <w:spacing w:before="0" w:after="360" w:line="365" w:lineRule="exact"/>
        <w:ind w:left="840" w:right="0" w:firstLine="0"/>
        <w:jc w:val="left"/>
      </w:pPr>
      <w:r>
        <w:rPr>
          <w:color w:val="000000"/>
          <w:spacing w:val="0"/>
          <w:w w:val="100"/>
          <w:position w:val="0"/>
        </w:rPr>
        <w:t>报告期内证券发行（不含优先股）情况的说明 无</w:t>
      </w:r>
    </w:p>
    <w:p>
      <w:pPr>
        <w:pStyle w:val="Style55"/>
        <w:keepNext/>
        <w:keepLines/>
        <w:widowControl w:val="0"/>
        <w:shd w:val="clear" w:color="auto" w:fill="auto"/>
        <w:bidi w:val="0"/>
        <w:spacing w:before="0" w:after="360" w:line="240" w:lineRule="auto"/>
        <w:ind w:left="840" w:right="0" w:firstLine="0"/>
        <w:jc w:val="left"/>
      </w:pPr>
      <w:bookmarkStart w:id="487" w:name="bookmark487"/>
      <w:bookmarkStart w:id="488" w:name="bookmark488"/>
      <w:bookmarkStart w:id="489" w:name="bookmark489"/>
      <w:bookmarkStart w:id="490" w:name="bookmark490"/>
      <w:r>
        <w:rPr>
          <w:rFonts w:ascii="Times New Roman" w:eastAsia="Times New Roman" w:hAnsi="Times New Roman" w:cs="Times New Roman"/>
          <w:color w:val="000000"/>
          <w:spacing w:val="0"/>
          <w:w w:val="100"/>
          <w:position w:val="0"/>
        </w:rPr>
        <w:t>2</w:t>
      </w:r>
      <w:bookmarkEnd w:id="489"/>
      <w:r>
        <w:rPr>
          <w:color w:val="000000"/>
          <w:spacing w:val="0"/>
          <w:w w:val="100"/>
          <w:position w:val="0"/>
        </w:rPr>
        <w:t>、公司股份总数及股东结构的变动、公司资产和负债结构的变动情况说明</w:t>
      </w:r>
      <w:bookmarkEnd w:id="487"/>
      <w:bookmarkEnd w:id="488"/>
      <w:bookmarkEnd w:id="490"/>
    </w:p>
    <w:p>
      <w:pPr>
        <w:pStyle w:val="Style32"/>
        <w:keepNext w:val="0"/>
        <w:keepLines w:val="0"/>
        <w:widowControl w:val="0"/>
        <w:shd w:val="clear" w:color="auto" w:fill="auto"/>
        <w:bidi w:val="0"/>
        <w:spacing w:before="0" w:after="120" w:line="240" w:lineRule="auto"/>
        <w:ind w:left="0" w:right="0" w:firstLine="84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报告期内，公司因非公开发行股票导致公司股份总数、股东结构的变动情况详见上述信息披露索引。</w:t>
      </w:r>
    </w:p>
    <w:p>
      <w:pPr>
        <w:pStyle w:val="Style55"/>
        <w:keepNext/>
        <w:keepLines/>
        <w:widowControl w:val="0"/>
        <w:shd w:val="clear" w:color="auto" w:fill="auto"/>
        <w:bidi w:val="0"/>
        <w:spacing w:before="0" w:after="360" w:line="240" w:lineRule="auto"/>
        <w:ind w:left="0" w:right="0" w:firstLine="840"/>
        <w:jc w:val="left"/>
      </w:pPr>
      <w:bookmarkStart w:id="491" w:name="bookmark491"/>
      <w:bookmarkStart w:id="492" w:name="bookmark492"/>
      <w:bookmarkStart w:id="493" w:name="bookmark493"/>
      <w:bookmarkStart w:id="494" w:name="bookmark494"/>
      <w:r>
        <w:rPr>
          <w:rFonts w:ascii="Times New Roman" w:eastAsia="Times New Roman" w:hAnsi="Times New Roman" w:cs="Times New Roman"/>
          <w:color w:val="000000"/>
          <w:spacing w:val="0"/>
          <w:w w:val="100"/>
          <w:position w:val="0"/>
        </w:rPr>
        <w:t>3</w:t>
      </w:r>
      <w:bookmarkEnd w:id="493"/>
      <w:r>
        <w:rPr>
          <w:color w:val="000000"/>
          <w:spacing w:val="0"/>
          <w:w w:val="100"/>
          <w:position w:val="0"/>
        </w:rPr>
        <w:t>、现存的内部职工股情况</w:t>
      </w:r>
      <w:bookmarkEnd w:id="491"/>
      <w:bookmarkEnd w:id="492"/>
      <w:bookmarkEnd w:id="494"/>
    </w:p>
    <w:p>
      <w:pPr>
        <w:pStyle w:val="Style32"/>
        <w:keepNext w:val="0"/>
        <w:keepLines w:val="0"/>
        <w:widowControl w:val="0"/>
        <w:shd w:val="clear" w:color="auto" w:fill="auto"/>
        <w:bidi w:val="0"/>
        <w:spacing w:before="0" w:after="360" w:line="240" w:lineRule="auto"/>
        <w:ind w:left="0" w:right="0" w:firstLine="84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7"/>
        <w:keepNext/>
        <w:keepLines/>
        <w:widowControl w:val="0"/>
        <w:shd w:val="clear" w:color="auto" w:fill="auto"/>
        <w:bidi w:val="0"/>
        <w:spacing w:before="0" w:after="360" w:line="240" w:lineRule="auto"/>
        <w:ind w:left="0" w:right="0" w:firstLine="840"/>
        <w:jc w:val="left"/>
      </w:pPr>
      <w:bookmarkStart w:id="495" w:name="bookmark495"/>
      <w:bookmarkStart w:id="496" w:name="bookmark496"/>
      <w:bookmarkStart w:id="497" w:name="bookmark497"/>
      <w:bookmarkStart w:id="498" w:name="bookmark498"/>
      <w:r>
        <w:rPr>
          <w:color w:val="000000"/>
          <w:spacing w:val="0"/>
          <w:w w:val="100"/>
          <w:position w:val="0"/>
          <w:sz w:val="24"/>
          <w:szCs w:val="24"/>
        </w:rPr>
        <w:t>三</w:t>
      </w:r>
      <w:bookmarkEnd w:id="497"/>
      <w:r>
        <w:rPr>
          <w:color w:val="000000"/>
          <w:spacing w:val="0"/>
          <w:w w:val="100"/>
          <w:position w:val="0"/>
          <w:sz w:val="24"/>
          <w:szCs w:val="24"/>
        </w:rPr>
        <w:t>、股东和实际控制人情况</w:t>
      </w:r>
      <w:bookmarkEnd w:id="495"/>
      <w:bookmarkEnd w:id="496"/>
      <w:bookmarkEnd w:id="498"/>
    </w:p>
    <w:p>
      <w:pPr>
        <w:pStyle w:val="Style55"/>
        <w:keepNext/>
        <w:keepLines/>
        <w:widowControl w:val="0"/>
        <w:shd w:val="clear" w:color="auto" w:fill="auto"/>
        <w:bidi w:val="0"/>
        <w:spacing w:before="0" w:after="360" w:line="240" w:lineRule="auto"/>
        <w:ind w:left="0" w:right="0" w:firstLine="840"/>
        <w:jc w:val="left"/>
      </w:pPr>
      <w:bookmarkStart w:id="499" w:name="bookmark499"/>
      <w:bookmarkStart w:id="500" w:name="bookmark500"/>
      <w:bookmarkStart w:id="501" w:name="bookmark501"/>
      <w:bookmarkStart w:id="502" w:name="bookmark502"/>
      <w:r>
        <w:rPr>
          <w:rFonts w:ascii="Times New Roman" w:eastAsia="Times New Roman" w:hAnsi="Times New Roman" w:cs="Times New Roman"/>
          <w:color w:val="000000"/>
          <w:spacing w:val="0"/>
          <w:w w:val="100"/>
          <w:position w:val="0"/>
        </w:rPr>
        <w:t>1</w:t>
      </w:r>
      <w:bookmarkEnd w:id="501"/>
      <w:r>
        <w:rPr>
          <w:color w:val="000000"/>
          <w:spacing w:val="0"/>
          <w:w w:val="100"/>
          <w:position w:val="0"/>
        </w:rPr>
        <w:t>、公司股东数量及持股情况</w:t>
      </w:r>
      <w:bookmarkEnd w:id="499"/>
      <w:bookmarkEnd w:id="500"/>
      <w:bookmarkEnd w:id="502"/>
    </w:p>
    <w:p>
      <w:pPr>
        <w:pStyle w:val="Style32"/>
        <w:keepNext w:val="0"/>
        <w:keepLines w:val="0"/>
        <w:widowControl w:val="0"/>
        <w:shd w:val="clear" w:color="auto" w:fill="auto"/>
        <w:bidi w:val="0"/>
        <w:spacing w:before="0" w:after="80" w:line="240" w:lineRule="auto"/>
        <w:ind w:left="9760" w:right="0" w:firstLine="0"/>
        <w:jc w:val="left"/>
      </w:pPr>
      <w:r>
        <w:rPr>
          <w:color w:val="000000"/>
          <w:spacing w:val="0"/>
          <w:w w:val="100"/>
          <w:position w:val="0"/>
        </w:rPr>
        <w:t>单位：股</w:t>
      </w:r>
    </w:p>
    <w:tbl>
      <w:tblPr>
        <w:tblOverlap w:val="never"/>
        <w:jc w:val="center"/>
        <w:tblLayout w:type="fixed"/>
      </w:tblPr>
      <w:tblGrid>
        <w:gridCol w:w="1709"/>
        <w:gridCol w:w="1421"/>
        <w:gridCol w:w="1416"/>
        <w:gridCol w:w="845"/>
        <w:gridCol w:w="1282"/>
        <w:gridCol w:w="845"/>
        <w:gridCol w:w="1992"/>
        <w:gridCol w:w="1070"/>
      </w:tblGrid>
      <w:tr>
        <w:trPr>
          <w:trHeight w:val="1042"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报告期末普通股股东 总数</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23,110</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314" w:lineRule="exact"/>
              <w:ind w:left="0" w:right="0" w:firstLine="0"/>
              <w:jc w:val="left"/>
            </w:pPr>
            <w:r>
              <w:rPr>
                <w:color w:val="000000"/>
                <w:spacing w:val="0"/>
                <w:w w:val="100"/>
                <w:position w:val="0"/>
              </w:rPr>
              <w:t>年度报告披露日 前上一月末普通 股股东总数</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15,576</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314" w:lineRule="exact"/>
              <w:ind w:left="0" w:right="0" w:firstLine="0"/>
              <w:jc w:val="left"/>
            </w:pPr>
            <w:r>
              <w:rPr>
                <w:color w:val="000000"/>
                <w:spacing w:val="0"/>
                <w:w w:val="100"/>
                <w:position w:val="0"/>
              </w:rPr>
              <w:t>报告期末表决 权恢复的优先 股股东总数</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319" w:lineRule="exact"/>
              <w:ind w:left="0" w:right="0" w:firstLine="0"/>
              <w:jc w:val="left"/>
            </w:pPr>
            <w:r>
              <w:rPr>
                <w:color w:val="000000"/>
                <w:spacing w:val="0"/>
                <w:w w:val="100"/>
                <w:position w:val="0"/>
              </w:rPr>
              <w:t>年度报告披露日前上一 月末表决权恢复的优先 股股东总数</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bl>
    <w:p>
      <w:pPr>
        <w:widowControl w:val="0"/>
        <w:spacing w:line="1" w:lineRule="exact"/>
      </w:pPr>
      <w:r>
        <w:br w:type="page"/>
      </w:r>
    </w:p>
    <w:tbl>
      <w:tblPr>
        <w:tblOverlap w:val="never"/>
        <w:jc w:val="left"/>
        <w:tblLayout w:type="fixed"/>
      </w:tblPr>
      <w:tblGrid>
        <w:gridCol w:w="1709"/>
        <w:gridCol w:w="1421"/>
        <w:gridCol w:w="850"/>
        <w:gridCol w:w="1133"/>
        <w:gridCol w:w="1133"/>
        <w:gridCol w:w="1133"/>
        <w:gridCol w:w="1066"/>
        <w:gridCol w:w="1066"/>
        <w:gridCol w:w="1070"/>
      </w:tblGrid>
      <w:tr>
        <w:trPr>
          <w:trHeight w:val="408" w:hRule="exact"/>
        </w:trPr>
        <w:tc>
          <w:tcPr>
            <w:vMerge w:val="restart"/>
            <w:tcBorders>
              <w:top w:val="single" w:sz="4"/>
              <w:lef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500"/>
              <w:jc w:val="left"/>
            </w:pPr>
            <w:r>
              <w:rPr>
                <w:color w:val="000000"/>
                <w:spacing w:val="0"/>
                <w:w w:val="100"/>
                <w:position w:val="0"/>
              </w:rPr>
              <w:t>股东名称</w:t>
            </w:r>
          </w:p>
        </w:tc>
        <w:tc>
          <w:tcPr>
            <w:vMerge w:val="restart"/>
            <w:tcBorders>
              <w:top w:val="single" w:sz="4"/>
              <w:lef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40"/>
              <w:jc w:val="left"/>
            </w:pPr>
            <w:r>
              <w:rPr>
                <w:color w:val="000000"/>
                <w:spacing w:val="0"/>
                <w:w w:val="100"/>
                <w:position w:val="0"/>
              </w:rPr>
              <w:t>股东性质</w:t>
            </w:r>
          </w:p>
        </w:tc>
        <w:tc>
          <w:tcPr>
            <w:vMerge w:val="restart"/>
            <w:tcBorders>
              <w:top w:val="single" w:sz="4"/>
              <w:lef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color w:val="000000"/>
                <w:spacing w:val="0"/>
                <w:w w:val="100"/>
                <w:position w:val="0"/>
              </w:rPr>
              <w:t>持股比例</w:t>
            </w:r>
          </w:p>
        </w:tc>
        <w:tc>
          <w:tcPr>
            <w:vMerge w:val="restart"/>
            <w:tcBorders>
              <w:top w:val="single" w:sz="4"/>
              <w:lef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0" w:line="312" w:lineRule="exact"/>
              <w:ind w:left="0" w:right="0" w:firstLine="0"/>
              <w:jc w:val="center"/>
            </w:pPr>
            <w:r>
              <w:rPr>
                <w:color w:val="000000"/>
                <w:spacing w:val="0"/>
                <w:w w:val="100"/>
                <w:position w:val="0"/>
              </w:rPr>
              <w:t>报告期末持 股数量</w:t>
            </w:r>
          </w:p>
        </w:tc>
        <w:tc>
          <w:tcPr>
            <w:vMerge w:val="restart"/>
            <w:tcBorders>
              <w:top w:val="single" w:sz="4"/>
              <w:lef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0" w:line="317" w:lineRule="exact"/>
              <w:ind w:left="0" w:right="0" w:firstLine="0"/>
              <w:jc w:val="center"/>
            </w:pPr>
            <w:r>
              <w:rPr>
                <w:color w:val="000000"/>
                <w:spacing w:val="0"/>
                <w:w w:val="100"/>
                <w:position w:val="0"/>
              </w:rPr>
              <w:t>报告期内增 减变动情况</w:t>
            </w:r>
          </w:p>
        </w:tc>
        <w:tc>
          <w:tcPr>
            <w:vMerge w:val="restart"/>
            <w:tcBorders>
              <w:top w:val="single" w:sz="4"/>
              <w:lef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100" w:line="240" w:lineRule="auto"/>
              <w:ind w:left="0" w:right="0" w:firstLine="0"/>
              <w:jc w:val="right"/>
            </w:pPr>
            <w:r>
              <w:rPr>
                <w:color w:val="000000"/>
                <w:spacing w:val="0"/>
                <w:w w:val="100"/>
                <w:position w:val="0"/>
              </w:rPr>
              <w:t>持有有限售</w:t>
            </w:r>
          </w:p>
          <w:p>
            <w:pPr>
              <w:pStyle w:val="Style44"/>
              <w:keepNext w:val="0"/>
              <w:keepLines w:val="0"/>
              <w:framePr w:w="10579" w:h="7022" w:vSpace="312" w:wrap="notBeside" w:vAnchor="text" w:hAnchor="text" w:x="195" w:y="313"/>
              <w:widowControl w:val="0"/>
              <w:shd w:val="clear" w:color="auto" w:fill="auto"/>
              <w:bidi w:val="0"/>
              <w:spacing w:before="0" w:after="100" w:line="240" w:lineRule="auto"/>
              <w:ind w:left="0" w:right="0" w:firstLine="0"/>
              <w:jc w:val="right"/>
            </w:pPr>
            <w:r>
              <w:rPr>
                <w:color w:val="000000"/>
                <w:spacing w:val="0"/>
                <w:w w:val="100"/>
                <w:position w:val="0"/>
              </w:rPr>
              <w:t>条件的股份</w:t>
            </w:r>
          </w:p>
          <w:p>
            <w:pPr>
              <w:pStyle w:val="Style44"/>
              <w:keepNext w:val="0"/>
              <w:keepLines w:val="0"/>
              <w:framePr w:w="10579" w:h="7022" w:vSpace="312" w:wrap="notBeside" w:vAnchor="text" w:hAnchor="text" w:x="195" w:y="313"/>
              <w:widowControl w:val="0"/>
              <w:shd w:val="clear" w:color="auto" w:fill="auto"/>
              <w:bidi w:val="0"/>
              <w:spacing w:before="0" w:after="100" w:line="240" w:lineRule="auto"/>
              <w:ind w:left="0" w:right="380" w:firstLine="0"/>
              <w:jc w:val="right"/>
            </w:pPr>
            <w:r>
              <w:rPr>
                <w:color w:val="000000"/>
                <w:spacing w:val="0"/>
                <w:w w:val="100"/>
                <w:position w:val="0"/>
              </w:rPr>
              <w:t>数量</w:t>
            </w:r>
          </w:p>
        </w:tc>
        <w:tc>
          <w:tcPr>
            <w:vMerge w:val="restart"/>
            <w:tcBorders>
              <w:top w:val="single" w:sz="4"/>
              <w:lef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100" w:line="240" w:lineRule="auto"/>
              <w:ind w:left="0" w:right="0" w:firstLine="0"/>
              <w:jc w:val="right"/>
            </w:pPr>
            <w:r>
              <w:rPr>
                <w:color w:val="000000"/>
                <w:spacing w:val="0"/>
                <w:w w:val="100"/>
                <w:position w:val="0"/>
              </w:rPr>
              <w:t>持有无限售</w:t>
            </w:r>
          </w:p>
          <w:p>
            <w:pPr>
              <w:pStyle w:val="Style44"/>
              <w:keepNext w:val="0"/>
              <w:keepLines w:val="0"/>
              <w:framePr w:w="10579" w:h="7022" w:vSpace="312" w:wrap="notBeside" w:vAnchor="text" w:hAnchor="text" w:x="195" w:y="313"/>
              <w:widowControl w:val="0"/>
              <w:shd w:val="clear" w:color="auto" w:fill="auto"/>
              <w:bidi w:val="0"/>
              <w:spacing w:before="0" w:after="100" w:line="240" w:lineRule="auto"/>
              <w:ind w:left="0" w:right="0" w:firstLine="0"/>
              <w:jc w:val="right"/>
            </w:pPr>
            <w:r>
              <w:rPr>
                <w:color w:val="000000"/>
                <w:spacing w:val="0"/>
                <w:w w:val="100"/>
                <w:position w:val="0"/>
              </w:rPr>
              <w:t>条件的股份</w:t>
            </w:r>
          </w:p>
          <w:p>
            <w:pPr>
              <w:pStyle w:val="Style44"/>
              <w:keepNext w:val="0"/>
              <w:keepLines w:val="0"/>
              <w:framePr w:w="10579" w:h="7022" w:vSpace="312" w:wrap="notBeside" w:vAnchor="text" w:hAnchor="text" w:x="195" w:y="313"/>
              <w:widowControl w:val="0"/>
              <w:shd w:val="clear" w:color="auto" w:fill="auto"/>
              <w:bidi w:val="0"/>
              <w:spacing w:before="0" w:after="100" w:line="240" w:lineRule="auto"/>
              <w:ind w:left="0" w:right="340" w:firstLine="0"/>
              <w:jc w:val="right"/>
            </w:pPr>
            <w:r>
              <w:rPr>
                <w:color w:val="000000"/>
                <w:spacing w:val="0"/>
                <w:w w:val="100"/>
                <w:position w:val="0"/>
              </w:rPr>
              <w:t>数量</w:t>
            </w:r>
          </w:p>
        </w:tc>
        <w:tc>
          <w:tcPr>
            <w:gridSpan w:val="2"/>
            <w:tcBorders>
              <w:top w:val="single" w:sz="4"/>
              <w:left w:val="single" w:sz="4"/>
              <w:righ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center"/>
            </w:pPr>
            <w:r>
              <w:rPr>
                <w:color w:val="000000"/>
                <w:spacing w:val="0"/>
                <w:w w:val="100"/>
                <w:position w:val="0"/>
              </w:rPr>
              <w:t>质押或冻结情况</w:t>
            </w:r>
          </w:p>
        </w:tc>
      </w:tr>
      <w:tr>
        <w:trPr>
          <w:trHeight w:val="624" w:hRule="exact"/>
        </w:trPr>
        <w:tc>
          <w:tcPr>
            <w:vMerge/>
            <w:tcBorders>
              <w:left w:val="single" w:sz="4"/>
            </w:tcBorders>
            <w:shd w:val="clear" w:color="auto" w:fill="D4D4D4"/>
            <w:vAlign w:val="center"/>
          </w:tcPr>
          <w:p>
            <w:pPr>
              <w:framePr w:w="10579" w:h="7022" w:vSpace="312" w:wrap="notBeside" w:vAnchor="text" w:hAnchor="text" w:x="195" w:y="313"/>
            </w:pPr>
          </w:p>
        </w:tc>
        <w:tc>
          <w:tcPr>
            <w:vMerge/>
            <w:tcBorders>
              <w:left w:val="single" w:sz="4"/>
            </w:tcBorders>
            <w:shd w:val="clear" w:color="auto" w:fill="D4D4D4"/>
            <w:vAlign w:val="center"/>
          </w:tcPr>
          <w:p>
            <w:pPr>
              <w:framePr w:w="10579" w:h="7022" w:vSpace="312" w:wrap="notBeside" w:vAnchor="text" w:hAnchor="text" w:x="195" w:y="313"/>
            </w:pPr>
          </w:p>
        </w:tc>
        <w:tc>
          <w:tcPr>
            <w:vMerge/>
            <w:tcBorders>
              <w:left w:val="single" w:sz="4"/>
            </w:tcBorders>
            <w:shd w:val="clear" w:color="auto" w:fill="D4D4D4"/>
            <w:vAlign w:val="center"/>
          </w:tcPr>
          <w:p>
            <w:pPr>
              <w:framePr w:w="10579" w:h="7022" w:vSpace="312" w:wrap="notBeside" w:vAnchor="text" w:hAnchor="text" w:x="195" w:y="313"/>
            </w:pPr>
          </w:p>
        </w:tc>
        <w:tc>
          <w:tcPr>
            <w:vMerge/>
            <w:tcBorders>
              <w:left w:val="single" w:sz="4"/>
            </w:tcBorders>
            <w:shd w:val="clear" w:color="auto" w:fill="D4D4D4"/>
            <w:vAlign w:val="center"/>
          </w:tcPr>
          <w:p>
            <w:pPr>
              <w:framePr w:w="10579" w:h="7022" w:vSpace="312" w:wrap="notBeside" w:vAnchor="text" w:hAnchor="text" w:x="195" w:y="313"/>
            </w:pPr>
          </w:p>
        </w:tc>
        <w:tc>
          <w:tcPr>
            <w:vMerge/>
            <w:tcBorders>
              <w:left w:val="single" w:sz="4"/>
            </w:tcBorders>
            <w:shd w:val="clear" w:color="auto" w:fill="D4D4D4"/>
            <w:vAlign w:val="center"/>
          </w:tcPr>
          <w:p>
            <w:pPr>
              <w:framePr w:w="10579" w:h="7022" w:vSpace="312" w:wrap="notBeside" w:vAnchor="text" w:hAnchor="text" w:x="195" w:y="313"/>
            </w:pPr>
          </w:p>
        </w:tc>
        <w:tc>
          <w:tcPr>
            <w:vMerge/>
            <w:tcBorders>
              <w:left w:val="single" w:sz="4"/>
            </w:tcBorders>
            <w:shd w:val="clear" w:color="auto" w:fill="D4D4D4"/>
            <w:vAlign w:val="center"/>
          </w:tcPr>
          <w:p>
            <w:pPr>
              <w:framePr w:w="10579" w:h="7022" w:vSpace="312" w:wrap="notBeside" w:vAnchor="text" w:hAnchor="text" w:x="195" w:y="313"/>
            </w:pPr>
          </w:p>
        </w:tc>
        <w:tc>
          <w:tcPr>
            <w:vMerge/>
            <w:tcBorders>
              <w:left w:val="single" w:sz="4"/>
            </w:tcBorders>
            <w:shd w:val="clear" w:color="auto" w:fill="D4D4D4"/>
            <w:vAlign w:val="center"/>
          </w:tcPr>
          <w:p>
            <w:pPr>
              <w:framePr w:w="10579" w:h="7022" w:vSpace="312" w:wrap="notBeside" w:vAnchor="text" w:hAnchor="text" w:x="195" w:y="313"/>
            </w:pPr>
          </w:p>
        </w:tc>
        <w:tc>
          <w:tcPr>
            <w:tcBorders>
              <w:top w:val="single" w:sz="4"/>
              <w:lef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center"/>
            </w:pPr>
            <w:r>
              <w:rPr>
                <w:color w:val="000000"/>
                <w:spacing w:val="0"/>
                <w:w w:val="100"/>
                <w:position w:val="0"/>
              </w:rPr>
              <w:t>股份状态</w:t>
            </w:r>
          </w:p>
        </w:tc>
        <w:tc>
          <w:tcPr>
            <w:tcBorders>
              <w:top w:val="single" w:sz="4"/>
              <w:left w:val="single" w:sz="4"/>
              <w:right w:val="single" w:sz="4"/>
            </w:tcBorders>
            <w:shd w:val="clear" w:color="auto" w:fill="D4D4D4"/>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center"/>
            </w:pPr>
            <w:r>
              <w:rPr>
                <w:color w:val="000000"/>
                <w:spacing w:val="0"/>
                <w:w w:val="100"/>
                <w:position w:val="0"/>
              </w:rPr>
              <w:t>数量</w:t>
            </w:r>
          </w:p>
        </w:tc>
      </w:tr>
      <w:tr>
        <w:trPr>
          <w:trHeight w:val="715" w:hRule="exact"/>
        </w:trPr>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辽宁国科实业有限 公司</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22.85%</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136,529,042</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-10,750,000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136,529,042</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4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90,000,000</w:t>
            </w:r>
          </w:p>
        </w:tc>
      </w:tr>
      <w:tr>
        <w:trPr>
          <w:trHeight w:val="403" w:hRule="exact"/>
        </w:trPr>
        <w:tc>
          <w:tcPr>
            <w:vMerge w:val="restart"/>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312" w:lineRule="exact"/>
              <w:ind w:left="0" w:right="0" w:firstLine="0"/>
              <w:jc w:val="left"/>
            </w:pPr>
            <w:r>
              <w:rPr>
                <w:color w:val="000000"/>
                <w:spacing w:val="0"/>
                <w:w w:val="100"/>
                <w:position w:val="0"/>
              </w:rPr>
              <w:t>沈阳惜远石油化工有 限公司</w:t>
            </w:r>
          </w:p>
        </w:tc>
        <w:tc>
          <w:tcPr>
            <w:vMerge w:val="restart"/>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vMerge w:val="restart"/>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3.43%</w:t>
            </w:r>
          </w:p>
        </w:tc>
        <w:tc>
          <w:tcPr>
            <w:vMerge w:val="restart"/>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20,477,815</w:t>
            </w:r>
          </w:p>
        </w:tc>
        <w:tc>
          <w:tcPr>
            <w:vMerge w:val="restart"/>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20,477,815</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4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20,477,815</w:t>
            </w:r>
          </w:p>
        </w:tc>
      </w:tr>
      <w:tr>
        <w:trPr>
          <w:trHeight w:val="398" w:hRule="exact"/>
        </w:trPr>
        <w:tc>
          <w:tcPr>
            <w:vMerge/>
            <w:tcBorders>
              <w:left w:val="single" w:sz="4"/>
            </w:tcBorders>
            <w:shd w:val="clear" w:color="auto" w:fill="FFFFFF"/>
            <w:vAlign w:val="center"/>
          </w:tcPr>
          <w:p>
            <w:pPr>
              <w:framePr w:w="10579" w:h="7022" w:vSpace="312" w:wrap="notBeside" w:vAnchor="text" w:hAnchor="text" w:x="195" w:y="313"/>
            </w:pPr>
          </w:p>
        </w:tc>
        <w:tc>
          <w:tcPr>
            <w:vMerge/>
            <w:tcBorders>
              <w:left w:val="single" w:sz="4"/>
            </w:tcBorders>
            <w:shd w:val="clear" w:color="auto" w:fill="FFFFFF"/>
            <w:vAlign w:val="center"/>
          </w:tcPr>
          <w:p>
            <w:pPr>
              <w:framePr w:w="10579" w:h="7022" w:vSpace="312" w:wrap="notBeside" w:vAnchor="text" w:hAnchor="text" w:x="195" w:y="313"/>
            </w:pPr>
          </w:p>
        </w:tc>
        <w:tc>
          <w:tcPr>
            <w:vMerge/>
            <w:tcBorders>
              <w:left w:val="single" w:sz="4"/>
            </w:tcBorders>
            <w:shd w:val="clear" w:color="auto" w:fill="FFFFFF"/>
            <w:vAlign w:val="center"/>
          </w:tcPr>
          <w:p>
            <w:pPr>
              <w:framePr w:w="10579" w:h="7022" w:vSpace="312" w:wrap="notBeside" w:vAnchor="text" w:hAnchor="text" w:x="195" w:y="313"/>
            </w:pPr>
          </w:p>
        </w:tc>
        <w:tc>
          <w:tcPr>
            <w:vMerge/>
            <w:tcBorders>
              <w:left w:val="single" w:sz="4"/>
            </w:tcBorders>
            <w:shd w:val="clear" w:color="auto" w:fill="FFFFFF"/>
            <w:vAlign w:val="center"/>
          </w:tcPr>
          <w:p>
            <w:pPr>
              <w:framePr w:w="10579" w:h="7022" w:vSpace="312" w:wrap="notBeside" w:vAnchor="text" w:hAnchor="text" w:x="195" w:y="313"/>
            </w:pPr>
          </w:p>
        </w:tc>
        <w:tc>
          <w:tcPr>
            <w:vMerge/>
            <w:tcBorders>
              <w:left w:val="single" w:sz="4"/>
            </w:tcBorders>
            <w:shd w:val="clear" w:color="auto" w:fill="FFFFFF"/>
            <w:vAlign w:val="center"/>
          </w:tcPr>
          <w:p>
            <w:pPr>
              <w:framePr w:w="10579" w:h="7022" w:vSpace="312" w:wrap="notBeside" w:vAnchor="text" w:hAnchor="text" w:x="195" w:y="313"/>
            </w:pPr>
          </w:p>
        </w:tc>
        <w:tc>
          <w:tcPr>
            <w:vMerge/>
            <w:tcBorders>
              <w:left w:val="single" w:sz="4"/>
            </w:tcBorders>
            <w:shd w:val="clear" w:color="auto" w:fill="FFFFFF"/>
            <w:vAlign w:val="center"/>
          </w:tcPr>
          <w:p>
            <w:pPr>
              <w:framePr w:w="10579" w:h="7022" w:vSpace="312" w:wrap="notBeside" w:vAnchor="text" w:hAnchor="text" w:x="195" w:y="313"/>
            </w:pPr>
          </w:p>
        </w:tc>
        <w:tc>
          <w:tcPr>
            <w:vMerge/>
            <w:tcBorders>
              <w:left w:val="single" w:sz="4"/>
            </w:tcBorders>
            <w:shd w:val="clear" w:color="auto" w:fill="FFFFFF"/>
            <w:vAlign w:val="center"/>
          </w:tcPr>
          <w:p>
            <w:pPr>
              <w:framePr w:w="10579" w:h="7022" w:vSpace="312" w:wrap="notBeside" w:vAnchor="text" w:hAnchor="text" w:x="195" w:y="313"/>
            </w:pP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40"/>
              <w:jc w:val="left"/>
            </w:pPr>
            <w:r>
              <w:rPr>
                <w:color w:val="000000"/>
                <w:spacing w:val="0"/>
                <w:w w:val="100"/>
                <w:position w:val="0"/>
              </w:rPr>
              <w:t>冻结</w:t>
            </w:r>
          </w:p>
        </w:tc>
        <w:tc>
          <w:tcPr>
            <w:tcBorders>
              <w:top w:val="single" w:sz="4"/>
              <w:left w:val="single" w:sz="4"/>
              <w:righ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20,477,815</w:t>
            </w:r>
          </w:p>
        </w:tc>
      </w:tr>
      <w:tr>
        <w:trPr>
          <w:trHeight w:val="715" w:hRule="exact"/>
        </w:trPr>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100" w:line="240" w:lineRule="auto"/>
              <w:ind w:left="0" w:right="0" w:firstLine="0"/>
              <w:jc w:val="left"/>
            </w:pPr>
            <w:r>
              <w:rPr>
                <w:color w:val="000000"/>
                <w:spacing w:val="0"/>
                <w:w w:val="100"/>
                <w:position w:val="0"/>
              </w:rPr>
              <w:t>徐州瀚举创业投资合</w:t>
            </w:r>
          </w:p>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伙企业（有限合伙）</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2.96%</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17,692,307</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17,692,307</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17,692,307</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framePr w:w="10579" w:h="7022" w:vSpace="312" w:wrap="notBeside" w:vAnchor="text" w:hAnchor="text" w:x="195" w:y="313"/>
              <w:widowControl w:val="0"/>
              <w:rPr>
                <w:sz w:val="10"/>
                <w:szCs w:val="10"/>
              </w:rPr>
            </w:pPr>
          </w:p>
        </w:tc>
        <w:tc>
          <w:tcPr>
            <w:tcBorders>
              <w:top w:val="single" w:sz="4"/>
              <w:left w:val="single" w:sz="4"/>
              <w:right w:val="single" w:sz="4"/>
            </w:tcBorders>
            <w:shd w:val="clear" w:color="auto" w:fill="FFFFFF"/>
            <w:vAlign w:val="top"/>
          </w:tcPr>
          <w:p>
            <w:pPr>
              <w:framePr w:w="10579" w:h="7022" w:vSpace="312" w:wrap="notBeside" w:vAnchor="text" w:hAnchor="text" w:x="195" w:y="313"/>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305" w:lineRule="exact"/>
              <w:ind w:left="0" w:right="0" w:firstLine="0"/>
              <w:jc w:val="left"/>
            </w:pPr>
            <w:r>
              <w:rPr>
                <w:color w:val="000000"/>
                <w:spacing w:val="0"/>
                <w:w w:val="100"/>
                <w:position w:val="0"/>
              </w:rPr>
              <w:t>杭州乐信投资管理有 限公司一乐信鑫汇一 号私募证券投资基金</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2.76%</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16,484,642</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16,484,642</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16,484,642</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framePr w:w="10579" w:h="7022" w:vSpace="312" w:wrap="notBeside" w:vAnchor="text" w:hAnchor="text" w:x="195" w:y="313"/>
              <w:widowControl w:val="0"/>
              <w:rPr>
                <w:sz w:val="10"/>
                <w:szCs w:val="10"/>
              </w:rPr>
            </w:pPr>
          </w:p>
        </w:tc>
        <w:tc>
          <w:tcPr>
            <w:tcBorders>
              <w:top w:val="single" w:sz="4"/>
              <w:left w:val="single" w:sz="4"/>
              <w:right w:val="single" w:sz="4"/>
            </w:tcBorders>
            <w:shd w:val="clear" w:color="auto" w:fill="FFFFFF"/>
            <w:vAlign w:val="top"/>
          </w:tcPr>
          <w:p>
            <w:pPr>
              <w:framePr w:w="10579" w:h="7022" w:vSpace="312" w:wrap="notBeside" w:vAnchor="text" w:hAnchor="text" w:x="195" w:y="313"/>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317" w:lineRule="exact"/>
              <w:ind w:left="0" w:right="0" w:firstLine="0"/>
              <w:jc w:val="left"/>
            </w:pPr>
            <w:r>
              <w:rPr>
                <w:color w:val="000000"/>
                <w:spacing w:val="0"/>
                <w:w w:val="100"/>
                <w:position w:val="0"/>
              </w:rPr>
              <w:t>沈阳源远石油化工有 限公司</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1.93%</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11,507,235</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11,507,235</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4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11,220,035</w:t>
            </w:r>
          </w:p>
        </w:tc>
      </w:tr>
      <w:tr>
        <w:trPr>
          <w:trHeight w:val="398" w:hRule="exact"/>
        </w:trPr>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秦毅</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1.86%</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11,113,800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11,113,800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framePr w:w="10579" w:h="7022" w:vSpace="312" w:wrap="notBeside" w:vAnchor="text" w:hAnchor="text" w:x="195" w:y="313"/>
              <w:widowControl w:val="0"/>
              <w:rPr>
                <w:sz w:val="10"/>
                <w:szCs w:val="10"/>
              </w:rPr>
            </w:pPr>
          </w:p>
        </w:tc>
        <w:tc>
          <w:tcPr>
            <w:tcBorders>
              <w:top w:val="single" w:sz="4"/>
              <w:left w:val="single" w:sz="4"/>
              <w:right w:val="single" w:sz="4"/>
            </w:tcBorders>
            <w:shd w:val="clear" w:color="auto" w:fill="FFFFFF"/>
            <w:vAlign w:val="top"/>
          </w:tcPr>
          <w:p>
            <w:pPr>
              <w:framePr w:w="10579" w:h="7022" w:vSpace="312" w:wrap="notBeside" w:vAnchor="text" w:hAnchor="text" w:x="195" w:y="313"/>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钟小春</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1.79%</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10,677,966</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10,677,966</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framePr w:w="10579" w:h="7022" w:vSpace="312" w:wrap="notBeside" w:vAnchor="text" w:hAnchor="text" w:x="195" w:y="313"/>
              <w:widowControl w:val="0"/>
              <w:rPr>
                <w:sz w:val="10"/>
                <w:szCs w:val="10"/>
              </w:rPr>
            </w:pPr>
          </w:p>
        </w:tc>
        <w:tc>
          <w:tcPr>
            <w:tcBorders>
              <w:top w:val="single" w:sz="4"/>
              <w:left w:val="single" w:sz="4"/>
              <w:right w:val="single" w:sz="4"/>
            </w:tcBorders>
            <w:shd w:val="clear" w:color="auto" w:fill="FFFFFF"/>
            <w:vAlign w:val="top"/>
          </w:tcPr>
          <w:p>
            <w:pPr>
              <w:framePr w:w="10579" w:h="7022" w:vSpace="312" w:wrap="notBeside" w:vAnchor="text" w:hAnchor="text" w:x="195" w:y="313"/>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付艳杰</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1.37%</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8,172,049</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-27,500,524</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8,172,049</w:t>
            </w:r>
          </w:p>
        </w:tc>
        <w:tc>
          <w:tcPr>
            <w:tcBorders>
              <w:top w:val="single" w:sz="4"/>
              <w:left w:val="single" w:sz="4"/>
            </w:tcBorders>
            <w:shd w:val="clear" w:color="auto" w:fill="FFFFFF"/>
            <w:vAlign w:val="top"/>
          </w:tcPr>
          <w:p>
            <w:pPr>
              <w:framePr w:w="10579" w:h="7022" w:vSpace="312" w:wrap="notBeside" w:vAnchor="text" w:hAnchor="text" w:x="195" w:y="313"/>
              <w:widowControl w:val="0"/>
              <w:rPr>
                <w:sz w:val="10"/>
                <w:szCs w:val="10"/>
              </w:rPr>
            </w:pPr>
          </w:p>
        </w:tc>
        <w:tc>
          <w:tcPr>
            <w:tcBorders>
              <w:top w:val="single" w:sz="4"/>
              <w:left w:val="single" w:sz="4"/>
              <w:right w:val="single" w:sz="4"/>
            </w:tcBorders>
            <w:shd w:val="clear" w:color="auto" w:fill="FFFFFF"/>
            <w:vAlign w:val="top"/>
          </w:tcPr>
          <w:p>
            <w:pPr>
              <w:framePr w:w="10579" w:h="7022" w:vSpace="312" w:wrap="notBeside" w:vAnchor="text" w:hAnchor="text" w:x="195" w:y="313"/>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马路丁</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1.13%</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6,764,306</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6,764,306</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6,764,306</w:t>
            </w:r>
          </w:p>
        </w:tc>
        <w:tc>
          <w:tcPr>
            <w:tcBorders>
              <w:top w:val="single" w:sz="4"/>
              <w:left w:val="single" w:sz="4"/>
            </w:tcBorders>
            <w:shd w:val="clear" w:color="auto" w:fill="FFFFFF"/>
            <w:vAlign w:val="top"/>
          </w:tcPr>
          <w:p>
            <w:pPr>
              <w:framePr w:w="10579" w:h="7022" w:vSpace="312" w:wrap="notBeside" w:vAnchor="text" w:hAnchor="text" w:x="195" w:y="313"/>
              <w:widowControl w:val="0"/>
              <w:rPr>
                <w:sz w:val="10"/>
                <w:szCs w:val="10"/>
              </w:rPr>
            </w:pPr>
          </w:p>
        </w:tc>
        <w:tc>
          <w:tcPr>
            <w:tcBorders>
              <w:top w:val="single" w:sz="4"/>
              <w:left w:val="single" w:sz="4"/>
              <w:right w:val="single" w:sz="4"/>
            </w:tcBorders>
            <w:shd w:val="clear" w:color="auto" w:fill="FFFFFF"/>
            <w:vAlign w:val="top"/>
          </w:tcPr>
          <w:p>
            <w:pPr>
              <w:framePr w:w="10579" w:h="7022" w:vSpace="312" w:wrap="notBeside" w:vAnchor="text" w:hAnchor="text" w:x="195" w:y="313"/>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钟一翔</w:t>
            </w:r>
          </w:p>
        </w:tc>
        <w:tc>
          <w:tcPr>
            <w:tcBorders>
              <w:top w:val="single" w:sz="4"/>
              <w:left w:val="single" w:sz="4"/>
              <w:bottom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bottom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1.04%</w:t>
            </w:r>
          </w:p>
        </w:tc>
        <w:tc>
          <w:tcPr>
            <w:tcBorders>
              <w:top w:val="single" w:sz="4"/>
              <w:left w:val="single" w:sz="4"/>
              <w:bottom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6,200,000</w:t>
            </w:r>
          </w:p>
        </w:tc>
        <w:tc>
          <w:tcPr>
            <w:tcBorders>
              <w:top w:val="single" w:sz="4"/>
              <w:left w:val="single" w:sz="4"/>
              <w:bottom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6,200,000</w:t>
            </w:r>
          </w:p>
        </w:tc>
        <w:tc>
          <w:tcPr>
            <w:tcBorders>
              <w:top w:val="single" w:sz="4"/>
              <w:left w:val="single" w:sz="4"/>
              <w:bottom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44"/>
              <w:keepNext w:val="0"/>
              <w:keepLines w:val="0"/>
              <w:framePr w:w="10579" w:h="7022" w:vSpace="312" w:wrap="notBeside" w:vAnchor="text" w:hAnchor="text" w:x="195" w:y="313"/>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6,200,000</w:t>
            </w:r>
          </w:p>
        </w:tc>
        <w:tc>
          <w:tcPr>
            <w:tcBorders>
              <w:top w:val="single" w:sz="4"/>
              <w:left w:val="single" w:sz="4"/>
              <w:bottom w:val="single" w:sz="4"/>
            </w:tcBorders>
            <w:shd w:val="clear" w:color="auto" w:fill="FFFFFF"/>
            <w:vAlign w:val="top"/>
          </w:tcPr>
          <w:p>
            <w:pPr>
              <w:framePr w:w="10579" w:h="7022" w:vSpace="312" w:wrap="notBeside" w:vAnchor="text" w:hAnchor="text" w:x="195" w:y="313"/>
              <w:widowControl w:val="0"/>
              <w:rPr>
                <w:sz w:val="10"/>
                <w:szCs w:val="10"/>
              </w:rPr>
            </w:pPr>
          </w:p>
        </w:tc>
        <w:tc>
          <w:tcPr>
            <w:tcBorders>
              <w:top w:val="single" w:sz="4"/>
              <w:left w:val="single" w:sz="4"/>
              <w:bottom w:val="single" w:sz="4"/>
              <w:right w:val="single" w:sz="4"/>
            </w:tcBorders>
            <w:shd w:val="clear" w:color="auto" w:fill="FFFFFF"/>
            <w:vAlign w:val="top"/>
          </w:tcPr>
          <w:p>
            <w:pPr>
              <w:framePr w:w="10579" w:h="7022" w:vSpace="312" w:wrap="notBeside" w:vAnchor="text" w:hAnchor="text" w:x="195" w:y="313"/>
              <w:widowControl w:val="0"/>
              <w:rPr>
                <w:sz w:val="10"/>
                <w:szCs w:val="10"/>
              </w:rPr>
            </w:pPr>
          </w:p>
        </w:tc>
      </w:tr>
    </w:tbl>
    <w:p>
      <w:pPr>
        <w:pStyle w:val="Style49"/>
        <w:keepNext w:val="0"/>
        <w:keepLines w:val="0"/>
        <w:framePr w:w="3470" w:h="240" w:hSpace="194" w:wrap="notBeside" w:vAnchor="text" w:hAnchor="text" w:x="3757" w:y="1"/>
        <w:widowControl w:val="0"/>
        <w:shd w:val="clear" w:color="auto" w:fill="auto"/>
        <w:bidi w:val="0"/>
        <w:spacing w:before="0" w:after="0" w:line="240" w:lineRule="auto"/>
        <w:ind w:left="0" w:right="0" w:firstLine="0"/>
        <w:jc w:val="left"/>
      </w:pPr>
      <w:r>
        <w:rPr>
          <w:color w:val="000000"/>
          <w:spacing w:val="0"/>
          <w:w w:val="100"/>
          <w:position w:val="0"/>
        </w:rPr>
        <w:t>持股</w:t>
      </w:r>
      <w:r>
        <w:rPr>
          <w:rFonts w:ascii="Times New Roman" w:eastAsia="Times New Roman" w:hAnsi="Times New Roman" w:cs="Times New Roman"/>
          <w:color w:val="000000"/>
          <w:spacing w:val="0"/>
          <w:w w:val="100"/>
          <w:position w:val="0"/>
        </w:rPr>
        <w:t>5%</w:t>
      </w:r>
      <w:r>
        <w:rPr>
          <w:color w:val="000000"/>
          <w:spacing w:val="0"/>
          <w:w w:val="100"/>
          <w:position w:val="0"/>
        </w:rPr>
        <w:t>以上的股东或前</w:t>
      </w:r>
      <w:r>
        <w:rPr>
          <w:rFonts w:ascii="Times New Roman" w:eastAsia="Times New Roman" w:hAnsi="Times New Roman" w:cs="Times New Roman"/>
          <w:color w:val="000000"/>
          <w:spacing w:val="0"/>
          <w:w w:val="100"/>
          <w:position w:val="0"/>
        </w:rPr>
        <w:t>10</w:t>
      </w:r>
      <w:r>
        <w:rPr>
          <w:color w:val="000000"/>
          <w:spacing w:val="0"/>
          <w:w w:val="100"/>
          <w:position w:val="0"/>
        </w:rPr>
        <w:t>名股东持股情况</w:t>
      </w:r>
    </w:p>
    <w:p>
      <w:pPr>
        <w:pStyle w:val="Style49"/>
        <w:keepNext w:val="0"/>
        <w:keepLines w:val="0"/>
        <w:framePr w:w="221" w:h="235" w:hSpace="194" w:wrap="notBeside" w:vAnchor="text" w:hAnchor="text" w:x="3334" w:y="7580"/>
        <w:widowControl w:val="0"/>
        <w:shd w:val="clear" w:color="auto" w:fill="auto"/>
        <w:bidi w:val="0"/>
        <w:spacing w:before="0" w:after="0" w:line="240" w:lineRule="auto"/>
        <w:ind w:left="0" w:right="0" w:firstLine="0"/>
        <w:jc w:val="left"/>
      </w:pPr>
      <w:r>
        <w:rPr>
          <w:color w:val="000000"/>
          <w:spacing w:val="0"/>
          <w:w w:val="100"/>
          <w:position w:val="0"/>
        </w:rPr>
        <w:t>无</w:t>
      </w:r>
    </w:p>
    <w:p>
      <w:pPr>
        <w:widowControl w:val="0"/>
        <w:spacing w:line="1" w:lineRule="exact"/>
      </w:pPr>
    </w:p>
    <w:p>
      <w:pPr>
        <w:pStyle w:val="Style32"/>
        <w:keepNext w:val="0"/>
        <w:keepLines w:val="0"/>
        <w:widowControl w:val="0"/>
        <w:shd w:val="clear" w:color="auto" w:fill="auto"/>
        <w:bidi w:val="0"/>
        <w:spacing w:before="0" w:after="180" w:line="240" w:lineRule="auto"/>
        <w:ind w:left="0" w:right="0" w:firstLine="0"/>
        <w:jc w:val="left"/>
      </w:pPr>
      <w:r>
        <w:drawing>
          <wp:anchor distT="0" distB="0" distL="114300" distR="135890" simplePos="0" relativeHeight="125829432" behindDoc="0" locked="0" layoutInCell="1" allowOverlap="1">
            <wp:simplePos x="0" y="0"/>
            <wp:positionH relativeFrom="page">
              <wp:posOffset>661670</wp:posOffset>
            </wp:positionH>
            <wp:positionV relativeFrom="margin">
              <wp:posOffset>-295275</wp:posOffset>
            </wp:positionV>
            <wp:extent cx="1298575" cy="494030"/>
            <wp:wrapTopAndBottom/>
            <wp:docPr id="383" name="Shape 383"/>
            <a:graphic xmlns:a="http://schemas.openxmlformats.org/drawingml/2006/main">
              <a:graphicData uri="http://schemas.openxmlformats.org/drawingml/2006/picture">
                <pic:pic xmlns:pic="http://schemas.openxmlformats.org/drawingml/2006/picture">
                  <pic:nvPicPr>
                    <pic:cNvPr id="384" name="Picture box 384"/>
                    <pic:cNvPicPr/>
                  </pic:nvPicPr>
                  <pic:blipFill>
                    <a:blip r:embed="rId175"/>
                    <a:stretch/>
                  </pic:blipFill>
                  <pic:spPr>
                    <a:xfrm>
                      <a:ext cx="1298575" cy="49403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1158240</wp:posOffset>
                </wp:positionH>
                <wp:positionV relativeFrom="margin">
                  <wp:posOffset>-51435</wp:posOffset>
                </wp:positionV>
                <wp:extent cx="819785" cy="247015"/>
                <wp:wrapNone/>
                <wp:docPr id="385" name="Shape 385"/>
                <a:graphic xmlns:a="http://schemas.openxmlformats.org/drawingml/2006/main">
                  <a:graphicData uri="http://schemas.microsoft.com/office/word/2010/wordprocessingShape">
                    <wps:wsp>
                      <wps:cNvSpPr txBox="1"/>
                      <wps:spPr>
                        <a:xfrm>
                          <a:ext cx="819785" cy="247015"/>
                        </a:xfrm>
                        <a:prstGeom prst="rect"/>
                        <a:noFill/>
                      </wps:spPr>
                      <wps:txbx>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411" type="#_x0000_t202" style="position:absolute;margin-left:91.200000000000003pt;margin-top:-4.0499999999999998pt;width:64.549999999999997pt;height:19.449999999999999pt;z-index:251657733;mso-wrap-distance-left:0;mso-wrap-distance-right:0;mso-position-horizontal-relative:page;mso-position-vertical-relative:margin" filled="f" stroked="f">
                <v:textbox inset="0,0,0,0">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anchorx="page" anchory="margin"/>
              </v:shape>
            </w:pict>
          </mc:Fallback>
        </mc:AlternateContent>
      </w:r>
      <w:r>
        <mc:AlternateContent>
          <mc:Choice Requires="wps">
            <w:drawing>
              <wp:anchor distT="0" distB="0" distL="0" distR="0" simplePos="0" relativeHeight="125829433" behindDoc="0" locked="0" layoutInCell="1" allowOverlap="1">
                <wp:simplePos x="0" y="0"/>
                <wp:positionH relativeFrom="page">
                  <wp:posOffset>368935</wp:posOffset>
                </wp:positionH>
                <wp:positionV relativeFrom="margin">
                  <wp:posOffset>4898390</wp:posOffset>
                </wp:positionV>
                <wp:extent cx="1969135" cy="393065"/>
                <wp:wrapSquare wrapText="bothSides"/>
                <wp:docPr id="387" name="Shape 387"/>
                <a:graphic xmlns:a="http://schemas.openxmlformats.org/drawingml/2006/main">
                  <a:graphicData uri="http://schemas.microsoft.com/office/word/2010/wordprocessingShape">
                    <wps:wsp>
                      <wps:cNvSpPr txBox="1"/>
                      <wps:spPr>
                        <a:xfrm>
                          <a:ext cx="1969135" cy="393065"/>
                        </a:xfrm>
                        <a:prstGeom prst="rect"/>
                        <a:noFill/>
                      </wps:spPr>
                      <wps:txbx>
                        <w:txbxContent>
                          <w:p>
                            <w:pPr>
                              <w:pStyle w:val="Style32"/>
                              <w:keepNext w:val="0"/>
                              <w:keepLines w:val="0"/>
                              <w:widowControl w:val="0"/>
                              <w:shd w:val="clear" w:color="auto" w:fill="auto"/>
                              <w:bidi w:val="0"/>
                              <w:spacing w:before="0" w:after="0" w:line="293" w:lineRule="exact"/>
                              <w:ind w:left="0" w:right="0" w:firstLine="0"/>
                              <w:jc w:val="left"/>
                            </w:pPr>
                            <w:r>
                              <w:rPr>
                                <w:color w:val="000000"/>
                                <w:spacing w:val="0"/>
                                <w:w w:val="100"/>
                                <w:position w:val="0"/>
                              </w:rPr>
                              <w:t>战略投资者或一般法人因配售新股成为 前</w:t>
                            </w:r>
                            <w:r>
                              <w:rPr>
                                <w:rFonts w:ascii="Times New Roman" w:eastAsia="Times New Roman" w:hAnsi="Times New Roman" w:cs="Times New Roman"/>
                                <w:color w:val="000000"/>
                                <w:spacing w:val="0"/>
                                <w:w w:val="100"/>
                                <w:position w:val="0"/>
                              </w:rPr>
                              <w:t>10</w:t>
                            </w:r>
                            <w:r>
                              <w:rPr>
                                <w:color w:val="000000"/>
                                <w:spacing w:val="0"/>
                                <w:w w:val="100"/>
                                <w:position w:val="0"/>
                              </w:rPr>
                              <w:t>名股东的情况</w:t>
                            </w:r>
                          </w:p>
                        </w:txbxContent>
                      </wps:txbx>
                      <wps:bodyPr lIns="0" tIns="0" rIns="0" bIns="0">
                        <a:noAutoFit/>
                      </wps:bodyPr>
                    </wps:wsp>
                  </a:graphicData>
                </a:graphic>
              </wp:anchor>
            </w:drawing>
          </mc:Choice>
          <mc:Fallback>
            <w:pict>
              <v:shape id="_x0000_s1413" type="#_x0000_t202" style="position:absolute;margin-left:29.050000000000001pt;margin-top:385.69999999999999pt;width:155.05000000000001pt;height:30.949999999999999pt;z-index:-125829320;mso-wrap-distance-left:0;mso-wrap-distance-right:0;mso-position-horizontal-relative:page;mso-position-vertical-relative:margin" filled="f" stroked="f">
                <v:textbox inset="0,0,0,0">
                  <w:txbxContent>
                    <w:p>
                      <w:pPr>
                        <w:pStyle w:val="Style32"/>
                        <w:keepNext w:val="0"/>
                        <w:keepLines w:val="0"/>
                        <w:widowControl w:val="0"/>
                        <w:shd w:val="clear" w:color="auto" w:fill="auto"/>
                        <w:bidi w:val="0"/>
                        <w:spacing w:before="0" w:after="0" w:line="293" w:lineRule="exact"/>
                        <w:ind w:left="0" w:right="0" w:firstLine="0"/>
                        <w:jc w:val="left"/>
                      </w:pPr>
                      <w:r>
                        <w:rPr>
                          <w:color w:val="000000"/>
                          <w:spacing w:val="0"/>
                          <w:w w:val="100"/>
                          <w:position w:val="0"/>
                        </w:rPr>
                        <w:t>战略投资者或一般法人因配售新股成为 前</w:t>
                      </w:r>
                      <w:r>
                        <w:rPr>
                          <w:rFonts w:ascii="Times New Roman" w:eastAsia="Times New Roman" w:hAnsi="Times New Roman" w:cs="Times New Roman"/>
                          <w:color w:val="000000"/>
                          <w:spacing w:val="0"/>
                          <w:w w:val="100"/>
                          <w:position w:val="0"/>
                        </w:rPr>
                        <w:t>10</w:t>
                      </w:r>
                      <w:r>
                        <w:rPr>
                          <w:color w:val="000000"/>
                          <w:spacing w:val="0"/>
                          <w:w w:val="100"/>
                          <w:position w:val="0"/>
                        </w:rPr>
                        <w:t>名股东的情况</w:t>
                      </w:r>
                    </w:p>
                  </w:txbxContent>
                </v:textbox>
                <w10:wrap type="square" anchorx="page" anchory="margin"/>
              </v:shape>
            </w:pict>
          </mc:Fallback>
        </mc:AlternateContent>
      </w:r>
      <w:r>
        <w:rPr>
          <w:color w:val="000000"/>
          <w:spacing w:val="0"/>
          <w:w w:val="100"/>
          <w:position w:val="0"/>
        </w:rPr>
        <w:t xml:space="preserve">上述股东关联关系或一致行动的说明 </w:t>
      </w:r>
      <w:r>
        <w:rPr>
          <w:color w:val="000000"/>
          <w:spacing w:val="0"/>
          <w:w w:val="100"/>
          <w:position w:val="0"/>
        </w:rPr>
        <w:t>上述股东涉及委托</w:t>
      </w:r>
      <w:r>
        <w:rPr>
          <w:rFonts w:ascii="Times New Roman" w:eastAsia="Times New Roman" w:hAnsi="Times New Roman" w:cs="Times New Roman"/>
          <w:color w:val="000000"/>
          <w:spacing w:val="0"/>
          <w:w w:val="100"/>
          <w:position w:val="0"/>
        </w:rPr>
        <w:t>/</w:t>
      </w:r>
      <w:r>
        <w:rPr>
          <w:color w:val="000000"/>
          <w:spacing w:val="0"/>
          <w:w w:val="100"/>
          <w:position w:val="0"/>
        </w:rPr>
        <w:t>受托表决权、放弃表 决权情况的说明</w:t>
      </w:r>
    </w:p>
    <w:p>
      <w:pPr>
        <w:pStyle w:val="Style32"/>
        <w:keepNext w:val="0"/>
        <w:keepLines w:val="0"/>
        <w:widowControl w:val="0"/>
        <w:shd w:val="clear" w:color="auto" w:fill="auto"/>
        <w:bidi w:val="0"/>
        <w:spacing w:before="0" w:after="180" w:line="240" w:lineRule="auto"/>
        <w:ind w:left="0" w:right="0" w:firstLine="0"/>
        <w:jc w:val="center"/>
        <w:sectPr>
          <w:footnotePr>
            <w:pos w:val="pageBottom"/>
            <w:numFmt w:val="decimal"/>
            <w:numRestart w:val="continuous"/>
          </w:footnotePr>
          <w:pgSz w:w="11900" w:h="16840"/>
          <w:pgMar w:top="1114" w:right="564" w:bottom="1614" w:left="367" w:header="0" w:footer="3" w:gutter="0"/>
          <w:cols w:space="720"/>
          <w:noEndnote/>
          <w:rtlGutter w:val="0"/>
          <w:docGrid w:linePitch="360"/>
        </w:sectPr>
      </w:pPr>
      <w:r>
        <mc:AlternateContent>
          <mc:Choice Requires="wps">
            <w:drawing>
              <wp:anchor distT="166370" distB="2112010" distL="1446530" distR="4996815" simplePos="0" relativeHeight="125829435" behindDoc="0" locked="0" layoutInCell="1" allowOverlap="1">
                <wp:simplePos x="0" y="0"/>
                <wp:positionH relativeFrom="page">
                  <wp:posOffset>1697990</wp:posOffset>
                </wp:positionH>
                <wp:positionV relativeFrom="margin">
                  <wp:posOffset>6489700</wp:posOffset>
                </wp:positionV>
                <wp:extent cx="484505" cy="149225"/>
                <wp:wrapTopAndBottom/>
                <wp:docPr id="389" name="Shape 389"/>
                <a:graphic xmlns:a="http://schemas.openxmlformats.org/drawingml/2006/main">
                  <a:graphicData uri="http://schemas.microsoft.com/office/word/2010/wordprocessingShape">
                    <wps:wsp>
                      <wps:cNvSpPr txBox="1"/>
                      <wps:spPr>
                        <a:xfrm>
                          <a:ext cx="484505"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股东名称</w:t>
                            </w:r>
                          </w:p>
                        </w:txbxContent>
                      </wps:txbx>
                      <wps:bodyPr wrap="none" lIns="0" tIns="0" rIns="0" bIns="0">
                        <a:noAutoFit/>
                      </wps:bodyPr>
                    </wps:wsp>
                  </a:graphicData>
                </a:graphic>
              </wp:anchor>
            </w:drawing>
          </mc:Choice>
          <mc:Fallback>
            <w:pict>
              <v:shape id="_x0000_s1415" type="#_x0000_t202" style="position:absolute;margin-left:133.69999999999999pt;margin-top:511.pt;width:38.149999999999999pt;height:11.75pt;z-index:-125829318;mso-wrap-distance-left:113.90000000000001pt;mso-wrap-distance-top:13.1pt;mso-wrap-distance-right:393.44999999999999pt;mso-wrap-distance-bottom:166.3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股东名称</w:t>
                      </w:r>
                    </w:p>
                  </w:txbxContent>
                </v:textbox>
                <w10:wrap type="topAndBottom" anchorx="page" anchory="margin"/>
              </v:shape>
            </w:pict>
          </mc:Fallback>
        </mc:AlternateContent>
      </w:r>
      <w:r>
        <mc:AlternateContent>
          <mc:Choice Requires="wps">
            <w:drawing>
              <wp:anchor distT="53340" distB="2225040" distL="3342005" distR="2302510" simplePos="0" relativeHeight="125829437" behindDoc="0" locked="0" layoutInCell="1" allowOverlap="1">
                <wp:simplePos x="0" y="0"/>
                <wp:positionH relativeFrom="page">
                  <wp:posOffset>3593465</wp:posOffset>
                </wp:positionH>
                <wp:positionV relativeFrom="margin">
                  <wp:posOffset>6376670</wp:posOffset>
                </wp:positionV>
                <wp:extent cx="1283335" cy="149225"/>
                <wp:wrapTopAndBottom/>
                <wp:docPr id="391" name="Shape 391"/>
                <a:graphic xmlns:a="http://schemas.openxmlformats.org/drawingml/2006/main">
                  <a:graphicData uri="http://schemas.microsoft.com/office/word/2010/wordprocessingShape">
                    <wps:wsp>
                      <wps:cNvSpPr txBox="1"/>
                      <wps:spPr>
                        <a:xfrm>
                          <a:ext cx="1283335"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报告期末持有无限售条件</w:t>
                            </w:r>
                          </w:p>
                        </w:txbxContent>
                      </wps:txbx>
                      <wps:bodyPr wrap="none" lIns="0" tIns="0" rIns="0" bIns="0">
                        <a:noAutoFit/>
                      </wps:bodyPr>
                    </wps:wsp>
                  </a:graphicData>
                </a:graphic>
              </wp:anchor>
            </w:drawing>
          </mc:Choice>
          <mc:Fallback>
            <w:pict>
              <v:shape id="_x0000_s1417" type="#_x0000_t202" style="position:absolute;margin-left:282.94999999999999pt;margin-top:502.10000000000002pt;width:101.05pt;height:11.75pt;z-index:-125829316;mso-wrap-distance-left:263.14999999999998pt;mso-wrap-distance-top:4.2000000000000002pt;mso-wrap-distance-right:181.30000000000001pt;mso-wrap-distance-bottom:175.20000000000002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报告期末持有无限售条件</w:t>
                      </w:r>
                    </w:p>
                  </w:txbxContent>
                </v:textbox>
                <w10:wrap type="topAndBottom" anchorx="page" anchory="margin"/>
              </v:shape>
            </w:pict>
          </mc:Fallback>
        </mc:AlternateContent>
      </w:r>
      <w:r>
        <mc:AlternateContent>
          <mc:Choice Requires="wps">
            <w:drawing>
              <wp:anchor distT="278765" distB="2002790" distL="3741420" distR="2701925" simplePos="0" relativeHeight="125829439" behindDoc="0" locked="0" layoutInCell="1" allowOverlap="1">
                <wp:simplePos x="0" y="0"/>
                <wp:positionH relativeFrom="page">
                  <wp:posOffset>3992880</wp:posOffset>
                </wp:positionH>
                <wp:positionV relativeFrom="margin">
                  <wp:posOffset>6602095</wp:posOffset>
                </wp:positionV>
                <wp:extent cx="484505" cy="146050"/>
                <wp:wrapTopAndBottom/>
                <wp:docPr id="393" name="Shape 393"/>
                <a:graphic xmlns:a="http://schemas.openxmlformats.org/drawingml/2006/main">
                  <a:graphicData uri="http://schemas.microsoft.com/office/word/2010/wordprocessingShape">
                    <wps:wsp>
                      <wps:cNvSpPr txBox="1"/>
                      <wps:spPr>
                        <a:xfrm>
                          <a:ext cx="484505"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股份数量</w:t>
                            </w:r>
                          </w:p>
                        </w:txbxContent>
                      </wps:txbx>
                      <wps:bodyPr wrap="none" lIns="0" tIns="0" rIns="0" bIns="0">
                        <a:noAutoFit/>
                      </wps:bodyPr>
                    </wps:wsp>
                  </a:graphicData>
                </a:graphic>
              </wp:anchor>
            </w:drawing>
          </mc:Choice>
          <mc:Fallback>
            <w:pict>
              <v:shape id="_x0000_s1419" type="#_x0000_t202" style="position:absolute;margin-left:314.40000000000003pt;margin-top:519.85000000000002pt;width:38.149999999999999pt;height:11.5pt;z-index:-125829314;mso-wrap-distance-left:294.60000000000002pt;mso-wrap-distance-top:21.949999999999999pt;mso-wrap-distance-right:212.75pt;mso-wrap-distance-bottom:157.70000000000002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股份数量</w:t>
                      </w:r>
                    </w:p>
                  </w:txbxContent>
                </v:textbox>
                <w10:wrap type="topAndBottom" anchorx="page" anchory="margin"/>
              </v:shape>
            </w:pict>
          </mc:Fallback>
        </mc:AlternateContent>
      </w:r>
      <w:r>
        <mc:AlternateContent>
          <mc:Choice Requires="wps">
            <w:drawing>
              <wp:anchor distT="294005" distB="1984375" distL="4957445" distR="1489075" simplePos="0" relativeHeight="125829441" behindDoc="0" locked="0" layoutInCell="1" allowOverlap="1">
                <wp:simplePos x="0" y="0"/>
                <wp:positionH relativeFrom="page">
                  <wp:posOffset>5208905</wp:posOffset>
                </wp:positionH>
                <wp:positionV relativeFrom="margin">
                  <wp:posOffset>6617335</wp:posOffset>
                </wp:positionV>
                <wp:extent cx="481330" cy="149225"/>
                <wp:wrapTopAndBottom/>
                <wp:docPr id="395" name="Shape 395"/>
                <a:graphic xmlns:a="http://schemas.openxmlformats.org/drawingml/2006/main">
                  <a:graphicData uri="http://schemas.microsoft.com/office/word/2010/wordprocessingShape">
                    <wps:wsp>
                      <wps:cNvSpPr txBox="1"/>
                      <wps:spPr>
                        <a:xfrm>
                          <a:ext cx="48133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股份种类</w:t>
                            </w:r>
                          </w:p>
                        </w:txbxContent>
                      </wps:txbx>
                      <wps:bodyPr wrap="none" lIns="0" tIns="0" rIns="0" bIns="0">
                        <a:noAutoFit/>
                      </wps:bodyPr>
                    </wps:wsp>
                  </a:graphicData>
                </a:graphic>
              </wp:anchor>
            </w:drawing>
          </mc:Choice>
          <mc:Fallback>
            <w:pict>
              <v:shape id="_x0000_s1421" type="#_x0000_t202" style="position:absolute;margin-left:410.15000000000003pt;margin-top:521.04999999999995pt;width:37.899999999999999pt;height:11.75pt;z-index:-125829312;mso-wrap-distance-left:390.35000000000002pt;mso-wrap-distance-top:23.150000000000002pt;mso-wrap-distance-right:117.25pt;mso-wrap-distance-bottom:156.25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股份种类</w:t>
                      </w:r>
                    </w:p>
                  </w:txbxContent>
                </v:textbox>
                <w10:wrap type="topAndBottom" anchorx="page" anchory="margin"/>
              </v:shape>
            </w:pict>
          </mc:Fallback>
        </mc:AlternateContent>
      </w:r>
      <w:r>
        <mc:AlternateContent>
          <mc:Choice Requires="wps">
            <w:drawing>
              <wp:anchor distT="38100" distB="2240280" distL="5518150" distR="925195" simplePos="0" relativeHeight="125829443" behindDoc="0" locked="0" layoutInCell="1" allowOverlap="1">
                <wp:simplePos x="0" y="0"/>
                <wp:positionH relativeFrom="page">
                  <wp:posOffset>5769610</wp:posOffset>
                </wp:positionH>
                <wp:positionV relativeFrom="margin">
                  <wp:posOffset>6361430</wp:posOffset>
                </wp:positionV>
                <wp:extent cx="484505" cy="149225"/>
                <wp:wrapTopAndBottom/>
                <wp:docPr id="397" name="Shape 397"/>
                <a:graphic xmlns:a="http://schemas.openxmlformats.org/drawingml/2006/main">
                  <a:graphicData uri="http://schemas.microsoft.com/office/word/2010/wordprocessingShape">
                    <wps:wsp>
                      <wps:cNvSpPr txBox="1"/>
                      <wps:spPr>
                        <a:xfrm>
                          <a:ext cx="484505"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股份种类</w:t>
                            </w:r>
                          </w:p>
                        </w:txbxContent>
                      </wps:txbx>
                      <wps:bodyPr wrap="none" lIns="0" tIns="0" rIns="0" bIns="0">
                        <a:noAutoFit/>
                      </wps:bodyPr>
                    </wps:wsp>
                  </a:graphicData>
                </a:graphic>
              </wp:anchor>
            </w:drawing>
          </mc:Choice>
          <mc:Fallback>
            <w:pict>
              <v:shape id="_x0000_s1423" type="#_x0000_t202" style="position:absolute;margin-left:454.30000000000001pt;margin-top:500.90000000000003pt;width:38.149999999999999pt;height:11.75pt;z-index:-125829310;mso-wrap-distance-left:434.5pt;mso-wrap-distance-top:3.pt;mso-wrap-distance-right:72.850000000000009pt;mso-wrap-distance-bottom:176.4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股份种类</w:t>
                      </w:r>
                    </w:p>
                  </w:txbxContent>
                </v:textbox>
                <w10:wrap type="topAndBottom" anchorx="page" anchory="margin"/>
              </v:shape>
            </w:pict>
          </mc:Fallback>
        </mc:AlternateContent>
      </w:r>
      <w:r>
        <mc:AlternateContent>
          <mc:Choice Requires="wps">
            <w:drawing>
              <wp:anchor distT="294005" distB="1984375" distL="6127750" distR="544195" simplePos="0" relativeHeight="125829445" behindDoc="0" locked="0" layoutInCell="1" allowOverlap="1">
                <wp:simplePos x="0" y="0"/>
                <wp:positionH relativeFrom="page">
                  <wp:posOffset>6379210</wp:posOffset>
                </wp:positionH>
                <wp:positionV relativeFrom="margin">
                  <wp:posOffset>6617335</wp:posOffset>
                </wp:positionV>
                <wp:extent cx="255905" cy="149225"/>
                <wp:wrapTopAndBottom/>
                <wp:docPr id="399" name="Shape 399"/>
                <a:graphic xmlns:a="http://schemas.openxmlformats.org/drawingml/2006/main">
                  <a:graphicData uri="http://schemas.microsoft.com/office/word/2010/wordprocessingShape">
                    <wps:wsp>
                      <wps:cNvSpPr txBox="1"/>
                      <wps:spPr>
                        <a:xfrm>
                          <a:ext cx="255905"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right"/>
                            </w:pPr>
                            <w:r>
                              <w:rPr>
                                <w:color w:val="000000"/>
                                <w:spacing w:val="0"/>
                                <w:w w:val="100"/>
                                <w:position w:val="0"/>
                              </w:rPr>
                              <w:t>数量</w:t>
                            </w:r>
                          </w:p>
                        </w:txbxContent>
                      </wps:txbx>
                      <wps:bodyPr wrap="none" lIns="0" tIns="0" rIns="0" bIns="0">
                        <a:noAutoFit/>
                      </wps:bodyPr>
                    </wps:wsp>
                  </a:graphicData>
                </a:graphic>
              </wp:anchor>
            </w:drawing>
          </mc:Choice>
          <mc:Fallback>
            <w:pict>
              <v:shape id="_x0000_s1425" type="#_x0000_t202" style="position:absolute;margin-left:502.30000000000001pt;margin-top:521.04999999999995pt;width:20.150000000000002pt;height:11.75pt;z-index:-125829308;mso-wrap-distance-left:482.5pt;mso-wrap-distance-top:23.150000000000002pt;mso-wrap-distance-right:42.850000000000001pt;mso-wrap-distance-bottom:156.25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right"/>
                      </w:pPr>
                      <w:r>
                        <w:rPr>
                          <w:color w:val="000000"/>
                          <w:spacing w:val="0"/>
                          <w:w w:val="100"/>
                          <w:position w:val="0"/>
                        </w:rPr>
                        <w:t>数量</w:t>
                      </w:r>
                    </w:p>
                  </w:txbxContent>
                </v:textbox>
                <w10:wrap type="topAndBottom" anchorx="page" anchory="margin"/>
              </v:shape>
            </w:pict>
          </mc:Fallback>
        </mc:AlternateContent>
      </w:r>
      <w:r>
        <mc:AlternateContent>
          <mc:Choice Requires="wps">
            <w:drawing>
              <wp:anchor distT="549910" distB="1722120" distL="114300" distR="5585460" simplePos="0" relativeHeight="125829447" behindDoc="0" locked="0" layoutInCell="1" allowOverlap="1">
                <wp:simplePos x="0" y="0"/>
                <wp:positionH relativeFrom="page">
                  <wp:posOffset>365760</wp:posOffset>
                </wp:positionH>
                <wp:positionV relativeFrom="margin">
                  <wp:posOffset>6873240</wp:posOffset>
                </wp:positionV>
                <wp:extent cx="1228090" cy="155575"/>
                <wp:wrapTopAndBottom/>
                <wp:docPr id="401" name="Shape 401"/>
                <a:graphic xmlns:a="http://schemas.openxmlformats.org/drawingml/2006/main">
                  <a:graphicData uri="http://schemas.microsoft.com/office/word/2010/wordprocessingShape">
                    <wps:wsp>
                      <wps:cNvSpPr txBox="1"/>
                      <wps:spPr>
                        <a:xfrm>
                          <a:ext cx="1228090" cy="15557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辽宁国科实业有限公司</w:t>
                            </w:r>
                          </w:p>
                        </w:txbxContent>
                      </wps:txbx>
                      <wps:bodyPr wrap="none" lIns="0" tIns="0" rIns="0" bIns="0">
                        <a:noAutoFit/>
                      </wps:bodyPr>
                    </wps:wsp>
                  </a:graphicData>
                </a:graphic>
              </wp:anchor>
            </w:drawing>
          </mc:Choice>
          <mc:Fallback>
            <w:pict>
              <v:shape id="_x0000_s1427" type="#_x0000_t202" style="position:absolute;margin-left:28.800000000000001pt;margin-top:541.20000000000005pt;width:96.700000000000003pt;height:12.25pt;z-index:-125829306;mso-wrap-distance-left:9.pt;mso-wrap-distance-top:43.300000000000004pt;mso-wrap-distance-right:439.80000000000001pt;mso-wrap-distance-bottom:135.5999999999999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辽宁国科实业有限公司</w:t>
                      </w:r>
                    </w:p>
                  </w:txbxContent>
                </v:textbox>
                <w10:wrap type="topAndBottom" anchorx="page" anchory="margin"/>
              </v:shape>
            </w:pict>
          </mc:Fallback>
        </mc:AlternateContent>
      </w:r>
      <w:r>
        <mc:AlternateContent>
          <mc:Choice Requires="wps">
            <w:drawing>
              <wp:anchor distT="556260" distB="1727835" distL="4107180" distR="2229485" simplePos="0" relativeHeight="125829449" behindDoc="0" locked="0" layoutInCell="1" allowOverlap="1">
                <wp:simplePos x="0" y="0"/>
                <wp:positionH relativeFrom="page">
                  <wp:posOffset>4358640</wp:posOffset>
                </wp:positionH>
                <wp:positionV relativeFrom="margin">
                  <wp:posOffset>6879590</wp:posOffset>
                </wp:positionV>
                <wp:extent cx="591185" cy="143510"/>
                <wp:wrapTopAndBottom/>
                <wp:docPr id="403" name="Shape 403"/>
                <a:graphic xmlns:a="http://schemas.openxmlformats.org/drawingml/2006/main">
                  <a:graphicData uri="http://schemas.microsoft.com/office/word/2010/wordprocessingShape">
                    <wps:wsp>
                      <wps:cNvSpPr txBox="1"/>
                      <wps:spPr>
                        <a:xfrm>
                          <a:ext cx="591185" cy="14351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136,529,042</w:t>
                            </w:r>
                          </w:p>
                        </w:txbxContent>
                      </wps:txbx>
                      <wps:bodyPr wrap="none" lIns="0" tIns="0" rIns="0" bIns="0">
                        <a:noAutoFit/>
                      </wps:bodyPr>
                    </wps:wsp>
                  </a:graphicData>
                </a:graphic>
              </wp:anchor>
            </w:drawing>
          </mc:Choice>
          <mc:Fallback>
            <w:pict>
              <v:shape id="_x0000_s1429" type="#_x0000_t202" style="position:absolute;margin-left:343.19999999999999pt;margin-top:541.70000000000005pt;width:46.550000000000004pt;height:11.300000000000001pt;z-index:-125829304;mso-wrap-distance-left:323.40000000000003pt;mso-wrap-distance-top:43.800000000000004pt;mso-wrap-distance-right:175.55000000000001pt;mso-wrap-distance-bottom:136.05000000000001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136,529,042</w:t>
                      </w:r>
                    </w:p>
                  </w:txbxContent>
                </v:textbox>
                <w10:wrap type="topAndBottom" anchorx="page" anchory="margin"/>
              </v:shape>
            </w:pict>
          </mc:Fallback>
        </mc:AlternateContent>
      </w:r>
      <w:r>
        <mc:AlternateContent>
          <mc:Choice Requires="wps">
            <w:drawing>
              <wp:anchor distT="549910" distB="1731645" distL="4841875" distR="1372870" simplePos="0" relativeHeight="125829451" behindDoc="0" locked="0" layoutInCell="1" allowOverlap="1">
                <wp:simplePos x="0" y="0"/>
                <wp:positionH relativeFrom="page">
                  <wp:posOffset>5093335</wp:posOffset>
                </wp:positionH>
                <wp:positionV relativeFrom="margin">
                  <wp:posOffset>6873240</wp:posOffset>
                </wp:positionV>
                <wp:extent cx="713105" cy="146050"/>
                <wp:wrapTopAndBottom/>
                <wp:docPr id="405" name="Shape 405"/>
                <a:graphic xmlns:a="http://schemas.openxmlformats.org/drawingml/2006/main">
                  <a:graphicData uri="http://schemas.microsoft.com/office/word/2010/wordprocessingShape">
                    <wps:wsp>
                      <wps:cNvSpPr txBox="1"/>
                      <wps:spPr>
                        <a:xfrm>
                          <a:ext cx="713105"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wps:txbx>
                      <wps:bodyPr wrap="none" lIns="0" tIns="0" rIns="0" bIns="0">
                        <a:noAutoFit/>
                      </wps:bodyPr>
                    </wps:wsp>
                  </a:graphicData>
                </a:graphic>
              </wp:anchor>
            </w:drawing>
          </mc:Choice>
          <mc:Fallback>
            <w:pict>
              <v:shape id="_x0000_s1431" type="#_x0000_t202" style="position:absolute;margin-left:401.05000000000001pt;margin-top:541.20000000000005pt;width:56.149999999999999pt;height:11.5pt;z-index:-125829302;mso-wrap-distance-left:381.25pt;mso-wrap-distance-top:43.300000000000004pt;mso-wrap-distance-right:108.10000000000001pt;mso-wrap-distance-bottom:136.3499999999999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v:textbox>
                <w10:wrap type="topAndBottom" anchorx="page" anchory="margin"/>
              </v:shape>
            </w:pict>
          </mc:Fallback>
        </mc:AlternateContent>
      </w:r>
      <w:r>
        <mc:AlternateContent>
          <mc:Choice Requires="wps">
            <w:drawing>
              <wp:anchor distT="556260" distB="1727835" distL="6222365" distR="114300" simplePos="0" relativeHeight="125829453" behindDoc="0" locked="0" layoutInCell="1" allowOverlap="1">
                <wp:simplePos x="0" y="0"/>
                <wp:positionH relativeFrom="page">
                  <wp:posOffset>6473825</wp:posOffset>
                </wp:positionH>
                <wp:positionV relativeFrom="margin">
                  <wp:posOffset>6879590</wp:posOffset>
                </wp:positionV>
                <wp:extent cx="591185" cy="143510"/>
                <wp:wrapTopAndBottom/>
                <wp:docPr id="407" name="Shape 407"/>
                <a:graphic xmlns:a="http://schemas.openxmlformats.org/drawingml/2006/main">
                  <a:graphicData uri="http://schemas.microsoft.com/office/word/2010/wordprocessingShape">
                    <wps:wsp>
                      <wps:cNvSpPr txBox="1"/>
                      <wps:spPr>
                        <a:xfrm>
                          <a:ext cx="591185" cy="14351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136,529,042</w:t>
                            </w:r>
                          </w:p>
                        </w:txbxContent>
                      </wps:txbx>
                      <wps:bodyPr wrap="none" lIns="0" tIns="0" rIns="0" bIns="0">
                        <a:noAutoFit/>
                      </wps:bodyPr>
                    </wps:wsp>
                  </a:graphicData>
                </a:graphic>
              </wp:anchor>
            </w:drawing>
          </mc:Choice>
          <mc:Fallback>
            <w:pict>
              <v:shape id="_x0000_s1433" type="#_x0000_t202" style="position:absolute;margin-left:509.75pt;margin-top:541.70000000000005pt;width:46.550000000000004pt;height:11.300000000000001pt;z-index:-125829300;mso-wrap-distance-left:489.94999999999999pt;mso-wrap-distance-top:43.800000000000004pt;mso-wrap-distance-right:9.pt;mso-wrap-distance-bottom:136.05000000000001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136,529,042</w:t>
                      </w:r>
                    </w:p>
                  </w:txbxContent>
                </v:textbox>
                <w10:wrap type="topAndBottom" anchorx="page" anchory="margin"/>
              </v:shape>
            </w:pict>
          </mc:Fallback>
        </mc:AlternateContent>
      </w:r>
      <w:r>
        <mc:AlternateContent>
          <mc:Choice Requires="wps">
            <w:drawing>
              <wp:anchor distT="803275" distB="1478280" distL="117475" distR="5414645" simplePos="0" relativeHeight="125829455" behindDoc="0" locked="0" layoutInCell="1" allowOverlap="1">
                <wp:simplePos x="0" y="0"/>
                <wp:positionH relativeFrom="page">
                  <wp:posOffset>368935</wp:posOffset>
                </wp:positionH>
                <wp:positionV relativeFrom="margin">
                  <wp:posOffset>7126605</wp:posOffset>
                </wp:positionV>
                <wp:extent cx="1395730" cy="146050"/>
                <wp:wrapTopAndBottom/>
                <wp:docPr id="409" name="Shape 409"/>
                <a:graphic xmlns:a="http://schemas.openxmlformats.org/drawingml/2006/main">
                  <a:graphicData uri="http://schemas.microsoft.com/office/word/2010/wordprocessingShape">
                    <wps:wsp>
                      <wps:cNvSpPr txBox="1"/>
                      <wps:spPr>
                        <a:xfrm>
                          <a:ext cx="1395730"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沈阳惜远石油化工有限公司</w:t>
                            </w:r>
                          </w:p>
                        </w:txbxContent>
                      </wps:txbx>
                      <wps:bodyPr wrap="none" lIns="0" tIns="0" rIns="0" bIns="0">
                        <a:noAutoFit/>
                      </wps:bodyPr>
                    </wps:wsp>
                  </a:graphicData>
                </a:graphic>
              </wp:anchor>
            </w:drawing>
          </mc:Choice>
          <mc:Fallback>
            <w:pict>
              <v:shape id="_x0000_s1435" type="#_x0000_t202" style="position:absolute;margin-left:29.050000000000001pt;margin-top:561.14999999999998pt;width:109.90000000000001pt;height:11.5pt;z-index:-125829298;mso-wrap-distance-left:9.25pt;mso-wrap-distance-top:63.25pt;mso-wrap-distance-right:426.35000000000002pt;mso-wrap-distance-bottom:116.4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沈阳惜远石油化工有限公司</w:t>
                      </w:r>
                    </w:p>
                  </w:txbxContent>
                </v:textbox>
                <w10:wrap type="topAndBottom" anchorx="page" anchory="margin"/>
              </v:shape>
            </w:pict>
          </mc:Fallback>
        </mc:AlternateContent>
      </w:r>
      <w:r>
        <mc:AlternateContent>
          <mc:Choice Requires="wps">
            <w:drawing>
              <wp:anchor distT="808990" distB="1472565" distL="4152900" distR="2229485" simplePos="0" relativeHeight="125829457" behindDoc="0" locked="0" layoutInCell="1" allowOverlap="1">
                <wp:simplePos x="0" y="0"/>
                <wp:positionH relativeFrom="page">
                  <wp:posOffset>4404360</wp:posOffset>
                </wp:positionH>
                <wp:positionV relativeFrom="margin">
                  <wp:posOffset>7132320</wp:posOffset>
                </wp:positionV>
                <wp:extent cx="545465" cy="146050"/>
                <wp:wrapTopAndBottom/>
                <wp:docPr id="411" name="Shape 411"/>
                <a:graphic xmlns:a="http://schemas.openxmlformats.org/drawingml/2006/main">
                  <a:graphicData uri="http://schemas.microsoft.com/office/word/2010/wordprocessingShape">
                    <wps:wsp>
                      <wps:cNvSpPr txBox="1"/>
                      <wps:spPr>
                        <a:xfrm>
                          <a:ext cx="545465" cy="14605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20,477,815</w:t>
                            </w:r>
                          </w:p>
                        </w:txbxContent>
                      </wps:txbx>
                      <wps:bodyPr wrap="none" lIns="0" tIns="0" rIns="0" bIns="0">
                        <a:noAutoFit/>
                      </wps:bodyPr>
                    </wps:wsp>
                  </a:graphicData>
                </a:graphic>
              </wp:anchor>
            </w:drawing>
          </mc:Choice>
          <mc:Fallback>
            <w:pict>
              <v:shape id="_x0000_s1437" type="#_x0000_t202" style="position:absolute;margin-left:346.80000000000001pt;margin-top:561.60000000000002pt;width:42.950000000000003pt;height:11.5pt;z-index:-125829296;mso-wrap-distance-left:327.pt;mso-wrap-distance-top:63.700000000000003pt;mso-wrap-distance-right:175.55000000000001pt;mso-wrap-distance-bottom:115.95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20,477,815</w:t>
                      </w:r>
                    </w:p>
                  </w:txbxContent>
                </v:textbox>
                <w10:wrap type="topAndBottom" anchorx="page" anchory="margin"/>
              </v:shape>
            </w:pict>
          </mc:Fallback>
        </mc:AlternateContent>
      </w:r>
      <w:r>
        <mc:AlternateContent>
          <mc:Choice Requires="wps">
            <w:drawing>
              <wp:anchor distT="803275" distB="1478280" distL="4841875" distR="1372870" simplePos="0" relativeHeight="125829459" behindDoc="0" locked="0" layoutInCell="1" allowOverlap="1">
                <wp:simplePos x="0" y="0"/>
                <wp:positionH relativeFrom="page">
                  <wp:posOffset>5093335</wp:posOffset>
                </wp:positionH>
                <wp:positionV relativeFrom="margin">
                  <wp:posOffset>7126605</wp:posOffset>
                </wp:positionV>
                <wp:extent cx="713105" cy="146050"/>
                <wp:wrapTopAndBottom/>
                <wp:docPr id="413" name="Shape 413"/>
                <a:graphic xmlns:a="http://schemas.openxmlformats.org/drawingml/2006/main">
                  <a:graphicData uri="http://schemas.microsoft.com/office/word/2010/wordprocessingShape">
                    <wps:wsp>
                      <wps:cNvSpPr txBox="1"/>
                      <wps:spPr>
                        <a:xfrm>
                          <a:ext cx="713105"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wps:txbx>
                      <wps:bodyPr wrap="none" lIns="0" tIns="0" rIns="0" bIns="0">
                        <a:noAutoFit/>
                      </wps:bodyPr>
                    </wps:wsp>
                  </a:graphicData>
                </a:graphic>
              </wp:anchor>
            </w:drawing>
          </mc:Choice>
          <mc:Fallback>
            <w:pict>
              <v:shape id="_x0000_s1439" type="#_x0000_t202" style="position:absolute;margin-left:401.05000000000001pt;margin-top:561.14999999999998pt;width:56.149999999999999pt;height:11.5pt;z-index:-125829294;mso-wrap-distance-left:381.25pt;mso-wrap-distance-top:63.25pt;mso-wrap-distance-right:108.10000000000001pt;mso-wrap-distance-bottom:116.4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v:textbox>
                <w10:wrap type="topAndBottom" anchorx="page" anchory="margin"/>
              </v:shape>
            </w:pict>
          </mc:Fallback>
        </mc:AlternateContent>
      </w:r>
      <w:r>
        <mc:AlternateContent>
          <mc:Choice Requires="wps">
            <w:drawing>
              <wp:anchor distT="808990" distB="1472565" distL="6268085" distR="114300" simplePos="0" relativeHeight="125829461" behindDoc="0" locked="0" layoutInCell="1" allowOverlap="1">
                <wp:simplePos x="0" y="0"/>
                <wp:positionH relativeFrom="page">
                  <wp:posOffset>6519545</wp:posOffset>
                </wp:positionH>
                <wp:positionV relativeFrom="margin">
                  <wp:posOffset>7132320</wp:posOffset>
                </wp:positionV>
                <wp:extent cx="545465" cy="146050"/>
                <wp:wrapTopAndBottom/>
                <wp:docPr id="415" name="Shape 415"/>
                <a:graphic xmlns:a="http://schemas.openxmlformats.org/drawingml/2006/main">
                  <a:graphicData uri="http://schemas.microsoft.com/office/word/2010/wordprocessingShape">
                    <wps:wsp>
                      <wps:cNvSpPr txBox="1"/>
                      <wps:spPr>
                        <a:xfrm>
                          <a:ext cx="545465" cy="14605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20,477,815</w:t>
                            </w:r>
                          </w:p>
                        </w:txbxContent>
                      </wps:txbx>
                      <wps:bodyPr wrap="none" lIns="0" tIns="0" rIns="0" bIns="0">
                        <a:noAutoFit/>
                      </wps:bodyPr>
                    </wps:wsp>
                  </a:graphicData>
                </a:graphic>
              </wp:anchor>
            </w:drawing>
          </mc:Choice>
          <mc:Fallback>
            <w:pict>
              <v:shape id="_x0000_s1441" type="#_x0000_t202" style="position:absolute;margin-left:513.35000000000002pt;margin-top:561.60000000000002pt;width:42.950000000000003pt;height:11.5pt;z-index:-125829292;mso-wrap-distance-left:493.55000000000001pt;mso-wrap-distance-top:63.700000000000003pt;mso-wrap-distance-right:9.pt;mso-wrap-distance-bottom:115.95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20,477,815</w:t>
                      </w:r>
                    </w:p>
                  </w:txbxContent>
                </v:textbox>
                <w10:wrap type="topAndBottom" anchorx="page" anchory="margin"/>
              </v:shape>
            </w:pict>
          </mc:Fallback>
        </mc:AlternateContent>
      </w:r>
      <w:r>
        <mc:AlternateContent>
          <mc:Choice Requires="wps">
            <w:drawing>
              <wp:anchor distT="1059180" distB="1222375" distL="117475" distR="5414645" simplePos="0" relativeHeight="125829463" behindDoc="0" locked="0" layoutInCell="1" allowOverlap="1">
                <wp:simplePos x="0" y="0"/>
                <wp:positionH relativeFrom="page">
                  <wp:posOffset>368935</wp:posOffset>
                </wp:positionH>
                <wp:positionV relativeFrom="margin">
                  <wp:posOffset>7382510</wp:posOffset>
                </wp:positionV>
                <wp:extent cx="1395730" cy="146050"/>
                <wp:wrapTopAndBottom/>
                <wp:docPr id="417" name="Shape 417"/>
                <a:graphic xmlns:a="http://schemas.openxmlformats.org/drawingml/2006/main">
                  <a:graphicData uri="http://schemas.microsoft.com/office/word/2010/wordprocessingShape">
                    <wps:wsp>
                      <wps:cNvSpPr txBox="1"/>
                      <wps:spPr>
                        <a:xfrm>
                          <a:ext cx="1395730"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沈阳源远石油化工有限公司</w:t>
                            </w:r>
                          </w:p>
                        </w:txbxContent>
                      </wps:txbx>
                      <wps:bodyPr wrap="none" lIns="0" tIns="0" rIns="0" bIns="0">
                        <a:noAutoFit/>
                      </wps:bodyPr>
                    </wps:wsp>
                  </a:graphicData>
                </a:graphic>
              </wp:anchor>
            </w:drawing>
          </mc:Choice>
          <mc:Fallback>
            <w:pict>
              <v:shape id="_x0000_s1443" type="#_x0000_t202" style="position:absolute;margin-left:29.050000000000001pt;margin-top:581.30000000000007pt;width:109.90000000000001pt;height:11.5pt;z-index:-125829290;mso-wrap-distance-left:9.25pt;mso-wrap-distance-top:83.400000000000006pt;mso-wrap-distance-right:426.35000000000002pt;mso-wrap-distance-bottom:96.25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沈阳源远石油化工有限公司</w:t>
                      </w:r>
                    </w:p>
                  </w:txbxContent>
                </v:textbox>
                <w10:wrap type="topAndBottom" anchorx="page" anchory="margin"/>
              </v:shape>
            </w:pict>
          </mc:Fallback>
        </mc:AlternateContent>
      </w:r>
      <w:r>
        <mc:AlternateContent>
          <mc:Choice Requires="wps">
            <w:drawing>
              <wp:anchor distT="1065530" distB="1216025" distL="4168140" distR="2229485" simplePos="0" relativeHeight="125829465" behindDoc="0" locked="0" layoutInCell="1" allowOverlap="1">
                <wp:simplePos x="0" y="0"/>
                <wp:positionH relativeFrom="page">
                  <wp:posOffset>4419600</wp:posOffset>
                </wp:positionH>
                <wp:positionV relativeFrom="margin">
                  <wp:posOffset>7388860</wp:posOffset>
                </wp:positionV>
                <wp:extent cx="530225" cy="146050"/>
                <wp:wrapTopAndBottom/>
                <wp:docPr id="419" name="Shape 419"/>
                <a:graphic xmlns:a="http://schemas.openxmlformats.org/drawingml/2006/main">
                  <a:graphicData uri="http://schemas.microsoft.com/office/word/2010/wordprocessingShape">
                    <wps:wsp>
                      <wps:cNvSpPr txBox="1"/>
                      <wps:spPr>
                        <a:xfrm>
                          <a:ext cx="530225" cy="14605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11,507,235</w:t>
                            </w:r>
                          </w:p>
                        </w:txbxContent>
                      </wps:txbx>
                      <wps:bodyPr wrap="none" lIns="0" tIns="0" rIns="0" bIns="0">
                        <a:noAutoFit/>
                      </wps:bodyPr>
                    </wps:wsp>
                  </a:graphicData>
                </a:graphic>
              </wp:anchor>
            </w:drawing>
          </mc:Choice>
          <mc:Fallback>
            <w:pict>
              <v:shape id="_x0000_s1445" type="#_x0000_t202" style="position:absolute;margin-left:348.pt;margin-top:581.80000000000007pt;width:41.75pt;height:11.5pt;z-index:-125829288;mso-wrap-distance-left:328.19999999999999pt;mso-wrap-distance-top:83.900000000000006pt;mso-wrap-distance-right:175.55000000000001pt;mso-wrap-distance-bottom:95.75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11,507,235</w:t>
                      </w:r>
                    </w:p>
                  </w:txbxContent>
                </v:textbox>
                <w10:wrap type="topAndBottom" anchorx="page" anchory="margin"/>
              </v:shape>
            </w:pict>
          </mc:Fallback>
        </mc:AlternateContent>
      </w:r>
      <w:r>
        <mc:AlternateContent>
          <mc:Choice Requires="wps">
            <w:drawing>
              <wp:anchor distT="1059180" distB="1222375" distL="4841875" distR="1372870" simplePos="0" relativeHeight="125829467" behindDoc="0" locked="0" layoutInCell="1" allowOverlap="1">
                <wp:simplePos x="0" y="0"/>
                <wp:positionH relativeFrom="page">
                  <wp:posOffset>5093335</wp:posOffset>
                </wp:positionH>
                <wp:positionV relativeFrom="margin">
                  <wp:posOffset>7382510</wp:posOffset>
                </wp:positionV>
                <wp:extent cx="713105" cy="146050"/>
                <wp:wrapTopAndBottom/>
                <wp:docPr id="421" name="Shape 421"/>
                <a:graphic xmlns:a="http://schemas.openxmlformats.org/drawingml/2006/main">
                  <a:graphicData uri="http://schemas.microsoft.com/office/word/2010/wordprocessingShape">
                    <wps:wsp>
                      <wps:cNvSpPr txBox="1"/>
                      <wps:spPr>
                        <a:xfrm>
                          <a:ext cx="713105"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wps:txbx>
                      <wps:bodyPr wrap="none" lIns="0" tIns="0" rIns="0" bIns="0">
                        <a:noAutoFit/>
                      </wps:bodyPr>
                    </wps:wsp>
                  </a:graphicData>
                </a:graphic>
              </wp:anchor>
            </w:drawing>
          </mc:Choice>
          <mc:Fallback>
            <w:pict>
              <v:shape id="_x0000_s1447" type="#_x0000_t202" style="position:absolute;margin-left:401.05000000000001pt;margin-top:581.30000000000007pt;width:56.149999999999999pt;height:11.5pt;z-index:-125829286;mso-wrap-distance-left:381.25pt;mso-wrap-distance-top:83.400000000000006pt;mso-wrap-distance-right:108.10000000000001pt;mso-wrap-distance-bottom:96.25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v:textbox>
                <w10:wrap type="topAndBottom" anchorx="page" anchory="margin"/>
              </v:shape>
            </w:pict>
          </mc:Fallback>
        </mc:AlternateContent>
      </w:r>
      <w:r>
        <mc:AlternateContent>
          <mc:Choice Requires="wps">
            <w:drawing>
              <wp:anchor distT="1065530" distB="1216025" distL="6283325" distR="114300" simplePos="0" relativeHeight="125829469" behindDoc="0" locked="0" layoutInCell="1" allowOverlap="1">
                <wp:simplePos x="0" y="0"/>
                <wp:positionH relativeFrom="page">
                  <wp:posOffset>6534785</wp:posOffset>
                </wp:positionH>
                <wp:positionV relativeFrom="margin">
                  <wp:posOffset>7388860</wp:posOffset>
                </wp:positionV>
                <wp:extent cx="530225" cy="146050"/>
                <wp:wrapTopAndBottom/>
                <wp:docPr id="423" name="Shape 423"/>
                <a:graphic xmlns:a="http://schemas.openxmlformats.org/drawingml/2006/main">
                  <a:graphicData uri="http://schemas.microsoft.com/office/word/2010/wordprocessingShape">
                    <wps:wsp>
                      <wps:cNvSpPr txBox="1"/>
                      <wps:spPr>
                        <a:xfrm>
                          <a:ext cx="530225" cy="14605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11,507,235</w:t>
                            </w:r>
                          </w:p>
                        </w:txbxContent>
                      </wps:txbx>
                      <wps:bodyPr wrap="none" lIns="0" tIns="0" rIns="0" bIns="0">
                        <a:noAutoFit/>
                      </wps:bodyPr>
                    </wps:wsp>
                  </a:graphicData>
                </a:graphic>
              </wp:anchor>
            </w:drawing>
          </mc:Choice>
          <mc:Fallback>
            <w:pict>
              <v:shape id="_x0000_s1449" type="#_x0000_t202" style="position:absolute;margin-left:514.54999999999995pt;margin-top:581.80000000000007pt;width:41.75pt;height:11.5pt;z-index:-125829284;mso-wrap-distance-left:494.75pt;mso-wrap-distance-top:83.900000000000006pt;mso-wrap-distance-right:9.pt;mso-wrap-distance-bottom:95.75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11,507,235</w:t>
                      </w:r>
                    </w:p>
                  </w:txbxContent>
                </v:textbox>
                <w10:wrap type="topAndBottom" anchorx="page" anchory="margin"/>
              </v:shape>
            </w:pict>
          </mc:Fallback>
        </mc:AlternateContent>
      </w:r>
      <w:r>
        <mc:AlternateContent>
          <mc:Choice Requires="wps">
            <w:drawing>
              <wp:anchor distT="1315085" distB="966470" distL="117475" distR="6441440" simplePos="0" relativeHeight="125829471" behindDoc="0" locked="0" layoutInCell="1" allowOverlap="1">
                <wp:simplePos x="0" y="0"/>
                <wp:positionH relativeFrom="page">
                  <wp:posOffset>368935</wp:posOffset>
                </wp:positionH>
                <wp:positionV relativeFrom="margin">
                  <wp:posOffset>7638415</wp:posOffset>
                </wp:positionV>
                <wp:extent cx="368935" cy="146050"/>
                <wp:wrapTopAndBottom/>
                <wp:docPr id="425" name="Shape 425"/>
                <a:graphic xmlns:a="http://schemas.openxmlformats.org/drawingml/2006/main">
                  <a:graphicData uri="http://schemas.microsoft.com/office/word/2010/wordprocessingShape">
                    <wps:wsp>
                      <wps:cNvSpPr txBox="1"/>
                      <wps:spPr>
                        <a:xfrm>
                          <a:ext cx="368935"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付艳杰</w:t>
                            </w:r>
                          </w:p>
                        </w:txbxContent>
                      </wps:txbx>
                      <wps:bodyPr wrap="none" lIns="0" tIns="0" rIns="0" bIns="0">
                        <a:noAutoFit/>
                      </wps:bodyPr>
                    </wps:wsp>
                  </a:graphicData>
                </a:graphic>
              </wp:anchor>
            </w:drawing>
          </mc:Choice>
          <mc:Fallback>
            <w:pict>
              <v:shape id="_x0000_s1451" type="#_x0000_t202" style="position:absolute;margin-left:29.050000000000001pt;margin-top:601.45000000000005pt;width:29.050000000000001pt;height:11.5pt;z-index:-125829282;mso-wrap-distance-left:9.25pt;mso-wrap-distance-top:103.55pt;mso-wrap-distance-right:507.19999999999999pt;mso-wrap-distance-bottom:76.10000000000000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付艳杰</w:t>
                      </w:r>
                    </w:p>
                  </w:txbxContent>
                </v:textbox>
                <w10:wrap type="topAndBottom" anchorx="page" anchory="margin"/>
              </v:shape>
            </w:pict>
          </mc:Fallback>
        </mc:AlternateContent>
      </w:r>
      <w:r>
        <mc:AlternateContent>
          <mc:Choice Requires="wps">
            <w:drawing>
              <wp:anchor distT="1321435" distB="962660" distL="4217035" distR="2229485" simplePos="0" relativeHeight="125829473" behindDoc="0" locked="0" layoutInCell="1" allowOverlap="1">
                <wp:simplePos x="0" y="0"/>
                <wp:positionH relativeFrom="page">
                  <wp:posOffset>4468495</wp:posOffset>
                </wp:positionH>
                <wp:positionV relativeFrom="margin">
                  <wp:posOffset>7644765</wp:posOffset>
                </wp:positionV>
                <wp:extent cx="481330" cy="143510"/>
                <wp:wrapTopAndBottom/>
                <wp:docPr id="427" name="Shape 427"/>
                <a:graphic xmlns:a="http://schemas.openxmlformats.org/drawingml/2006/main">
                  <a:graphicData uri="http://schemas.microsoft.com/office/word/2010/wordprocessingShape">
                    <wps:wsp>
                      <wps:cNvSpPr txBox="1"/>
                      <wps:spPr>
                        <a:xfrm>
                          <a:ext cx="481330" cy="14351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8,172,049</w:t>
                            </w:r>
                          </w:p>
                        </w:txbxContent>
                      </wps:txbx>
                      <wps:bodyPr wrap="none" lIns="0" tIns="0" rIns="0" bIns="0">
                        <a:noAutoFit/>
                      </wps:bodyPr>
                    </wps:wsp>
                  </a:graphicData>
                </a:graphic>
              </wp:anchor>
            </w:drawing>
          </mc:Choice>
          <mc:Fallback>
            <w:pict>
              <v:shape id="_x0000_s1453" type="#_x0000_t202" style="position:absolute;margin-left:351.85000000000002pt;margin-top:601.95000000000005pt;width:37.899999999999999pt;height:11.300000000000001pt;z-index:-125829280;mso-wrap-distance-left:332.05000000000001pt;mso-wrap-distance-top:104.05pt;mso-wrap-distance-right:175.55000000000001pt;mso-wrap-distance-bottom:75.799999999999997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8,172,049</w:t>
                      </w:r>
                    </w:p>
                  </w:txbxContent>
                </v:textbox>
                <w10:wrap type="topAndBottom" anchorx="page" anchory="margin"/>
              </v:shape>
            </w:pict>
          </mc:Fallback>
        </mc:AlternateContent>
      </w:r>
      <w:r>
        <mc:AlternateContent>
          <mc:Choice Requires="wps">
            <w:drawing>
              <wp:anchor distT="1315085" distB="966470" distL="4841875" distR="1372870" simplePos="0" relativeHeight="125829475" behindDoc="0" locked="0" layoutInCell="1" allowOverlap="1">
                <wp:simplePos x="0" y="0"/>
                <wp:positionH relativeFrom="page">
                  <wp:posOffset>5093335</wp:posOffset>
                </wp:positionH>
                <wp:positionV relativeFrom="margin">
                  <wp:posOffset>7638415</wp:posOffset>
                </wp:positionV>
                <wp:extent cx="713105" cy="146050"/>
                <wp:wrapTopAndBottom/>
                <wp:docPr id="429" name="Shape 429"/>
                <a:graphic xmlns:a="http://schemas.openxmlformats.org/drawingml/2006/main">
                  <a:graphicData uri="http://schemas.microsoft.com/office/word/2010/wordprocessingShape">
                    <wps:wsp>
                      <wps:cNvSpPr txBox="1"/>
                      <wps:spPr>
                        <a:xfrm>
                          <a:ext cx="713105"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wps:txbx>
                      <wps:bodyPr wrap="none" lIns="0" tIns="0" rIns="0" bIns="0">
                        <a:noAutoFit/>
                      </wps:bodyPr>
                    </wps:wsp>
                  </a:graphicData>
                </a:graphic>
              </wp:anchor>
            </w:drawing>
          </mc:Choice>
          <mc:Fallback>
            <w:pict>
              <v:shape id="_x0000_s1455" type="#_x0000_t202" style="position:absolute;margin-left:401.05000000000001pt;margin-top:601.45000000000005pt;width:56.149999999999999pt;height:11.5pt;z-index:-125829278;mso-wrap-distance-left:381.25pt;mso-wrap-distance-top:103.55pt;mso-wrap-distance-right:108.10000000000001pt;mso-wrap-distance-bottom:76.10000000000000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v:textbox>
                <w10:wrap type="topAndBottom" anchorx="page" anchory="margin"/>
              </v:shape>
            </w:pict>
          </mc:Fallback>
        </mc:AlternateContent>
      </w:r>
      <w:r>
        <mc:AlternateContent>
          <mc:Choice Requires="wps">
            <w:drawing>
              <wp:anchor distT="1321435" distB="962660" distL="6332220" distR="114300" simplePos="0" relativeHeight="125829477" behindDoc="0" locked="0" layoutInCell="1" allowOverlap="1">
                <wp:simplePos x="0" y="0"/>
                <wp:positionH relativeFrom="page">
                  <wp:posOffset>6583680</wp:posOffset>
                </wp:positionH>
                <wp:positionV relativeFrom="margin">
                  <wp:posOffset>7644765</wp:posOffset>
                </wp:positionV>
                <wp:extent cx="481330" cy="143510"/>
                <wp:wrapTopAndBottom/>
                <wp:docPr id="431" name="Shape 431"/>
                <a:graphic xmlns:a="http://schemas.openxmlformats.org/drawingml/2006/main">
                  <a:graphicData uri="http://schemas.microsoft.com/office/word/2010/wordprocessingShape">
                    <wps:wsp>
                      <wps:cNvSpPr txBox="1"/>
                      <wps:spPr>
                        <a:xfrm>
                          <a:ext cx="481330" cy="14351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8,172,049</w:t>
                            </w:r>
                          </w:p>
                        </w:txbxContent>
                      </wps:txbx>
                      <wps:bodyPr wrap="none" lIns="0" tIns="0" rIns="0" bIns="0">
                        <a:noAutoFit/>
                      </wps:bodyPr>
                    </wps:wsp>
                  </a:graphicData>
                </a:graphic>
              </wp:anchor>
            </w:drawing>
          </mc:Choice>
          <mc:Fallback>
            <w:pict>
              <v:shape id="_x0000_s1457" type="#_x0000_t202" style="position:absolute;margin-left:518.39999999999998pt;margin-top:601.95000000000005pt;width:37.899999999999999pt;height:11.300000000000001pt;z-index:-125829276;mso-wrap-distance-left:498.60000000000002pt;mso-wrap-distance-top:104.05pt;mso-wrap-distance-right:9.pt;mso-wrap-distance-bottom:75.799999999999997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8,172,049</w:t>
                      </w:r>
                    </w:p>
                  </w:txbxContent>
                </v:textbox>
                <w10:wrap type="topAndBottom" anchorx="page" anchory="margin"/>
              </v:shape>
            </w:pict>
          </mc:Fallback>
        </mc:AlternateContent>
      </w:r>
      <w:r>
        <mc:AlternateContent>
          <mc:Choice Requires="wps">
            <w:drawing>
              <wp:anchor distT="1570990" distB="697865" distL="114300" distR="6383655" simplePos="0" relativeHeight="125829479" behindDoc="0" locked="0" layoutInCell="1" allowOverlap="1">
                <wp:simplePos x="0" y="0"/>
                <wp:positionH relativeFrom="page">
                  <wp:posOffset>365760</wp:posOffset>
                </wp:positionH>
                <wp:positionV relativeFrom="margin">
                  <wp:posOffset>7894320</wp:posOffset>
                </wp:positionV>
                <wp:extent cx="429895" cy="158750"/>
                <wp:wrapTopAndBottom/>
                <wp:docPr id="433" name="Shape 433"/>
                <a:graphic xmlns:a="http://schemas.openxmlformats.org/drawingml/2006/main">
                  <a:graphicData uri="http://schemas.microsoft.com/office/word/2010/wordprocessingShape">
                    <wps:wsp>
                      <wps:cNvSpPr txBox="1"/>
                      <wps:spPr>
                        <a:xfrm>
                          <a:ext cx="429895" cy="1587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马路丁</w:t>
                            </w:r>
                          </w:p>
                        </w:txbxContent>
                      </wps:txbx>
                      <wps:bodyPr wrap="none" lIns="0" tIns="0" rIns="0" bIns="0">
                        <a:noAutoFit/>
                      </wps:bodyPr>
                    </wps:wsp>
                  </a:graphicData>
                </a:graphic>
              </wp:anchor>
            </w:drawing>
          </mc:Choice>
          <mc:Fallback>
            <w:pict>
              <v:shape id="_x0000_s1459" type="#_x0000_t202" style="position:absolute;margin-left:28.800000000000001pt;margin-top:621.60000000000002pt;width:33.850000000000001pt;height:12.5pt;z-index:-125829274;mso-wrap-distance-left:9.pt;mso-wrap-distance-top:123.7pt;mso-wrap-distance-right:502.65000000000003pt;mso-wrap-distance-bottom:54.950000000000003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马路丁</w:t>
                      </w:r>
                    </w:p>
                  </w:txbxContent>
                </v:textbox>
                <w10:wrap type="topAndBottom" anchorx="page" anchory="margin"/>
              </v:shape>
            </w:pict>
          </mc:Fallback>
        </mc:AlternateContent>
      </w:r>
      <w:r>
        <mc:AlternateContent>
          <mc:Choice Requires="wps">
            <w:drawing>
              <wp:anchor distT="1577340" distB="706755" distL="4213860" distR="2229485" simplePos="0" relativeHeight="125829481" behindDoc="0" locked="0" layoutInCell="1" allowOverlap="1">
                <wp:simplePos x="0" y="0"/>
                <wp:positionH relativeFrom="page">
                  <wp:posOffset>4465320</wp:posOffset>
                </wp:positionH>
                <wp:positionV relativeFrom="margin">
                  <wp:posOffset>7900670</wp:posOffset>
                </wp:positionV>
                <wp:extent cx="484505" cy="143510"/>
                <wp:wrapTopAndBottom/>
                <wp:docPr id="435" name="Shape 435"/>
                <a:graphic xmlns:a="http://schemas.openxmlformats.org/drawingml/2006/main">
                  <a:graphicData uri="http://schemas.microsoft.com/office/word/2010/wordprocessingShape">
                    <wps:wsp>
                      <wps:cNvSpPr txBox="1"/>
                      <wps:spPr>
                        <a:xfrm>
                          <a:ext cx="484505" cy="14351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6,764,306</w:t>
                            </w:r>
                          </w:p>
                        </w:txbxContent>
                      </wps:txbx>
                      <wps:bodyPr wrap="none" lIns="0" tIns="0" rIns="0" bIns="0">
                        <a:noAutoFit/>
                      </wps:bodyPr>
                    </wps:wsp>
                  </a:graphicData>
                </a:graphic>
              </wp:anchor>
            </w:drawing>
          </mc:Choice>
          <mc:Fallback>
            <w:pict>
              <v:shape id="_x0000_s1461" type="#_x0000_t202" style="position:absolute;margin-left:351.60000000000002pt;margin-top:622.10000000000002pt;width:38.149999999999999pt;height:11.300000000000001pt;z-index:-125829272;mso-wrap-distance-left:331.80000000000001pt;mso-wrap-distance-top:124.2pt;mso-wrap-distance-right:175.55000000000001pt;mso-wrap-distance-bottom:55.649999999999999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6,764,306</w:t>
                      </w:r>
                    </w:p>
                  </w:txbxContent>
                </v:textbox>
                <w10:wrap type="topAndBottom" anchorx="page" anchory="margin"/>
              </v:shape>
            </w:pict>
          </mc:Fallback>
        </mc:AlternateContent>
      </w:r>
      <w:r>
        <mc:AlternateContent>
          <mc:Choice Requires="wps">
            <w:drawing>
              <wp:anchor distT="1570990" distB="710565" distL="4841875" distR="1372870" simplePos="0" relativeHeight="125829483" behindDoc="0" locked="0" layoutInCell="1" allowOverlap="1">
                <wp:simplePos x="0" y="0"/>
                <wp:positionH relativeFrom="page">
                  <wp:posOffset>5093335</wp:posOffset>
                </wp:positionH>
                <wp:positionV relativeFrom="margin">
                  <wp:posOffset>7894320</wp:posOffset>
                </wp:positionV>
                <wp:extent cx="713105" cy="146050"/>
                <wp:wrapTopAndBottom/>
                <wp:docPr id="437" name="Shape 437"/>
                <a:graphic xmlns:a="http://schemas.openxmlformats.org/drawingml/2006/main">
                  <a:graphicData uri="http://schemas.microsoft.com/office/word/2010/wordprocessingShape">
                    <wps:wsp>
                      <wps:cNvSpPr txBox="1"/>
                      <wps:spPr>
                        <a:xfrm>
                          <a:ext cx="713105"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wps:txbx>
                      <wps:bodyPr wrap="none" lIns="0" tIns="0" rIns="0" bIns="0">
                        <a:noAutoFit/>
                      </wps:bodyPr>
                    </wps:wsp>
                  </a:graphicData>
                </a:graphic>
              </wp:anchor>
            </w:drawing>
          </mc:Choice>
          <mc:Fallback>
            <w:pict>
              <v:shape id="_x0000_s1463" type="#_x0000_t202" style="position:absolute;margin-left:401.05000000000001pt;margin-top:621.60000000000002pt;width:56.149999999999999pt;height:11.5pt;z-index:-125829270;mso-wrap-distance-left:381.25pt;mso-wrap-distance-top:123.7pt;mso-wrap-distance-right:108.10000000000001pt;mso-wrap-distance-bottom:55.950000000000003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v:textbox>
                <w10:wrap type="topAndBottom" anchorx="page" anchory="margin"/>
              </v:shape>
            </w:pict>
          </mc:Fallback>
        </mc:AlternateContent>
      </w:r>
      <w:r>
        <mc:AlternateContent>
          <mc:Choice Requires="wps">
            <w:drawing>
              <wp:anchor distT="1577340" distB="706755" distL="6329045" distR="114300" simplePos="0" relativeHeight="125829485" behindDoc="0" locked="0" layoutInCell="1" allowOverlap="1">
                <wp:simplePos x="0" y="0"/>
                <wp:positionH relativeFrom="page">
                  <wp:posOffset>6580505</wp:posOffset>
                </wp:positionH>
                <wp:positionV relativeFrom="margin">
                  <wp:posOffset>7900670</wp:posOffset>
                </wp:positionV>
                <wp:extent cx="484505" cy="143510"/>
                <wp:wrapTopAndBottom/>
                <wp:docPr id="439" name="Shape 439"/>
                <a:graphic xmlns:a="http://schemas.openxmlformats.org/drawingml/2006/main">
                  <a:graphicData uri="http://schemas.microsoft.com/office/word/2010/wordprocessingShape">
                    <wps:wsp>
                      <wps:cNvSpPr txBox="1"/>
                      <wps:spPr>
                        <a:xfrm>
                          <a:ext cx="484505" cy="14351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6,764,306</w:t>
                            </w:r>
                          </w:p>
                        </w:txbxContent>
                      </wps:txbx>
                      <wps:bodyPr wrap="none" lIns="0" tIns="0" rIns="0" bIns="0">
                        <a:noAutoFit/>
                      </wps:bodyPr>
                    </wps:wsp>
                  </a:graphicData>
                </a:graphic>
              </wp:anchor>
            </w:drawing>
          </mc:Choice>
          <mc:Fallback>
            <w:pict>
              <v:shape id="_x0000_s1465" type="#_x0000_t202" style="position:absolute;margin-left:518.14999999999998pt;margin-top:622.10000000000002pt;width:38.149999999999999pt;height:11.300000000000001pt;z-index:-125829268;mso-wrap-distance-left:498.35000000000002pt;mso-wrap-distance-top:124.2pt;mso-wrap-distance-right:9.pt;mso-wrap-distance-bottom:55.649999999999999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6,764,306</w:t>
                      </w:r>
                    </w:p>
                  </w:txbxContent>
                </v:textbox>
                <w10:wrap type="topAndBottom" anchorx="page" anchory="margin"/>
              </v:shape>
            </w:pict>
          </mc:Fallback>
        </mc:AlternateContent>
      </w:r>
      <w:r>
        <mc:AlternateContent>
          <mc:Choice Requires="wps">
            <w:drawing>
              <wp:anchor distT="1824355" distB="450850" distL="114300" distR="6386830" simplePos="0" relativeHeight="125829487" behindDoc="0" locked="0" layoutInCell="1" allowOverlap="1">
                <wp:simplePos x="0" y="0"/>
                <wp:positionH relativeFrom="page">
                  <wp:posOffset>365760</wp:posOffset>
                </wp:positionH>
                <wp:positionV relativeFrom="margin">
                  <wp:posOffset>8147685</wp:posOffset>
                </wp:positionV>
                <wp:extent cx="426720" cy="152400"/>
                <wp:wrapTopAndBottom/>
                <wp:docPr id="441" name="Shape 441"/>
                <a:graphic xmlns:a="http://schemas.openxmlformats.org/drawingml/2006/main">
                  <a:graphicData uri="http://schemas.microsoft.com/office/word/2010/wordprocessingShape">
                    <wps:wsp>
                      <wps:cNvSpPr txBox="1"/>
                      <wps:spPr>
                        <a:xfrm>
                          <a:ext cx="42672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钟一翔</w:t>
                            </w:r>
                          </w:p>
                        </w:txbxContent>
                      </wps:txbx>
                      <wps:bodyPr wrap="none" lIns="0" tIns="0" rIns="0" bIns="0">
                        <a:noAutoFit/>
                      </wps:bodyPr>
                    </wps:wsp>
                  </a:graphicData>
                </a:graphic>
              </wp:anchor>
            </w:drawing>
          </mc:Choice>
          <mc:Fallback>
            <w:pict>
              <v:shape id="_x0000_s1467" type="#_x0000_t202" style="position:absolute;margin-left:28.800000000000001pt;margin-top:641.55000000000007pt;width:33.600000000000001pt;height:12.pt;z-index:-125829266;mso-wrap-distance-left:9.pt;mso-wrap-distance-top:143.65000000000001pt;mso-wrap-distance-right:502.90000000000003pt;mso-wrap-distance-bottom:35.5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钟一翔</w:t>
                      </w:r>
                    </w:p>
                  </w:txbxContent>
                </v:textbox>
                <w10:wrap type="topAndBottom" anchorx="page" anchory="margin"/>
              </v:shape>
            </w:pict>
          </mc:Fallback>
        </mc:AlternateContent>
      </w:r>
      <w:r>
        <mc:AlternateContent>
          <mc:Choice Requires="wps">
            <w:drawing>
              <wp:anchor distT="2022475" distB="0" distL="114300" distR="3670935" simplePos="0" relativeHeight="125829489" behindDoc="0" locked="0" layoutInCell="1" allowOverlap="1">
                <wp:simplePos x="0" y="0"/>
                <wp:positionH relativeFrom="page">
                  <wp:posOffset>365760</wp:posOffset>
                </wp:positionH>
                <wp:positionV relativeFrom="margin">
                  <wp:posOffset>8345805</wp:posOffset>
                </wp:positionV>
                <wp:extent cx="3142615" cy="405130"/>
                <wp:wrapTopAndBottom/>
                <wp:docPr id="443" name="Shape 443"/>
                <a:graphic xmlns:a="http://schemas.openxmlformats.org/drawingml/2006/main">
                  <a:graphicData uri="http://schemas.microsoft.com/office/word/2010/wordprocessingShape">
                    <wps:wsp>
                      <wps:cNvSpPr txBox="1"/>
                      <wps:spPr>
                        <a:xfrm>
                          <a:ext cx="3142615" cy="405130"/>
                        </a:xfrm>
                        <a:prstGeom prst="rect"/>
                        <a:noFill/>
                      </wps:spPr>
                      <wps:txbx>
                        <w:txbxContent>
                          <w:p>
                            <w:pPr>
                              <w:pStyle w:val="Style3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泓盛资产管理（深圳）有限公司一泓盛天泽</w:t>
                            </w:r>
                            <w:r>
                              <w:rPr>
                                <w:rFonts w:ascii="Times New Roman" w:eastAsia="Times New Roman" w:hAnsi="Times New Roman" w:cs="Times New Roman"/>
                                <w:color w:val="000000"/>
                                <w:spacing w:val="0"/>
                                <w:w w:val="100"/>
                                <w:position w:val="0"/>
                              </w:rPr>
                              <w:t>2</w:t>
                            </w:r>
                            <w:r>
                              <w:rPr>
                                <w:color w:val="000000"/>
                                <w:spacing w:val="0"/>
                                <w:w w:val="100"/>
                                <w:position w:val="0"/>
                              </w:rPr>
                              <w:t>号私募证券投资 基金</w:t>
                            </w:r>
                          </w:p>
                        </w:txbxContent>
                      </wps:txbx>
                      <wps:bodyPr lIns="0" tIns="0" rIns="0" bIns="0">
                        <a:noAutoFit/>
                      </wps:bodyPr>
                    </wps:wsp>
                  </a:graphicData>
                </a:graphic>
              </wp:anchor>
            </w:drawing>
          </mc:Choice>
          <mc:Fallback>
            <w:pict>
              <v:shape id="_x0000_s1469" type="#_x0000_t202" style="position:absolute;margin-left:28.800000000000001pt;margin-top:657.14999999999998pt;width:247.45000000000002pt;height:31.900000000000002pt;z-index:-125829264;mso-wrap-distance-left:9.pt;mso-wrap-distance-top:159.25pt;mso-wrap-distance-right:289.05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泓盛资产管理（深圳）有限公司一泓盛天泽</w:t>
                      </w:r>
                      <w:r>
                        <w:rPr>
                          <w:rFonts w:ascii="Times New Roman" w:eastAsia="Times New Roman" w:hAnsi="Times New Roman" w:cs="Times New Roman"/>
                          <w:color w:val="000000"/>
                          <w:spacing w:val="0"/>
                          <w:w w:val="100"/>
                          <w:position w:val="0"/>
                        </w:rPr>
                        <w:t>2</w:t>
                      </w:r>
                      <w:r>
                        <w:rPr>
                          <w:color w:val="000000"/>
                          <w:spacing w:val="0"/>
                          <w:w w:val="100"/>
                          <w:position w:val="0"/>
                        </w:rPr>
                        <w:t>号私募证券投资 基金</w:t>
                      </w:r>
                    </w:p>
                  </w:txbxContent>
                </v:textbox>
                <w10:wrap type="topAndBottom" anchorx="page" anchory="margin"/>
              </v:shape>
            </w:pict>
          </mc:Fallback>
        </mc:AlternateContent>
      </w:r>
      <w:r>
        <mc:AlternateContent>
          <mc:Choice Requires="wps">
            <w:drawing>
              <wp:anchor distT="1830070" distB="451485" distL="4213860" distR="2229485" simplePos="0" relativeHeight="125829491" behindDoc="0" locked="0" layoutInCell="1" allowOverlap="1">
                <wp:simplePos x="0" y="0"/>
                <wp:positionH relativeFrom="page">
                  <wp:posOffset>4465320</wp:posOffset>
                </wp:positionH>
                <wp:positionV relativeFrom="margin">
                  <wp:posOffset>8153400</wp:posOffset>
                </wp:positionV>
                <wp:extent cx="484505" cy="146050"/>
                <wp:wrapTopAndBottom/>
                <wp:docPr id="445" name="Shape 445"/>
                <a:graphic xmlns:a="http://schemas.openxmlformats.org/drawingml/2006/main">
                  <a:graphicData uri="http://schemas.microsoft.com/office/word/2010/wordprocessingShape">
                    <wps:wsp>
                      <wps:cNvSpPr txBox="1"/>
                      <wps:spPr>
                        <a:xfrm>
                          <a:ext cx="484505" cy="14605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6,200,000</w:t>
                            </w:r>
                          </w:p>
                        </w:txbxContent>
                      </wps:txbx>
                      <wps:bodyPr wrap="none" lIns="0" tIns="0" rIns="0" bIns="0">
                        <a:noAutoFit/>
                      </wps:bodyPr>
                    </wps:wsp>
                  </a:graphicData>
                </a:graphic>
              </wp:anchor>
            </w:drawing>
          </mc:Choice>
          <mc:Fallback>
            <w:pict>
              <v:shape id="_x0000_s1471" type="#_x0000_t202" style="position:absolute;margin-left:351.60000000000002pt;margin-top:642.pt;width:38.149999999999999pt;height:11.5pt;z-index:-125829262;mso-wrap-distance-left:331.80000000000001pt;mso-wrap-distance-top:144.09999999999999pt;mso-wrap-distance-right:175.55000000000001pt;mso-wrap-distance-bottom:35.550000000000004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6,200,000</w:t>
                      </w:r>
                    </w:p>
                  </w:txbxContent>
                </v:textbox>
                <w10:wrap type="topAndBottom" anchorx="page" anchory="margin"/>
              </v:shape>
            </w:pict>
          </mc:Fallback>
        </mc:AlternateContent>
      </w:r>
      <w:r>
        <mc:AlternateContent>
          <mc:Choice Requires="wps">
            <w:drawing>
              <wp:anchor distT="2186940" distB="97155" distL="4217035" distR="2229485" simplePos="0" relativeHeight="125829493" behindDoc="0" locked="0" layoutInCell="1" allowOverlap="1">
                <wp:simplePos x="0" y="0"/>
                <wp:positionH relativeFrom="page">
                  <wp:posOffset>4468495</wp:posOffset>
                </wp:positionH>
                <wp:positionV relativeFrom="margin">
                  <wp:posOffset>8510270</wp:posOffset>
                </wp:positionV>
                <wp:extent cx="481330" cy="143510"/>
                <wp:wrapTopAndBottom/>
                <wp:docPr id="447" name="Shape 447"/>
                <a:graphic xmlns:a="http://schemas.openxmlformats.org/drawingml/2006/main">
                  <a:graphicData uri="http://schemas.microsoft.com/office/word/2010/wordprocessingShape">
                    <wps:wsp>
                      <wps:cNvSpPr txBox="1"/>
                      <wps:spPr>
                        <a:xfrm>
                          <a:ext cx="481330" cy="14351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5,791,300</w:t>
                            </w:r>
                          </w:p>
                        </w:txbxContent>
                      </wps:txbx>
                      <wps:bodyPr wrap="none" lIns="0" tIns="0" rIns="0" bIns="0">
                        <a:noAutoFit/>
                      </wps:bodyPr>
                    </wps:wsp>
                  </a:graphicData>
                </a:graphic>
              </wp:anchor>
            </w:drawing>
          </mc:Choice>
          <mc:Fallback>
            <w:pict>
              <v:shape id="_x0000_s1473" type="#_x0000_t202" style="position:absolute;margin-left:351.85000000000002pt;margin-top:670.10000000000002pt;width:37.899999999999999pt;height:11.300000000000001pt;z-index:-125829260;mso-wrap-distance-left:332.05000000000001pt;mso-wrap-distance-top:172.20000000000002pt;mso-wrap-distance-right:175.55000000000001pt;mso-wrap-distance-bottom:7.6500000000000004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5,791,300</w:t>
                      </w:r>
                    </w:p>
                  </w:txbxContent>
                </v:textbox>
                <w10:wrap type="topAndBottom" anchorx="page" anchory="margin"/>
              </v:shape>
            </w:pict>
          </mc:Fallback>
        </mc:AlternateContent>
      </w:r>
      <w:r>
        <mc:AlternateContent>
          <mc:Choice Requires="wps">
            <w:drawing>
              <wp:anchor distT="1824355" distB="457200" distL="4841875" distR="1372870" simplePos="0" relativeHeight="125829495" behindDoc="0" locked="0" layoutInCell="1" allowOverlap="1">
                <wp:simplePos x="0" y="0"/>
                <wp:positionH relativeFrom="page">
                  <wp:posOffset>5093335</wp:posOffset>
                </wp:positionH>
                <wp:positionV relativeFrom="margin">
                  <wp:posOffset>8147685</wp:posOffset>
                </wp:positionV>
                <wp:extent cx="713105" cy="146050"/>
                <wp:wrapTopAndBottom/>
                <wp:docPr id="449" name="Shape 449"/>
                <a:graphic xmlns:a="http://schemas.openxmlformats.org/drawingml/2006/main">
                  <a:graphicData uri="http://schemas.microsoft.com/office/word/2010/wordprocessingShape">
                    <wps:wsp>
                      <wps:cNvSpPr txBox="1"/>
                      <wps:spPr>
                        <a:xfrm>
                          <a:ext cx="713105"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wps:txbx>
                      <wps:bodyPr wrap="none" lIns="0" tIns="0" rIns="0" bIns="0">
                        <a:noAutoFit/>
                      </wps:bodyPr>
                    </wps:wsp>
                  </a:graphicData>
                </a:graphic>
              </wp:anchor>
            </w:drawing>
          </mc:Choice>
          <mc:Fallback>
            <w:pict>
              <v:shape id="_x0000_s1475" type="#_x0000_t202" style="position:absolute;margin-left:401.05000000000001pt;margin-top:641.55000000000007pt;width:56.149999999999999pt;height:11.5pt;z-index:-125829258;mso-wrap-distance-left:381.25pt;mso-wrap-distance-top:143.65000000000001pt;mso-wrap-distance-right:108.10000000000001pt;mso-wrap-distance-bottom:36.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v:textbox>
                <w10:wrap type="topAndBottom" anchorx="page" anchory="margin"/>
              </v:shape>
            </w:pict>
          </mc:Fallback>
        </mc:AlternateContent>
      </w:r>
      <w:r>
        <mc:AlternateContent>
          <mc:Choice Requires="wps">
            <w:drawing>
              <wp:anchor distT="2180590" distB="100965" distL="4841875" distR="1372870" simplePos="0" relativeHeight="125829497" behindDoc="0" locked="0" layoutInCell="1" allowOverlap="1">
                <wp:simplePos x="0" y="0"/>
                <wp:positionH relativeFrom="page">
                  <wp:posOffset>5093335</wp:posOffset>
                </wp:positionH>
                <wp:positionV relativeFrom="margin">
                  <wp:posOffset>8503920</wp:posOffset>
                </wp:positionV>
                <wp:extent cx="713105" cy="146050"/>
                <wp:wrapTopAndBottom/>
                <wp:docPr id="451" name="Shape 451"/>
                <a:graphic xmlns:a="http://schemas.openxmlformats.org/drawingml/2006/main">
                  <a:graphicData uri="http://schemas.microsoft.com/office/word/2010/wordprocessingShape">
                    <wps:wsp>
                      <wps:cNvSpPr txBox="1"/>
                      <wps:spPr>
                        <a:xfrm>
                          <a:ext cx="713105"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wps:txbx>
                      <wps:bodyPr wrap="none" lIns="0" tIns="0" rIns="0" bIns="0">
                        <a:noAutoFit/>
                      </wps:bodyPr>
                    </wps:wsp>
                  </a:graphicData>
                </a:graphic>
              </wp:anchor>
            </w:drawing>
          </mc:Choice>
          <mc:Fallback>
            <w:pict>
              <v:shape id="_x0000_s1477" type="#_x0000_t202" style="position:absolute;margin-left:401.05000000000001pt;margin-top:669.60000000000002pt;width:56.149999999999999pt;height:11.5pt;z-index:-125829256;mso-wrap-distance-left:381.25pt;mso-wrap-distance-top:171.70000000000002pt;mso-wrap-distance-right:108.10000000000001pt;mso-wrap-distance-bottom:7.9500000000000002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xbxContent>
                </v:textbox>
                <w10:wrap type="topAndBottom" anchorx="page" anchory="margin"/>
              </v:shape>
            </w:pict>
          </mc:Fallback>
        </mc:AlternateContent>
      </w:r>
      <w:r>
        <mc:AlternateContent>
          <mc:Choice Requires="wps">
            <w:drawing>
              <wp:anchor distT="1830070" distB="451485" distL="6329045" distR="114300" simplePos="0" relativeHeight="125829499" behindDoc="0" locked="0" layoutInCell="1" allowOverlap="1">
                <wp:simplePos x="0" y="0"/>
                <wp:positionH relativeFrom="page">
                  <wp:posOffset>6580505</wp:posOffset>
                </wp:positionH>
                <wp:positionV relativeFrom="margin">
                  <wp:posOffset>8153400</wp:posOffset>
                </wp:positionV>
                <wp:extent cx="484505" cy="146050"/>
                <wp:wrapTopAndBottom/>
                <wp:docPr id="453" name="Shape 453"/>
                <a:graphic xmlns:a="http://schemas.openxmlformats.org/drawingml/2006/main">
                  <a:graphicData uri="http://schemas.microsoft.com/office/word/2010/wordprocessingShape">
                    <wps:wsp>
                      <wps:cNvSpPr txBox="1"/>
                      <wps:spPr>
                        <a:xfrm>
                          <a:ext cx="484505" cy="14605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6,200,000</w:t>
                            </w:r>
                          </w:p>
                        </w:txbxContent>
                      </wps:txbx>
                      <wps:bodyPr wrap="none" lIns="0" tIns="0" rIns="0" bIns="0">
                        <a:noAutoFit/>
                      </wps:bodyPr>
                    </wps:wsp>
                  </a:graphicData>
                </a:graphic>
              </wp:anchor>
            </w:drawing>
          </mc:Choice>
          <mc:Fallback>
            <w:pict>
              <v:shape id="_x0000_s1479" type="#_x0000_t202" style="position:absolute;margin-left:518.14999999999998pt;margin-top:642.pt;width:38.149999999999999pt;height:11.5pt;z-index:-125829254;mso-wrap-distance-left:498.35000000000002pt;mso-wrap-distance-top:144.09999999999999pt;mso-wrap-distance-right:9.pt;mso-wrap-distance-bottom:35.550000000000004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left"/>
                      </w:pPr>
                      <w:r>
                        <w:rPr>
                          <w:color w:val="000000"/>
                          <w:spacing w:val="0"/>
                          <w:w w:val="100"/>
                          <w:position w:val="0"/>
                        </w:rPr>
                        <w:t>6,200,000</w:t>
                      </w:r>
                    </w:p>
                  </w:txbxContent>
                </v:textbox>
                <w10:wrap type="topAndBottom" anchorx="page" anchory="margin"/>
              </v:shape>
            </w:pict>
          </mc:Fallback>
        </mc:AlternateContent>
      </w:r>
      <w:r>
        <mc:AlternateContent>
          <mc:Choice Requires="wps">
            <w:drawing>
              <wp:anchor distT="2186940" distB="97155" distL="6332220" distR="114300" simplePos="0" relativeHeight="125829501" behindDoc="0" locked="0" layoutInCell="1" allowOverlap="1">
                <wp:simplePos x="0" y="0"/>
                <wp:positionH relativeFrom="page">
                  <wp:posOffset>6583680</wp:posOffset>
                </wp:positionH>
                <wp:positionV relativeFrom="margin">
                  <wp:posOffset>8510270</wp:posOffset>
                </wp:positionV>
                <wp:extent cx="481330" cy="143510"/>
                <wp:wrapTopAndBottom/>
                <wp:docPr id="455" name="Shape 455"/>
                <a:graphic xmlns:a="http://schemas.openxmlformats.org/drawingml/2006/main">
                  <a:graphicData uri="http://schemas.microsoft.com/office/word/2010/wordprocessingShape">
                    <wps:wsp>
                      <wps:cNvSpPr txBox="1"/>
                      <wps:spPr>
                        <a:xfrm>
                          <a:ext cx="481330" cy="14351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5,791,300</w:t>
                            </w:r>
                          </w:p>
                        </w:txbxContent>
                      </wps:txbx>
                      <wps:bodyPr wrap="none" lIns="0" tIns="0" rIns="0" bIns="0">
                        <a:noAutoFit/>
                      </wps:bodyPr>
                    </wps:wsp>
                  </a:graphicData>
                </a:graphic>
              </wp:anchor>
            </w:drawing>
          </mc:Choice>
          <mc:Fallback>
            <w:pict>
              <v:shape id="_x0000_s1481" type="#_x0000_t202" style="position:absolute;margin-left:518.39999999999998pt;margin-top:670.10000000000002pt;width:37.899999999999999pt;height:11.300000000000001pt;z-index:-125829252;mso-wrap-distance-left:498.60000000000002pt;mso-wrap-distance-top:172.20000000000002pt;mso-wrap-distance-right:9.pt;mso-wrap-distance-bottom:7.6500000000000004pt;mso-position-horizontal-relative:page;mso-position-vertical-relative:margin" filled="f" stroked="f">
                <v:textbox inset="0,0,0,0">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5,791,300</w:t>
                      </w:r>
                    </w:p>
                  </w:txbxContent>
                </v:textbox>
                <w10:wrap type="topAndBottom" anchorx="page" anchory="margin"/>
              </v:shape>
            </w:pict>
          </mc:Fallback>
        </mc:AlternateContent>
      </w:r>
      <w:r>
        <w:rPr>
          <w:color w:val="000000"/>
          <w:spacing w:val="0"/>
          <w:w w:val="100"/>
          <w:position w:val="0"/>
        </w:rPr>
        <w:t>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名无限售条件股东持股情况</w:t>
      </w:r>
    </w:p>
    <w:p>
      <w:pPr>
        <w:widowControl w:val="0"/>
        <w:jc w:val="left"/>
        <w:rPr>
          <w:sz w:val="2"/>
          <w:szCs w:val="2"/>
        </w:rPr>
      </w:pPr>
      <w:r>
        <w:drawing>
          <wp:inline>
            <wp:extent cx="1298575" cy="481330"/>
            <wp:docPr id="457" name="Picutre 457"/>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77"/>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4968"/>
        <w:gridCol w:w="2270"/>
        <w:gridCol w:w="1560"/>
        <w:gridCol w:w="1781"/>
      </w:tblGrid>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张继武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3,557,642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3,557,642</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紫金信托有限责任公司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3,539,900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3,539,900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吴宇泽</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3,294,750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3,294,750</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前</w:t>
            </w:r>
            <w:r>
              <w:rPr>
                <w:rFonts w:ascii="Times New Roman" w:eastAsia="Times New Roman" w:hAnsi="Times New Roman" w:cs="Times New Roman"/>
                <w:color w:val="000000"/>
                <w:spacing w:val="0"/>
                <w:w w:val="100"/>
                <w:position w:val="0"/>
              </w:rPr>
              <w:t>10</w:t>
            </w:r>
            <w:r>
              <w:rPr>
                <w:color w:val="000000"/>
                <w:spacing w:val="0"/>
                <w:w w:val="100"/>
                <w:position w:val="0"/>
              </w:rPr>
              <w:t>名无限售流通股股东之间，以及前</w:t>
            </w:r>
            <w:r>
              <w:rPr>
                <w:rFonts w:ascii="Times New Roman" w:eastAsia="Times New Roman" w:hAnsi="Times New Roman" w:cs="Times New Roman"/>
                <w:color w:val="000000"/>
                <w:spacing w:val="0"/>
                <w:w w:val="100"/>
                <w:position w:val="0"/>
              </w:rPr>
              <w:t>10</w:t>
            </w:r>
            <w:r>
              <w:rPr>
                <w:color w:val="000000"/>
                <w:spacing w:val="0"/>
                <w:w w:val="100"/>
                <w:position w:val="0"/>
              </w:rPr>
              <w:t>名无限售流通股股 东和前</w:t>
            </w:r>
            <w:r>
              <w:rPr>
                <w:rFonts w:ascii="Times New Roman" w:eastAsia="Times New Roman" w:hAnsi="Times New Roman" w:cs="Times New Roman"/>
                <w:color w:val="000000"/>
                <w:spacing w:val="0"/>
                <w:w w:val="100"/>
                <w:position w:val="0"/>
              </w:rPr>
              <w:t>10</w:t>
            </w:r>
            <w:r>
              <w:rPr>
                <w:color w:val="000000"/>
                <w:spacing w:val="0"/>
                <w:w w:val="100"/>
                <w:position w:val="0"/>
              </w:rPr>
              <w:t>名股东之间关联关系或一致行动的说明</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r>
        <w:trPr>
          <w:trHeight w:val="3221"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参与融资融券业务股东情况说明（如有）（参见注</w:t>
            </w:r>
            <w:r>
              <w:rPr>
                <w:rFonts w:ascii="Times New Roman" w:eastAsia="Times New Roman" w:hAnsi="Times New Roman" w:cs="Times New Roman"/>
                <w:color w:val="000000"/>
                <w:spacing w:val="0"/>
                <w:w w:val="100"/>
                <w:position w:val="0"/>
              </w:rPr>
              <w:t>5</w:t>
            </w:r>
            <w:r>
              <w:rPr>
                <w:color w:val="000000"/>
                <w:spacing w:val="0"/>
                <w:w w:val="100"/>
                <w:position w:val="0"/>
              </w:rPr>
              <w:t>）</w:t>
            </w:r>
          </w:p>
        </w:tc>
        <w:tc>
          <w:tcPr>
            <w:gridSpan w:val="3"/>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color w:val="000000"/>
                <w:spacing w:val="0"/>
                <w:w w:val="100"/>
                <w:position w:val="0"/>
              </w:rPr>
              <w:t xml:space="preserve">上述股东中，辽宁国科实业有限公司除通过普通证券账户持有 </w:t>
            </w:r>
            <w:r>
              <w:rPr>
                <w:rFonts w:ascii="Times New Roman" w:eastAsia="Times New Roman" w:hAnsi="Times New Roman" w:cs="Times New Roman"/>
                <w:color w:val="000000"/>
                <w:spacing w:val="0"/>
                <w:w w:val="100"/>
                <w:position w:val="0"/>
              </w:rPr>
              <w:t>90,000,000</w:t>
            </w:r>
            <w:r>
              <w:rPr>
                <w:color w:val="000000"/>
                <w:spacing w:val="0"/>
                <w:w w:val="100"/>
                <w:position w:val="0"/>
              </w:rPr>
              <w:t>股外，还通过东北证券股份有限公司客户信用担保证券账户 持有</w:t>
            </w:r>
            <w:r>
              <w:rPr>
                <w:rFonts w:ascii="Times New Roman" w:eastAsia="Times New Roman" w:hAnsi="Times New Roman" w:cs="Times New Roman"/>
                <w:color w:val="000000"/>
                <w:spacing w:val="0"/>
                <w:w w:val="100"/>
                <w:position w:val="0"/>
              </w:rPr>
              <w:t>46,529,042</w:t>
            </w:r>
            <w:r>
              <w:rPr>
                <w:color w:val="000000"/>
                <w:spacing w:val="0"/>
                <w:w w:val="100"/>
                <w:position w:val="0"/>
              </w:rPr>
              <w:t>股，实际合计持有</w:t>
            </w:r>
            <w:r>
              <w:rPr>
                <w:rFonts w:ascii="Times New Roman" w:eastAsia="Times New Roman" w:hAnsi="Times New Roman" w:cs="Times New Roman"/>
                <w:color w:val="000000"/>
                <w:spacing w:val="0"/>
                <w:w w:val="100"/>
                <w:position w:val="0"/>
              </w:rPr>
              <w:t>136,529,042</w:t>
            </w:r>
            <w:r>
              <w:rPr>
                <w:color w:val="000000"/>
                <w:spacing w:val="0"/>
                <w:w w:val="100"/>
                <w:position w:val="0"/>
              </w:rPr>
              <w:t>股公司股份；马路丁除 通过普通证券账户持有</w:t>
            </w:r>
            <w:r>
              <w:rPr>
                <w:rFonts w:ascii="Times New Roman" w:eastAsia="Times New Roman" w:hAnsi="Times New Roman" w:cs="Times New Roman"/>
                <w:color w:val="000000"/>
                <w:spacing w:val="0"/>
                <w:w w:val="100"/>
                <w:position w:val="0"/>
              </w:rPr>
              <w:t>169,300</w:t>
            </w:r>
            <w:r>
              <w:rPr>
                <w:color w:val="000000"/>
                <w:spacing w:val="0"/>
                <w:w w:val="100"/>
                <w:position w:val="0"/>
              </w:rPr>
              <w:t>股外，还通过东海证券股份有限公司客 户信用担保证券账户持有</w:t>
            </w:r>
            <w:r>
              <w:rPr>
                <w:rFonts w:ascii="Times New Roman" w:eastAsia="Times New Roman" w:hAnsi="Times New Roman" w:cs="Times New Roman"/>
                <w:color w:val="000000"/>
                <w:spacing w:val="0"/>
                <w:w w:val="100"/>
                <w:position w:val="0"/>
              </w:rPr>
              <w:t>6,595,006</w:t>
            </w:r>
            <w:r>
              <w:rPr>
                <w:color w:val="000000"/>
                <w:spacing w:val="0"/>
                <w:w w:val="100"/>
                <w:position w:val="0"/>
              </w:rPr>
              <w:t>股，实际合计持有</w:t>
            </w:r>
            <w:r>
              <w:rPr>
                <w:rFonts w:ascii="Times New Roman" w:eastAsia="Times New Roman" w:hAnsi="Times New Roman" w:cs="Times New Roman"/>
                <w:color w:val="000000"/>
                <w:spacing w:val="0"/>
                <w:w w:val="100"/>
                <w:position w:val="0"/>
              </w:rPr>
              <w:t>6,764,306</w:t>
            </w:r>
            <w:r>
              <w:rPr>
                <w:color w:val="000000"/>
                <w:spacing w:val="0"/>
                <w:w w:val="100"/>
                <w:position w:val="0"/>
              </w:rPr>
              <w:t>股公司 股份；钟一翔通过普通证券账户持有</w:t>
            </w:r>
            <w:r>
              <w:rPr>
                <w:rFonts w:ascii="Times New Roman" w:eastAsia="Times New Roman" w:hAnsi="Times New Roman" w:cs="Times New Roman"/>
                <w:color w:val="000000"/>
                <w:spacing w:val="0"/>
                <w:w w:val="100"/>
                <w:position w:val="0"/>
              </w:rPr>
              <w:t>0</w:t>
            </w:r>
            <w:r>
              <w:rPr>
                <w:color w:val="000000"/>
                <w:spacing w:val="0"/>
                <w:w w:val="100"/>
                <w:position w:val="0"/>
              </w:rPr>
              <w:t>股，通过国海证券股份有限公司 客户信用担保证券账户持有</w:t>
            </w:r>
            <w:r>
              <w:rPr>
                <w:rFonts w:ascii="Times New Roman" w:eastAsia="Times New Roman" w:hAnsi="Times New Roman" w:cs="Times New Roman"/>
                <w:color w:val="000000"/>
                <w:spacing w:val="0"/>
                <w:w w:val="100"/>
                <w:position w:val="0"/>
              </w:rPr>
              <w:t>6,200,000</w:t>
            </w:r>
            <w:r>
              <w:rPr>
                <w:color w:val="000000"/>
                <w:spacing w:val="0"/>
                <w:w w:val="100"/>
                <w:position w:val="0"/>
              </w:rPr>
              <w:t>股，实际合计持有</w:t>
            </w:r>
            <w:r>
              <w:rPr>
                <w:rFonts w:ascii="Times New Roman" w:eastAsia="Times New Roman" w:hAnsi="Times New Roman" w:cs="Times New Roman"/>
                <w:color w:val="000000"/>
                <w:spacing w:val="0"/>
                <w:w w:val="100"/>
                <w:position w:val="0"/>
              </w:rPr>
              <w:t>6,200,000</w:t>
            </w:r>
            <w:r>
              <w:rPr>
                <w:color w:val="000000"/>
                <w:spacing w:val="0"/>
                <w:w w:val="100"/>
                <w:position w:val="0"/>
              </w:rPr>
              <w:t>股公 司股份；泓盛资产管理（深圳）有限公司一泓盛天泽</w:t>
            </w:r>
            <w:r>
              <w:rPr>
                <w:rFonts w:ascii="Times New Roman" w:eastAsia="Times New Roman" w:hAnsi="Times New Roman" w:cs="Times New Roman"/>
                <w:color w:val="000000"/>
                <w:spacing w:val="0"/>
                <w:w w:val="100"/>
                <w:position w:val="0"/>
              </w:rPr>
              <w:t>2</w:t>
            </w:r>
            <w:r>
              <w:rPr>
                <w:color w:val="000000"/>
                <w:spacing w:val="0"/>
                <w:w w:val="100"/>
                <w:position w:val="0"/>
              </w:rPr>
              <w:t>号私募证券投资 基金通过普通证券账户持有</w:t>
            </w:r>
            <w:r>
              <w:rPr>
                <w:rFonts w:ascii="Times New Roman" w:eastAsia="Times New Roman" w:hAnsi="Times New Roman" w:cs="Times New Roman"/>
                <w:color w:val="000000"/>
                <w:spacing w:val="0"/>
                <w:w w:val="100"/>
                <w:position w:val="0"/>
              </w:rPr>
              <w:t>0</w:t>
            </w:r>
            <w:r>
              <w:rPr>
                <w:color w:val="000000"/>
                <w:spacing w:val="0"/>
                <w:w w:val="100"/>
                <w:position w:val="0"/>
              </w:rPr>
              <w:t>股，通过兴业证券股份有限公司客户信用 担保证券账户持有</w:t>
            </w:r>
            <w:r>
              <w:rPr>
                <w:rFonts w:ascii="Times New Roman" w:eastAsia="Times New Roman" w:hAnsi="Times New Roman" w:cs="Times New Roman"/>
                <w:color w:val="000000"/>
                <w:spacing w:val="0"/>
                <w:w w:val="100"/>
                <w:position w:val="0"/>
              </w:rPr>
              <w:t>5,791,300</w:t>
            </w:r>
            <w:r>
              <w:rPr>
                <w:color w:val="000000"/>
                <w:spacing w:val="0"/>
                <w:w w:val="100"/>
                <w:position w:val="0"/>
              </w:rPr>
              <w:t>股，实际合计持有</w:t>
            </w:r>
            <w:r>
              <w:rPr>
                <w:rFonts w:ascii="Times New Roman" w:eastAsia="Times New Roman" w:hAnsi="Times New Roman" w:cs="Times New Roman"/>
                <w:color w:val="000000"/>
                <w:spacing w:val="0"/>
                <w:w w:val="100"/>
                <w:position w:val="0"/>
              </w:rPr>
              <w:t>5,791,300</w:t>
            </w:r>
            <w:r>
              <w:rPr>
                <w:color w:val="000000"/>
                <w:spacing w:val="0"/>
                <w:w w:val="100"/>
                <w:position w:val="0"/>
              </w:rPr>
              <w:t>股公司股份。</w:t>
            </w:r>
          </w:p>
        </w:tc>
      </w:tr>
    </w:tbl>
    <w:p>
      <w:pPr>
        <w:pStyle w:val="Style49"/>
        <w:keepNext w:val="0"/>
        <w:keepLines w:val="0"/>
        <w:widowControl w:val="0"/>
        <w:shd w:val="clear" w:color="auto" w:fill="auto"/>
        <w:bidi w:val="0"/>
        <w:spacing w:before="0" w:after="0" w:line="240" w:lineRule="auto"/>
        <w:ind w:left="456"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名无限售条件普通股股东在报告期内是否进行约定购回交易</w:t>
      </w:r>
    </w:p>
    <w:p>
      <w:pPr>
        <w:widowControl w:val="0"/>
        <w:spacing w:after="459" w:line="1" w:lineRule="exact"/>
      </w:pPr>
    </w:p>
    <w:p>
      <w:pPr>
        <w:pStyle w:val="Style32"/>
        <w:keepNext w:val="0"/>
        <w:keepLines w:val="0"/>
        <w:widowControl w:val="0"/>
        <w:shd w:val="clear" w:color="auto" w:fill="auto"/>
        <w:bidi w:val="0"/>
        <w:spacing w:before="0" w:after="380" w:line="240" w:lineRule="auto"/>
        <w:ind w:left="0" w:right="0" w:firstLine="46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名无限售条件普通股股东在报告期内未进行约定购回交易。</w:t>
      </w:r>
    </w:p>
    <w:p>
      <w:pPr>
        <w:pStyle w:val="Style55"/>
        <w:keepNext/>
        <w:keepLines/>
        <w:widowControl w:val="0"/>
        <w:shd w:val="clear" w:color="auto" w:fill="auto"/>
        <w:bidi w:val="0"/>
        <w:spacing w:before="0" w:after="380" w:line="240" w:lineRule="auto"/>
        <w:ind w:left="0" w:right="0" w:firstLine="460"/>
        <w:jc w:val="left"/>
      </w:pPr>
      <w:bookmarkStart w:id="503" w:name="bookmark503"/>
      <w:bookmarkStart w:id="504" w:name="bookmark504"/>
      <w:bookmarkStart w:id="505" w:name="bookmark505"/>
      <w:bookmarkStart w:id="506" w:name="bookmark506"/>
      <w:r>
        <w:rPr>
          <w:rFonts w:ascii="Times New Roman" w:eastAsia="Times New Roman" w:hAnsi="Times New Roman" w:cs="Times New Roman"/>
          <w:color w:val="000000"/>
          <w:spacing w:val="0"/>
          <w:w w:val="100"/>
          <w:position w:val="0"/>
        </w:rPr>
        <w:t>2</w:t>
      </w:r>
      <w:bookmarkEnd w:id="505"/>
      <w:r>
        <w:rPr>
          <w:color w:val="000000"/>
          <w:spacing w:val="0"/>
          <w:w w:val="100"/>
          <w:position w:val="0"/>
        </w:rPr>
        <w:t>、公司控股股东情况</w:t>
      </w:r>
      <w:bookmarkEnd w:id="503"/>
      <w:bookmarkEnd w:id="504"/>
      <w:bookmarkEnd w:id="506"/>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控股股东性质：自然人控股</w:t>
      </w:r>
    </w:p>
    <w:p>
      <w:pPr>
        <w:pStyle w:val="Style32"/>
        <w:keepNext w:val="0"/>
        <w:keepLines w:val="0"/>
        <w:widowControl w:val="0"/>
        <w:shd w:val="clear" w:color="auto" w:fill="auto"/>
        <w:bidi w:val="0"/>
        <w:spacing w:before="0" w:after="80" w:line="240" w:lineRule="auto"/>
        <w:ind w:left="0" w:right="0" w:firstLine="460"/>
        <w:jc w:val="left"/>
      </w:pPr>
      <w:r>
        <w:rPr>
          <w:color w:val="000000"/>
          <w:spacing w:val="0"/>
          <w:w w:val="100"/>
          <w:position w:val="0"/>
        </w:rPr>
        <w:t>控股股东类型：自然人</w:t>
      </w:r>
    </w:p>
    <w:tbl>
      <w:tblPr>
        <w:tblOverlap w:val="never"/>
        <w:jc w:val="center"/>
        <w:tblLayout w:type="fixed"/>
      </w:tblPr>
      <w:tblGrid>
        <w:gridCol w:w="4829"/>
        <w:gridCol w:w="1843"/>
        <w:gridCol w:w="2914"/>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控股股东姓名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国籍</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是否取得其他国家或地区居留权</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主要职业及职务</w:t>
            </w:r>
          </w:p>
        </w:tc>
        <w:tc>
          <w:tcPr>
            <w:gridSpan w:val="2"/>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荣科科技董事长、总裁；辽宁国科实业有限公司董事长。</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报告期内控股和参股的其他境内外上市公司的股权情况</w:t>
            </w:r>
          </w:p>
        </w:tc>
        <w:tc>
          <w:tcPr>
            <w:gridSpan w:val="2"/>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79" w:line="1" w:lineRule="exact"/>
      </w:pPr>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控股股东报告期内变更</w:t>
      </w:r>
    </w:p>
    <w:p>
      <w:pPr>
        <w:pStyle w:val="Style32"/>
        <w:keepNext w:val="0"/>
        <w:keepLines w:val="0"/>
        <w:widowControl w:val="0"/>
        <w:shd w:val="clear" w:color="auto" w:fill="auto"/>
        <w:bidi w:val="0"/>
        <w:spacing w:before="0" w:after="140" w:line="240" w:lineRule="auto"/>
        <w:ind w:left="0" w:right="0" w:firstLine="4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460"/>
        <w:jc w:val="left"/>
      </w:pPr>
      <w:r>
        <w:rPr>
          <w:color w:val="000000"/>
          <w:spacing w:val="0"/>
          <w:w w:val="100"/>
          <w:position w:val="0"/>
        </w:rPr>
        <w:t>公司报告期控股股东未发生变更。</w:t>
      </w:r>
    </w:p>
    <w:p>
      <w:pPr>
        <w:pStyle w:val="Style55"/>
        <w:keepNext/>
        <w:keepLines/>
        <w:widowControl w:val="0"/>
        <w:shd w:val="clear" w:color="auto" w:fill="auto"/>
        <w:bidi w:val="0"/>
        <w:spacing w:before="0" w:after="380" w:line="240" w:lineRule="auto"/>
        <w:ind w:left="0" w:right="0" w:firstLine="460"/>
        <w:jc w:val="left"/>
      </w:pPr>
      <w:bookmarkStart w:id="507" w:name="bookmark507"/>
      <w:bookmarkStart w:id="508" w:name="bookmark508"/>
      <w:bookmarkStart w:id="509" w:name="bookmark509"/>
      <w:bookmarkStart w:id="510" w:name="bookmark510"/>
      <w:r>
        <w:rPr>
          <w:rFonts w:ascii="Times New Roman" w:eastAsia="Times New Roman" w:hAnsi="Times New Roman" w:cs="Times New Roman"/>
          <w:color w:val="000000"/>
          <w:spacing w:val="0"/>
          <w:w w:val="100"/>
          <w:position w:val="0"/>
        </w:rPr>
        <w:t>3</w:t>
      </w:r>
      <w:bookmarkEnd w:id="509"/>
      <w:r>
        <w:rPr>
          <w:color w:val="000000"/>
          <w:spacing w:val="0"/>
          <w:w w:val="100"/>
          <w:position w:val="0"/>
        </w:rPr>
        <w:t>、公司实际控制人及其一致行动人</w:t>
      </w:r>
      <w:bookmarkEnd w:id="507"/>
      <w:bookmarkEnd w:id="508"/>
      <w:bookmarkEnd w:id="510"/>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实际控制人性质：境内自然人</w:t>
      </w:r>
    </w:p>
    <w:p>
      <w:pPr>
        <w:pStyle w:val="Style32"/>
        <w:keepNext w:val="0"/>
        <w:keepLines w:val="0"/>
        <w:widowControl w:val="0"/>
        <w:shd w:val="clear" w:color="auto" w:fill="auto"/>
        <w:bidi w:val="0"/>
        <w:spacing w:before="0" w:after="80" w:line="240" w:lineRule="auto"/>
        <w:ind w:left="0" w:right="0" w:firstLine="460"/>
        <w:jc w:val="left"/>
      </w:pPr>
      <w:r>
        <w:rPr>
          <w:color w:val="000000"/>
          <w:spacing w:val="0"/>
          <w:w w:val="100"/>
          <w:position w:val="0"/>
        </w:rPr>
        <w:t>实际控制人类型：自然人</w:t>
      </w:r>
    </w:p>
    <w:tbl>
      <w:tblPr>
        <w:tblOverlap w:val="never"/>
        <w:jc w:val="center"/>
        <w:tblLayout w:type="fixed"/>
      </w:tblPr>
      <w:tblGrid>
        <w:gridCol w:w="3696"/>
        <w:gridCol w:w="2266"/>
        <w:gridCol w:w="1987"/>
        <w:gridCol w:w="1637"/>
      </w:tblGrid>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实际控制人姓名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与实际控制人关系</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国籍</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是否取得其他国家 或地区居留权</w:t>
            </w:r>
          </w:p>
        </w:tc>
      </w:tr>
      <w:tr>
        <w:trPr>
          <w:trHeight w:val="40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本人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主要职业及职务</w:t>
            </w:r>
          </w:p>
        </w:tc>
        <w:tc>
          <w:tcPr>
            <w:gridSpan w:val="3"/>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荣科科技董事长、总裁；辽宁国科实业有限公司董事长。</w:t>
            </w:r>
          </w:p>
        </w:tc>
      </w:tr>
    </w:tbl>
    <w:p>
      <w:pPr>
        <w:sectPr>
          <w:headerReference w:type="default" r:id="rId179"/>
          <w:footerReference w:type="default" r:id="rId180"/>
          <w:headerReference w:type="even" r:id="rId181"/>
          <w:footerReference w:type="even" r:id="rId182"/>
          <w:footnotePr>
            <w:pos w:val="pageBottom"/>
            <w:numFmt w:val="decimal"/>
            <w:numRestart w:val="continuous"/>
          </w:footnotePr>
          <w:pgSz w:w="11900" w:h="16840"/>
          <w:pgMar w:top="692" w:right="663" w:bottom="1158" w:left="658" w:header="0" w:footer="3" w:gutter="0"/>
          <w:cols w:space="720"/>
          <w:noEndnote/>
          <w:rtlGutter w:val="0"/>
          <w:docGrid w:linePitch="360"/>
        </w:sectPr>
      </w:pPr>
    </w:p>
    <w:p>
      <w:pPr>
        <w:widowControl w:val="0"/>
        <w:jc w:val="left"/>
        <w:rPr>
          <w:sz w:val="2"/>
          <w:szCs w:val="2"/>
        </w:rPr>
      </w:pPr>
      <w:r>
        <w:drawing>
          <wp:inline>
            <wp:extent cx="1298575" cy="494030"/>
            <wp:docPr id="468" name="Picutre 468"/>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83"/>
                    <a:stretch/>
                  </pic:blipFill>
                  <pic:spPr>
                    <a:xfrm>
                      <a:ext cx="1298575" cy="4940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p>
      <w:pPr>
        <w:widowControl w:val="0"/>
        <w:spacing w:after="59" w:line="1" w:lineRule="exact"/>
      </w:pPr>
    </w:p>
    <w:p>
      <w:pPr>
        <w:pStyle w:val="Style3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line="240" w:lineRule="auto"/>
        <w:ind w:left="0" w:right="0" w:firstLine="460"/>
        <w:jc w:val="left"/>
      </w:pPr>
      <w:r>
        <w:rPr>
          <w:color w:val="000000"/>
          <w:spacing w:val="0"/>
          <w:w w:val="100"/>
          <w:position w:val="0"/>
        </w:rPr>
        <w:t>过去</w:t>
      </w:r>
      <w:r>
        <w:rPr>
          <w:rFonts w:ascii="Times New Roman" w:eastAsia="Times New Roman" w:hAnsi="Times New Roman" w:cs="Times New Roman"/>
          <w:color w:val="000000"/>
          <w:spacing w:val="0"/>
          <w:w w:val="100"/>
          <w:position w:val="0"/>
        </w:rPr>
        <w:t>10</w:t>
      </w:r>
      <w:r>
        <w:rPr>
          <w:color w:val="000000"/>
          <w:spacing w:val="0"/>
          <w:w w:val="100"/>
          <w:position w:val="0"/>
        </w:rPr>
        <w:t>年曾控股的境内外上市公司情况</w:t>
      </w:r>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实际控制人报告期内变更</w:t>
      </w:r>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w:t>
      </w:r>
      <w:r>
        <w:rPr>
          <w:color w:val="000000"/>
          <w:spacing w:val="0"/>
          <w:w w:val="100"/>
          <w:position w:val="0"/>
        </w:rPr>
        <w:t>适用</w:t>
      </w:r>
      <w:r>
        <w:rPr>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公司报告期实际控制人未发生变更。</w:t>
      </w:r>
    </w:p>
    <w:p>
      <w:pPr>
        <w:pStyle w:val="Style32"/>
        <w:keepNext w:val="0"/>
        <w:keepLines w:val="0"/>
        <w:widowControl w:val="0"/>
        <w:shd w:val="clear" w:color="auto" w:fill="auto"/>
        <w:bidi w:val="0"/>
        <w:spacing w:before="0" w:after="920" w:line="240" w:lineRule="auto"/>
        <w:ind w:left="0" w:right="0" w:firstLine="460"/>
        <w:jc w:val="left"/>
      </w:pPr>
      <w:r>
        <w:rPr>
          <w:color w:val="000000"/>
          <w:spacing w:val="0"/>
          <w:w w:val="100"/>
          <w:position w:val="0"/>
        </w:rPr>
        <w:t>公司与实际控制人之间的产权及控制关系的方框图</w:t>
      </w:r>
    </w:p>
    <w:p>
      <w:pPr>
        <w:widowControl w:val="0"/>
        <w:jc w:val="center"/>
        <w:rPr>
          <w:sz w:val="2"/>
          <w:szCs w:val="2"/>
        </w:rPr>
      </w:pPr>
      <w:r>
        <w:drawing>
          <wp:inline>
            <wp:extent cx="1822450" cy="1329055"/>
            <wp:docPr id="469" name="Picutre 469"/>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85"/>
                    <a:stretch/>
                  </pic:blipFill>
                  <pic:spPr>
                    <a:xfrm>
                      <a:ext cx="1822450" cy="1329055"/>
                    </a:xfrm>
                    <a:prstGeom prst="rect"/>
                  </pic:spPr>
                </pic:pic>
              </a:graphicData>
            </a:graphic>
          </wp:inline>
        </w:drawing>
      </w:r>
    </w:p>
    <w:p>
      <w:pPr>
        <w:widowControl w:val="0"/>
        <w:spacing w:after="59" w:line="1" w:lineRule="exact"/>
      </w:pPr>
    </w:p>
    <w:p>
      <w:pPr>
        <w:pStyle w:val="Style32"/>
        <w:keepNext w:val="0"/>
        <w:keepLines w:val="0"/>
        <w:widowControl w:val="0"/>
        <w:pBdr>
          <w:bottom w:val="single" w:sz="4" w:space="0" w:color="auto"/>
        </w:pBdr>
        <w:shd w:val="clear" w:color="auto" w:fill="auto"/>
        <w:bidi w:val="0"/>
        <w:spacing w:before="0" w:after="920" w:line="240" w:lineRule="auto"/>
        <w:ind w:left="0" w:right="0" w:firstLine="0"/>
        <w:jc w:val="center"/>
        <w:rPr>
          <w:sz w:val="17"/>
          <w:szCs w:val="17"/>
        </w:rPr>
      </w:pPr>
      <w:r>
        <w:rPr>
          <w:color w:val="8EA1BB"/>
          <w:spacing w:val="0"/>
          <w:w w:val="100"/>
          <w:position w:val="0"/>
          <w:sz w:val="17"/>
          <w:szCs w:val="17"/>
        </w:rPr>
        <w:t>条科科技股份有限公司-</w:t>
      </w:r>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实际控制人通过信托或其他资产管理方式控制公司</w:t>
      </w:r>
    </w:p>
    <w:p>
      <w:pPr>
        <w:pStyle w:val="Style32"/>
        <w:keepNext w:val="0"/>
        <w:keepLines w:val="0"/>
        <w:widowControl w:val="0"/>
        <w:shd w:val="clear" w:color="auto" w:fill="auto"/>
        <w:bidi w:val="0"/>
        <w:spacing w:before="0" w:after="380" w:line="240" w:lineRule="auto"/>
        <w:ind w:left="0" w:right="0" w:firstLine="4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bidi w:val="0"/>
        <w:spacing w:before="0" w:after="380" w:line="240" w:lineRule="auto"/>
        <w:ind w:left="0" w:right="0" w:firstLine="460"/>
        <w:jc w:val="left"/>
      </w:pPr>
      <w:bookmarkStart w:id="511" w:name="bookmark511"/>
      <w:bookmarkStart w:id="512" w:name="bookmark512"/>
      <w:bookmarkStart w:id="513" w:name="bookmark513"/>
      <w:bookmarkStart w:id="514" w:name="bookmark514"/>
      <w:r>
        <w:rPr>
          <w:rFonts w:ascii="Times New Roman" w:eastAsia="Times New Roman" w:hAnsi="Times New Roman" w:cs="Times New Roman"/>
          <w:color w:val="000000"/>
          <w:spacing w:val="0"/>
          <w:w w:val="100"/>
          <w:position w:val="0"/>
        </w:rPr>
        <w:t>4</w:t>
      </w:r>
      <w:bookmarkEnd w:id="513"/>
      <w:r>
        <w:rPr>
          <w:color w:val="000000"/>
          <w:spacing w:val="0"/>
          <w:w w:val="100"/>
          <w:position w:val="0"/>
        </w:rPr>
        <w:t>、其他持股在</w:t>
      </w:r>
      <w:r>
        <w:rPr>
          <w:rFonts w:ascii="Times New Roman" w:eastAsia="Times New Roman" w:hAnsi="Times New Roman" w:cs="Times New Roman"/>
          <w:color w:val="000000"/>
          <w:spacing w:val="0"/>
          <w:w w:val="100"/>
          <w:position w:val="0"/>
        </w:rPr>
        <w:t>10%</w:t>
      </w:r>
      <w:r>
        <w:rPr>
          <w:color w:val="000000"/>
          <w:spacing w:val="0"/>
          <w:w w:val="100"/>
          <w:position w:val="0"/>
        </w:rPr>
        <w:t>以上的法人股东</w:t>
      </w:r>
      <w:bookmarkEnd w:id="511"/>
      <w:bookmarkEnd w:id="512"/>
      <w:bookmarkEnd w:id="514"/>
    </w:p>
    <w:p>
      <w:pPr>
        <w:pStyle w:val="Style32"/>
        <w:keepNext w:val="0"/>
        <w:keepLines w:val="0"/>
        <w:widowControl w:val="0"/>
        <w:shd w:val="clear" w:color="auto" w:fill="auto"/>
        <w:bidi w:val="0"/>
        <w:spacing w:before="0" w:after="380" w:line="240" w:lineRule="auto"/>
        <w:ind w:left="0" w:right="0" w:firstLine="4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bidi w:val="0"/>
        <w:spacing w:before="0" w:after="380" w:line="240" w:lineRule="auto"/>
        <w:ind w:left="0" w:right="0" w:firstLine="460"/>
        <w:jc w:val="left"/>
      </w:pPr>
      <w:bookmarkStart w:id="515" w:name="bookmark515"/>
      <w:bookmarkStart w:id="516" w:name="bookmark516"/>
      <w:bookmarkStart w:id="517" w:name="bookmark517"/>
      <w:bookmarkStart w:id="518" w:name="bookmark518"/>
      <w:r>
        <w:rPr>
          <w:rFonts w:ascii="Times New Roman" w:eastAsia="Times New Roman" w:hAnsi="Times New Roman" w:cs="Times New Roman"/>
          <w:color w:val="000000"/>
          <w:spacing w:val="0"/>
          <w:w w:val="100"/>
          <w:position w:val="0"/>
        </w:rPr>
        <w:t>5</w:t>
      </w:r>
      <w:bookmarkEnd w:id="517"/>
      <w:r>
        <w:rPr>
          <w:color w:val="000000"/>
          <w:spacing w:val="0"/>
          <w:w w:val="100"/>
          <w:position w:val="0"/>
        </w:rPr>
        <w:t>、控股股东、实际控制人、重组方及其他承诺主体股份限制减持情况</w:t>
      </w:r>
      <w:bookmarkEnd w:id="515"/>
      <w:bookmarkEnd w:id="516"/>
      <w:bookmarkEnd w:id="518"/>
    </w:p>
    <w:p>
      <w:pPr>
        <w:pStyle w:val="Style32"/>
        <w:keepNext w:val="0"/>
        <w:keepLines w:val="0"/>
        <w:widowControl w:val="0"/>
        <w:shd w:val="clear" w:color="auto" w:fill="auto"/>
        <w:bidi w:val="0"/>
        <w:spacing w:before="0" w:after="280" w:line="240" w:lineRule="auto"/>
        <w:ind w:left="0" w:right="0" w:firstLine="460"/>
        <w:jc w:val="both"/>
        <w:sectPr>
          <w:footnotePr>
            <w:pos w:val="pageBottom"/>
            <w:numFmt w:val="decimal"/>
            <w:numRestart w:val="continuous"/>
          </w:footnotePr>
          <w:pgSz w:w="11900" w:h="16840"/>
          <w:pgMar w:top="692" w:right="663" w:bottom="1158" w:left="658" w:header="0" w:footer="3" w:gutter="0"/>
          <w:cols w:space="720"/>
          <w:noEndnote/>
          <w:rtlGutter w:val="0"/>
          <w:docGrid w:linePitch="360"/>
        </w:sectPr>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6"/>
        <w:keepNext w:val="0"/>
        <w:keepLines w:val="0"/>
        <w:framePr w:w="1296" w:h="394" w:wrap="none" w:hAnchor="page" w:x="1917" w:y="-8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pStyle w:val="Style20"/>
        <w:keepNext/>
        <w:keepLines/>
        <w:framePr w:w="3254" w:h="384" w:wrap="none" w:hAnchor="page" w:x="4321" w:y="775"/>
        <w:widowControl w:val="0"/>
        <w:shd w:val="clear" w:color="auto" w:fill="auto"/>
        <w:bidi w:val="0"/>
        <w:spacing w:before="0" w:after="0" w:line="240" w:lineRule="auto"/>
        <w:ind w:left="0" w:right="0" w:firstLine="0"/>
        <w:jc w:val="left"/>
      </w:pPr>
      <w:bookmarkStart w:id="519" w:name="bookmark519"/>
      <w:bookmarkStart w:id="520" w:name="bookmark520"/>
      <w:bookmarkStart w:id="521" w:name="bookmark521"/>
      <w:r>
        <w:rPr>
          <w:color w:val="000000"/>
          <w:spacing w:val="0"/>
          <w:w w:val="100"/>
          <w:position w:val="0"/>
        </w:rPr>
        <w:t>第七节优先股相关情况</w:t>
      </w:r>
      <w:bookmarkEnd w:id="519"/>
      <w:bookmarkEnd w:id="520"/>
      <w:bookmarkEnd w:id="521"/>
    </w:p>
    <w:p>
      <w:pPr>
        <w:pStyle w:val="Style32"/>
        <w:keepNext w:val="0"/>
        <w:keepLines w:val="0"/>
        <w:framePr w:w="2198" w:h="595" w:wrap="none" w:hAnchor="page" w:x="1110" w:y="1691"/>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framePr w:w="2198" w:h="595" w:wrap="none" w:hAnchor="page" w:x="1110" w:y="1691"/>
        <w:widowControl w:val="0"/>
        <w:shd w:val="clear" w:color="auto" w:fill="auto"/>
        <w:bidi w:val="0"/>
        <w:spacing w:before="0" w:after="0" w:line="240" w:lineRule="auto"/>
        <w:ind w:left="0" w:right="0" w:firstLine="0"/>
        <w:jc w:val="left"/>
      </w:pPr>
      <w:r>
        <w:rPr>
          <w:color w:val="000000"/>
          <w:spacing w:val="0"/>
          <w:w w:val="100"/>
          <w:position w:val="0"/>
        </w:rPr>
        <w:t>报告期公司不存在优先股。</w:t>
      </w:r>
    </w:p>
    <w:p>
      <w:pPr>
        <w:widowControl w:val="0"/>
        <w:spacing w:line="360" w:lineRule="exact"/>
      </w:pPr>
      <w:r>
        <w:drawing>
          <wp:anchor distT="0" distB="0" distL="0" distR="12065" simplePos="0" relativeHeight="62914966" behindDoc="1" locked="0" layoutInCell="1" allowOverlap="1">
            <wp:simplePos x="0" y="0"/>
            <wp:positionH relativeFrom="page">
              <wp:posOffset>722630</wp:posOffset>
            </wp:positionH>
            <wp:positionV relativeFrom="margin">
              <wp:posOffset>-295275</wp:posOffset>
            </wp:positionV>
            <wp:extent cx="1304290" cy="518160"/>
            <wp:wrapNone/>
            <wp:docPr id="470" name="Shape 470"/>
            <a:graphic xmlns:a="http://schemas.openxmlformats.org/drawingml/2006/main">
              <a:graphicData uri="http://schemas.openxmlformats.org/drawingml/2006/picture">
                <pic:pic xmlns:pic="http://schemas.openxmlformats.org/drawingml/2006/picture">
                  <pic:nvPicPr>
                    <pic:cNvPr id="471" name="Picture box 471"/>
                    <pic:cNvPicPr/>
                  </pic:nvPicPr>
                  <pic:blipFill>
                    <a:blip r:embed="rId187"/>
                    <a:stretch/>
                  </pic:blipFill>
                  <pic:spPr>
                    <a:xfrm>
                      <a:ext cx="1304290" cy="5181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5" w:line="1" w:lineRule="exact"/>
      </w:pPr>
    </w:p>
    <w:p>
      <w:pPr>
        <w:widowControl w:val="0"/>
        <w:spacing w:line="1" w:lineRule="exact"/>
        <w:sectPr>
          <w:footnotePr>
            <w:pos w:val="pageBottom"/>
            <w:numFmt w:val="decimal"/>
            <w:numRestart w:val="continuous"/>
          </w:footnotePr>
          <w:pgSz w:w="11900" w:h="16840"/>
          <w:pgMar w:top="1157" w:right="1138" w:bottom="1158" w:left="1109" w:header="0" w:footer="3" w:gutter="0"/>
          <w:cols w:space="720"/>
          <w:noEndnote/>
          <w:rtlGutter w:val="0"/>
          <w:docGrid w:linePitch="360"/>
        </w:sectPr>
      </w:pPr>
    </w:p>
    <w:p>
      <w:pPr>
        <w:pStyle w:val="Style2"/>
        <w:keepNext/>
        <w:keepLines/>
        <w:framePr w:w="2050" w:h="509" w:wrap="none" w:hAnchor="page" w:x="1177" w:y="-478"/>
        <w:widowControl w:val="0"/>
        <w:shd w:val="clear" w:color="auto" w:fill="auto"/>
        <w:bidi w:val="0"/>
        <w:spacing w:before="0" w:after="0" w:line="240" w:lineRule="auto"/>
        <w:ind w:left="0" w:right="0" w:firstLine="0"/>
        <w:jc w:val="left"/>
      </w:pPr>
      <w:bookmarkStart w:id="522" w:name="bookmark522"/>
      <w:bookmarkStart w:id="523" w:name="bookmark523"/>
      <w:bookmarkStart w:id="524" w:name="bookmark524"/>
      <w:r>
        <w:rPr>
          <w:spacing w:val="0"/>
          <w:w w:val="100"/>
          <w:position w:val="0"/>
        </w:rPr>
        <w:t>■</w:t>
      </w:r>
      <w:r>
        <w:rPr>
          <w:rFonts w:ascii="Arial" w:eastAsia="Arial" w:hAnsi="Arial" w:cs="Arial"/>
          <w:spacing w:val="0"/>
          <w:w w:val="100"/>
          <w:position w:val="0"/>
          <w:sz w:val="26"/>
          <w:szCs w:val="26"/>
        </w:rPr>
        <w:t>♦♦</w:t>
      </w:r>
      <w:r>
        <w:rPr>
          <w:spacing w:val="0"/>
          <w:w w:val="100"/>
          <w:position w:val="0"/>
        </w:rPr>
        <w:t>某超和技</w:t>
      </w:r>
      <w:bookmarkEnd w:id="522"/>
      <w:bookmarkEnd w:id="523"/>
      <w:bookmarkEnd w:id="524"/>
    </w:p>
    <w:p>
      <w:pPr>
        <w:pStyle w:val="Style44"/>
        <w:keepNext w:val="0"/>
        <w:keepLines w:val="0"/>
        <w:framePr w:w="2050" w:h="509" w:wrap="none" w:hAnchor="page" w:x="1177" w:y="-478"/>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p>
      <w:pPr>
        <w:pStyle w:val="Style5"/>
        <w:keepNext w:val="0"/>
        <w:keepLines w:val="0"/>
        <w:framePr w:w="1349" w:h="437" w:wrap="none" w:hAnchor="page" w:x="1864" w:y="-8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after="355" w:line="1" w:lineRule="exact"/>
      </w:pPr>
    </w:p>
    <w:p>
      <w:pPr>
        <w:widowControl w:val="0"/>
        <w:spacing w:line="1" w:lineRule="exact"/>
        <w:sectPr>
          <w:headerReference w:type="default" r:id="rId189"/>
          <w:footerReference w:type="default" r:id="rId190"/>
          <w:headerReference w:type="even" r:id="rId191"/>
          <w:footerReference w:type="even" r:id="rId192"/>
          <w:footnotePr>
            <w:pos w:val="pageBottom"/>
            <w:numFmt w:val="decimal"/>
            <w:numRestart w:val="continuous"/>
          </w:footnotePr>
          <w:pgSz w:w="11900" w:h="16840"/>
          <w:pgMar w:top="1157" w:right="1138" w:bottom="1258" w:left="1176" w:header="0" w:footer="3" w:gutter="0"/>
          <w:cols w:space="720"/>
          <w:noEndnote/>
          <w:rtlGutter w:val="0"/>
          <w:docGrid w:linePitch="360"/>
        </w:sectPr>
      </w:pP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1900" w:h="16840"/>
          <w:pgMar w:top="1057" w:right="0" w:bottom="1158" w:left="0" w:header="0" w:footer="3" w:gutter="0"/>
          <w:cols w:space="720"/>
          <w:noEndnote/>
          <w:rtlGutter w:val="0"/>
          <w:docGrid w:linePitch="360"/>
        </w:sectPr>
      </w:pPr>
    </w:p>
    <w:p>
      <w:pPr>
        <w:pStyle w:val="Style20"/>
        <w:keepNext/>
        <w:keepLines/>
        <w:widowControl w:val="0"/>
        <w:shd w:val="clear" w:color="auto" w:fill="auto"/>
        <w:bidi w:val="0"/>
        <w:spacing w:before="0" w:after="560" w:line="240" w:lineRule="auto"/>
        <w:ind w:left="0" w:right="0" w:firstLine="0"/>
        <w:jc w:val="center"/>
      </w:pPr>
      <w:bookmarkStart w:id="525" w:name="bookmark525"/>
      <w:bookmarkStart w:id="526" w:name="bookmark526"/>
      <w:bookmarkStart w:id="527" w:name="bookmark527"/>
      <w:r>
        <w:rPr>
          <w:color w:val="000000"/>
          <w:spacing w:val="0"/>
          <w:w w:val="100"/>
          <w:position w:val="0"/>
        </w:rPr>
        <w:t>第八节可转换公司债券相关情况</w:t>
      </w:r>
      <w:bookmarkEnd w:id="525"/>
      <w:bookmarkEnd w:id="526"/>
      <w:bookmarkEnd w:id="527"/>
    </w:p>
    <w:p>
      <w:pPr>
        <w:pStyle w:val="Style32"/>
        <w:keepNext w:val="0"/>
        <w:keepLines w:val="0"/>
        <w:widowControl w:val="0"/>
        <w:shd w:val="clear" w:color="auto" w:fill="auto"/>
        <w:bidi w:val="0"/>
        <w:spacing w:before="0" w:after="120" w:line="240" w:lineRule="auto"/>
        <w:ind w:left="0" w:right="0" w:hanging="252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340" w:line="240" w:lineRule="auto"/>
        <w:ind w:left="0" w:right="0" w:hanging="2520"/>
        <w:jc w:val="left"/>
        <w:sectPr>
          <w:footnotePr>
            <w:pos w:val="pageBottom"/>
            <w:numFmt w:val="decimal"/>
            <w:numRestart w:val="continuous"/>
          </w:footnotePr>
          <w:type w:val="continuous"/>
          <w:pgSz w:w="11900" w:h="16840"/>
          <w:pgMar w:top="1057" w:right="3677" w:bottom="1158" w:left="3677" w:header="0" w:footer="3" w:gutter="0"/>
          <w:cols w:space="720"/>
          <w:noEndnote/>
          <w:rtlGutter w:val="0"/>
          <w:docGrid w:linePitch="360"/>
        </w:sectPr>
      </w:pPr>
      <w:r>
        <w:rPr>
          <w:color w:val="000000"/>
          <w:spacing w:val="0"/>
          <w:w w:val="100"/>
          <w:position w:val="0"/>
        </w:rPr>
        <w:t>报告期公司不存在可转换公司债券。</w:t>
      </w:r>
    </w:p>
    <w:p>
      <w:pPr>
        <w:pStyle w:val="Style5"/>
        <w:keepNext w:val="0"/>
        <w:keepLines w:val="0"/>
        <w:widowControl w:val="0"/>
        <w:shd w:val="clear" w:color="auto" w:fill="auto"/>
        <w:tabs>
          <w:tab w:pos="1224" w:val="left"/>
        </w:tabs>
        <w:bidi w:val="0"/>
        <w:spacing w:before="0" w:after="440"/>
        <w:ind w:left="60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20"/>
        <w:keepNext/>
        <w:keepLines/>
        <w:widowControl w:val="0"/>
        <w:shd w:val="clear" w:color="auto" w:fill="auto"/>
        <w:bidi w:val="0"/>
        <w:spacing w:before="0" w:after="520" w:line="240" w:lineRule="auto"/>
        <w:ind w:left="0" w:right="0" w:firstLine="0"/>
        <w:jc w:val="center"/>
      </w:pPr>
      <w:bookmarkStart w:id="528" w:name="bookmark528"/>
      <w:bookmarkStart w:id="529" w:name="bookmark529"/>
      <w:bookmarkStart w:id="530" w:name="bookmark530"/>
      <w:r>
        <w:rPr>
          <w:color w:val="000000"/>
          <w:spacing w:val="0"/>
          <w:w w:val="100"/>
          <w:position w:val="0"/>
        </w:rPr>
        <w:t>第九节董事、监事、高级管理人员和员工情况</w:t>
      </w:r>
      <w:bookmarkEnd w:id="528"/>
      <w:bookmarkEnd w:id="529"/>
      <w:bookmarkEnd w:id="530"/>
    </w:p>
    <w:p>
      <w:pPr>
        <w:pStyle w:val="Style47"/>
        <w:keepNext/>
        <w:keepLines/>
        <w:widowControl w:val="0"/>
        <w:shd w:val="clear" w:color="auto" w:fill="auto"/>
        <w:bidi w:val="0"/>
        <w:spacing w:before="0" w:after="320" w:line="240" w:lineRule="auto"/>
        <w:ind w:left="0" w:right="0" w:firstLine="700"/>
        <w:jc w:val="left"/>
      </w:pPr>
      <w:bookmarkStart w:id="531" w:name="bookmark531"/>
      <w:bookmarkStart w:id="532" w:name="bookmark532"/>
      <w:bookmarkStart w:id="533" w:name="bookmark533"/>
      <w:r>
        <w:rPr>
          <w:color w:val="000000"/>
          <w:spacing w:val="0"/>
          <w:w w:val="100"/>
          <w:position w:val="0"/>
          <w:sz w:val="24"/>
          <w:szCs w:val="24"/>
        </w:rPr>
        <w:t>、董事、监事和高级管理人员持股变动</w:t>
      </w:r>
      <w:bookmarkEnd w:id="531"/>
      <w:bookmarkEnd w:id="532"/>
      <w:bookmarkEnd w:id="533"/>
    </w:p>
    <w:tbl>
      <w:tblPr>
        <w:tblOverlap w:val="never"/>
        <w:jc w:val="center"/>
        <w:tblLayout w:type="fixed"/>
      </w:tblPr>
      <w:tblGrid>
        <w:gridCol w:w="998"/>
        <w:gridCol w:w="994"/>
        <w:gridCol w:w="566"/>
        <w:gridCol w:w="427"/>
        <w:gridCol w:w="566"/>
        <w:gridCol w:w="1133"/>
        <w:gridCol w:w="1133"/>
        <w:gridCol w:w="994"/>
        <w:gridCol w:w="989"/>
        <w:gridCol w:w="710"/>
        <w:gridCol w:w="994"/>
        <w:gridCol w:w="1075"/>
      </w:tblGrid>
      <w:tr>
        <w:trPr>
          <w:trHeight w:val="974"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职务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left"/>
            </w:pPr>
            <w:r>
              <w:rPr>
                <w:color w:val="000000"/>
                <w:spacing w:val="0"/>
                <w:w w:val="100"/>
                <w:position w:val="0"/>
              </w:rPr>
              <w:t>任职 状态</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性别</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年龄</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5" w:lineRule="exact"/>
              <w:ind w:left="0" w:right="0" w:firstLine="0"/>
              <w:jc w:val="center"/>
            </w:pPr>
            <w:r>
              <w:rPr>
                <w:color w:val="000000"/>
                <w:spacing w:val="0"/>
                <w:w w:val="100"/>
                <w:position w:val="0"/>
              </w:rPr>
              <w:t>任期起始日 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50" w:lineRule="exact"/>
              <w:ind w:left="0" w:right="0" w:firstLine="0"/>
              <w:jc w:val="center"/>
            </w:pPr>
            <w:r>
              <w:rPr>
                <w:color w:val="000000"/>
                <w:spacing w:val="0"/>
                <w:w w:val="100"/>
                <w:position w:val="0"/>
              </w:rPr>
              <w:t>任期终止日 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center"/>
            </w:pPr>
            <w:r>
              <w:rPr>
                <w:color w:val="000000"/>
                <w:spacing w:val="0"/>
                <w:w w:val="100"/>
                <w:position w:val="0"/>
              </w:rPr>
              <w:t>期初持股数 （股）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left"/>
            </w:pPr>
            <w:r>
              <w:rPr>
                <w:color w:val="000000"/>
                <w:spacing w:val="0"/>
                <w:w w:val="100"/>
                <w:position w:val="0"/>
              </w:rPr>
              <w:t>本期增持股 份数量（股）</w:t>
            </w:r>
          </w:p>
        </w:tc>
        <w:tc>
          <w:tcPr>
            <w:tcBorders>
              <w:top w:val="single" w:sz="4"/>
              <w:left w:val="single" w:sz="4"/>
            </w:tcBorders>
            <w:shd w:val="clear" w:color="auto" w:fill="D4D4D4"/>
            <w:vAlign w:val="bottom"/>
          </w:tcPr>
          <w:p>
            <w:pPr>
              <w:pStyle w:val="Style44"/>
              <w:keepNext w:val="0"/>
              <w:keepLines w:val="0"/>
              <w:widowControl w:val="0"/>
              <w:shd w:val="clear" w:color="auto" w:fill="auto"/>
              <w:bidi w:val="0"/>
              <w:spacing w:before="0" w:after="0" w:line="240" w:lineRule="exact"/>
              <w:ind w:left="0" w:right="0" w:firstLine="0"/>
              <w:jc w:val="center"/>
            </w:pPr>
            <w:r>
              <w:rPr>
                <w:color w:val="000000"/>
                <w:spacing w:val="0"/>
                <w:w w:val="100"/>
                <w:position w:val="0"/>
              </w:rPr>
              <w:t>本期减 持股份 数量 （股）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5" w:lineRule="exact"/>
              <w:ind w:left="0" w:right="0" w:firstLine="0"/>
              <w:jc w:val="center"/>
            </w:pPr>
            <w:r>
              <w:rPr>
                <w:color w:val="000000"/>
                <w:spacing w:val="0"/>
                <w:w w:val="100"/>
                <w:position w:val="0"/>
              </w:rPr>
              <w:t>其他增减变 动（股）</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center"/>
            </w:pPr>
            <w:r>
              <w:rPr>
                <w:color w:val="000000"/>
                <w:spacing w:val="0"/>
                <w:w w:val="100"/>
                <w:position w:val="0"/>
              </w:rPr>
              <w:t>期末持股数 （股）</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董事长、总 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崔万田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副董事长</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林楠超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36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王箫音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董事、副总 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38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管一民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71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刘爱民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66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吴凤君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李力盛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监事会主席</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王立军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余力兴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383,400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383,400</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秦毅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55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11,113,800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11,113,800</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尹春福</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1,730,100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1,730,100</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450,000</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李绣</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color w:val="000000"/>
                <w:spacing w:val="0"/>
                <w:w w:val="100"/>
                <w:position w:val="0"/>
              </w:rPr>
              <w:t>高管、财务</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450,000</w:t>
            </w:r>
          </w:p>
        </w:tc>
      </w:tr>
      <w:tr>
        <w:trPr>
          <w:trHeight w:val="72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张羽</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高管、董事 会秘书</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600,000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600,000</w:t>
            </w:r>
          </w:p>
        </w:tc>
      </w:tr>
    </w:tbl>
    <w:p>
      <w:pPr>
        <w:sectPr>
          <w:footnotePr>
            <w:pos w:val="pageBottom"/>
            <w:numFmt w:val="decimal"/>
            <w:numRestart w:val="continuous"/>
          </w:footnotePr>
          <w:pgSz w:w="11900" w:h="16840"/>
          <w:pgMar w:top="1066" w:right="663" w:bottom="1157" w:left="658" w:header="0" w:footer="3" w:gutter="0"/>
          <w:cols w:space="720"/>
          <w:noEndnote/>
          <w:rtlGutter w:val="0"/>
          <w:docGrid w:linePitch="360"/>
        </w:sectPr>
      </w:pPr>
    </w:p>
    <w:p>
      <w:pPr>
        <w:widowControl w:val="0"/>
        <w:jc w:val="left"/>
        <w:rPr>
          <w:sz w:val="2"/>
          <w:szCs w:val="2"/>
        </w:rPr>
      </w:pPr>
      <w:r>
        <w:drawing>
          <wp:inline>
            <wp:extent cx="1298575" cy="481330"/>
            <wp:docPr id="481" name="Picutre 481"/>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93"/>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78"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78"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998"/>
        <w:gridCol w:w="994"/>
        <w:gridCol w:w="566"/>
        <w:gridCol w:w="427"/>
        <w:gridCol w:w="566"/>
        <w:gridCol w:w="1133"/>
        <w:gridCol w:w="1133"/>
        <w:gridCol w:w="994"/>
        <w:gridCol w:w="989"/>
        <w:gridCol w:w="710"/>
        <w:gridCol w:w="994"/>
        <w:gridCol w:w="1075"/>
      </w:tblGrid>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朱良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49,500</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付永全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pPr>
            <w:r>
              <w:rPr>
                <w:color w:val="000000"/>
                <w:spacing w:val="0"/>
                <w:w w:val="100"/>
                <w:position w:val="0"/>
              </w:rPr>
              <w:t>董事、执行</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总裁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梁荣</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14,731,800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14,776,800</w:t>
            </w:r>
          </w:p>
        </w:tc>
      </w:tr>
    </w:tbl>
    <w:p>
      <w:pPr>
        <w:widowControl w:val="0"/>
        <w:spacing w:after="319" w:line="1" w:lineRule="exact"/>
      </w:pPr>
    </w:p>
    <w:p>
      <w:pPr>
        <w:pStyle w:val="Style47"/>
        <w:keepNext/>
        <w:keepLines/>
        <w:widowControl w:val="0"/>
        <w:shd w:val="clear" w:color="auto" w:fill="auto"/>
        <w:bidi w:val="0"/>
        <w:spacing w:before="0" w:after="320" w:line="240" w:lineRule="auto"/>
        <w:ind w:left="440" w:right="0" w:firstLine="20"/>
        <w:jc w:val="both"/>
      </w:pPr>
      <w:bookmarkStart w:id="534" w:name="bookmark534"/>
      <w:bookmarkStart w:id="535" w:name="bookmark535"/>
      <w:bookmarkStart w:id="536" w:name="bookmark536"/>
      <w:r>
        <w:rPr>
          <w:color w:val="000000"/>
          <w:spacing w:val="0"/>
          <w:w w:val="100"/>
          <w:position w:val="0"/>
          <w:sz w:val="24"/>
          <w:szCs w:val="24"/>
        </w:rPr>
        <w:t>二、公司董事、监事、高级管理人员变动情况</w:t>
      </w:r>
      <w:bookmarkEnd w:id="534"/>
      <w:bookmarkEnd w:id="535"/>
      <w:bookmarkEnd w:id="536"/>
    </w:p>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1339"/>
        <w:gridCol w:w="1330"/>
        <w:gridCol w:w="1330"/>
        <w:gridCol w:w="2674"/>
        <w:gridCol w:w="2914"/>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80"/>
              <w:jc w:val="left"/>
            </w:pPr>
            <w:r>
              <w:rPr>
                <w:color w:val="000000"/>
                <w:spacing w:val="0"/>
                <w:w w:val="100"/>
                <w:position w:val="0"/>
              </w:rPr>
              <w:t>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担任的职务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80"/>
              <w:jc w:val="left"/>
            </w:pPr>
            <w:r>
              <w:rPr>
                <w:color w:val="000000"/>
                <w:spacing w:val="0"/>
                <w:w w:val="100"/>
                <w:position w:val="0"/>
              </w:rPr>
              <w:t>类型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260" w:right="0" w:firstLine="0"/>
              <w:jc w:val="left"/>
            </w:pPr>
            <w:r>
              <w:rPr>
                <w:color w:val="000000"/>
                <w:spacing w:val="0"/>
                <w:w w:val="100"/>
                <w:position w:val="0"/>
              </w:rPr>
              <w:t>原因</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梁荣</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辞职</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付永全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董事、执行总裁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辞职</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朱良</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辞职</w:t>
            </w:r>
          </w:p>
        </w:tc>
      </w:tr>
    </w:tbl>
    <w:p>
      <w:pPr>
        <w:widowControl w:val="0"/>
        <w:spacing w:after="319" w:line="1" w:lineRule="exact"/>
      </w:pPr>
    </w:p>
    <w:p>
      <w:pPr>
        <w:pStyle w:val="Style47"/>
        <w:keepNext/>
        <w:keepLines/>
        <w:widowControl w:val="0"/>
        <w:shd w:val="clear" w:color="auto" w:fill="auto"/>
        <w:bidi w:val="0"/>
        <w:spacing w:before="0" w:after="240" w:line="240" w:lineRule="auto"/>
        <w:ind w:left="440" w:right="0" w:firstLine="20"/>
        <w:jc w:val="both"/>
      </w:pPr>
      <w:bookmarkStart w:id="537" w:name="bookmark537"/>
      <w:bookmarkStart w:id="538" w:name="bookmark538"/>
      <w:bookmarkStart w:id="539" w:name="bookmark539"/>
      <w:r>
        <w:rPr>
          <w:color w:val="000000"/>
          <w:spacing w:val="0"/>
          <w:w w:val="100"/>
          <w:position w:val="0"/>
          <w:sz w:val="24"/>
          <w:szCs w:val="24"/>
        </w:rPr>
        <w:t>三、任职情况</w:t>
      </w:r>
      <w:bookmarkEnd w:id="537"/>
      <w:bookmarkEnd w:id="538"/>
      <w:bookmarkEnd w:id="539"/>
    </w:p>
    <w:p>
      <w:pPr>
        <w:pStyle w:val="Style32"/>
        <w:keepNext w:val="0"/>
        <w:keepLines w:val="0"/>
        <w:widowControl w:val="0"/>
        <w:shd w:val="clear" w:color="auto" w:fill="auto"/>
        <w:bidi w:val="0"/>
        <w:spacing w:before="0" w:after="0" w:line="316" w:lineRule="exact"/>
        <w:ind w:left="440" w:right="0" w:firstLine="20"/>
        <w:jc w:val="both"/>
      </w:pPr>
      <w:r>
        <w:rPr>
          <w:color w:val="000000"/>
          <w:spacing w:val="0"/>
          <w:w w:val="100"/>
          <w:position w:val="0"/>
        </w:rPr>
        <w:t>公司现任董事、监事、高级管理人员专业背景、主要工作经历以及目前在公司的主要职责</w:t>
      </w:r>
    </w:p>
    <w:p>
      <w:pPr>
        <w:pStyle w:val="Style32"/>
        <w:keepNext w:val="0"/>
        <w:keepLines w:val="0"/>
        <w:widowControl w:val="0"/>
        <w:shd w:val="clear" w:color="auto" w:fill="auto"/>
        <w:bidi w:val="0"/>
        <w:spacing w:before="0" w:after="0" w:line="316" w:lineRule="exact"/>
        <w:ind w:left="440" w:right="0" w:firstLine="20"/>
        <w:jc w:val="both"/>
      </w:pPr>
      <w:bookmarkStart w:id="540" w:name="bookmark540"/>
      <w:r>
        <w:rPr>
          <w:color w:val="000000"/>
          <w:spacing w:val="0"/>
          <w:w w:val="100"/>
          <w:position w:val="0"/>
        </w:rPr>
        <w:t>（</w:t>
      </w:r>
      <w:bookmarkEnd w:id="540"/>
      <w:r>
        <w:rPr>
          <w:color w:val="000000"/>
          <w:spacing w:val="0"/>
          <w:w w:val="100"/>
          <w:position w:val="0"/>
        </w:rPr>
        <w:t>一）董事</w:t>
      </w:r>
    </w:p>
    <w:p>
      <w:pPr>
        <w:pStyle w:val="Style32"/>
        <w:keepNext w:val="0"/>
        <w:keepLines w:val="0"/>
        <w:widowControl w:val="0"/>
        <w:shd w:val="clear" w:color="auto" w:fill="auto"/>
        <w:bidi w:val="0"/>
        <w:spacing w:before="0" w:after="0" w:line="316" w:lineRule="exact"/>
        <w:ind w:left="440" w:right="0" w:firstLine="20"/>
        <w:jc w:val="both"/>
      </w:pPr>
      <w:bookmarkStart w:id="541" w:name="bookmark541"/>
      <w:r>
        <w:rPr>
          <w:rFonts w:ascii="Times New Roman" w:eastAsia="Times New Roman" w:hAnsi="Times New Roman" w:cs="Times New Roman"/>
          <w:color w:val="000000"/>
          <w:spacing w:val="0"/>
          <w:w w:val="100"/>
          <w:position w:val="0"/>
        </w:rPr>
        <w:t>1</w:t>
      </w:r>
      <w:bookmarkEnd w:id="541"/>
      <w:r>
        <w:rPr>
          <w:color w:val="000000"/>
          <w:spacing w:val="0"/>
          <w:w w:val="100"/>
          <w:position w:val="0"/>
        </w:rPr>
        <w:t>、 何任晖先生，</w:t>
      </w:r>
      <w:r>
        <w:rPr>
          <w:rFonts w:ascii="Times New Roman" w:eastAsia="Times New Roman" w:hAnsi="Times New Roman" w:cs="Times New Roman"/>
          <w:color w:val="000000"/>
          <w:spacing w:val="0"/>
          <w:w w:val="100"/>
          <w:position w:val="0"/>
        </w:rPr>
        <w:t>1973</w:t>
      </w:r>
      <w:r>
        <w:rPr>
          <w:color w:val="000000"/>
          <w:spacing w:val="0"/>
          <w:w w:val="100"/>
          <w:position w:val="0"/>
        </w:rPr>
        <w:t>年出生，毕业于北京大学光华管理学院</w:t>
      </w:r>
      <w:r>
        <w:rPr>
          <w:rFonts w:ascii="Times New Roman" w:eastAsia="Times New Roman" w:hAnsi="Times New Roman" w:cs="Times New Roman"/>
          <w:color w:val="000000"/>
          <w:spacing w:val="0"/>
          <w:w w:val="100"/>
          <w:position w:val="0"/>
        </w:rPr>
        <w:t>MBA</w:t>
      </w:r>
      <w:r>
        <w:rPr>
          <w:color w:val="000000"/>
          <w:spacing w:val="0"/>
          <w:w w:val="100"/>
          <w:position w:val="0"/>
        </w:rPr>
        <w:t>,</w:t>
      </w:r>
      <w:r>
        <w:rPr>
          <w:color w:val="000000"/>
          <w:spacing w:val="0"/>
          <w:w w:val="100"/>
          <w:position w:val="0"/>
        </w:rPr>
        <w:t>硕士研究生，中国国籍，无境外永久居留权。现任公司 董事、总裁。曾任沈阳石油产品交易中心执行总经理、北京神州云安科技有限公司总经理、北京未尔锐创科技有限公司副总 经理、中国电子科技集团公司第十五研究所所长助理等职务。何任晖先生为公司实际控制人，未直接持有公司股份，通过国 科实业间接持有公司股份，最近三年未受过中国证监会及其他有关部门的处罚和证券交易所惩戒，非失信被执行人。</w:t>
      </w:r>
    </w:p>
    <w:p>
      <w:pPr>
        <w:pStyle w:val="Style32"/>
        <w:keepNext w:val="0"/>
        <w:keepLines w:val="0"/>
        <w:widowControl w:val="0"/>
        <w:shd w:val="clear" w:color="auto" w:fill="auto"/>
        <w:tabs>
          <w:tab w:pos="734" w:val="left"/>
        </w:tabs>
        <w:bidi w:val="0"/>
        <w:spacing w:before="0" w:after="0" w:line="316" w:lineRule="exact"/>
        <w:ind w:left="440" w:right="0" w:firstLine="20"/>
        <w:jc w:val="both"/>
      </w:pPr>
      <w:bookmarkStart w:id="542" w:name="bookmark542"/>
      <w:r>
        <w:rPr>
          <w:rFonts w:ascii="Times New Roman" w:eastAsia="Times New Roman" w:hAnsi="Times New Roman" w:cs="Times New Roman"/>
          <w:color w:val="000000"/>
          <w:spacing w:val="0"/>
          <w:w w:val="100"/>
          <w:position w:val="0"/>
        </w:rPr>
        <w:t>2</w:t>
      </w:r>
      <w:bookmarkEnd w:id="542"/>
      <w:r>
        <w:rPr>
          <w:color w:val="000000"/>
          <w:spacing w:val="0"/>
          <w:w w:val="100"/>
          <w:position w:val="0"/>
        </w:rPr>
        <w:t>、</w:t>
        <w:tab/>
        <w:t>崔万田先生，</w:t>
      </w:r>
      <w:r>
        <w:rPr>
          <w:rFonts w:ascii="Times New Roman" w:eastAsia="Times New Roman" w:hAnsi="Times New Roman" w:cs="Times New Roman"/>
          <w:color w:val="000000"/>
          <w:spacing w:val="0"/>
          <w:w w:val="100"/>
          <w:position w:val="0"/>
        </w:rPr>
        <w:t>1973</w:t>
      </w:r>
      <w:r>
        <w:rPr>
          <w:color w:val="000000"/>
          <w:spacing w:val="0"/>
          <w:w w:val="100"/>
          <w:position w:val="0"/>
        </w:rPr>
        <w:t>年出生，毕业于辽宁大学世界经济专业，博士研究生，中国国籍，无境外永久居留权。现任公司副董 事长、北京神州视翰科技有限公司董事、中国软件行业协会理事、辽宁省软件行业协会理事长、辽宁省爱梦成真基金会发起 人。曾任辽宁能源煤电产业股份有限公司独立董事、营口沿海银行股份有限公司独立董事、全国青年联合会委员、辽宁省青 年联合会委员。崔万田先生为持有公司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以上股份的股东崔万涛之兄弟，与实际控制人之间不存在关联关系，未持有本公 司股份，最近三年未受过中国证监会及其他有关部门的处罚和证券交易所惩戒，非失信被执行人。</w:t>
      </w:r>
    </w:p>
    <w:p>
      <w:pPr>
        <w:pStyle w:val="Style32"/>
        <w:keepNext w:val="0"/>
        <w:keepLines w:val="0"/>
        <w:widowControl w:val="0"/>
        <w:shd w:val="clear" w:color="auto" w:fill="auto"/>
        <w:tabs>
          <w:tab w:pos="738" w:val="left"/>
        </w:tabs>
        <w:bidi w:val="0"/>
        <w:spacing w:before="0" w:after="0" w:line="315" w:lineRule="exact"/>
        <w:ind w:left="440" w:right="0" w:firstLine="20"/>
        <w:jc w:val="both"/>
      </w:pPr>
      <w:bookmarkStart w:id="543" w:name="bookmark543"/>
      <w:r>
        <w:rPr>
          <w:rFonts w:ascii="Times New Roman" w:eastAsia="Times New Roman" w:hAnsi="Times New Roman" w:cs="Times New Roman"/>
          <w:color w:val="000000"/>
          <w:spacing w:val="0"/>
          <w:w w:val="100"/>
          <w:position w:val="0"/>
        </w:rPr>
        <w:t>3</w:t>
      </w:r>
      <w:bookmarkEnd w:id="543"/>
      <w:r>
        <w:rPr>
          <w:color w:val="000000"/>
          <w:spacing w:val="0"/>
          <w:w w:val="100"/>
          <w:position w:val="0"/>
        </w:rPr>
        <w:t>、</w:t>
        <w:tab/>
        <w:t>林楠超先生，</w:t>
      </w:r>
      <w:r>
        <w:rPr>
          <w:rFonts w:ascii="Times New Roman" w:eastAsia="Times New Roman" w:hAnsi="Times New Roman" w:cs="Times New Roman"/>
          <w:color w:val="000000"/>
          <w:spacing w:val="0"/>
          <w:w w:val="100"/>
          <w:position w:val="0"/>
        </w:rPr>
        <w:t>1985</w:t>
      </w:r>
      <w:r>
        <w:rPr>
          <w:color w:val="000000"/>
          <w:spacing w:val="0"/>
          <w:w w:val="100"/>
          <w:position w:val="0"/>
        </w:rPr>
        <w:t>年出生，毕业于复旦大学，经济学学士学位，中国国籍，拥有韩国永久居留权。现任公司董事。曾任 平安银行上海分行营业部公司三部总经理、南京银行上海分行营业部总经理助理、深圳发展银行上海分行对公业务客户经理、 普华永道会计师事务所高级审计员等职务。林楠超先生与实际控制人之间不存在关联关系，未持有本公司股份，最近三年未 受过中国证监会及其他有关部门的处罚和证券交易所惩戒，非失信被执行人。</w:t>
      </w:r>
    </w:p>
    <w:p>
      <w:pPr>
        <w:pStyle w:val="Style32"/>
        <w:keepNext w:val="0"/>
        <w:keepLines w:val="0"/>
        <w:widowControl w:val="0"/>
        <w:shd w:val="clear" w:color="auto" w:fill="auto"/>
        <w:tabs>
          <w:tab w:pos="734" w:val="left"/>
        </w:tabs>
        <w:bidi w:val="0"/>
        <w:spacing w:before="0" w:after="0" w:line="318" w:lineRule="exact"/>
        <w:ind w:left="440" w:right="0" w:firstLine="20"/>
        <w:jc w:val="both"/>
      </w:pPr>
      <w:bookmarkStart w:id="544" w:name="bookmark544"/>
      <w:r>
        <w:rPr>
          <w:rFonts w:ascii="Times New Roman" w:eastAsia="Times New Roman" w:hAnsi="Times New Roman" w:cs="Times New Roman"/>
          <w:color w:val="000000"/>
          <w:spacing w:val="0"/>
          <w:w w:val="100"/>
          <w:position w:val="0"/>
        </w:rPr>
        <w:t>4</w:t>
      </w:r>
      <w:bookmarkEnd w:id="544"/>
      <w:r>
        <w:rPr>
          <w:color w:val="000000"/>
          <w:spacing w:val="0"/>
          <w:w w:val="100"/>
          <w:position w:val="0"/>
        </w:rPr>
        <w:t>、</w:t>
        <w:tab/>
        <w:t>王箫音女士，</w:t>
      </w:r>
      <w:r>
        <w:rPr>
          <w:rFonts w:ascii="Times New Roman" w:eastAsia="Times New Roman" w:hAnsi="Times New Roman" w:cs="Times New Roman"/>
          <w:color w:val="000000"/>
          <w:spacing w:val="0"/>
          <w:w w:val="100"/>
          <w:position w:val="0"/>
        </w:rPr>
        <w:t>1983</w:t>
      </w:r>
      <w:r>
        <w:rPr>
          <w:color w:val="000000"/>
          <w:spacing w:val="0"/>
          <w:w w:val="100"/>
          <w:position w:val="0"/>
        </w:rPr>
        <w:t>年出生，毕业于北京大学信息科学技术学院计算机专业，理学博士，中国国籍，无境外永久居留权。 现任公司董事。曾任中科北方科技发展有限公司总经理助理、沈阳梧桐投资管理有限公司项目总监、北京众志芯科技有限公 司总经理助理、北京北大众志微系统科技有限责任公司项目经理等职务。王箫音女士与实际控制人之间不存在关联关系，最 近三年未受过中国证监会及其他有关部门的处罚和证券交易所惩戒，非失信被执行人。</w:t>
      </w:r>
    </w:p>
    <w:p>
      <w:pPr>
        <w:pStyle w:val="Style32"/>
        <w:keepNext w:val="0"/>
        <w:keepLines w:val="0"/>
        <w:widowControl w:val="0"/>
        <w:shd w:val="clear" w:color="auto" w:fill="auto"/>
        <w:bidi w:val="0"/>
        <w:spacing w:before="0" w:after="0" w:line="318" w:lineRule="exact"/>
        <w:ind w:left="440" w:right="0" w:firstLine="20"/>
        <w:jc w:val="both"/>
        <w:sectPr>
          <w:footnotePr>
            <w:pos w:val="pageBottom"/>
            <w:numFmt w:val="decimal"/>
            <w:numRestart w:val="continuous"/>
          </w:footnotePr>
          <w:pgSz w:w="11900" w:h="16840"/>
          <w:pgMar w:top="692" w:right="663" w:bottom="1158" w:left="658" w:header="0" w:footer="3" w:gutter="0"/>
          <w:cols w:space="720"/>
          <w:noEndnote/>
          <w:rtlGutter w:val="0"/>
          <w:docGrid w:linePitch="360"/>
        </w:sectPr>
      </w:pPr>
      <w:bookmarkStart w:id="545" w:name="bookmark545"/>
      <w:r>
        <w:rPr>
          <w:rFonts w:ascii="Times New Roman" w:eastAsia="Times New Roman" w:hAnsi="Times New Roman" w:cs="Times New Roman"/>
          <w:color w:val="000000"/>
          <w:spacing w:val="0"/>
          <w:w w:val="100"/>
          <w:position w:val="0"/>
        </w:rPr>
        <w:t>5</w:t>
      </w:r>
      <w:bookmarkEnd w:id="545"/>
      <w:r>
        <w:rPr>
          <w:color w:val="000000"/>
          <w:spacing w:val="0"/>
          <w:w w:val="100"/>
          <w:position w:val="0"/>
        </w:rPr>
        <w:t>、 管一民先生，</w:t>
      </w:r>
      <w:r>
        <w:rPr>
          <w:rFonts w:ascii="Times New Roman" w:eastAsia="Times New Roman" w:hAnsi="Times New Roman" w:cs="Times New Roman"/>
          <w:color w:val="000000"/>
          <w:spacing w:val="0"/>
          <w:w w:val="100"/>
          <w:position w:val="0"/>
        </w:rPr>
        <w:t>1950</w:t>
      </w:r>
      <w:r>
        <w:rPr>
          <w:color w:val="000000"/>
          <w:spacing w:val="0"/>
          <w:w w:val="100"/>
          <w:position w:val="0"/>
        </w:rPr>
        <w:t>年出生，毕业于上海财经大学会计专业，学士学位，中国国籍，无境外永久居留权。现任公司独立董 事。曾任上海国家会计学院教授，中海集装箱运输股份有限公司独立董事、上海银行股份有限公司独立董事、重庆博腾制药 科技股份有限公司独立董事、上海家化联合股份有限公司独立董事等职务。管一民先生与持有公司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以上股份的股东、实 际控制人之间不存在关联关系，未持有本公司股份，最近三年未受过中国证监会及其他有关部门的处罚和证券交易所惩戒，</w:t>
      </w:r>
    </w:p>
    <w:p>
      <w:pPr>
        <w:pStyle w:val="Style5"/>
        <w:keepNext w:val="0"/>
        <w:keepLines w:val="0"/>
        <w:widowControl w:val="0"/>
        <w:shd w:val="clear" w:color="auto" w:fill="auto"/>
        <w:tabs>
          <w:tab w:pos="1224" w:val="left"/>
        </w:tabs>
        <w:bidi w:val="0"/>
        <w:spacing w:before="0" w:after="0"/>
        <w:ind w:left="600" w:right="0" w:firstLine="20"/>
        <w:jc w:val="both"/>
        <w:rPr>
          <w:sz w:val="18"/>
          <w:szCs w:val="18"/>
        </w:rPr>
      </w:pPr>
      <w:r>
        <mc:AlternateContent>
          <mc:Choice Requires="wps">
            <w:drawing>
              <wp:anchor distT="0" distB="0" distL="114300" distR="114300" simplePos="0" relativeHeight="125829503" behindDoc="0" locked="0" layoutInCell="1" allowOverlap="1">
                <wp:simplePos x="0" y="0"/>
                <wp:positionH relativeFrom="page">
                  <wp:posOffset>704215</wp:posOffset>
                </wp:positionH>
                <wp:positionV relativeFrom="paragraph">
                  <wp:posOffset>279400</wp:posOffset>
                </wp:positionV>
                <wp:extent cx="938530" cy="143510"/>
                <wp:wrapTopAndBottom/>
                <wp:docPr id="482" name="Shape 482"/>
                <a:graphic xmlns:a="http://schemas.openxmlformats.org/drawingml/2006/main">
                  <a:graphicData uri="http://schemas.microsoft.com/office/word/2010/wordprocessingShape">
                    <wps:wsp>
                      <wps:cNvSpPr txBox="1"/>
                      <wps:spPr>
                        <a:xfrm>
                          <a:ext cx="938530" cy="14351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非失信被执行人。</w:t>
                            </w:r>
                          </w:p>
                        </w:txbxContent>
                      </wps:txbx>
                      <wps:bodyPr wrap="none" lIns="0" tIns="0" rIns="0" bIns="0">
                        <a:noAutoFit/>
                      </wps:bodyPr>
                    </wps:wsp>
                  </a:graphicData>
                </a:graphic>
              </wp:anchor>
            </w:drawing>
          </mc:Choice>
          <mc:Fallback>
            <w:pict>
              <v:shape id="_x0000_s1508" type="#_x0000_t202" style="position:absolute;margin-left:55.450000000000003pt;margin-top:22.pt;width:73.900000000000006pt;height:11.300000000000001pt;z-index:-125829250;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非失信被执行人。</w:t>
                      </w:r>
                    </w:p>
                  </w:txbxContent>
                </v:textbox>
                <w10:wrap type="topAndBottom" anchorx="page"/>
              </v:shape>
            </w:pict>
          </mc:Fallback>
        </mc:AlternateContent>
      </w: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32"/>
        <w:keepNext w:val="0"/>
        <w:keepLines w:val="0"/>
        <w:widowControl w:val="0"/>
        <w:shd w:val="clear" w:color="auto" w:fill="auto"/>
        <w:bidi w:val="0"/>
        <w:spacing w:before="0" w:after="0" w:line="314" w:lineRule="exact"/>
        <w:ind w:left="480" w:right="0" w:firstLine="0"/>
        <w:jc w:val="both"/>
      </w:pPr>
      <w:bookmarkStart w:id="546" w:name="bookmark546"/>
      <w:r>
        <w:rPr>
          <w:rFonts w:ascii="Times New Roman" w:eastAsia="Times New Roman" w:hAnsi="Times New Roman" w:cs="Times New Roman"/>
          <w:color w:val="000000"/>
          <w:spacing w:val="0"/>
          <w:w w:val="100"/>
          <w:position w:val="0"/>
        </w:rPr>
        <w:t>6</w:t>
      </w:r>
      <w:bookmarkEnd w:id="546"/>
      <w:r>
        <w:rPr>
          <w:color w:val="000000"/>
          <w:spacing w:val="0"/>
          <w:w w:val="100"/>
          <w:position w:val="0"/>
        </w:rPr>
        <w:t>、 刘爱民先生，</w:t>
      </w:r>
      <w:r>
        <w:rPr>
          <w:rFonts w:ascii="Times New Roman" w:eastAsia="Times New Roman" w:hAnsi="Times New Roman" w:cs="Times New Roman"/>
          <w:color w:val="000000"/>
          <w:spacing w:val="0"/>
          <w:w w:val="100"/>
          <w:position w:val="0"/>
        </w:rPr>
        <w:t>1955</w:t>
      </w:r>
      <w:r>
        <w:rPr>
          <w:color w:val="000000"/>
          <w:spacing w:val="0"/>
          <w:w w:val="100"/>
          <w:position w:val="0"/>
        </w:rPr>
        <w:t>年出生，毕业于华北计算技术研究所，计算机专业，硕士研究生，中国国籍，无境外永久居留权。现 任公司独立董事。曾任中国计算机学会副理事长、中国电子学会云计算专委副主任、总装备部科技委兼职委员、军用计算机 及软件专业组组长；中国电科装备制造公司董事、中国电科集团进出口公司董事、中国电子科技集团十五所咨询审议委员会 主任等职务。刘爱民先生与持有公司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以上股份的股东、实际控制人之间不存在关联关系，未持有本公司股份，最近三年 未受过中国证监会及其他有关部门的处罚和证券交易所惩戒，非失信被执行人。</w:t>
      </w:r>
    </w:p>
    <w:p>
      <w:pPr>
        <w:pStyle w:val="Style32"/>
        <w:keepNext w:val="0"/>
        <w:keepLines w:val="0"/>
        <w:widowControl w:val="0"/>
        <w:shd w:val="clear" w:color="auto" w:fill="auto"/>
        <w:tabs>
          <w:tab w:pos="769" w:val="left"/>
        </w:tabs>
        <w:bidi w:val="0"/>
        <w:spacing w:before="0" w:after="0" w:line="319" w:lineRule="exact"/>
        <w:ind w:left="480" w:right="0" w:firstLine="0"/>
        <w:jc w:val="both"/>
      </w:pPr>
      <w:bookmarkStart w:id="547" w:name="bookmark547"/>
      <w:r>
        <w:rPr>
          <w:rFonts w:ascii="Times New Roman" w:eastAsia="Times New Roman" w:hAnsi="Times New Roman" w:cs="Times New Roman"/>
          <w:color w:val="000000"/>
          <w:spacing w:val="0"/>
          <w:w w:val="100"/>
          <w:position w:val="0"/>
        </w:rPr>
        <w:t>7</w:t>
      </w:r>
      <w:bookmarkEnd w:id="547"/>
      <w:r>
        <w:rPr>
          <w:color w:val="000000"/>
          <w:spacing w:val="0"/>
          <w:w w:val="100"/>
          <w:position w:val="0"/>
        </w:rPr>
        <w:t>、</w:t>
        <w:tab/>
        <w:t>吴凤君先生，</w:t>
      </w:r>
      <w:r>
        <w:rPr>
          <w:rFonts w:ascii="Times New Roman" w:eastAsia="Times New Roman" w:hAnsi="Times New Roman" w:cs="Times New Roman"/>
          <w:color w:val="000000"/>
          <w:spacing w:val="0"/>
          <w:w w:val="100"/>
          <w:position w:val="0"/>
        </w:rPr>
        <w:t>1973</w:t>
      </w:r>
      <w:r>
        <w:rPr>
          <w:color w:val="000000"/>
          <w:spacing w:val="0"/>
          <w:w w:val="100"/>
          <w:position w:val="0"/>
        </w:rPr>
        <w:t>年出生，毕业于辽宁大学，法学博士，中国国籍，无境外永久居留权。现任公司独立董事。曾任东北 制药集团股份有限公司独立董事。吴凤君先生与持有公司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以上股份的股东、实际控制人之间不存在关联关系，未持有本 公司股份，最近三年未受过中国证监会及其他有关部门的处罚和证券交易所惩戒，非失信被执行人。</w:t>
      </w:r>
    </w:p>
    <w:p>
      <w:pPr>
        <w:pStyle w:val="Style32"/>
        <w:keepNext w:val="0"/>
        <w:keepLines w:val="0"/>
        <w:widowControl w:val="0"/>
        <w:shd w:val="clear" w:color="auto" w:fill="auto"/>
        <w:bidi w:val="0"/>
        <w:spacing w:before="0" w:after="0" w:line="314" w:lineRule="exact"/>
        <w:ind w:left="480" w:right="0" w:firstLine="0"/>
        <w:jc w:val="both"/>
      </w:pPr>
      <w:bookmarkStart w:id="548" w:name="bookmark548"/>
      <w:r>
        <w:rPr>
          <w:color w:val="000000"/>
          <w:spacing w:val="0"/>
          <w:w w:val="100"/>
          <w:position w:val="0"/>
        </w:rPr>
        <w:t>（</w:t>
      </w:r>
      <w:bookmarkEnd w:id="548"/>
      <w:r>
        <w:rPr>
          <w:color w:val="000000"/>
          <w:spacing w:val="0"/>
          <w:w w:val="100"/>
          <w:position w:val="0"/>
        </w:rPr>
        <w:t>二）监事</w:t>
      </w:r>
    </w:p>
    <w:p>
      <w:pPr>
        <w:pStyle w:val="Style32"/>
        <w:keepNext w:val="0"/>
        <w:keepLines w:val="0"/>
        <w:widowControl w:val="0"/>
        <w:shd w:val="clear" w:color="auto" w:fill="auto"/>
        <w:tabs>
          <w:tab w:pos="764" w:val="left"/>
        </w:tabs>
        <w:bidi w:val="0"/>
        <w:spacing w:before="0" w:after="0" w:line="316" w:lineRule="exact"/>
        <w:ind w:left="480" w:right="0" w:firstLine="0"/>
        <w:jc w:val="both"/>
      </w:pPr>
      <w:bookmarkStart w:id="549" w:name="bookmark549"/>
      <w:r>
        <w:rPr>
          <w:rFonts w:ascii="Times New Roman" w:eastAsia="Times New Roman" w:hAnsi="Times New Roman" w:cs="Times New Roman"/>
          <w:color w:val="000000"/>
          <w:spacing w:val="0"/>
          <w:w w:val="100"/>
          <w:position w:val="0"/>
        </w:rPr>
        <w:t>1</w:t>
      </w:r>
      <w:bookmarkEnd w:id="549"/>
      <w:r>
        <w:rPr>
          <w:color w:val="000000"/>
          <w:spacing w:val="0"/>
          <w:w w:val="100"/>
          <w:position w:val="0"/>
        </w:rPr>
        <w:t>、</w:t>
        <w:tab/>
        <w:t>李力盛，</w:t>
      </w:r>
      <w:r>
        <w:rPr>
          <w:rFonts w:ascii="Times New Roman" w:eastAsia="Times New Roman" w:hAnsi="Times New Roman" w:cs="Times New Roman"/>
          <w:color w:val="000000"/>
          <w:spacing w:val="0"/>
          <w:w w:val="100"/>
          <w:position w:val="0"/>
        </w:rPr>
        <w:t>1979</w:t>
      </w:r>
      <w:r>
        <w:rPr>
          <w:color w:val="000000"/>
          <w:spacing w:val="0"/>
          <w:w w:val="100"/>
          <w:position w:val="0"/>
        </w:rPr>
        <w:t>年出生，毕业于中国人民大学商学院，会计学硕士研究生，中国国籍，无境外永久居留权。中国注册会计 师（</w:t>
      </w:r>
      <w:r>
        <w:rPr>
          <w:rFonts w:ascii="Times New Roman" w:eastAsia="Times New Roman" w:hAnsi="Times New Roman" w:cs="Times New Roman"/>
          <w:color w:val="000000"/>
          <w:spacing w:val="0"/>
          <w:w w:val="100"/>
          <w:position w:val="0"/>
        </w:rPr>
        <w:t>CPA</w:t>
      </w:r>
      <w:r>
        <w:rPr>
          <w:color w:val="000000"/>
          <w:spacing w:val="0"/>
          <w:w w:val="100"/>
          <w:position w:val="0"/>
        </w:rPr>
        <w:t>）</w:t>
      </w:r>
      <w:r>
        <w:rPr>
          <w:color w:val="000000"/>
          <w:spacing w:val="0"/>
          <w:w w:val="100"/>
          <w:position w:val="0"/>
        </w:rPr>
        <w:t>、国际注册内部审计师</w:t>
      </w:r>
      <w:r>
        <w:rPr>
          <w:color w:val="000000"/>
          <w:spacing w:val="0"/>
          <w:w w:val="100"/>
          <w:position w:val="0"/>
        </w:rPr>
        <w:t>（</w:t>
      </w:r>
      <w:r>
        <w:rPr>
          <w:rFonts w:ascii="Times New Roman" w:eastAsia="Times New Roman" w:hAnsi="Times New Roman" w:cs="Times New Roman"/>
          <w:color w:val="000000"/>
          <w:spacing w:val="0"/>
          <w:w w:val="100"/>
          <w:position w:val="0"/>
        </w:rPr>
        <w:t>CIA</w:t>
      </w:r>
      <w:r>
        <w:rPr>
          <w:color w:val="000000"/>
          <w:spacing w:val="0"/>
          <w:w w:val="100"/>
          <w:position w:val="0"/>
        </w:rPr>
        <w:t>）</w:t>
      </w:r>
      <w:r>
        <w:rPr>
          <w:color w:val="000000"/>
          <w:spacing w:val="0"/>
          <w:w w:val="100"/>
          <w:position w:val="0"/>
        </w:rPr>
        <w:t>，现任公司监事。曾任渤海国际信托股份有限公司风险控制部总经理、中公教育 科技股份有限公司董事。李力盛先生与公司控股股东国科实业存在关联关系（任职于国科实业的出资方一渤海国际信托股 份有限公司），与实际控制人之间不存在关联关系。未持有本公司股份，最近三年未受过中国证监会及其他有关部门的处罚 和证券交易所惩戒，非失信被执行人。</w:t>
      </w:r>
    </w:p>
    <w:p>
      <w:pPr>
        <w:pStyle w:val="Style32"/>
        <w:keepNext w:val="0"/>
        <w:keepLines w:val="0"/>
        <w:widowControl w:val="0"/>
        <w:shd w:val="clear" w:color="auto" w:fill="auto"/>
        <w:tabs>
          <w:tab w:pos="774" w:val="left"/>
        </w:tabs>
        <w:bidi w:val="0"/>
        <w:spacing w:before="0" w:after="0" w:line="316" w:lineRule="exact"/>
        <w:ind w:left="480" w:right="0" w:firstLine="0"/>
        <w:jc w:val="both"/>
      </w:pPr>
      <w:bookmarkStart w:id="550" w:name="bookmark550"/>
      <w:r>
        <w:rPr>
          <w:rFonts w:ascii="Times New Roman" w:eastAsia="Times New Roman" w:hAnsi="Times New Roman" w:cs="Times New Roman"/>
          <w:color w:val="000000"/>
          <w:spacing w:val="0"/>
          <w:w w:val="100"/>
          <w:position w:val="0"/>
        </w:rPr>
        <w:t>2</w:t>
      </w:r>
      <w:bookmarkEnd w:id="550"/>
      <w:r>
        <w:rPr>
          <w:color w:val="000000"/>
          <w:spacing w:val="0"/>
          <w:w w:val="100"/>
          <w:position w:val="0"/>
        </w:rPr>
        <w:t>、</w:t>
        <w:tab/>
        <w:t>王立军，</w:t>
      </w:r>
      <w:r>
        <w:rPr>
          <w:rFonts w:ascii="Times New Roman" w:eastAsia="Times New Roman" w:hAnsi="Times New Roman" w:cs="Times New Roman"/>
          <w:color w:val="000000"/>
          <w:spacing w:val="0"/>
          <w:w w:val="100"/>
          <w:position w:val="0"/>
        </w:rPr>
        <w:t>1973</w:t>
      </w:r>
      <w:r>
        <w:rPr>
          <w:color w:val="000000"/>
          <w:spacing w:val="0"/>
          <w:w w:val="100"/>
          <w:position w:val="0"/>
        </w:rPr>
        <w:t>年出生，毕业于南开大学，物理电子专业以及计算机系应用专业双学位，中国国籍，无境外永久居留权。 现任公司监事。曾任广州立君准奏投资有限公司总经理、深圳锐取信息技术股份有限公司副总经理、董事等职务。王立军先 生与持有公司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以上股份的股东、实际控制人之间不存在关联关系。未持有本公司股份，最近三年未受过中国证监会及其 他有关部门的处罚和证券交易所惩戒，非失信被执行人。</w:t>
      </w:r>
    </w:p>
    <w:p>
      <w:pPr>
        <w:pStyle w:val="Style32"/>
        <w:keepNext w:val="0"/>
        <w:keepLines w:val="0"/>
        <w:widowControl w:val="0"/>
        <w:shd w:val="clear" w:color="auto" w:fill="auto"/>
        <w:tabs>
          <w:tab w:pos="774" w:val="left"/>
        </w:tabs>
        <w:bidi w:val="0"/>
        <w:spacing w:before="0" w:after="0" w:line="316" w:lineRule="exact"/>
        <w:ind w:left="480" w:right="0" w:firstLine="0"/>
        <w:jc w:val="both"/>
      </w:pPr>
      <w:bookmarkStart w:id="551" w:name="bookmark551"/>
      <w:r>
        <w:rPr>
          <w:rFonts w:ascii="Times New Roman" w:eastAsia="Times New Roman" w:hAnsi="Times New Roman" w:cs="Times New Roman"/>
          <w:color w:val="000000"/>
          <w:spacing w:val="0"/>
          <w:w w:val="100"/>
          <w:position w:val="0"/>
        </w:rPr>
        <w:t>3</w:t>
      </w:r>
      <w:bookmarkEnd w:id="551"/>
      <w:r>
        <w:rPr>
          <w:color w:val="000000"/>
          <w:spacing w:val="0"/>
          <w:w w:val="100"/>
          <w:position w:val="0"/>
        </w:rPr>
        <w:t>、</w:t>
        <w:tab/>
        <w:t>余力兴先生，</w:t>
      </w:r>
      <w:r>
        <w:rPr>
          <w:rFonts w:ascii="Times New Roman" w:eastAsia="Times New Roman" w:hAnsi="Times New Roman" w:cs="Times New Roman"/>
          <w:color w:val="000000"/>
          <w:spacing w:val="0"/>
          <w:w w:val="100"/>
          <w:position w:val="0"/>
        </w:rPr>
        <w:t>1975</w:t>
      </w:r>
      <w:r>
        <w:rPr>
          <w:color w:val="000000"/>
          <w:spacing w:val="0"/>
          <w:w w:val="100"/>
          <w:position w:val="0"/>
        </w:rPr>
        <w:t>年出生，研究生学历，中国国籍，无境外永久居留权。现任公司监事及金融行业高级销售总监。余力 兴先生持有公司股票</w:t>
      </w:r>
      <w:r>
        <w:rPr>
          <w:rFonts w:ascii="Times New Roman" w:eastAsia="Times New Roman" w:hAnsi="Times New Roman" w:cs="Times New Roman"/>
          <w:color w:val="000000"/>
          <w:spacing w:val="0"/>
          <w:w w:val="100"/>
          <w:position w:val="0"/>
        </w:rPr>
        <w:t>383,400</w:t>
      </w:r>
      <w:r>
        <w:rPr>
          <w:color w:val="000000"/>
          <w:spacing w:val="0"/>
          <w:w w:val="100"/>
          <w:position w:val="0"/>
        </w:rPr>
        <w:t>股，与持有公司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以上股份的股东、实际控制人之间不存在关联关系。最近三年未受过中国证 监会及其他有关部门的处罚和证券交易所惩戒，非失信被执行人。</w:t>
      </w:r>
    </w:p>
    <w:p>
      <w:pPr>
        <w:pStyle w:val="Style32"/>
        <w:keepNext w:val="0"/>
        <w:keepLines w:val="0"/>
        <w:widowControl w:val="0"/>
        <w:shd w:val="clear" w:color="auto" w:fill="auto"/>
        <w:bidi w:val="0"/>
        <w:spacing w:before="0" w:after="0" w:line="316" w:lineRule="exact"/>
        <w:ind w:left="0" w:right="0" w:firstLine="480"/>
        <w:jc w:val="both"/>
      </w:pPr>
      <w:bookmarkStart w:id="552" w:name="bookmark552"/>
      <w:r>
        <w:rPr>
          <w:color w:val="000000"/>
          <w:spacing w:val="0"/>
          <w:w w:val="100"/>
          <w:position w:val="0"/>
        </w:rPr>
        <w:t>（</w:t>
      </w:r>
      <w:bookmarkEnd w:id="552"/>
      <w:r>
        <w:rPr>
          <w:color w:val="000000"/>
          <w:spacing w:val="0"/>
          <w:w w:val="100"/>
          <w:position w:val="0"/>
        </w:rPr>
        <w:t>三）非董事高管</w:t>
      </w:r>
    </w:p>
    <w:p>
      <w:pPr>
        <w:pStyle w:val="Style32"/>
        <w:keepNext w:val="0"/>
        <w:keepLines w:val="0"/>
        <w:widowControl w:val="0"/>
        <w:shd w:val="clear" w:color="auto" w:fill="auto"/>
        <w:tabs>
          <w:tab w:pos="764" w:val="left"/>
        </w:tabs>
        <w:bidi w:val="0"/>
        <w:spacing w:before="0" w:after="0" w:line="314" w:lineRule="exact"/>
        <w:ind w:left="480" w:right="0" w:firstLine="0"/>
        <w:jc w:val="both"/>
      </w:pPr>
      <w:bookmarkStart w:id="553" w:name="bookmark553"/>
      <w:r>
        <w:rPr>
          <w:rFonts w:ascii="Times New Roman" w:eastAsia="Times New Roman" w:hAnsi="Times New Roman" w:cs="Times New Roman"/>
          <w:color w:val="000000"/>
          <w:spacing w:val="0"/>
          <w:w w:val="100"/>
          <w:position w:val="0"/>
        </w:rPr>
        <w:t>1</w:t>
      </w:r>
      <w:bookmarkEnd w:id="553"/>
      <w:r>
        <w:rPr>
          <w:color w:val="000000"/>
          <w:spacing w:val="0"/>
          <w:w w:val="100"/>
          <w:position w:val="0"/>
        </w:rPr>
        <w:t>、</w:t>
        <w:tab/>
        <w:t>秦毅先生，</w:t>
      </w:r>
      <w:r>
        <w:rPr>
          <w:rFonts w:ascii="Times New Roman" w:eastAsia="Times New Roman" w:hAnsi="Times New Roman" w:cs="Times New Roman"/>
          <w:color w:val="000000"/>
          <w:spacing w:val="0"/>
          <w:w w:val="100"/>
          <w:position w:val="0"/>
        </w:rPr>
        <w:t>1966</w:t>
      </w:r>
      <w:r>
        <w:rPr>
          <w:color w:val="000000"/>
          <w:spacing w:val="0"/>
          <w:w w:val="100"/>
          <w:position w:val="0"/>
        </w:rPr>
        <w:t>年出生，毕业于哈尔滨工业大学精密仪器专业，学士学位，中国国籍，无境外永久居留权。现任公司副 总裁兼北京神州视翰科技有限公司董事长、经理、东莞益视智能设备有限公司执行董事、经理，广州市聚点电子科技有限公 司执行董事，北京神州视翰科技有限公司深圳分公司负责人。秦毅先生持有公司股票</w:t>
      </w:r>
      <w:r>
        <w:rPr>
          <w:rFonts w:ascii="Times New Roman" w:eastAsia="Times New Roman" w:hAnsi="Times New Roman" w:cs="Times New Roman"/>
          <w:color w:val="000000"/>
          <w:spacing w:val="0"/>
          <w:w w:val="100"/>
          <w:position w:val="0"/>
        </w:rPr>
        <w:t>11,113,800</w:t>
      </w:r>
      <w:r>
        <w:rPr>
          <w:color w:val="000000"/>
          <w:spacing w:val="0"/>
          <w:w w:val="100"/>
          <w:position w:val="0"/>
        </w:rPr>
        <w:t>股，与持有公司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 的股东及实际控制人之间不存在关联关系，最近三年未受过中国证监会及其他有关部门的处罚和证券交易所惩戒，非失信被 执行人。</w:t>
      </w:r>
    </w:p>
    <w:p>
      <w:pPr>
        <w:pStyle w:val="Style32"/>
        <w:keepNext w:val="0"/>
        <w:keepLines w:val="0"/>
        <w:widowControl w:val="0"/>
        <w:shd w:val="clear" w:color="auto" w:fill="auto"/>
        <w:tabs>
          <w:tab w:pos="774" w:val="left"/>
        </w:tabs>
        <w:bidi w:val="0"/>
        <w:spacing w:before="0" w:after="0" w:line="317" w:lineRule="exact"/>
        <w:ind w:left="480" w:right="0" w:firstLine="0"/>
        <w:jc w:val="both"/>
      </w:pPr>
      <w:bookmarkStart w:id="554" w:name="bookmark554"/>
      <w:r>
        <w:rPr>
          <w:rFonts w:ascii="Times New Roman" w:eastAsia="Times New Roman" w:hAnsi="Times New Roman" w:cs="Times New Roman"/>
          <w:color w:val="000000"/>
          <w:spacing w:val="0"/>
          <w:w w:val="100"/>
          <w:position w:val="0"/>
        </w:rPr>
        <w:t>2</w:t>
      </w:r>
      <w:bookmarkEnd w:id="554"/>
      <w:r>
        <w:rPr>
          <w:color w:val="000000"/>
          <w:spacing w:val="0"/>
          <w:w w:val="100"/>
          <w:position w:val="0"/>
        </w:rPr>
        <w:t>、</w:t>
        <w:tab/>
        <w:t>尹春福先生，</w:t>
      </w:r>
      <w:r>
        <w:rPr>
          <w:rFonts w:ascii="Times New Roman" w:eastAsia="Times New Roman" w:hAnsi="Times New Roman" w:cs="Times New Roman"/>
          <w:color w:val="000000"/>
          <w:spacing w:val="0"/>
          <w:w w:val="100"/>
          <w:position w:val="0"/>
        </w:rPr>
        <w:t>1973</w:t>
      </w:r>
      <w:r>
        <w:rPr>
          <w:color w:val="000000"/>
          <w:spacing w:val="0"/>
          <w:w w:val="100"/>
          <w:position w:val="0"/>
        </w:rPr>
        <w:t>年出生，毕业于辽宁大学经济学院，研究生学历，中国国籍，无永久境外居留权。现任公司副总裁、 辽宁荣科智维云科技有限公司经理、辽宁荣科金融服务有限公司执行董事兼经理。曾任公司董事、销售总监。尹春福先生持 有公司股票</w:t>
      </w:r>
      <w:r>
        <w:rPr>
          <w:rFonts w:ascii="Times New Roman" w:eastAsia="Times New Roman" w:hAnsi="Times New Roman" w:cs="Times New Roman"/>
          <w:color w:val="000000"/>
          <w:spacing w:val="0"/>
          <w:w w:val="100"/>
          <w:position w:val="0"/>
        </w:rPr>
        <w:t>1,730,100</w:t>
      </w:r>
      <w:r>
        <w:rPr>
          <w:color w:val="000000"/>
          <w:spacing w:val="0"/>
          <w:w w:val="100"/>
          <w:position w:val="0"/>
        </w:rPr>
        <w:t>股，与持有公司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以上股份的股东及实际控制人之间不存在关联关系，最近三年未受过中国证监会及 其他有关部门的处罚和证券交易所惩戒，非失信被执行人。</w:t>
      </w:r>
    </w:p>
    <w:p>
      <w:pPr>
        <w:pStyle w:val="Style32"/>
        <w:keepNext w:val="0"/>
        <w:keepLines w:val="0"/>
        <w:widowControl w:val="0"/>
        <w:shd w:val="clear" w:color="auto" w:fill="auto"/>
        <w:bidi w:val="0"/>
        <w:spacing w:before="0" w:after="0" w:line="316" w:lineRule="exact"/>
        <w:ind w:left="480" w:right="0" w:firstLine="0"/>
        <w:jc w:val="both"/>
      </w:pPr>
      <w:bookmarkStart w:id="555" w:name="bookmark555"/>
      <w:r>
        <w:rPr>
          <w:rFonts w:ascii="Times New Roman" w:eastAsia="Times New Roman" w:hAnsi="Times New Roman" w:cs="Times New Roman"/>
          <w:color w:val="000000"/>
          <w:spacing w:val="0"/>
          <w:w w:val="100"/>
          <w:position w:val="0"/>
        </w:rPr>
        <w:t>3</w:t>
      </w:r>
      <w:bookmarkEnd w:id="555"/>
      <w:r>
        <w:rPr>
          <w:color w:val="000000"/>
          <w:spacing w:val="0"/>
          <w:w w:val="100"/>
          <w:position w:val="0"/>
        </w:rPr>
        <w:t>、 李绣女士，</w:t>
      </w:r>
      <w:r>
        <w:rPr>
          <w:rFonts w:ascii="Times New Roman" w:eastAsia="Times New Roman" w:hAnsi="Times New Roman" w:cs="Times New Roman"/>
          <w:color w:val="000000"/>
          <w:spacing w:val="0"/>
          <w:w w:val="100"/>
          <w:position w:val="0"/>
        </w:rPr>
        <w:t>1976</w:t>
      </w:r>
      <w:r>
        <w:rPr>
          <w:color w:val="000000"/>
          <w:spacing w:val="0"/>
          <w:w w:val="100"/>
          <w:position w:val="0"/>
        </w:rPr>
        <w:t>年出生，毕业于东北大学会计学专业，硕士研究生。</w:t>
      </w:r>
      <w:r>
        <w:rPr>
          <w:rFonts w:ascii="Times New Roman" w:eastAsia="Times New Roman" w:hAnsi="Times New Roman" w:cs="Times New Roman"/>
          <w:color w:val="000000"/>
          <w:spacing w:val="0"/>
          <w:w w:val="100"/>
          <w:position w:val="0"/>
        </w:rPr>
        <w:t>ACCA</w:t>
      </w:r>
      <w:r>
        <w:rPr>
          <w:color w:val="000000"/>
          <w:spacing w:val="0"/>
          <w:w w:val="100"/>
          <w:position w:val="0"/>
        </w:rPr>
        <w:t>会员。中国国籍，无境外永久居留权。现任 公司财务负责人、北京神州视翰科技有限公司董事、上海米健信息技术有限公司董事。曾任东软集团股份有限公司审计部副 部长、计划财务部部长，东软熙康健康科技有限公司财务总监，东软飞利浦医疗设备系统有限责任公司财务总监等职务。李 绣女士持有公司股票</w:t>
      </w:r>
      <w:r>
        <w:rPr>
          <w:rFonts w:ascii="Times New Roman" w:eastAsia="Times New Roman" w:hAnsi="Times New Roman" w:cs="Times New Roman"/>
          <w:color w:val="000000"/>
          <w:spacing w:val="0"/>
          <w:w w:val="100"/>
          <w:position w:val="0"/>
        </w:rPr>
        <w:t>450,000</w:t>
      </w:r>
      <w:r>
        <w:rPr>
          <w:color w:val="000000"/>
          <w:spacing w:val="0"/>
          <w:w w:val="100"/>
          <w:position w:val="0"/>
        </w:rPr>
        <w:t>股，与持有公司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以上股份的股东及实际控制人之间不存在关联关系，最近三年未受过中国证 监会及其他有关部门的处罚和证券交易所惩戒，非失信被执行人。</w:t>
      </w:r>
    </w:p>
    <w:p>
      <w:pPr>
        <w:pStyle w:val="Style32"/>
        <w:keepNext w:val="0"/>
        <w:keepLines w:val="0"/>
        <w:widowControl w:val="0"/>
        <w:shd w:val="clear" w:color="auto" w:fill="auto"/>
        <w:tabs>
          <w:tab w:pos="774" w:val="left"/>
        </w:tabs>
        <w:bidi w:val="0"/>
        <w:spacing w:before="0" w:after="0" w:line="314" w:lineRule="exact"/>
        <w:ind w:left="480" w:right="0" w:firstLine="0"/>
        <w:jc w:val="both"/>
      </w:pPr>
      <w:bookmarkStart w:id="556" w:name="bookmark556"/>
      <w:r>
        <w:rPr>
          <w:rFonts w:ascii="Times New Roman" w:eastAsia="Times New Roman" w:hAnsi="Times New Roman" w:cs="Times New Roman"/>
          <w:color w:val="000000"/>
          <w:spacing w:val="0"/>
          <w:w w:val="100"/>
          <w:position w:val="0"/>
        </w:rPr>
        <w:t>4</w:t>
      </w:r>
      <w:bookmarkEnd w:id="556"/>
      <w:r>
        <w:rPr>
          <w:color w:val="000000"/>
          <w:spacing w:val="0"/>
          <w:w w:val="100"/>
          <w:position w:val="0"/>
        </w:rPr>
        <w:t>、</w:t>
        <w:tab/>
        <w:t>刘斌先生，</w:t>
      </w:r>
      <w:r>
        <w:rPr>
          <w:rFonts w:ascii="Times New Roman" w:eastAsia="Times New Roman" w:hAnsi="Times New Roman" w:cs="Times New Roman"/>
          <w:color w:val="000000"/>
          <w:spacing w:val="0"/>
          <w:w w:val="100"/>
          <w:position w:val="0"/>
        </w:rPr>
        <w:t>1979</w:t>
      </w:r>
      <w:r>
        <w:rPr>
          <w:color w:val="000000"/>
          <w:spacing w:val="0"/>
          <w:w w:val="100"/>
          <w:position w:val="0"/>
        </w:rPr>
        <w:t>年出生，毕业于辽宁大学经济学院，研究生学历，国家二级培训师，中国国籍，无境外永久居留权。现 任公司运营总经理、人力资源总监，辽宁荣科智维云科技有限公司董事、北京神州视翰科技有限公司董事、上海米健信息技 术有限公司董事、北京荣科爱信科技有限公司执行董事兼经理。曾任富士康企业集团（深圳）人力资源高级主管，深圳康普 信息科技有限公司总经理助理及人力资源经理，深圳益华时代管理咨询公司高级咨询师及项目经理等职务。刘斌先生持有公 司股票</w:t>
      </w:r>
      <w:r>
        <w:rPr>
          <w:rFonts w:ascii="Times New Roman" w:eastAsia="Times New Roman" w:hAnsi="Times New Roman" w:cs="Times New Roman"/>
          <w:color w:val="000000"/>
          <w:spacing w:val="0"/>
          <w:w w:val="100"/>
          <w:position w:val="0"/>
        </w:rPr>
        <w:t>450,000</w:t>
      </w:r>
      <w:r>
        <w:rPr>
          <w:color w:val="000000"/>
          <w:spacing w:val="0"/>
          <w:w w:val="100"/>
          <w:position w:val="0"/>
        </w:rPr>
        <w:t>股，与持有公司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以上股份的股东及实际控制人之间不存在关联关系，最近三年未受过中国证监会及其他有 关部门的处罚和证券交易所惩戒，非失信被执行人。</w:t>
      </w:r>
      <w:r>
        <w:br w:type="page"/>
      </w:r>
    </w:p>
    <w:p>
      <w:pPr>
        <w:pStyle w:val="Style32"/>
        <w:keepNext w:val="0"/>
        <w:keepLines w:val="0"/>
        <w:widowControl w:val="0"/>
        <w:shd w:val="clear" w:color="auto" w:fill="auto"/>
        <w:bidi w:val="0"/>
        <w:spacing w:before="0" w:after="80" w:line="240" w:lineRule="auto"/>
        <w:ind w:left="0" w:right="0" w:firstLine="460"/>
        <w:jc w:val="left"/>
      </w:pPr>
      <w:r>
        <mc:AlternateContent>
          <mc:Choice Requires="wps">
            <w:drawing>
              <wp:anchor distT="0" distB="0" distL="114300" distR="114300" simplePos="0" relativeHeight="125829505" behindDoc="0" locked="0" layoutInCell="1" allowOverlap="1">
                <wp:simplePos x="0" y="0"/>
                <wp:positionH relativeFrom="page">
                  <wp:posOffset>802005</wp:posOffset>
                </wp:positionH>
                <wp:positionV relativeFrom="margin">
                  <wp:posOffset>-60325</wp:posOffset>
                </wp:positionV>
                <wp:extent cx="1243330" cy="283210"/>
                <wp:wrapTopAndBottom/>
                <wp:docPr id="484" name="Shape 484"/>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510" type="#_x0000_t202" style="position:absolute;margin-left:63.149999999999999pt;margin-top:-4.75pt;width:97.900000000000006pt;height:22.300000000000001pt;z-index:-125829248;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bookmarkStart w:id="557" w:name="bookmark557"/>
      <w:r>
        <w:rPr>
          <w:rFonts w:ascii="Times New Roman" w:eastAsia="Times New Roman" w:hAnsi="Times New Roman" w:cs="Times New Roman"/>
          <w:color w:val="000000"/>
          <w:spacing w:val="0"/>
          <w:w w:val="100"/>
          <w:position w:val="0"/>
        </w:rPr>
        <w:t>5</w:t>
      </w:r>
      <w:bookmarkEnd w:id="557"/>
      <w:r>
        <w:rPr>
          <w:color w:val="000000"/>
          <w:spacing w:val="0"/>
          <w:w w:val="100"/>
          <w:position w:val="0"/>
        </w:rPr>
        <w:t>、张羽先生，</w:t>
      </w:r>
      <w:r>
        <w:rPr>
          <w:rFonts w:ascii="Times New Roman" w:eastAsia="Times New Roman" w:hAnsi="Times New Roman" w:cs="Times New Roman"/>
          <w:color w:val="000000"/>
          <w:spacing w:val="0"/>
          <w:w w:val="100"/>
          <w:position w:val="0"/>
        </w:rPr>
        <w:t>1978</w:t>
      </w:r>
      <w:r>
        <w:rPr>
          <w:color w:val="000000"/>
          <w:spacing w:val="0"/>
          <w:w w:val="100"/>
          <w:position w:val="0"/>
        </w:rPr>
        <w:t>年出生，毕业于沈阳大学国际贸易专业，学士学位，中国国籍，无境外永久居留权。现任公司董事会秘</w:t>
      </w:r>
    </w:p>
    <w:p>
      <w:pPr>
        <w:pStyle w:val="Style32"/>
        <w:keepNext w:val="0"/>
        <w:keepLines w:val="0"/>
        <w:widowControl w:val="0"/>
        <w:shd w:val="clear" w:color="auto" w:fill="auto"/>
        <w:bidi w:val="0"/>
        <w:spacing w:before="0" w:after="0" w:line="240" w:lineRule="auto"/>
        <w:ind w:left="0" w:right="0" w:firstLine="460"/>
        <w:jc w:val="left"/>
      </w:pPr>
      <w:r>
        <w:rPr>
          <w:color w:val="000000"/>
          <w:spacing w:val="0"/>
          <w:w w:val="100"/>
          <w:position w:val="0"/>
        </w:rPr>
        <w:t>书。曾任职于广东发展银行沈阳中华路支行营业部、辽宁兴隆百货集团上市小组、辽宁信德集团投融资中心，</w:t>
      </w:r>
      <w:r>
        <w:rPr>
          <w:rFonts w:ascii="Times New Roman" w:eastAsia="Times New Roman" w:hAnsi="Times New Roman" w:cs="Times New Roman"/>
          <w:color w:val="000000"/>
          <w:spacing w:val="0"/>
          <w:w w:val="100"/>
          <w:position w:val="0"/>
        </w:rPr>
        <w:t>2009</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月起,</w:t>
      </w:r>
    </w:p>
    <w:p>
      <w:pPr>
        <w:pStyle w:val="Style32"/>
        <w:keepNext w:val="0"/>
        <w:keepLines w:val="0"/>
        <w:widowControl w:val="0"/>
        <w:shd w:val="clear" w:color="auto" w:fill="auto"/>
        <w:bidi w:val="0"/>
        <w:spacing w:before="0" w:after="80" w:line="307" w:lineRule="exact"/>
        <w:ind w:left="460" w:right="0" w:firstLine="20"/>
        <w:jc w:val="left"/>
      </w:pPr>
      <w:r>
        <w:rPr>
          <w:color w:val="000000"/>
          <w:spacing w:val="0"/>
          <w:w w:val="100"/>
          <w:position w:val="0"/>
        </w:rPr>
        <w:t>历任本公司证券事务代表、投资总监。张羽先生已取得深圳证券交易所颁发的《董事会秘书资格证书》，持有公司股票</w:t>
      </w:r>
      <w:r>
        <w:rPr>
          <w:rFonts w:ascii="Times New Roman" w:eastAsia="Times New Roman" w:hAnsi="Times New Roman" w:cs="Times New Roman"/>
          <w:color w:val="000000"/>
          <w:spacing w:val="0"/>
          <w:w w:val="100"/>
          <w:position w:val="0"/>
        </w:rPr>
        <w:t xml:space="preserve">600,000 </w:t>
      </w:r>
      <w:r>
        <w:rPr>
          <w:color w:val="000000"/>
          <w:spacing w:val="0"/>
          <w:w w:val="100"/>
          <w:position w:val="0"/>
        </w:rPr>
        <w:t>股，与持有公司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以上股份的股东及实际控制人之间不存在关联关系，最近三年未受过中国证监会及其他有关部门的处罚</w:t>
      </w:r>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和证券交易所惩戒，非失信被执行人。</w:t>
      </w:r>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在股东单位任职情况</w:t>
      </w:r>
    </w:p>
    <w:p>
      <w:pPr>
        <w:pStyle w:val="Style32"/>
        <w:keepNext w:val="0"/>
        <w:keepLines w:val="0"/>
        <w:widowControl w:val="0"/>
        <w:shd w:val="clear" w:color="auto" w:fill="auto"/>
        <w:bidi w:val="0"/>
        <w:spacing w:before="0" w:after="80" w:line="240" w:lineRule="auto"/>
        <w:ind w:left="0" w:right="0" w:firstLine="4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1210"/>
        <w:gridCol w:w="3187"/>
        <w:gridCol w:w="1066"/>
        <w:gridCol w:w="1195"/>
        <w:gridCol w:w="1330"/>
        <w:gridCol w:w="1598"/>
      </w:tblGrid>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任职人员姓名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股东单位名称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在股东单位 担任的职务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任期起始日期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任期终止日期</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在股东单位是否领 取报酬津贴</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辽宁国科实业有限公司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林楠超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辽宁国科实业有限公司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25"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在股东单位任 职情况的说明</w:t>
            </w:r>
          </w:p>
        </w:tc>
        <w:tc>
          <w:tcPr>
            <w:gridSpan w:val="5"/>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79" w:line="1" w:lineRule="exact"/>
      </w:pPr>
    </w:p>
    <w:p>
      <w:pPr>
        <w:pStyle w:val="Style32"/>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在其他单位任职情况</w:t>
      </w:r>
    </w:p>
    <w:p>
      <w:pPr>
        <w:pStyle w:val="Style32"/>
        <w:keepNext w:val="0"/>
        <w:keepLines w:val="0"/>
        <w:widowControl w:val="0"/>
        <w:shd w:val="clear" w:color="auto" w:fill="auto"/>
        <w:bidi w:val="0"/>
        <w:spacing w:before="0" w:after="80" w:line="240" w:lineRule="auto"/>
        <w:ind w:left="0" w:right="0" w:firstLine="4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1210"/>
        <w:gridCol w:w="2203"/>
        <w:gridCol w:w="1560"/>
        <w:gridCol w:w="1699"/>
        <w:gridCol w:w="1560"/>
        <w:gridCol w:w="1354"/>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任职人员姓名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其他单位名称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在其他单位担任的 职务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任期起始日期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任期终止日期</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在其他单位是否 领取报酬津贴</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德美诊联医疗投资管理有 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崔万田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辽宁大学经济学院</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教授、博士生导师</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2002</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崔万田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辽宁能源煤电产业股份有 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崔万田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辽宁华孚环境工程股份有 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崔万田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沈阳粮油集团有限公司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管一民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益海嘉里金龙鱼粮油食品 股份有限公司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管一民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华谊集团股份有限公司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管一民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上海复星医药（集团）股份 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管一民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华鑫证券有限责任公司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管一民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合肥杰事杰新材料股份有 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刘爱民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辽渔集团有限公司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2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刘爱民</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上海中商网络股份有限公 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bl>
    <w:p>
      <w:pPr>
        <w:sectPr>
          <w:headerReference w:type="default" r:id="rId195"/>
          <w:footerReference w:type="default" r:id="rId196"/>
          <w:headerReference w:type="even" r:id="rId197"/>
          <w:footerReference w:type="even" r:id="rId198"/>
          <w:footnotePr>
            <w:pos w:val="pageBottom"/>
            <w:numFmt w:val="decimal"/>
            <w:numRestart w:val="continuous"/>
          </w:footnotePr>
          <w:pgSz w:w="11900" w:h="16840"/>
          <w:pgMar w:top="1114" w:right="677" w:bottom="1532" w:left="644" w:header="0" w:footer="3" w:gutter="0"/>
          <w:cols w:space="720"/>
          <w:noEndnote/>
          <w:rtlGutter w:val="0"/>
          <w:docGrid w:linePitch="360"/>
        </w:sectPr>
      </w:pPr>
    </w:p>
    <w:tbl>
      <w:tblPr>
        <w:tblOverlap w:val="never"/>
        <w:jc w:val="left"/>
        <w:tblLayout w:type="fixed"/>
      </w:tblPr>
      <w:tblGrid>
        <w:gridCol w:w="1210"/>
        <w:gridCol w:w="2203"/>
        <w:gridCol w:w="1560"/>
        <w:gridCol w:w="1699"/>
        <w:gridCol w:w="1560"/>
        <w:gridCol w:w="1354"/>
      </w:tblGrid>
      <w:tr>
        <w:trPr>
          <w:trHeight w:val="715"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吴凤君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color w:val="000000"/>
                <w:spacing w:val="0"/>
                <w:w w:val="100"/>
                <w:position w:val="0"/>
              </w:rPr>
              <w:t>辽宁大学法学院</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12" w:lineRule="exact"/>
              <w:ind w:left="0" w:right="0" w:firstLine="0"/>
              <w:jc w:val="left"/>
            </w:pPr>
            <w:r>
              <w:rPr>
                <w:color w:val="000000"/>
                <w:spacing w:val="0"/>
                <w:w w:val="100"/>
                <w:position w:val="0"/>
              </w:rPr>
              <w:t>副教授、硕士生导 师</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2007</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吴凤君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07" w:lineRule="exact"/>
              <w:ind w:left="0" w:right="0" w:firstLine="0"/>
              <w:jc w:val="both"/>
            </w:pPr>
            <w:r>
              <w:rPr>
                <w:color w:val="000000"/>
                <w:spacing w:val="0"/>
                <w:w w:val="100"/>
                <w:position w:val="0"/>
              </w:rPr>
              <w:t>沈阳美德因妇儿医院股份 有限公司</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吴凤君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12" w:lineRule="exact"/>
              <w:ind w:left="0" w:right="0" w:firstLine="0"/>
              <w:jc w:val="both"/>
            </w:pPr>
            <w:r>
              <w:rPr>
                <w:color w:val="000000"/>
                <w:spacing w:val="0"/>
                <w:w w:val="100"/>
                <w:position w:val="0"/>
              </w:rPr>
              <w:t>北京华创方舟科技股份有 限公司</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吴凤君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12" w:lineRule="exact"/>
              <w:ind w:left="0" w:right="0" w:firstLine="0"/>
              <w:jc w:val="both"/>
            </w:pPr>
            <w:r>
              <w:rPr>
                <w:color w:val="000000"/>
                <w:spacing w:val="0"/>
                <w:w w:val="100"/>
                <w:position w:val="0"/>
              </w:rPr>
              <w:t>沈阳爱睿真企业管理咨询 有限公司</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执行董事兼总经理</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吴凤君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22" w:lineRule="exact"/>
              <w:ind w:left="0" w:right="0" w:firstLine="0"/>
              <w:jc w:val="both"/>
            </w:pPr>
            <w:r>
              <w:rPr>
                <w:color w:val="000000"/>
                <w:spacing w:val="0"/>
                <w:w w:val="100"/>
                <w:position w:val="0"/>
              </w:rPr>
              <w:t>北京盈科（沈阳）律师事务 所</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律师</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吴凤君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07" w:lineRule="exact"/>
              <w:ind w:left="0" w:right="0" w:firstLine="0"/>
              <w:jc w:val="both"/>
            </w:pPr>
            <w:r>
              <w:rPr>
                <w:color w:val="000000"/>
                <w:spacing w:val="0"/>
                <w:w w:val="100"/>
                <w:position w:val="0"/>
              </w:rPr>
              <w:t>中国科学院沈阳科学仪器 股份有限公司</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李力盛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12" w:lineRule="exact"/>
              <w:ind w:left="0" w:right="0" w:firstLine="0"/>
              <w:jc w:val="both"/>
            </w:pPr>
            <w:r>
              <w:rPr>
                <w:color w:val="000000"/>
                <w:spacing w:val="0"/>
                <w:w w:val="100"/>
                <w:position w:val="0"/>
              </w:rPr>
              <w:t>渤海国际信托股份有限公 司</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首席风控官</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王立军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color w:val="000000"/>
                <w:spacing w:val="0"/>
                <w:w w:val="100"/>
                <w:position w:val="0"/>
              </w:rPr>
              <w:t>深圳多盈投资有限公司</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06</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1022"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王立军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12" w:lineRule="exact"/>
              <w:ind w:left="0" w:right="0" w:firstLine="0"/>
              <w:jc w:val="both"/>
            </w:pPr>
            <w:r>
              <w:rPr>
                <w:color w:val="000000"/>
                <w:spacing w:val="0"/>
                <w:w w:val="100"/>
                <w:position w:val="0"/>
              </w:rPr>
              <w:t>宁波梅山保税港区立君准 奏投资管理合伙企业（有限 合伙）</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执行事务合伙人</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王立军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07" w:lineRule="exact"/>
              <w:ind w:left="0" w:right="0" w:firstLine="0"/>
              <w:jc w:val="both"/>
            </w:pPr>
            <w:r>
              <w:rPr>
                <w:color w:val="000000"/>
                <w:spacing w:val="0"/>
                <w:w w:val="100"/>
                <w:position w:val="0"/>
              </w:rPr>
              <w:t>宁波盛世嘉仁投资管理合 伙企业（有限合伙）</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执行事务合伙人</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王立军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12" w:lineRule="exact"/>
              <w:ind w:left="0" w:right="0" w:firstLine="0"/>
              <w:jc w:val="both"/>
            </w:pPr>
            <w:r>
              <w:rPr>
                <w:color w:val="000000"/>
                <w:spacing w:val="0"/>
                <w:w w:val="100"/>
                <w:position w:val="0"/>
              </w:rPr>
              <w:t>广州魔屏投资咨询有限公 司</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王立军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12" w:lineRule="exact"/>
              <w:ind w:left="0" w:right="0" w:firstLine="0"/>
              <w:jc w:val="both"/>
            </w:pPr>
            <w:r>
              <w:rPr>
                <w:color w:val="000000"/>
                <w:spacing w:val="0"/>
                <w:w w:val="100"/>
                <w:position w:val="0"/>
              </w:rPr>
              <w:t>深圳市众泰兄弟科技发展 有限公司</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0" w:hRule="exact"/>
        </w:trPr>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王立军</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312" w:lineRule="exact"/>
              <w:ind w:left="0" w:right="0" w:firstLine="0"/>
              <w:jc w:val="both"/>
            </w:pPr>
            <w:r>
              <w:rPr>
                <w:color w:val="000000"/>
                <w:spacing w:val="0"/>
                <w:w w:val="100"/>
                <w:position w:val="0"/>
              </w:rPr>
              <w:t>杭州索浪信息技术有限公 司</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tcBorders>
            <w:shd w:val="clear" w:color="auto" w:fill="FFFFFF"/>
            <w:vAlign w:val="top"/>
          </w:tcPr>
          <w:p>
            <w:pPr>
              <w:framePr w:w="9586" w:h="10008" w:vSpace="365" w:wrap="none" w:hAnchor="page" w:x="112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25" w:hRule="exact"/>
        </w:trPr>
        <w:tc>
          <w:tcPr>
            <w:tcBorders>
              <w:top w:val="single" w:sz="4"/>
              <w:left w:val="single" w:sz="4"/>
              <w:bottom w:val="single" w:sz="4"/>
            </w:tcBorders>
            <w:shd w:val="clear" w:color="auto" w:fill="D4D4D4"/>
            <w:vAlign w:val="center"/>
          </w:tcPr>
          <w:p>
            <w:pPr>
              <w:pStyle w:val="Style44"/>
              <w:keepNext w:val="0"/>
              <w:keepLines w:val="0"/>
              <w:framePr w:w="9586" w:h="10008" w:vSpace="365" w:wrap="none" w:hAnchor="page" w:x="1120" w:y="285"/>
              <w:widowControl w:val="0"/>
              <w:shd w:val="clear" w:color="auto" w:fill="auto"/>
              <w:bidi w:val="0"/>
              <w:spacing w:before="0" w:after="0" w:line="307" w:lineRule="exact"/>
              <w:ind w:left="0" w:right="0" w:firstLine="0"/>
              <w:jc w:val="left"/>
            </w:pPr>
            <w:r>
              <w:rPr>
                <w:color w:val="000000"/>
                <w:spacing w:val="0"/>
                <w:w w:val="100"/>
                <w:position w:val="0"/>
              </w:rPr>
              <w:t>在其他单位任 职情况的说明</w:t>
            </w:r>
          </w:p>
        </w:tc>
        <w:tc>
          <w:tcPr>
            <w:gridSpan w:val="5"/>
            <w:tcBorders>
              <w:top w:val="single" w:sz="4"/>
              <w:left w:val="single" w:sz="4"/>
              <w:bottom w:val="single" w:sz="4"/>
              <w:right w:val="single" w:sz="4"/>
            </w:tcBorders>
            <w:shd w:val="clear" w:color="auto" w:fill="FFFFFF"/>
            <w:vAlign w:val="center"/>
          </w:tcPr>
          <w:p>
            <w:pPr>
              <w:pStyle w:val="Style44"/>
              <w:keepNext w:val="0"/>
              <w:keepLines w:val="0"/>
              <w:framePr w:w="9586" w:h="10008" w:vSpace="365" w:wrap="none" w:hAnchor="page" w:x="1120" w:y="285"/>
              <w:widowControl w:val="0"/>
              <w:shd w:val="clear" w:color="auto" w:fill="auto"/>
              <w:bidi w:val="0"/>
              <w:spacing w:before="0" w:after="0" w:line="240" w:lineRule="auto"/>
              <w:ind w:left="0" w:right="0" w:firstLine="0"/>
              <w:jc w:val="left"/>
            </w:pPr>
            <w:r>
              <w:rPr>
                <w:color w:val="000000"/>
                <w:spacing w:val="0"/>
                <w:w w:val="100"/>
                <w:position w:val="0"/>
              </w:rPr>
              <w:t>无</w:t>
            </w:r>
          </w:p>
        </w:tc>
      </w:tr>
    </w:tbl>
    <w:p>
      <w:pPr>
        <w:framePr w:w="9586" w:h="10008" w:vSpace="365" w:wrap="none" w:hAnchor="page" w:x="1120" w:y="285"/>
        <w:widowControl w:val="0"/>
        <w:spacing w:line="1" w:lineRule="exact"/>
      </w:pPr>
    </w:p>
    <w:p>
      <w:pPr>
        <w:pStyle w:val="Style49"/>
        <w:keepNext w:val="0"/>
        <w:keepLines w:val="0"/>
        <w:framePr w:w="1296" w:h="408" w:wrap="none" w:hAnchor="page" w:x="1922" w:y="-8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4E698D"/>
          <w:spacing w:val="0"/>
          <w:w w:val="100"/>
          <w:position w:val="0"/>
          <w:sz w:val="15"/>
          <w:szCs w:val="15"/>
        </w:rPr>
        <w:t>国家高新技术企业</w:t>
      </w:r>
    </w:p>
    <w:p>
      <w:pPr>
        <w:pStyle w:val="Style49"/>
        <w:keepNext w:val="0"/>
        <w:keepLines w:val="0"/>
        <w:framePr w:w="1296" w:h="408" w:wrap="none" w:hAnchor="page" w:x="1922" w:y="-8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p>
      <w:pPr>
        <w:pStyle w:val="Style32"/>
        <w:keepNext w:val="0"/>
        <w:keepLines w:val="0"/>
        <w:framePr w:w="6696" w:h="715" w:wrap="none" w:hAnchor="page" w:x="1115" w:y="10298"/>
        <w:widowControl w:val="0"/>
        <w:shd w:val="clear" w:color="auto" w:fill="auto"/>
        <w:bidi w:val="0"/>
        <w:spacing w:before="0" w:after="0" w:line="341" w:lineRule="exact"/>
        <w:ind w:left="0" w:right="0" w:firstLine="0"/>
        <w:jc w:val="left"/>
      </w:pPr>
      <w:r>
        <w:rPr>
          <w:color w:val="000000"/>
          <w:spacing w:val="0"/>
          <w:w w:val="100"/>
          <w:position w:val="0"/>
        </w:rPr>
        <w:t xml:space="preserve">公司现任及报告期内离任董事、监事和高级管理人员近三年证券监管机构处罚的情况 </w:t>
      </w: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7"/>
        <w:keepNext/>
        <w:keepLines/>
        <w:framePr w:w="4358" w:h="298" w:wrap="none" w:hAnchor="page" w:x="1129" w:y="11311"/>
        <w:widowControl w:val="0"/>
        <w:shd w:val="clear" w:color="auto" w:fill="auto"/>
        <w:bidi w:val="0"/>
        <w:spacing w:before="0" w:after="0" w:line="240" w:lineRule="auto"/>
        <w:ind w:left="0" w:right="0" w:firstLine="0"/>
        <w:jc w:val="left"/>
      </w:pPr>
      <w:bookmarkStart w:id="558" w:name="bookmark558"/>
      <w:bookmarkStart w:id="559" w:name="bookmark559"/>
      <w:bookmarkStart w:id="560" w:name="bookmark560"/>
      <w:r>
        <w:rPr>
          <w:color w:val="000000"/>
          <w:spacing w:val="0"/>
          <w:w w:val="100"/>
          <w:position w:val="0"/>
          <w:sz w:val="24"/>
          <w:szCs w:val="24"/>
        </w:rPr>
        <w:t>四、董事、监事、高级管理人员报酬情况</w:t>
      </w:r>
      <w:bookmarkEnd w:id="558"/>
      <w:bookmarkEnd w:id="559"/>
      <w:bookmarkEnd w:id="560"/>
    </w:p>
    <w:p>
      <w:pPr>
        <w:pStyle w:val="Style32"/>
        <w:keepNext w:val="0"/>
        <w:keepLines w:val="0"/>
        <w:framePr w:w="5621" w:h="230" w:wrap="none" w:hAnchor="page" w:x="1110" w:y="11954"/>
        <w:widowControl w:val="0"/>
        <w:shd w:val="clear" w:color="auto" w:fill="auto"/>
        <w:bidi w:val="0"/>
        <w:spacing w:before="0" w:after="0" w:line="240" w:lineRule="auto"/>
        <w:ind w:left="0" w:right="0" w:firstLine="0"/>
        <w:jc w:val="left"/>
      </w:pPr>
      <w:r>
        <w:rPr>
          <w:color w:val="000000"/>
          <w:spacing w:val="0"/>
          <w:w w:val="100"/>
          <w:position w:val="0"/>
        </w:rPr>
        <w:t>董事、监事、高级管理人员报酬的决策程序、确定依据、实际支付情况</w:t>
      </w:r>
    </w:p>
    <w:p>
      <w:pPr>
        <w:pStyle w:val="Style32"/>
        <w:keepNext w:val="0"/>
        <w:keepLines w:val="0"/>
        <w:framePr w:w="9758" w:h="634" w:wrap="none" w:hAnchor="page" w:x="1110" w:y="12213"/>
        <w:widowControl w:val="0"/>
        <w:shd w:val="clear" w:color="auto" w:fill="auto"/>
        <w:bidi w:val="0"/>
        <w:spacing w:before="0" w:after="0" w:line="307" w:lineRule="exact"/>
        <w:ind w:left="0" w:right="0" w:firstLine="0"/>
        <w:jc w:val="left"/>
      </w:pPr>
      <w:r>
        <w:rPr>
          <w:color w:val="000000"/>
          <w:spacing w:val="0"/>
          <w:w w:val="100"/>
          <w:position w:val="0"/>
        </w:rPr>
        <w:t>公司建立了《董事、监事薪酬管理制度》，并按照相关规定对董事、监事发放津贴。公司高级管理人员按照绩效考核标准, 参与公司的绩效考核，并报董事会审议通过。</w:t>
      </w:r>
    </w:p>
    <w:p>
      <w:pPr>
        <w:pStyle w:val="Style32"/>
        <w:keepNext w:val="0"/>
        <w:keepLines w:val="0"/>
        <w:framePr w:w="3994" w:h="235" w:wrap="none" w:hAnchor="page" w:x="1115" w:y="12967"/>
        <w:widowControl w:val="0"/>
        <w:shd w:val="clear" w:color="auto" w:fill="auto"/>
        <w:bidi w:val="0"/>
        <w:spacing w:before="0" w:after="0" w:line="240" w:lineRule="auto"/>
        <w:ind w:left="0" w:right="0" w:firstLine="0"/>
        <w:jc w:val="left"/>
      </w:pPr>
      <w:r>
        <w:rPr>
          <w:color w:val="000000"/>
          <w:spacing w:val="0"/>
          <w:w w:val="100"/>
          <w:position w:val="0"/>
        </w:rPr>
        <w:t>公司报告期内董事、监事和高级管理人员报酬情况</w:t>
      </w:r>
    </w:p>
    <w:p>
      <w:pPr>
        <w:pStyle w:val="Style32"/>
        <w:keepNext w:val="0"/>
        <w:keepLines w:val="0"/>
        <w:framePr w:w="936" w:h="230" w:wrap="none" w:hAnchor="page" w:x="9856" w:y="13677"/>
        <w:widowControl w:val="0"/>
        <w:shd w:val="clear" w:color="auto" w:fill="auto"/>
        <w:bidi w:val="0"/>
        <w:spacing w:before="0" w:after="0" w:line="240" w:lineRule="auto"/>
        <w:ind w:left="0" w:right="0" w:firstLine="0"/>
        <w:jc w:val="right"/>
      </w:pPr>
      <w:r>
        <w:rPr>
          <w:color w:val="000000"/>
          <w:spacing w:val="0"/>
          <w:w w:val="100"/>
          <w:position w:val="0"/>
        </w:rPr>
        <w:t>单位：万元</w:t>
      </w:r>
    </w:p>
    <w:p>
      <w:pPr>
        <w:widowControl w:val="0"/>
        <w:spacing w:line="360" w:lineRule="exact"/>
      </w:pPr>
      <w:r>
        <w:drawing>
          <wp:anchor distT="0" distB="0" distL="0" distR="0" simplePos="0" relativeHeight="62914983" behindDoc="1" locked="0" layoutInCell="1" allowOverlap="1">
            <wp:simplePos x="0" y="0"/>
            <wp:positionH relativeFrom="page">
              <wp:posOffset>722630</wp:posOffset>
            </wp:positionH>
            <wp:positionV relativeFrom="margin">
              <wp:posOffset>-295275</wp:posOffset>
            </wp:positionV>
            <wp:extent cx="1298575" cy="481330"/>
            <wp:wrapNone/>
            <wp:docPr id="494" name="Shape 494"/>
            <a:graphic xmlns:a="http://schemas.openxmlformats.org/drawingml/2006/main">
              <a:graphicData uri="http://schemas.openxmlformats.org/drawingml/2006/picture">
                <pic:pic xmlns:pic="http://schemas.openxmlformats.org/drawingml/2006/picture">
                  <pic:nvPicPr>
                    <pic:cNvPr id="495" name="Picture box 495"/>
                    <pic:cNvPicPr/>
                  </pic:nvPicPr>
                  <pic:blipFill>
                    <a:blip r:embed="rId199"/>
                    <a:stretch/>
                  </pic:blipFill>
                  <pic:spPr>
                    <a:xfrm>
                      <a:ext cx="1298575" cy="4813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5" w:line="1" w:lineRule="exact"/>
      </w:pPr>
    </w:p>
    <w:p>
      <w:pPr>
        <w:widowControl w:val="0"/>
        <w:spacing w:line="1" w:lineRule="exact"/>
        <w:sectPr>
          <w:headerReference w:type="default" r:id="rId201"/>
          <w:footerReference w:type="default" r:id="rId202"/>
          <w:headerReference w:type="even" r:id="rId203"/>
          <w:footerReference w:type="even" r:id="rId204"/>
          <w:footnotePr>
            <w:pos w:val="pageBottom"/>
            <w:numFmt w:val="decimal"/>
            <w:numRestart w:val="continuous"/>
          </w:footnotePr>
          <w:pgSz w:w="11900" w:h="16840"/>
          <w:pgMar w:top="1157" w:right="1033" w:bottom="1158" w:left="1109" w:header="0" w:footer="3" w:gutter="0"/>
          <w:cols w:space="720"/>
          <w:noEndnote/>
          <w:rtlGutter w:val="0"/>
          <w:docGrid w:linePitch="360"/>
        </w:sectPr>
      </w:pPr>
    </w:p>
    <w:p>
      <w:pPr>
        <w:widowControl w:val="0"/>
        <w:jc w:val="left"/>
        <w:rPr>
          <w:sz w:val="2"/>
          <w:szCs w:val="2"/>
        </w:rPr>
      </w:pPr>
      <w:r>
        <w:drawing>
          <wp:inline>
            <wp:extent cx="1298575" cy="481330"/>
            <wp:docPr id="506" name="Picutre 506"/>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205"/>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168" w:lineRule="exact"/>
        <w:ind w:left="0" w:right="0" w:firstLine="0"/>
        <w:jc w:val="center"/>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line="1" w:lineRule="exact"/>
      </w:pPr>
    </w:p>
    <w:tbl>
      <w:tblPr>
        <w:tblOverlap w:val="never"/>
        <w:jc w:val="center"/>
        <w:tblLayout w:type="fixed"/>
      </w:tblPr>
      <w:tblGrid>
        <w:gridCol w:w="1378"/>
        <w:gridCol w:w="1752"/>
        <w:gridCol w:w="984"/>
        <w:gridCol w:w="1363"/>
        <w:gridCol w:w="1368"/>
        <w:gridCol w:w="1368"/>
        <w:gridCol w:w="1378"/>
      </w:tblGrid>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color w:val="000000"/>
                <w:spacing w:val="0"/>
                <w:w w:val="100"/>
                <w:position w:val="0"/>
              </w:rPr>
              <w:t>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性别</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年龄</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任职状态</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从公司获得的税 前报酬总额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是否在公司关联 方获取报酬</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董事长、总裁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81.23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崔万田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副董事长</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林楠超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王箫音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董事、副总裁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36.34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管一民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刘爱民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吴凤君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李力盛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监事会主席</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王立军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余力兴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36.30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秦毅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尹春福</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72.30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47.10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李绣</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高管、财务总监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63.18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张羽</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高管、董事会秘书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48.42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朱良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40.89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梁荣</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22.86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付永全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董事、执行总裁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19.05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color w:val="000000"/>
                <w:spacing w:val="0"/>
                <w:w w:val="100"/>
                <w:position w:val="0"/>
              </w:rPr>
              <w:t>否</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color w:val="000000"/>
                <w:spacing w:val="0"/>
                <w:w w:val="100"/>
                <w:position w:val="0"/>
              </w:rPr>
              <w:t>合计</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569.67</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公司董事、高级管理人员报告期内被授予的股权激励情况</w:t>
      </w:r>
    </w:p>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300"/>
        <w:jc w:val="left"/>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center"/>
        <w:tblLayout w:type="fixed"/>
      </w:tblPr>
      <w:tblGrid>
        <w:gridCol w:w="859"/>
        <w:gridCol w:w="1277"/>
        <w:gridCol w:w="994"/>
        <w:gridCol w:w="1061"/>
        <w:gridCol w:w="869"/>
        <w:gridCol w:w="869"/>
        <w:gridCol w:w="874"/>
        <w:gridCol w:w="720"/>
        <w:gridCol w:w="1018"/>
        <w:gridCol w:w="869"/>
        <w:gridCol w:w="883"/>
      </w:tblGrid>
      <w:tr>
        <w:trPr>
          <w:trHeight w:val="1344"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60"/>
              <w:jc w:val="left"/>
            </w:pPr>
            <w:r>
              <w:rPr>
                <w:color w:val="000000"/>
                <w:spacing w:val="0"/>
                <w:w w:val="100"/>
                <w:position w:val="0"/>
              </w:rPr>
              <w:t>职务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报告期内可 行权股数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报告期内已 行权股数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报告期内 已行权股 数行权价 格</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报告期末 市价（元</w:t>
            </w:r>
            <w:r>
              <w:rPr>
                <w:rFonts w:ascii="Times New Roman" w:eastAsia="Times New Roman" w:hAnsi="Times New Roman" w:cs="Times New Roman"/>
                <w:color w:val="000000"/>
                <w:spacing w:val="0"/>
                <w:w w:val="100"/>
                <w:position w:val="0"/>
              </w:rPr>
              <w:t>/</w:t>
            </w:r>
          </w:p>
          <w:p>
            <w:pPr>
              <w:pStyle w:val="Style44"/>
              <w:keepNext w:val="0"/>
              <w:keepLines w:val="0"/>
              <w:widowControl w:val="0"/>
              <w:shd w:val="clear" w:color="auto" w:fill="auto"/>
              <w:bidi w:val="0"/>
              <w:spacing w:before="0" w:after="0" w:line="322" w:lineRule="exact"/>
              <w:ind w:left="0" w:right="0" w:firstLine="240"/>
              <w:jc w:val="left"/>
            </w:pPr>
            <w:r>
              <w:rPr>
                <w:color w:val="000000"/>
                <w:spacing w:val="0"/>
                <w:w w:val="100"/>
                <w:position w:val="0"/>
              </w:rPr>
              <w:t>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期初持有 限制性股 票数量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本期已</w:t>
            </w:r>
          </w:p>
          <w:p>
            <w:pPr>
              <w:pStyle w:val="Style4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解锁股</w:t>
            </w:r>
          </w:p>
          <w:p>
            <w:pPr>
              <w:pStyle w:val="Style4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份数量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报告期新授 予限制性股</w:t>
            </w:r>
          </w:p>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票数量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限制性股 票的授予 价格（元</w:t>
            </w:r>
            <w:r>
              <w:rPr>
                <w:rFonts w:ascii="Times New Roman" w:eastAsia="Times New Roman" w:hAnsi="Times New Roman" w:cs="Times New Roman"/>
                <w:color w:val="000000"/>
                <w:spacing w:val="0"/>
                <w:w w:val="100"/>
                <w:position w:val="0"/>
              </w:rPr>
              <w:t>/</w:t>
            </w:r>
          </w:p>
          <w:p>
            <w:pPr>
              <w:pStyle w:val="Style44"/>
              <w:keepNext w:val="0"/>
              <w:keepLines w:val="0"/>
              <w:widowControl w:val="0"/>
              <w:shd w:val="clear" w:color="auto" w:fill="auto"/>
              <w:bidi w:val="0"/>
              <w:spacing w:before="0" w:after="0" w:line="307" w:lineRule="exact"/>
              <w:ind w:left="0" w:right="240" w:firstLine="0"/>
              <w:jc w:val="right"/>
            </w:pPr>
            <w:r>
              <w:rPr>
                <w:color w:val="000000"/>
                <w:spacing w:val="0"/>
                <w:w w:val="100"/>
                <w:position w:val="0"/>
              </w:rPr>
              <w:t>股）</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期末持有 限制性股 票数量</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尹春福</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360,000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3.01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840,000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3.01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315,000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李绣</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高管、财务总监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3.01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315,000</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张羽</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高管、董事会秘</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3.01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400,000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朱良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45,000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45,000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3.98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45,000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45,000</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2,700,000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830,000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1,870,000</w:t>
            </w:r>
          </w:p>
        </w:tc>
      </w:tr>
    </w:tbl>
    <w:p>
      <w:pPr>
        <w:sectPr>
          <w:footnotePr>
            <w:pos w:val="pageBottom"/>
            <w:numFmt w:val="decimal"/>
            <w:numRestart w:val="continuous"/>
          </w:footnotePr>
          <w:pgSz w:w="11900" w:h="16840"/>
          <w:pgMar w:top="692" w:right="807" w:bottom="1158" w:left="802" w:header="0" w:footer="3" w:gutter="0"/>
          <w:cols w:space="720"/>
          <w:noEndnote/>
          <w:rtlGutter w:val="0"/>
          <w:docGrid w:linePitch="360"/>
        </w:sectPr>
      </w:pPr>
    </w:p>
    <w:p>
      <w:pPr>
        <w:pStyle w:val="Style5"/>
        <w:keepNext w:val="0"/>
        <w:keepLines w:val="0"/>
        <w:widowControl w:val="0"/>
        <w:shd w:val="clear" w:color="auto" w:fill="auto"/>
        <w:bidi w:val="0"/>
        <w:spacing w:before="0" w:after="0" w:line="240" w:lineRule="auto"/>
        <w:ind w:left="0" w:right="0" w:firstLine="300"/>
        <w:jc w:val="left"/>
      </w:pPr>
      <w:r>
        <w:rPr>
          <w:color w:val="245994"/>
          <w:spacing w:val="0"/>
          <w:w w:val="100"/>
          <w:position w:val="0"/>
        </w:rPr>
        <w:t>"g</w:t>
      </w:r>
      <w:r>
        <w:rPr>
          <w:spacing w:val="0"/>
          <w:w w:val="100"/>
          <w:position w:val="0"/>
        </w:rPr>
        <w:t>国家高新技术企业</w:t>
      </w:r>
    </w:p>
    <w:p>
      <w:pPr>
        <w:pStyle w:val="Style55"/>
        <w:keepNext/>
        <w:keepLines/>
        <w:widowControl w:val="0"/>
        <w:shd w:val="clear" w:color="auto" w:fill="auto"/>
        <w:bidi w:val="0"/>
        <w:spacing w:before="0" w:after="360" w:line="269" w:lineRule="exact"/>
        <w:ind w:left="300" w:right="0" w:firstLine="180"/>
        <w:jc w:val="left"/>
        <w:rPr>
          <w:sz w:val="24"/>
          <w:szCs w:val="24"/>
        </w:rPr>
      </w:pPr>
      <w:bookmarkStart w:id="561" w:name="bookmark561"/>
      <w:bookmarkStart w:id="562" w:name="bookmark562"/>
      <w:bookmarkStart w:id="563" w:name="bookmark563"/>
      <w:r>
        <w:rPr>
          <w:color w:val="245994"/>
          <w:spacing w:val="0"/>
          <w:w w:val="100"/>
          <w:position w:val="0"/>
          <w:sz w:val="24"/>
          <w:szCs w:val="24"/>
        </w:rPr>
        <w:t xml:space="preserve">，| </w:t>
      </w:r>
      <w:r>
        <w:rPr>
          <w:rFonts w:ascii="SimHei" w:eastAsia="SimHei" w:hAnsi="SimHei" w:cs="SimHei"/>
          <w:b w:val="0"/>
          <w:bCs w:val="0"/>
          <w:color w:val="4E698D"/>
          <w:spacing w:val="0"/>
          <w:w w:val="100"/>
          <w:position w:val="0"/>
          <w:sz w:val="15"/>
          <w:szCs w:val="15"/>
        </w:rPr>
        <w:t>股票代码：</w:t>
      </w:r>
      <w:r>
        <w:rPr>
          <w:b w:val="0"/>
          <w:bCs w:val="0"/>
          <w:color w:val="4E698D"/>
          <w:spacing w:val="0"/>
          <w:w w:val="100"/>
          <w:position w:val="0"/>
          <w:sz w:val="18"/>
          <w:szCs w:val="18"/>
        </w:rPr>
        <w:t xml:space="preserve">300290 </w:t>
      </w:r>
      <w:r>
        <w:rPr>
          <w:color w:val="000000"/>
          <w:spacing w:val="0"/>
          <w:w w:val="100"/>
          <w:position w:val="0"/>
          <w:sz w:val="24"/>
          <w:szCs w:val="24"/>
        </w:rPr>
        <w:t>五、公司员工情况</w:t>
      </w:r>
      <w:bookmarkEnd w:id="561"/>
      <w:bookmarkEnd w:id="562"/>
      <w:bookmarkEnd w:id="563"/>
    </w:p>
    <w:p>
      <w:pPr>
        <w:pStyle w:val="Style55"/>
        <w:keepNext/>
        <w:keepLines/>
        <w:widowControl w:val="0"/>
        <w:shd w:val="clear" w:color="auto" w:fill="auto"/>
        <w:bidi w:val="0"/>
        <w:spacing w:before="0" w:after="300" w:line="240" w:lineRule="auto"/>
        <w:ind w:left="0" w:right="0" w:firstLine="300"/>
        <w:jc w:val="left"/>
      </w:pPr>
      <w:bookmarkStart w:id="564" w:name="bookmark564"/>
      <w:bookmarkStart w:id="565" w:name="bookmark565"/>
      <w:bookmarkStart w:id="566" w:name="bookmark566"/>
      <w:bookmarkStart w:id="567" w:name="bookmark567"/>
      <w:r>
        <w:rPr>
          <w:rFonts w:ascii="Times New Roman" w:eastAsia="Times New Roman" w:hAnsi="Times New Roman" w:cs="Times New Roman"/>
          <w:color w:val="000000"/>
          <w:spacing w:val="0"/>
          <w:w w:val="100"/>
          <w:position w:val="0"/>
        </w:rPr>
        <w:t>1</w:t>
      </w:r>
      <w:bookmarkEnd w:id="566"/>
      <w:r>
        <w:rPr>
          <w:color w:val="000000"/>
          <w:spacing w:val="0"/>
          <w:w w:val="100"/>
          <w:position w:val="0"/>
        </w:rPr>
        <w:t>、员工数量、专业构成及教育程度</w:t>
      </w:r>
      <w:bookmarkEnd w:id="564"/>
      <w:bookmarkEnd w:id="565"/>
      <w:bookmarkEnd w:id="567"/>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母公司在职员工的数量（人）</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480" w:right="0" w:firstLine="0"/>
              <w:jc w:val="both"/>
            </w:pPr>
            <w:r>
              <w:rPr>
                <w:rFonts w:ascii="Times New Roman" w:eastAsia="Times New Roman" w:hAnsi="Times New Roman" w:cs="Times New Roman"/>
                <w:color w:val="000000"/>
                <w:spacing w:val="0"/>
                <w:w w:val="100"/>
                <w:position w:val="0"/>
              </w:rPr>
              <w:t>127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主要子公司在职员工的数量（人）</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480" w:right="0" w:firstLine="0"/>
              <w:jc w:val="both"/>
            </w:pPr>
            <w:r>
              <w:rPr>
                <w:rFonts w:ascii="Times New Roman" w:eastAsia="Times New Roman" w:hAnsi="Times New Roman" w:cs="Times New Roman"/>
                <w:color w:val="000000"/>
                <w:spacing w:val="0"/>
                <w:w w:val="100"/>
                <w:position w:val="0"/>
              </w:rPr>
              <w:t>888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在职员工的数量合计（人）</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340" w:right="0" w:firstLine="0"/>
              <w:jc w:val="both"/>
            </w:pPr>
            <w:r>
              <w:rPr>
                <w:rFonts w:ascii="Times New Roman" w:eastAsia="Times New Roman" w:hAnsi="Times New Roman" w:cs="Times New Roman"/>
                <w:color w:val="000000"/>
                <w:spacing w:val="0"/>
                <w:w w:val="100"/>
                <w:position w:val="0"/>
              </w:rPr>
              <w:t>1,015</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当期领取薪酬员工总人数（人）</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340" w:right="0" w:firstLine="0"/>
              <w:jc w:val="both"/>
            </w:pPr>
            <w:r>
              <w:rPr>
                <w:rFonts w:ascii="Times New Roman" w:eastAsia="Times New Roman" w:hAnsi="Times New Roman" w:cs="Times New Roman"/>
                <w:color w:val="000000"/>
                <w:spacing w:val="0"/>
                <w:w w:val="100"/>
                <w:position w:val="0"/>
              </w:rPr>
              <w:t>1,015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母公司及主要子公司需承担费用的离退休职工人数（人）</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r>
      <w:tr>
        <w:trPr>
          <w:trHeight w:val="403" w:hRule="exact"/>
        </w:trPr>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专业构成类别</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专业构成人数（人）</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生产人员</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销售人员</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480" w:right="0" w:firstLine="0"/>
              <w:jc w:val="both"/>
            </w:pPr>
            <w:r>
              <w:rPr>
                <w:rFonts w:ascii="Times New Roman" w:eastAsia="Times New Roman" w:hAnsi="Times New Roman" w:cs="Times New Roman"/>
                <w:color w:val="000000"/>
                <w:spacing w:val="0"/>
                <w:w w:val="100"/>
                <w:position w:val="0"/>
              </w:rPr>
              <w:t>150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技术人员</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480" w:right="0" w:firstLine="0"/>
              <w:jc w:val="both"/>
            </w:pPr>
            <w:r>
              <w:rPr>
                <w:rFonts w:ascii="Times New Roman" w:eastAsia="Times New Roman" w:hAnsi="Times New Roman" w:cs="Times New Roman"/>
                <w:color w:val="000000"/>
                <w:spacing w:val="0"/>
                <w:w w:val="100"/>
                <w:position w:val="0"/>
              </w:rPr>
              <w:t>650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财务人员</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行政人员</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480" w:right="0" w:firstLine="0"/>
              <w:jc w:val="both"/>
            </w:pPr>
            <w:r>
              <w:rPr>
                <w:rFonts w:ascii="Times New Roman" w:eastAsia="Times New Roman" w:hAnsi="Times New Roman" w:cs="Times New Roman"/>
                <w:color w:val="000000"/>
                <w:spacing w:val="0"/>
                <w:w w:val="100"/>
                <w:position w:val="0"/>
              </w:rPr>
              <w:t>166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340" w:right="0" w:firstLine="0"/>
              <w:jc w:val="both"/>
            </w:pPr>
            <w:r>
              <w:rPr>
                <w:rFonts w:ascii="Times New Roman" w:eastAsia="Times New Roman" w:hAnsi="Times New Roman" w:cs="Times New Roman"/>
                <w:color w:val="000000"/>
                <w:spacing w:val="0"/>
                <w:w w:val="100"/>
                <w:position w:val="0"/>
              </w:rPr>
              <w:t>1,015</w:t>
            </w:r>
          </w:p>
        </w:tc>
      </w:tr>
      <w:tr>
        <w:trPr>
          <w:trHeight w:val="403" w:hRule="exact"/>
        </w:trPr>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教育程度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教育程度类别</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数量（人）</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硕士及以上</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本科</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480" w:right="0" w:firstLine="0"/>
              <w:jc w:val="both"/>
            </w:pPr>
            <w:r>
              <w:rPr>
                <w:rFonts w:ascii="Times New Roman" w:eastAsia="Times New Roman" w:hAnsi="Times New Roman" w:cs="Times New Roman"/>
                <w:color w:val="000000"/>
                <w:spacing w:val="0"/>
                <w:w w:val="100"/>
                <w:position w:val="0"/>
              </w:rPr>
              <w:t>575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大专及以下</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480" w:right="0" w:firstLine="0"/>
              <w:jc w:val="both"/>
            </w:pPr>
            <w:r>
              <w:rPr>
                <w:rFonts w:ascii="Times New Roman" w:eastAsia="Times New Roman" w:hAnsi="Times New Roman" w:cs="Times New Roman"/>
                <w:color w:val="000000"/>
                <w:spacing w:val="0"/>
                <w:w w:val="100"/>
                <w:position w:val="0"/>
              </w:rPr>
              <w:t>390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4340" w:right="0" w:firstLine="0"/>
              <w:jc w:val="both"/>
            </w:pPr>
            <w:r>
              <w:rPr>
                <w:rFonts w:ascii="Times New Roman" w:eastAsia="Times New Roman" w:hAnsi="Times New Roman" w:cs="Times New Roman"/>
                <w:color w:val="000000"/>
                <w:spacing w:val="0"/>
                <w:w w:val="100"/>
                <w:position w:val="0"/>
              </w:rPr>
              <w:t>1,015</w:t>
            </w:r>
          </w:p>
        </w:tc>
      </w:tr>
    </w:tbl>
    <w:p>
      <w:pPr>
        <w:widowControl w:val="0"/>
        <w:spacing w:after="139" w:line="1" w:lineRule="exact"/>
      </w:pPr>
    </w:p>
    <w:p>
      <w:pPr>
        <w:pStyle w:val="Style55"/>
        <w:keepNext/>
        <w:keepLines/>
        <w:widowControl w:val="0"/>
        <w:shd w:val="clear" w:color="auto" w:fill="auto"/>
        <w:tabs>
          <w:tab w:pos="678" w:val="left"/>
        </w:tabs>
        <w:bidi w:val="0"/>
        <w:spacing w:before="0" w:after="80" w:line="240" w:lineRule="auto"/>
        <w:ind w:left="0" w:right="0" w:firstLine="300"/>
        <w:jc w:val="left"/>
      </w:pPr>
      <w:bookmarkStart w:id="568" w:name="bookmark568"/>
      <w:bookmarkStart w:id="569" w:name="bookmark569"/>
      <w:bookmarkStart w:id="570" w:name="bookmark570"/>
      <w:bookmarkStart w:id="571" w:name="bookmark571"/>
      <w:r>
        <w:rPr>
          <w:rFonts w:ascii="Times New Roman" w:eastAsia="Times New Roman" w:hAnsi="Times New Roman" w:cs="Times New Roman"/>
          <w:color w:val="000000"/>
          <w:spacing w:val="0"/>
          <w:w w:val="100"/>
          <w:position w:val="0"/>
        </w:rPr>
        <w:t>2</w:t>
      </w:r>
      <w:bookmarkEnd w:id="570"/>
      <w:r>
        <w:rPr>
          <w:color w:val="000000"/>
          <w:spacing w:val="0"/>
          <w:w w:val="100"/>
          <w:position w:val="0"/>
        </w:rPr>
        <w:t>、</w:t>
        <w:tab/>
        <w:t>薪酬政策</w:t>
      </w:r>
      <w:bookmarkEnd w:id="568"/>
      <w:bookmarkEnd w:id="569"/>
      <w:bookmarkEnd w:id="571"/>
    </w:p>
    <w:p>
      <w:pPr>
        <w:pStyle w:val="Style32"/>
        <w:keepNext w:val="0"/>
        <w:keepLines w:val="0"/>
        <w:widowControl w:val="0"/>
        <w:shd w:val="clear" w:color="auto" w:fill="auto"/>
        <w:bidi w:val="0"/>
        <w:spacing w:before="0" w:after="0" w:line="312" w:lineRule="exact"/>
        <w:ind w:left="300" w:right="0" w:firstLine="20"/>
        <w:jc w:val="left"/>
      </w:pPr>
      <w:r>
        <w:rPr>
          <w:color w:val="000000"/>
          <w:spacing w:val="0"/>
          <w:w w:val="100"/>
          <w:position w:val="0"/>
        </w:rPr>
        <w:t>公司根据各业务条线的特点，明确各业务条线的奖励机制。整体以业绩为导向，经营部门重点强调利润，平台与公司整体经 营业绩挂钩；并且使各条线在奖金分配上享有更多的自主权；报告期内逐步建立起以股权激励为核心的长短期结合、多层级 的激励机制，为公司保留优秀的核心人才和管理团队提供了保障，助推公司长远稳定发展。</w:t>
      </w:r>
    </w:p>
    <w:p>
      <w:pPr>
        <w:pStyle w:val="Style32"/>
        <w:keepNext w:val="0"/>
        <w:keepLines w:val="0"/>
        <w:widowControl w:val="0"/>
        <w:shd w:val="clear" w:color="auto" w:fill="auto"/>
        <w:bidi w:val="0"/>
        <w:spacing w:before="0" w:after="200" w:line="302" w:lineRule="exact"/>
        <w:ind w:left="300" w:right="0" w:firstLine="20"/>
        <w:jc w:val="left"/>
      </w:pPr>
      <w:r>
        <w:rPr>
          <w:color w:val="000000"/>
          <w:spacing w:val="0"/>
          <w:w w:val="100"/>
          <w:position w:val="0"/>
        </w:rPr>
        <w:t>报告期内，职工薪酬总额为</w:t>
      </w:r>
      <w:r>
        <w:rPr>
          <w:rFonts w:ascii="Times New Roman" w:eastAsia="Times New Roman" w:hAnsi="Times New Roman" w:cs="Times New Roman"/>
          <w:color w:val="000000"/>
          <w:spacing w:val="0"/>
          <w:w w:val="100"/>
          <w:position w:val="0"/>
        </w:rPr>
        <w:t>14,929</w:t>
      </w:r>
      <w:r>
        <w:rPr>
          <w:color w:val="000000"/>
          <w:spacing w:val="0"/>
          <w:w w:val="100"/>
          <w:position w:val="0"/>
        </w:rPr>
        <w:t>万元，占公司营业总成本的</w:t>
      </w:r>
      <w:r>
        <w:rPr>
          <w:rFonts w:ascii="Times New Roman" w:eastAsia="Times New Roman" w:hAnsi="Times New Roman" w:cs="Times New Roman"/>
          <w:color w:val="000000"/>
          <w:spacing w:val="0"/>
          <w:w w:val="100"/>
          <w:position w:val="0"/>
        </w:rPr>
        <w:t>20.48%</w:t>
      </w:r>
      <w:r>
        <w:rPr>
          <w:color w:val="000000"/>
          <w:spacing w:val="0"/>
          <w:w w:val="100"/>
          <w:position w:val="0"/>
        </w:rPr>
        <w:t>。公司核心技术人员薪酬总额</w:t>
      </w:r>
      <w:r>
        <w:rPr>
          <w:rFonts w:ascii="Times New Roman" w:eastAsia="Times New Roman" w:hAnsi="Times New Roman" w:cs="Times New Roman"/>
          <w:color w:val="000000"/>
          <w:spacing w:val="0"/>
          <w:w w:val="100"/>
          <w:position w:val="0"/>
        </w:rPr>
        <w:t>3,684</w:t>
      </w:r>
      <w:r>
        <w:rPr>
          <w:color w:val="000000"/>
          <w:spacing w:val="0"/>
          <w:w w:val="100"/>
          <w:position w:val="0"/>
        </w:rPr>
        <w:t>万元，占职工薪酬 总额的</w:t>
      </w:r>
      <w:r>
        <w:rPr>
          <w:rFonts w:ascii="Times New Roman" w:eastAsia="Times New Roman" w:hAnsi="Times New Roman" w:cs="Times New Roman"/>
          <w:color w:val="000000"/>
          <w:spacing w:val="0"/>
          <w:w w:val="100"/>
          <w:position w:val="0"/>
        </w:rPr>
        <w:t>24.68%</w:t>
      </w:r>
      <w:r>
        <w:rPr>
          <w:color w:val="000000"/>
          <w:spacing w:val="0"/>
          <w:w w:val="100"/>
          <w:position w:val="0"/>
        </w:rPr>
        <w:t>。</w:t>
      </w:r>
    </w:p>
    <w:p>
      <w:pPr>
        <w:pStyle w:val="Style55"/>
        <w:keepNext/>
        <w:keepLines/>
        <w:widowControl w:val="0"/>
        <w:shd w:val="clear" w:color="auto" w:fill="auto"/>
        <w:tabs>
          <w:tab w:pos="678" w:val="left"/>
        </w:tabs>
        <w:bidi w:val="0"/>
        <w:spacing w:before="0" w:after="80" w:line="240" w:lineRule="auto"/>
        <w:ind w:left="0" w:right="0" w:firstLine="300"/>
        <w:jc w:val="left"/>
      </w:pPr>
      <w:bookmarkStart w:id="572" w:name="bookmark572"/>
      <w:bookmarkStart w:id="573" w:name="bookmark573"/>
      <w:bookmarkStart w:id="574" w:name="bookmark574"/>
      <w:bookmarkStart w:id="575" w:name="bookmark575"/>
      <w:r>
        <w:rPr>
          <w:rFonts w:ascii="Times New Roman" w:eastAsia="Times New Roman" w:hAnsi="Times New Roman" w:cs="Times New Roman"/>
          <w:color w:val="000000"/>
          <w:spacing w:val="0"/>
          <w:w w:val="100"/>
          <w:position w:val="0"/>
        </w:rPr>
        <w:t>3</w:t>
      </w:r>
      <w:bookmarkEnd w:id="574"/>
      <w:r>
        <w:rPr>
          <w:color w:val="000000"/>
          <w:spacing w:val="0"/>
          <w:w w:val="100"/>
          <w:position w:val="0"/>
        </w:rPr>
        <w:t>、</w:t>
        <w:tab/>
        <w:t>培训计划</w:t>
      </w:r>
      <w:bookmarkEnd w:id="572"/>
      <w:bookmarkEnd w:id="573"/>
      <w:bookmarkEnd w:id="575"/>
    </w:p>
    <w:p>
      <w:pPr>
        <w:pStyle w:val="Style32"/>
        <w:keepNext w:val="0"/>
        <w:keepLines w:val="0"/>
        <w:widowControl w:val="0"/>
        <w:shd w:val="clear" w:color="auto" w:fill="auto"/>
        <w:bidi w:val="0"/>
        <w:spacing w:before="0" w:after="200" w:line="314" w:lineRule="exact"/>
        <w:ind w:left="300" w:right="0" w:firstLine="20"/>
        <w:jc w:val="left"/>
      </w:pPr>
      <w:r>
        <w:rPr>
          <w:color w:val="000000"/>
          <w:spacing w:val="0"/>
          <w:w w:val="100"/>
          <w:position w:val="0"/>
        </w:rPr>
        <w:t>报告期内，公司成立了荣科学院，前瞻性的储备优秀管理者，同时继续做好内部储备培养工作，有效进行人才梯队建设的培 养；进一步加强新员工入职方面的培训，增强新员工对企业的认知感；加大销售人员对集团全线产品的培训力度，提高整个 销售团队的战斗力，通过微信、微课堂等多种培训模式，提升培训效果，使培训开展更多元化。</w:t>
      </w:r>
    </w:p>
    <w:p>
      <w:pPr>
        <w:pStyle w:val="Style55"/>
        <w:keepNext/>
        <w:keepLines/>
        <w:widowControl w:val="0"/>
        <w:shd w:val="clear" w:color="auto" w:fill="auto"/>
        <w:tabs>
          <w:tab w:pos="678" w:val="left"/>
        </w:tabs>
        <w:bidi w:val="0"/>
        <w:spacing w:before="0" w:after="80" w:line="240" w:lineRule="auto"/>
        <w:ind w:left="0" w:right="0" w:firstLine="300"/>
        <w:jc w:val="left"/>
      </w:pPr>
      <w:bookmarkStart w:id="576" w:name="bookmark576"/>
      <w:bookmarkStart w:id="577" w:name="bookmark577"/>
      <w:bookmarkStart w:id="578" w:name="bookmark578"/>
      <w:bookmarkStart w:id="579" w:name="bookmark579"/>
      <w:r>
        <w:rPr>
          <w:rFonts w:ascii="Times New Roman" w:eastAsia="Times New Roman" w:hAnsi="Times New Roman" w:cs="Times New Roman"/>
          <w:color w:val="000000"/>
          <w:spacing w:val="0"/>
          <w:w w:val="100"/>
          <w:position w:val="0"/>
        </w:rPr>
        <w:t>4</w:t>
      </w:r>
      <w:bookmarkEnd w:id="578"/>
      <w:r>
        <w:rPr>
          <w:color w:val="000000"/>
          <w:spacing w:val="0"/>
          <w:w w:val="100"/>
          <w:position w:val="0"/>
        </w:rPr>
        <w:t>、</w:t>
        <w:tab/>
        <w:t>劳务外包情况</w:t>
      </w:r>
      <w:bookmarkEnd w:id="576"/>
      <w:bookmarkEnd w:id="577"/>
      <w:bookmarkEnd w:id="579"/>
    </w:p>
    <w:p>
      <w:pPr>
        <w:pStyle w:val="Style32"/>
        <w:keepNext w:val="0"/>
        <w:keepLines w:val="0"/>
        <w:widowControl w:val="0"/>
        <w:shd w:val="clear" w:color="auto" w:fill="auto"/>
        <w:bidi w:val="0"/>
        <w:spacing w:before="0" w:after="120" w:line="312" w:lineRule="exact"/>
        <w:ind w:left="0" w:right="0" w:firstLine="3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
        <w:keepNext w:val="0"/>
        <w:keepLines w:val="0"/>
        <w:widowControl w:val="0"/>
        <w:shd w:val="clear" w:color="auto" w:fill="auto"/>
        <w:tabs>
          <w:tab w:pos="1069" w:val="left"/>
        </w:tabs>
        <w:bidi w:val="0"/>
        <w:spacing w:before="0" w:after="140" w:line="206" w:lineRule="exact"/>
        <w:ind w:left="440" w:right="0" w:firstLine="20"/>
        <w:jc w:val="left"/>
        <w:rPr>
          <w:sz w:val="18"/>
          <w:szCs w:val="18"/>
        </w:rPr>
      </w:pPr>
      <w:r>
        <w:rPr>
          <w:color w:val="245994"/>
          <w:spacing w:val="0"/>
          <w:w w:val="100"/>
          <w:position w:val="0"/>
          <w:sz w:val="30"/>
          <w:szCs w:val="30"/>
        </w:rPr>
        <w:t>七一</w:t>
      </w:r>
      <w:r>
        <w:rPr>
          <w:spacing w:val="0"/>
          <w:w w:val="100"/>
          <w:position w:val="0"/>
          <w:sz w:val="15"/>
          <w:szCs w:val="15"/>
        </w:rPr>
        <w:t xml:space="preserve">国家高新技术企业 </w:t>
      </w:r>
      <w:r>
        <w:rPr>
          <w:color w:val="245994"/>
          <w:spacing w:val="0"/>
          <w:w w:val="100"/>
          <w:position w:val="0"/>
          <w:sz w:val="30"/>
          <w:szCs w:val="30"/>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20"/>
        <w:keepNext/>
        <w:keepLines/>
        <w:widowControl w:val="0"/>
        <w:shd w:val="clear" w:color="auto" w:fill="auto"/>
        <w:bidi w:val="0"/>
        <w:spacing w:before="0" w:after="560" w:line="240" w:lineRule="auto"/>
        <w:ind w:left="0" w:right="0" w:firstLine="0"/>
        <w:jc w:val="center"/>
      </w:pPr>
      <w:bookmarkStart w:id="580" w:name="bookmark580"/>
      <w:bookmarkStart w:id="581" w:name="bookmark581"/>
      <w:bookmarkStart w:id="582" w:name="bookmark582"/>
      <w:r>
        <w:rPr>
          <w:color w:val="000000"/>
          <w:spacing w:val="0"/>
          <w:w w:val="100"/>
          <w:position w:val="0"/>
        </w:rPr>
        <w:t>第十节公司治理</w:t>
      </w:r>
      <w:bookmarkEnd w:id="580"/>
      <w:bookmarkEnd w:id="581"/>
      <w:bookmarkEnd w:id="582"/>
    </w:p>
    <w:p>
      <w:pPr>
        <w:pStyle w:val="Style47"/>
        <w:keepNext/>
        <w:keepLines/>
        <w:widowControl w:val="0"/>
        <w:shd w:val="clear" w:color="auto" w:fill="auto"/>
        <w:bidi w:val="0"/>
        <w:spacing w:before="0" w:after="240" w:line="240" w:lineRule="auto"/>
        <w:ind w:left="0" w:right="0" w:firstLine="320"/>
        <w:jc w:val="left"/>
      </w:pPr>
      <w:bookmarkStart w:id="583" w:name="bookmark583"/>
      <w:bookmarkStart w:id="584" w:name="bookmark584"/>
      <w:bookmarkStart w:id="585" w:name="bookmark585"/>
      <w:bookmarkStart w:id="586" w:name="bookmark586"/>
      <w:r>
        <w:rPr>
          <w:color w:val="000000"/>
          <w:spacing w:val="0"/>
          <w:w w:val="100"/>
          <w:position w:val="0"/>
          <w:sz w:val="24"/>
          <w:szCs w:val="24"/>
        </w:rPr>
        <w:t>一</w:t>
      </w:r>
      <w:bookmarkEnd w:id="585"/>
      <w:r>
        <w:rPr>
          <w:color w:val="000000"/>
          <w:spacing w:val="0"/>
          <w:w w:val="100"/>
          <w:position w:val="0"/>
          <w:sz w:val="24"/>
          <w:szCs w:val="24"/>
        </w:rPr>
        <w:t>、公司治理的基本状况</w:t>
      </w:r>
      <w:bookmarkEnd w:id="583"/>
      <w:bookmarkEnd w:id="584"/>
      <w:bookmarkEnd w:id="586"/>
    </w:p>
    <w:p>
      <w:pPr>
        <w:pStyle w:val="Style32"/>
        <w:keepNext w:val="0"/>
        <w:keepLines w:val="0"/>
        <w:widowControl w:val="0"/>
        <w:shd w:val="clear" w:color="auto" w:fill="auto"/>
        <w:bidi w:val="0"/>
        <w:spacing w:before="0" w:after="0" w:line="314" w:lineRule="exact"/>
        <w:ind w:left="320" w:right="0" w:firstLine="0"/>
        <w:jc w:val="both"/>
      </w:pPr>
      <w:r>
        <w:rPr>
          <w:color w:val="000000"/>
          <w:spacing w:val="0"/>
          <w:w w:val="100"/>
          <w:position w:val="0"/>
        </w:rPr>
        <w:t>报告期内，公司严格按照《公司法》、《证券法》、《上市公司治理准则》、《深圳证券交易所创业板股票上市规则》、《深 圳证券交易所创业板上市公司规范运作指引》等法律、法规和中国证监会有关法律法规等的要求，努力完善公司治理结构， 建立健全公司内部控制制度，不断提高公司治理水平。公司治理的实际状况符合国家相关法律、法规和监管部门的规范性文 件要求，符合公司实际经营情况。</w:t>
      </w:r>
    </w:p>
    <w:p>
      <w:pPr>
        <w:pStyle w:val="Style32"/>
        <w:keepNext w:val="0"/>
        <w:keepLines w:val="0"/>
        <w:widowControl w:val="0"/>
        <w:shd w:val="clear" w:color="auto" w:fill="auto"/>
        <w:tabs>
          <w:tab w:pos="643" w:val="left"/>
        </w:tabs>
        <w:bidi w:val="0"/>
        <w:spacing w:before="0" w:after="0" w:line="314" w:lineRule="exact"/>
        <w:ind w:left="320" w:right="0" w:firstLine="0"/>
        <w:jc w:val="both"/>
      </w:pPr>
      <w:bookmarkStart w:id="587" w:name="bookmark587"/>
      <w:r>
        <w:rPr>
          <w:color w:val="000000"/>
          <w:spacing w:val="0"/>
          <w:w w:val="100"/>
          <w:position w:val="0"/>
          <w:sz w:val="18"/>
          <w:szCs w:val="18"/>
        </w:rPr>
        <w:t>1</w:t>
      </w:r>
      <w:bookmarkEnd w:id="587"/>
      <w:r>
        <w:rPr>
          <w:color w:val="000000"/>
          <w:spacing w:val="0"/>
          <w:w w:val="100"/>
          <w:position w:val="0"/>
        </w:rPr>
        <w:t>、</w:t>
        <w:tab/>
        <w:t>关于股东与股东大会</w:t>
      </w:r>
    </w:p>
    <w:p>
      <w:pPr>
        <w:pStyle w:val="Style32"/>
        <w:keepNext w:val="0"/>
        <w:keepLines w:val="0"/>
        <w:widowControl w:val="0"/>
        <w:shd w:val="clear" w:color="auto" w:fill="auto"/>
        <w:bidi w:val="0"/>
        <w:spacing w:before="0" w:after="0" w:line="314" w:lineRule="exact"/>
        <w:ind w:left="320" w:right="0" w:firstLine="0"/>
        <w:jc w:val="both"/>
      </w:pPr>
      <w:r>
        <w:rPr>
          <w:color w:val="000000"/>
          <w:spacing w:val="0"/>
          <w:w w:val="100"/>
          <w:position w:val="0"/>
        </w:rPr>
        <w:t>报告期内，共召开股东大会</w:t>
      </w:r>
      <w:r>
        <w:rPr>
          <w:color w:val="000000"/>
          <w:spacing w:val="0"/>
          <w:w w:val="100"/>
          <w:position w:val="0"/>
          <w:sz w:val="18"/>
          <w:szCs w:val="18"/>
        </w:rPr>
        <w:t>5</w:t>
      </w:r>
      <w:r>
        <w:rPr>
          <w:color w:val="000000"/>
          <w:spacing w:val="0"/>
          <w:w w:val="100"/>
          <w:position w:val="0"/>
        </w:rPr>
        <w:t>次，公司按照《公司法》、《上市公司股东大会规则》、《公司章程》、《股东大会议事规则》 等规定和要求，规范股东大会召集、召开、表决程序，通过为股东充分行使股东权利提供便利；并聘请律师见证股东大会， 保证会议的召集、召开和表决程序的合法性。</w:t>
      </w:r>
    </w:p>
    <w:p>
      <w:pPr>
        <w:pStyle w:val="Style32"/>
        <w:keepNext w:val="0"/>
        <w:keepLines w:val="0"/>
        <w:widowControl w:val="0"/>
        <w:shd w:val="clear" w:color="auto" w:fill="auto"/>
        <w:tabs>
          <w:tab w:pos="653" w:val="left"/>
        </w:tabs>
        <w:bidi w:val="0"/>
        <w:spacing w:before="0" w:after="0" w:line="314" w:lineRule="exact"/>
        <w:ind w:left="0" w:right="0" w:firstLine="320"/>
        <w:jc w:val="left"/>
      </w:pPr>
      <w:bookmarkStart w:id="588" w:name="bookmark588"/>
      <w:r>
        <w:rPr>
          <w:color w:val="000000"/>
          <w:spacing w:val="0"/>
          <w:w w:val="100"/>
          <w:position w:val="0"/>
          <w:sz w:val="18"/>
          <w:szCs w:val="18"/>
        </w:rPr>
        <w:t>2</w:t>
      </w:r>
      <w:bookmarkEnd w:id="588"/>
      <w:r>
        <w:rPr>
          <w:color w:val="000000"/>
          <w:spacing w:val="0"/>
          <w:w w:val="100"/>
          <w:position w:val="0"/>
        </w:rPr>
        <w:t>、</w:t>
        <w:tab/>
        <w:t>关于公司与控股股东</w:t>
      </w:r>
    </w:p>
    <w:p>
      <w:pPr>
        <w:pStyle w:val="Style32"/>
        <w:keepNext w:val="0"/>
        <w:keepLines w:val="0"/>
        <w:widowControl w:val="0"/>
        <w:shd w:val="clear" w:color="auto" w:fill="auto"/>
        <w:bidi w:val="0"/>
        <w:spacing w:before="0" w:after="0" w:line="314" w:lineRule="exact"/>
        <w:ind w:left="320" w:right="0" w:firstLine="0"/>
        <w:jc w:val="both"/>
      </w:pPr>
      <w:r>
        <w:rPr>
          <w:color w:val="000000"/>
          <w:spacing w:val="0"/>
          <w:w w:val="100"/>
          <w:position w:val="0"/>
        </w:rPr>
        <w:t>报告期内，公司严格按照《公司法》、《证券法》、《深圳证券交易所创业板股票上市规则》、《深圳证券交易所创业板上 市公司规范运作指引》的有关规定，在业务、人员、资产、机构、财务等方面独立于控股股东，控股股东、实际控制人及其 关联人不存在违法违规占用公司资金及公司为其违法违规提供担保的情形。</w:t>
      </w:r>
    </w:p>
    <w:p>
      <w:pPr>
        <w:pStyle w:val="Style32"/>
        <w:keepNext w:val="0"/>
        <w:keepLines w:val="0"/>
        <w:widowControl w:val="0"/>
        <w:shd w:val="clear" w:color="auto" w:fill="auto"/>
        <w:tabs>
          <w:tab w:pos="653" w:val="left"/>
        </w:tabs>
        <w:bidi w:val="0"/>
        <w:spacing w:before="0" w:after="0" w:line="314" w:lineRule="exact"/>
        <w:ind w:left="0" w:right="0" w:firstLine="320"/>
        <w:jc w:val="left"/>
      </w:pPr>
      <w:bookmarkStart w:id="589" w:name="bookmark589"/>
      <w:r>
        <w:rPr>
          <w:color w:val="000000"/>
          <w:spacing w:val="0"/>
          <w:w w:val="100"/>
          <w:position w:val="0"/>
          <w:sz w:val="18"/>
          <w:szCs w:val="18"/>
        </w:rPr>
        <w:t>3</w:t>
      </w:r>
      <w:bookmarkEnd w:id="589"/>
      <w:r>
        <w:rPr>
          <w:color w:val="000000"/>
          <w:spacing w:val="0"/>
          <w:w w:val="100"/>
          <w:position w:val="0"/>
        </w:rPr>
        <w:t>、</w:t>
        <w:tab/>
        <w:t>关于董事和董事会</w:t>
      </w:r>
    </w:p>
    <w:p>
      <w:pPr>
        <w:pStyle w:val="Style32"/>
        <w:keepNext w:val="0"/>
        <w:keepLines w:val="0"/>
        <w:widowControl w:val="0"/>
        <w:shd w:val="clear" w:color="auto" w:fill="auto"/>
        <w:bidi w:val="0"/>
        <w:spacing w:before="0" w:after="0" w:line="317" w:lineRule="exact"/>
        <w:ind w:left="320" w:right="0" w:firstLine="0"/>
        <w:jc w:val="left"/>
      </w:pPr>
      <w:r>
        <w:rPr>
          <w:color w:val="000000"/>
          <w:spacing w:val="0"/>
          <w:w w:val="100"/>
          <w:position w:val="0"/>
        </w:rPr>
        <w:t>报告期内，公司共召开</w:t>
      </w:r>
      <w:r>
        <w:rPr>
          <w:color w:val="000000"/>
          <w:spacing w:val="0"/>
          <w:w w:val="100"/>
          <w:position w:val="0"/>
          <w:sz w:val="18"/>
          <w:szCs w:val="18"/>
        </w:rPr>
        <w:t>15</w:t>
      </w:r>
      <w:r>
        <w:rPr>
          <w:color w:val="000000"/>
          <w:spacing w:val="0"/>
          <w:w w:val="100"/>
          <w:position w:val="0"/>
        </w:rPr>
        <w:t>次董事会，各位董事按照《深圳证券交易所创业板上市公司规范运作指引》、《董事会议事规则》、 《独立董事工作制度》等的相关要求，认真审议董事会各项议案，积极参与公司决策。同时，积极参加相关培训，熟悉并掌 握相关法律法规，诚实守信，勤勉尽责；独立董事严格遵守相关法律、法规独立履行职责，出席董事会和股东大会，对公司 重大投资、对外担保、募集资金使用等事项发表独立意见，切实保护公司和股东的利益。</w:t>
      </w:r>
    </w:p>
    <w:p>
      <w:pPr>
        <w:pStyle w:val="Style32"/>
        <w:keepNext w:val="0"/>
        <w:keepLines w:val="0"/>
        <w:widowControl w:val="0"/>
        <w:shd w:val="clear" w:color="auto" w:fill="auto"/>
        <w:tabs>
          <w:tab w:pos="658" w:val="left"/>
        </w:tabs>
        <w:bidi w:val="0"/>
        <w:spacing w:before="0" w:after="0" w:line="326" w:lineRule="exact"/>
        <w:ind w:left="0" w:right="0" w:firstLine="320"/>
        <w:jc w:val="left"/>
      </w:pPr>
      <w:bookmarkStart w:id="590" w:name="bookmark590"/>
      <w:r>
        <w:rPr>
          <w:color w:val="000000"/>
          <w:spacing w:val="0"/>
          <w:w w:val="100"/>
          <w:position w:val="0"/>
          <w:sz w:val="18"/>
          <w:szCs w:val="18"/>
        </w:rPr>
        <w:t>4</w:t>
      </w:r>
      <w:bookmarkEnd w:id="590"/>
      <w:r>
        <w:rPr>
          <w:color w:val="000000"/>
          <w:spacing w:val="0"/>
          <w:w w:val="100"/>
          <w:position w:val="0"/>
        </w:rPr>
        <w:t>、</w:t>
        <w:tab/>
        <w:t>关于监事和监事会</w:t>
      </w:r>
    </w:p>
    <w:p>
      <w:pPr>
        <w:pStyle w:val="Style32"/>
        <w:keepNext w:val="0"/>
        <w:keepLines w:val="0"/>
        <w:widowControl w:val="0"/>
        <w:shd w:val="clear" w:color="auto" w:fill="auto"/>
        <w:bidi w:val="0"/>
        <w:spacing w:before="0" w:after="0" w:line="326" w:lineRule="exact"/>
        <w:ind w:left="320" w:right="0" w:firstLine="0"/>
        <w:jc w:val="both"/>
      </w:pPr>
      <w:r>
        <w:rPr>
          <w:color w:val="000000"/>
          <w:spacing w:val="0"/>
          <w:w w:val="100"/>
          <w:position w:val="0"/>
        </w:rPr>
        <w:t>报告期内，公司共召开监事会</w:t>
      </w:r>
      <w:r>
        <w:rPr>
          <w:color w:val="000000"/>
          <w:spacing w:val="0"/>
          <w:w w:val="100"/>
          <w:position w:val="0"/>
          <w:sz w:val="18"/>
          <w:szCs w:val="18"/>
        </w:rPr>
        <w:t>12</w:t>
      </w:r>
      <w:r>
        <w:rPr>
          <w:color w:val="000000"/>
          <w:spacing w:val="0"/>
          <w:w w:val="100"/>
          <w:position w:val="0"/>
        </w:rPr>
        <w:t>次，各位监事按照《公司法》、《公司章程》、《监事会议事规则》的相关要求，认真履行 职责，积极开展工作，对公司的重大事项、财务状况以及董事、高管人员履行职责的合法、合规性进行了有效监督。</w:t>
      </w:r>
    </w:p>
    <w:p>
      <w:pPr>
        <w:pStyle w:val="Style32"/>
        <w:keepNext w:val="0"/>
        <w:keepLines w:val="0"/>
        <w:widowControl w:val="0"/>
        <w:shd w:val="clear" w:color="auto" w:fill="auto"/>
        <w:tabs>
          <w:tab w:pos="658" w:val="left"/>
        </w:tabs>
        <w:bidi w:val="0"/>
        <w:spacing w:before="0" w:after="0" w:line="326" w:lineRule="exact"/>
        <w:ind w:left="0" w:right="0" w:firstLine="320"/>
        <w:jc w:val="left"/>
      </w:pPr>
      <w:bookmarkStart w:id="591" w:name="bookmark591"/>
      <w:r>
        <w:rPr>
          <w:color w:val="000000"/>
          <w:spacing w:val="0"/>
          <w:w w:val="100"/>
          <w:position w:val="0"/>
          <w:sz w:val="18"/>
          <w:szCs w:val="18"/>
        </w:rPr>
        <w:t>5</w:t>
      </w:r>
      <w:bookmarkEnd w:id="591"/>
      <w:r>
        <w:rPr>
          <w:color w:val="000000"/>
          <w:spacing w:val="0"/>
          <w:w w:val="100"/>
          <w:position w:val="0"/>
        </w:rPr>
        <w:t>、</w:t>
        <w:tab/>
        <w:t>关于绩效评价与激励约束机制</w:t>
      </w:r>
    </w:p>
    <w:p>
      <w:pPr>
        <w:pStyle w:val="Style32"/>
        <w:keepNext w:val="0"/>
        <w:keepLines w:val="0"/>
        <w:widowControl w:val="0"/>
        <w:shd w:val="clear" w:color="auto" w:fill="auto"/>
        <w:bidi w:val="0"/>
        <w:spacing w:before="0" w:after="0" w:line="310" w:lineRule="exact"/>
        <w:ind w:left="320" w:right="0" w:firstLine="0"/>
        <w:jc w:val="both"/>
      </w:pPr>
      <w:r>
        <w:rPr>
          <w:color w:val="000000"/>
          <w:spacing w:val="0"/>
          <w:w w:val="100"/>
          <w:position w:val="0"/>
        </w:rPr>
        <w:t>报告期内，公司进一步建立、健全公司长效激励机制，吸引和留住优秀人才。公司高级管理人员实行基本年薪与年终绩效考 核相结合的薪酬制度，充分调动公司董事、高级管理人员、核心管理人员及核心技术骨干的积极性，有效地将股东利益、公 司利益和经营者个人利益结合在一起。</w:t>
      </w:r>
    </w:p>
    <w:p>
      <w:pPr>
        <w:pStyle w:val="Style32"/>
        <w:keepNext w:val="0"/>
        <w:keepLines w:val="0"/>
        <w:widowControl w:val="0"/>
        <w:shd w:val="clear" w:color="auto" w:fill="auto"/>
        <w:tabs>
          <w:tab w:pos="658" w:val="left"/>
        </w:tabs>
        <w:bidi w:val="0"/>
        <w:spacing w:before="0" w:after="0" w:line="314" w:lineRule="exact"/>
        <w:ind w:left="0" w:right="0" w:firstLine="320"/>
        <w:jc w:val="left"/>
      </w:pPr>
      <w:bookmarkStart w:id="592" w:name="bookmark592"/>
      <w:r>
        <w:rPr>
          <w:color w:val="000000"/>
          <w:spacing w:val="0"/>
          <w:w w:val="100"/>
          <w:position w:val="0"/>
          <w:sz w:val="18"/>
          <w:szCs w:val="18"/>
        </w:rPr>
        <w:t>6</w:t>
      </w:r>
      <w:bookmarkEnd w:id="592"/>
      <w:r>
        <w:rPr>
          <w:color w:val="000000"/>
          <w:spacing w:val="0"/>
          <w:w w:val="100"/>
          <w:position w:val="0"/>
        </w:rPr>
        <w:t>、</w:t>
        <w:tab/>
        <w:t>关于信息披露与透明度</w:t>
      </w:r>
    </w:p>
    <w:p>
      <w:pPr>
        <w:pStyle w:val="Style32"/>
        <w:keepNext w:val="0"/>
        <w:keepLines w:val="0"/>
        <w:widowControl w:val="0"/>
        <w:shd w:val="clear" w:color="auto" w:fill="auto"/>
        <w:bidi w:val="0"/>
        <w:spacing w:before="0" w:after="0" w:line="317" w:lineRule="exact"/>
        <w:ind w:left="320" w:right="0" w:firstLine="0"/>
        <w:jc w:val="both"/>
      </w:pPr>
      <w:r>
        <w:rPr>
          <w:color w:val="000000"/>
          <w:spacing w:val="0"/>
          <w:w w:val="100"/>
          <w:position w:val="0"/>
        </w:rPr>
        <w:t>报告期内，公司严格按照《深圳证券交易所创业板股票上市规则》、《深圳证券交易所创业板上市公司规范运作指引》以及 《信息披露管理办法》等规则的要求，真实、准确、及时、公平、完整地披露公司重大信息。董事会秘书负责公司信息披露 工作，协调公司与投资者的关系，接待投资者来访，回答投资者咨询；《中国证券报》、《证券时报》、《上海证券报》、</w:t>
      </w:r>
    </w:p>
    <w:p>
      <w:pPr>
        <w:pStyle w:val="Style32"/>
        <w:keepNext w:val="0"/>
        <w:keepLines w:val="0"/>
        <w:widowControl w:val="0"/>
        <w:shd w:val="clear" w:color="auto" w:fill="auto"/>
        <w:bidi w:val="0"/>
        <w:spacing w:before="0" w:after="0" w:line="317" w:lineRule="exact"/>
        <w:ind w:left="320" w:right="0" w:firstLine="0"/>
        <w:jc w:val="both"/>
      </w:pPr>
      <w:r>
        <w:rPr>
          <w:color w:val="000000"/>
          <w:spacing w:val="0"/>
          <w:w w:val="100"/>
          <w:position w:val="0"/>
        </w:rPr>
        <w:t>《证券日报》和巨潮资讯网</w:t>
      </w:r>
      <w:r>
        <w:rPr>
          <w:color w:val="000000"/>
          <w:spacing w:val="0"/>
          <w:w w:val="100"/>
          <w:position w:val="0"/>
          <w:sz w:val="18"/>
          <w:szCs w:val="18"/>
        </w:rPr>
        <w:t>(</w:t>
      </w:r>
      <w:r>
        <w:fldChar w:fldCharType="begin"/>
      </w:r>
      <w:r>
        <w:rPr/>
        <w:instrText> HYPERLINK "http://www.cninfo.com" </w:instrText>
      </w:r>
      <w:r>
        <w:fldChar w:fldCharType="separate"/>
      </w:r>
      <w:r>
        <w:rPr>
          <w:color w:val="000000"/>
          <w:spacing w:val="0"/>
          <w:w w:val="100"/>
          <w:position w:val="0"/>
          <w:sz w:val="18"/>
          <w:szCs w:val="18"/>
        </w:rPr>
        <w:t>www.cninfo.com</w:t>
      </w:r>
      <w:r>
        <w:fldChar w:fldCharType="end"/>
      </w:r>
      <w:r>
        <w:rPr>
          <w:color w:val="000000"/>
          <w:spacing w:val="0"/>
          <w:w w:val="100"/>
          <w:position w:val="0"/>
          <w:sz w:val="18"/>
          <w:szCs w:val="18"/>
        </w:rPr>
        <w:t>. cn)</w:t>
      </w:r>
      <w:r>
        <w:rPr>
          <w:color w:val="000000"/>
          <w:spacing w:val="0"/>
          <w:w w:val="100"/>
          <w:position w:val="0"/>
        </w:rPr>
        <w:t>为公司法定的信息披露媒体，有效保障投资者特别是中小投资者的知情 权。</w:t>
      </w:r>
    </w:p>
    <w:p>
      <w:pPr>
        <w:pStyle w:val="Style32"/>
        <w:keepNext w:val="0"/>
        <w:keepLines w:val="0"/>
        <w:widowControl w:val="0"/>
        <w:shd w:val="clear" w:color="auto" w:fill="auto"/>
        <w:tabs>
          <w:tab w:pos="658" w:val="left"/>
        </w:tabs>
        <w:bidi w:val="0"/>
        <w:spacing w:before="0" w:after="0" w:line="314" w:lineRule="exact"/>
        <w:ind w:left="0" w:right="0" w:firstLine="320"/>
        <w:jc w:val="left"/>
      </w:pPr>
      <w:bookmarkStart w:id="593" w:name="bookmark593"/>
      <w:r>
        <w:rPr>
          <w:color w:val="000000"/>
          <w:spacing w:val="0"/>
          <w:w w:val="100"/>
          <w:position w:val="0"/>
          <w:sz w:val="18"/>
          <w:szCs w:val="18"/>
        </w:rPr>
        <w:t>7</w:t>
      </w:r>
      <w:bookmarkEnd w:id="593"/>
      <w:r>
        <w:rPr>
          <w:color w:val="000000"/>
          <w:spacing w:val="0"/>
          <w:w w:val="100"/>
          <w:position w:val="0"/>
        </w:rPr>
        <w:t>、</w:t>
        <w:tab/>
        <w:t>关于相关利益者</w:t>
      </w:r>
    </w:p>
    <w:p>
      <w:pPr>
        <w:pStyle w:val="Style32"/>
        <w:keepNext w:val="0"/>
        <w:keepLines w:val="0"/>
        <w:widowControl w:val="0"/>
        <w:shd w:val="clear" w:color="auto" w:fill="auto"/>
        <w:bidi w:val="0"/>
        <w:spacing w:before="0" w:after="0" w:line="312" w:lineRule="exact"/>
        <w:ind w:left="320" w:right="0" w:firstLine="0"/>
        <w:jc w:val="both"/>
      </w:pPr>
      <w:r>
        <w:rPr>
          <w:color w:val="000000"/>
          <w:spacing w:val="0"/>
          <w:w w:val="100"/>
          <w:position w:val="0"/>
        </w:rPr>
        <w:t>报告期内，公司充分尊重和维护相关利益者的合法权益，坚持互惠互利、合作共赢的原则，努力实现股东、员工、社会等各 方利益的协调平衡，共同推动公司持续、健康的发展。</w:t>
      </w:r>
    </w:p>
    <w:p>
      <w:pPr>
        <w:pStyle w:val="Style32"/>
        <w:keepNext w:val="0"/>
        <w:keepLines w:val="0"/>
        <w:widowControl w:val="0"/>
        <w:shd w:val="clear" w:color="auto" w:fill="auto"/>
        <w:bidi w:val="0"/>
        <w:spacing w:before="0" w:after="140" w:line="314" w:lineRule="exact"/>
        <w:ind w:left="0" w:right="0" w:firstLine="320"/>
        <w:jc w:val="left"/>
      </w:pPr>
      <w:r>
        <w:rPr>
          <w:color w:val="000000"/>
          <w:spacing w:val="0"/>
          <w:w w:val="100"/>
          <w:position w:val="0"/>
        </w:rPr>
        <w:t>公司治理的实际状况与中国证监会发布的有关上市公司治理的规范性文件是否存在重大差异</w:t>
      </w:r>
    </w:p>
    <w:p>
      <w:pPr>
        <w:pStyle w:val="Style32"/>
        <w:keepNext w:val="0"/>
        <w:keepLines w:val="0"/>
        <w:widowControl w:val="0"/>
        <w:shd w:val="clear" w:color="auto" w:fill="auto"/>
        <w:bidi w:val="0"/>
        <w:spacing w:before="0" w:after="0"/>
        <w:ind w:left="0" w:right="0" w:firstLine="32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2"/>
        <w:keepNext w:val="0"/>
        <w:keepLines w:val="0"/>
        <w:widowControl w:val="0"/>
        <w:shd w:val="clear" w:color="auto" w:fill="auto"/>
        <w:bidi w:val="0"/>
        <w:spacing w:before="0" w:after="0" w:line="314" w:lineRule="exact"/>
        <w:ind w:left="0" w:right="0" w:firstLine="320"/>
        <w:jc w:val="left"/>
      </w:pPr>
      <w:r>
        <w:rPr>
          <w:color w:val="000000"/>
          <w:spacing w:val="0"/>
          <w:w w:val="100"/>
          <w:position w:val="0"/>
        </w:rPr>
        <w:t>公司治理的实际状况与中国证监会发布的有关上市公司治理的规范性文件不存在重大差异。</w:t>
      </w:r>
    </w:p>
    <w:p>
      <w:pPr>
        <w:pStyle w:val="Style5"/>
        <w:keepNext w:val="0"/>
        <w:keepLines w:val="0"/>
        <w:widowControl w:val="0"/>
        <w:shd w:val="clear" w:color="auto" w:fill="auto"/>
        <w:bidi w:val="0"/>
        <w:spacing w:before="0" w:after="60" w:line="240" w:lineRule="auto"/>
        <w:ind w:left="0" w:right="0" w:firstLine="84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1000"/>
        <w:jc w:val="left"/>
      </w:pPr>
      <w:r>
        <w:rPr>
          <w:rFonts w:ascii="SimHei" w:eastAsia="SimHei" w:hAnsi="SimHei" w:cs="SimHei"/>
          <w:color w:val="245994"/>
          <w:spacing w:val="0"/>
          <w:w w:val="100"/>
          <w:position w:val="0"/>
          <w:sz w:val="15"/>
          <w:szCs w:val="15"/>
        </w:rPr>
        <w:t xml:space="preserve">，| </w:t>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260" w:line="240" w:lineRule="auto"/>
        <w:ind w:left="0" w:right="0" w:firstLine="840"/>
        <w:jc w:val="left"/>
      </w:pPr>
      <w:bookmarkStart w:id="594" w:name="bookmark594"/>
      <w:bookmarkStart w:id="595" w:name="bookmark595"/>
      <w:bookmarkStart w:id="596" w:name="bookmark596"/>
      <w:bookmarkStart w:id="597" w:name="bookmark597"/>
      <w:r>
        <w:rPr>
          <w:color w:val="000000"/>
          <w:spacing w:val="0"/>
          <w:w w:val="100"/>
          <w:position w:val="0"/>
          <w:sz w:val="24"/>
          <w:szCs w:val="24"/>
        </w:rPr>
        <w:t>二</w:t>
      </w:r>
      <w:bookmarkEnd w:id="596"/>
      <w:r>
        <w:rPr>
          <w:color w:val="000000"/>
          <w:spacing w:val="0"/>
          <w:w w:val="100"/>
          <w:position w:val="0"/>
          <w:sz w:val="24"/>
          <w:szCs w:val="24"/>
        </w:rPr>
        <w:t>、公司相对于控股股东在业务、人员、资产、机构、财务等方面的独立情况</w:t>
      </w:r>
      <w:bookmarkEnd w:id="594"/>
      <w:bookmarkEnd w:id="595"/>
      <w:bookmarkEnd w:id="597"/>
    </w:p>
    <w:p>
      <w:pPr>
        <w:pStyle w:val="Style32"/>
        <w:keepNext w:val="0"/>
        <w:keepLines w:val="0"/>
        <w:widowControl w:val="0"/>
        <w:shd w:val="clear" w:color="auto" w:fill="auto"/>
        <w:bidi w:val="0"/>
        <w:spacing w:before="0" w:after="360" w:line="312" w:lineRule="exact"/>
        <w:ind w:left="840" w:right="0" w:firstLine="0"/>
        <w:jc w:val="left"/>
      </w:pPr>
      <w:r>
        <w:rPr>
          <w:color w:val="000000"/>
          <w:spacing w:val="0"/>
          <w:w w:val="100"/>
          <w:position w:val="0"/>
        </w:rPr>
        <w:t>公司严格按照《公司法》、《证券法》等有关法律、法规及《创业板股票上市规则》、《创业板上市公司规范运作指引》的 要求规范运作，在业务、人员、资产、机构、财务等方面均独立于控股股东。</w:t>
      </w:r>
    </w:p>
    <w:p>
      <w:pPr>
        <w:pStyle w:val="Style47"/>
        <w:keepNext/>
        <w:keepLines/>
        <w:widowControl w:val="0"/>
        <w:shd w:val="clear" w:color="auto" w:fill="auto"/>
        <w:bidi w:val="0"/>
        <w:spacing w:before="0" w:after="360" w:line="240" w:lineRule="auto"/>
        <w:ind w:left="0" w:right="0" w:firstLine="840"/>
        <w:jc w:val="left"/>
      </w:pPr>
      <w:bookmarkStart w:id="598" w:name="bookmark598"/>
      <w:bookmarkStart w:id="599" w:name="bookmark599"/>
      <w:bookmarkStart w:id="600" w:name="bookmark600"/>
      <w:bookmarkStart w:id="601" w:name="bookmark601"/>
      <w:r>
        <w:rPr>
          <w:color w:val="000000"/>
          <w:spacing w:val="0"/>
          <w:w w:val="100"/>
          <w:position w:val="0"/>
          <w:sz w:val="24"/>
          <w:szCs w:val="24"/>
        </w:rPr>
        <w:t>三</w:t>
      </w:r>
      <w:bookmarkEnd w:id="600"/>
      <w:r>
        <w:rPr>
          <w:color w:val="000000"/>
          <w:spacing w:val="0"/>
          <w:w w:val="100"/>
          <w:position w:val="0"/>
          <w:sz w:val="24"/>
          <w:szCs w:val="24"/>
        </w:rPr>
        <w:t>、同业竞争情况</w:t>
      </w:r>
      <w:bookmarkEnd w:id="598"/>
      <w:bookmarkEnd w:id="599"/>
      <w:bookmarkEnd w:id="601"/>
    </w:p>
    <w:p>
      <w:pPr>
        <w:pStyle w:val="Style32"/>
        <w:keepNext w:val="0"/>
        <w:keepLines w:val="0"/>
        <w:widowControl w:val="0"/>
        <w:shd w:val="clear" w:color="auto" w:fill="auto"/>
        <w:bidi w:val="0"/>
        <w:spacing w:before="0" w:after="360" w:line="240" w:lineRule="auto"/>
        <w:ind w:left="0" w:right="0" w:firstLine="8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7"/>
        <w:keepNext/>
        <w:keepLines/>
        <w:widowControl w:val="0"/>
        <w:shd w:val="clear" w:color="auto" w:fill="auto"/>
        <w:bidi w:val="0"/>
        <w:spacing w:before="0" w:after="360" w:line="240" w:lineRule="auto"/>
        <w:ind w:left="0" w:right="0" w:firstLine="840"/>
        <w:jc w:val="left"/>
      </w:pPr>
      <w:bookmarkStart w:id="602" w:name="bookmark602"/>
      <w:bookmarkStart w:id="603" w:name="bookmark603"/>
      <w:bookmarkStart w:id="604" w:name="bookmark604"/>
      <w:bookmarkStart w:id="605" w:name="bookmark605"/>
      <w:r>
        <w:rPr>
          <w:color w:val="000000"/>
          <w:spacing w:val="0"/>
          <w:w w:val="100"/>
          <w:position w:val="0"/>
          <w:sz w:val="24"/>
          <w:szCs w:val="24"/>
        </w:rPr>
        <w:t>四</w:t>
      </w:r>
      <w:bookmarkEnd w:id="604"/>
      <w:r>
        <w:rPr>
          <w:color w:val="000000"/>
          <w:spacing w:val="0"/>
          <w:w w:val="100"/>
          <w:position w:val="0"/>
          <w:sz w:val="24"/>
          <w:szCs w:val="24"/>
        </w:rPr>
        <w:t>、报告期内召开的年度股东大会和临时股东大会的有关情况</w:t>
      </w:r>
      <w:bookmarkEnd w:id="602"/>
      <w:bookmarkEnd w:id="603"/>
      <w:bookmarkEnd w:id="605"/>
    </w:p>
    <w:p>
      <w:pPr>
        <w:pStyle w:val="Style55"/>
        <w:keepNext/>
        <w:keepLines/>
        <w:widowControl w:val="0"/>
        <w:shd w:val="clear" w:color="auto" w:fill="auto"/>
        <w:bidi w:val="0"/>
        <w:spacing w:before="0" w:after="360" w:line="240" w:lineRule="auto"/>
        <w:ind w:left="0" w:right="0" w:firstLine="840"/>
        <w:jc w:val="left"/>
      </w:pPr>
      <w:bookmarkStart w:id="606" w:name="bookmark606"/>
      <w:bookmarkStart w:id="607" w:name="bookmark607"/>
      <w:bookmarkStart w:id="608" w:name="bookmark608"/>
      <w:bookmarkStart w:id="609" w:name="bookmark609"/>
      <w:r>
        <w:rPr>
          <w:rFonts w:ascii="Times New Roman" w:eastAsia="Times New Roman" w:hAnsi="Times New Roman" w:cs="Times New Roman"/>
          <w:color w:val="000000"/>
          <w:spacing w:val="0"/>
          <w:w w:val="100"/>
          <w:position w:val="0"/>
        </w:rPr>
        <w:t>1</w:t>
      </w:r>
      <w:bookmarkEnd w:id="608"/>
      <w:r>
        <w:rPr>
          <w:color w:val="000000"/>
          <w:spacing w:val="0"/>
          <w:w w:val="100"/>
          <w:position w:val="0"/>
        </w:rPr>
        <w:t>、本报告期股东大会情况</w:t>
      </w:r>
      <w:bookmarkEnd w:id="606"/>
      <w:bookmarkEnd w:id="607"/>
      <w:bookmarkEnd w:id="609"/>
    </w:p>
    <w:tbl>
      <w:tblPr>
        <w:tblOverlap w:val="never"/>
        <w:jc w:val="center"/>
        <w:tblLayout w:type="fixed"/>
      </w:tblPr>
      <w:tblGrid>
        <w:gridCol w:w="1565"/>
        <w:gridCol w:w="1277"/>
        <w:gridCol w:w="1421"/>
        <w:gridCol w:w="1133"/>
        <w:gridCol w:w="1133"/>
        <w:gridCol w:w="390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color w:val="000000"/>
                <w:spacing w:val="0"/>
                <w:w w:val="100"/>
                <w:position w:val="0"/>
              </w:rPr>
              <w:t>会议届次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会议类型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投资者参与比例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披露日期</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r>
        <w:trPr>
          <w:trHeight w:val="1334"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年度第一次临</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时股东大会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临时股东大会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rPr>
              <w:t>http: //www. cninfo. com. cn/new/disclo sure/detail?plat e=szse&amp;orgId=9900021761&amp;stockCode=300290&amp;a nnouncementId=1207394195&amp;announcementTime= 2020-03-23%2018:07</w:t>
            </w:r>
          </w:p>
        </w:tc>
      </w:tr>
      <w:tr>
        <w:trPr>
          <w:trHeight w:val="1339"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年度股东大会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年度股东大会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rPr>
              <w:t>http: //www. cninfo. com. cn/new/disclo sure/detail?plat e=szse&amp;orgId=9900021761&amp;stockCode=300290&amp;a nnouncementId= 1207844059&amp;announcementTime= 2020-05-21%2019:19</w:t>
            </w:r>
          </w:p>
        </w:tc>
      </w:tr>
      <w:tr>
        <w:trPr>
          <w:trHeight w:val="1339"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年度第二次临</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时股东大会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临时股东大会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15.13%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rPr>
              <w:t>http: //www. cninfo. com. cn/new/disclo sure/detail?plat e=szse&amp;orgId=9900021761&amp;stockCode=300290&amp;a nnouncementId= 1208521965&amp;announcementTime= 2020-09-30%2020:41</w:t>
            </w:r>
          </w:p>
        </w:tc>
      </w:tr>
      <w:tr>
        <w:trPr>
          <w:trHeight w:val="1339"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年度第三次临</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时股东大会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临时股东大会</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rPr>
              <w:t>http: //www. cninfo. com. cn/new/disclo sure/detail?plat e=szse&amp;orgId=9900021761&amp;stockCode=300290&amp;a nnouncementId=1208578041 &amp;announcementTime= 2020-10-16%2019:09</w:t>
            </w:r>
          </w:p>
        </w:tc>
      </w:tr>
      <w:tr>
        <w:trPr>
          <w:trHeight w:val="1344"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年度第四次临</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时股东大会</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临时股东大会</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15.67%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rPr>
              <w:t>http: //www. cninfo. com. cn/new/disclo sure/detail?plat e=szse&amp;orgId=9900021761&amp;stockCode=300290&amp;a nnouncementId=1208954016&amp;announcementTime= 2020-12-21%2017:25</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840"/>
        <w:jc w:val="left"/>
      </w:pPr>
      <w:bookmarkStart w:id="610" w:name="bookmark610"/>
      <w:bookmarkStart w:id="611" w:name="bookmark611"/>
      <w:bookmarkStart w:id="612" w:name="bookmark612"/>
      <w:bookmarkStart w:id="613" w:name="bookmark613"/>
      <w:r>
        <w:rPr>
          <w:rFonts w:ascii="Times New Roman" w:eastAsia="Times New Roman" w:hAnsi="Times New Roman" w:cs="Times New Roman"/>
          <w:color w:val="000000"/>
          <w:spacing w:val="0"/>
          <w:w w:val="100"/>
          <w:position w:val="0"/>
        </w:rPr>
        <w:t>2</w:t>
      </w:r>
      <w:bookmarkEnd w:id="612"/>
      <w:r>
        <w:rPr>
          <w:color w:val="000000"/>
          <w:spacing w:val="0"/>
          <w:w w:val="100"/>
          <w:position w:val="0"/>
        </w:rPr>
        <w:t>、表决权恢复的优先股股东请求召开临时股东大会</w:t>
      </w:r>
      <w:bookmarkEnd w:id="610"/>
      <w:bookmarkEnd w:id="611"/>
      <w:bookmarkEnd w:id="613"/>
    </w:p>
    <w:p>
      <w:pPr>
        <w:pStyle w:val="Style32"/>
        <w:keepNext w:val="0"/>
        <w:keepLines w:val="0"/>
        <w:widowControl w:val="0"/>
        <w:shd w:val="clear" w:color="auto" w:fill="auto"/>
        <w:bidi w:val="0"/>
        <w:spacing w:before="0" w:after="360" w:line="240" w:lineRule="auto"/>
        <w:ind w:left="0" w:right="0" w:firstLine="840"/>
        <w:jc w:val="left"/>
        <w:sectPr>
          <w:headerReference w:type="default" r:id="rId207"/>
          <w:footerReference w:type="default" r:id="rId208"/>
          <w:headerReference w:type="even" r:id="rId209"/>
          <w:footerReference w:type="even" r:id="rId210"/>
          <w:footnotePr>
            <w:pos w:val="pageBottom"/>
            <w:numFmt w:val="decimal"/>
            <w:numRestart w:val="continuous"/>
          </w:footnotePr>
          <w:pgSz w:w="11900" w:h="16840"/>
          <w:pgMar w:top="1129" w:right="942" w:bottom="1617" w:left="522" w:header="0" w:footer="3" w:gutter="0"/>
          <w:cols w:space="720"/>
          <w:noEndnote/>
          <w:rtlGutter w:val="0"/>
          <w:docGrid w:linePitch="360"/>
        </w:sectPr>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
        <w:keepNext w:val="0"/>
        <w:keepLines w:val="0"/>
        <w:widowControl w:val="0"/>
        <w:shd w:val="clear" w:color="auto" w:fill="auto"/>
        <w:tabs>
          <w:tab w:pos="1514" w:val="left"/>
        </w:tabs>
        <w:bidi w:val="0"/>
        <w:spacing w:before="0" w:after="0" w:line="240" w:lineRule="auto"/>
        <w:ind w:left="1120" w:right="0" w:firstLine="0"/>
        <w:jc w:val="both"/>
      </w:pPr>
      <w:r>
        <mc:AlternateContent>
          <mc:Choice Requires="wps">
            <w:drawing>
              <wp:anchor distT="0" distB="0" distL="0" distR="0" simplePos="0" relativeHeight="125829507" behindDoc="0" locked="0" layoutInCell="1" allowOverlap="1">
                <wp:simplePos x="0" y="0"/>
                <wp:positionH relativeFrom="page">
                  <wp:posOffset>852805</wp:posOffset>
                </wp:positionH>
                <wp:positionV relativeFrom="margin">
                  <wp:posOffset>-225425</wp:posOffset>
                </wp:positionV>
                <wp:extent cx="1301750" cy="323215"/>
                <wp:wrapTopAndBottom/>
                <wp:docPr id="519" name="Shape 519"/>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1545" type="#_x0000_t202" style="position:absolute;margin-left:67.150000000000006pt;margin-top:-17.75pt;width:102.5pt;height:25.449999999999999pt;z-index:-125829246;mso-wrap-distance-left:0;mso-wrap-distance-right:0;mso-position-horizontal-relative:page;mso-position-vertic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topAndBottom" anchorx="page" anchory="margin"/>
              </v:shape>
            </w:pict>
          </mc:Fallback>
        </mc:AlternateContent>
      </w:r>
      <w:r>
        <w:rPr>
          <w:rFonts w:ascii="Arial" w:eastAsia="Arial" w:hAnsi="Arial" w:cs="Arial"/>
          <w:spacing w:val="0"/>
          <w:w w:val="100"/>
          <w:position w:val="0"/>
          <w:sz w:val="14"/>
          <w:szCs w:val="14"/>
        </w:rPr>
        <w:t>A</w:t>
        <w:tab/>
      </w:r>
      <w:r>
        <w:rPr>
          <w:spacing w:val="0"/>
          <w:w w:val="100"/>
          <w:position w:val="0"/>
        </w:rPr>
        <w:t>国家高新技术企业</w:t>
      </w:r>
    </w:p>
    <w:p>
      <w:pPr>
        <w:pStyle w:val="Style32"/>
        <w:keepNext w:val="0"/>
        <w:keepLines w:val="0"/>
        <w:widowControl w:val="0"/>
        <w:shd w:val="clear" w:color="auto" w:fill="auto"/>
        <w:tabs>
          <w:tab w:pos="1514" w:val="left"/>
        </w:tabs>
        <w:bidi w:val="0"/>
        <w:spacing w:before="0" w:after="0" w:line="240" w:lineRule="auto"/>
        <w:ind w:left="0" w:right="0" w:firstLine="920"/>
        <w:jc w:val="both"/>
      </w:pPr>
      <w:r>
        <w:rPr>
          <w:rFonts w:ascii="SimHei" w:eastAsia="SimHei" w:hAnsi="SimHei" w:cs="SimHei"/>
          <w:b/>
          <w:bCs/>
          <w:color w:val="4E698D"/>
          <w:spacing w:val="0"/>
          <w:w w:val="100"/>
          <w:position w:val="0"/>
          <w:sz w:val="15"/>
          <w:szCs w:val="15"/>
        </w:rPr>
        <w:t xml:space="preserve">r </w:t>
      </w:r>
      <w:r>
        <w:rPr>
          <w:rFonts w:ascii="SimHei" w:eastAsia="SimHei" w:hAnsi="SimHei" w:cs="SimHei"/>
          <w:b/>
          <w:bCs/>
          <w:color w:val="4E698D"/>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380" w:line="240" w:lineRule="auto"/>
        <w:ind w:left="0" w:right="0" w:firstLine="760"/>
        <w:jc w:val="both"/>
      </w:pPr>
      <w:bookmarkStart w:id="614" w:name="bookmark614"/>
      <w:bookmarkStart w:id="615" w:name="bookmark615"/>
      <w:bookmarkStart w:id="616" w:name="bookmark616"/>
      <w:bookmarkStart w:id="617" w:name="bookmark617"/>
      <w:r>
        <w:rPr>
          <w:color w:val="000000"/>
          <w:spacing w:val="0"/>
          <w:w w:val="100"/>
          <w:position w:val="0"/>
          <w:sz w:val="24"/>
          <w:szCs w:val="24"/>
        </w:rPr>
        <w:t>五</w:t>
      </w:r>
      <w:bookmarkEnd w:id="616"/>
      <w:r>
        <w:rPr>
          <w:color w:val="000000"/>
          <w:spacing w:val="0"/>
          <w:w w:val="100"/>
          <w:position w:val="0"/>
          <w:sz w:val="24"/>
          <w:szCs w:val="24"/>
        </w:rPr>
        <w:t>、报告期内独立董事履行职责的情况</w:t>
      </w:r>
      <w:bookmarkEnd w:id="614"/>
      <w:bookmarkEnd w:id="615"/>
      <w:bookmarkEnd w:id="617"/>
    </w:p>
    <w:p>
      <w:pPr>
        <w:pStyle w:val="Style55"/>
        <w:keepNext/>
        <w:keepLines/>
        <w:widowControl w:val="0"/>
        <w:shd w:val="clear" w:color="auto" w:fill="auto"/>
        <w:bidi w:val="0"/>
        <w:spacing w:before="0" w:after="320" w:line="240" w:lineRule="auto"/>
        <w:ind w:left="0" w:right="0" w:firstLine="760"/>
        <w:jc w:val="both"/>
      </w:pPr>
      <w:bookmarkStart w:id="618" w:name="bookmark618"/>
      <w:bookmarkStart w:id="619" w:name="bookmark619"/>
      <w:bookmarkStart w:id="620" w:name="bookmark620"/>
      <w:bookmarkStart w:id="621" w:name="bookmark621"/>
      <w:r>
        <w:rPr>
          <w:rFonts w:ascii="Times New Roman" w:eastAsia="Times New Roman" w:hAnsi="Times New Roman" w:cs="Times New Roman"/>
          <w:color w:val="000000"/>
          <w:spacing w:val="0"/>
          <w:w w:val="100"/>
          <w:position w:val="0"/>
        </w:rPr>
        <w:t>1</w:t>
      </w:r>
      <w:bookmarkEnd w:id="620"/>
      <w:r>
        <w:rPr>
          <w:color w:val="000000"/>
          <w:spacing w:val="0"/>
          <w:w w:val="100"/>
          <w:position w:val="0"/>
        </w:rPr>
        <w:t>、独立董事出席董事会及股东大会的情况</w:t>
      </w:r>
      <w:bookmarkEnd w:id="618"/>
      <w:bookmarkEnd w:id="619"/>
      <w:bookmarkEnd w:id="621"/>
    </w:p>
    <w:tbl>
      <w:tblPr>
        <w:tblOverlap w:val="never"/>
        <w:jc w:val="center"/>
        <w:tblLayout w:type="fixed"/>
      </w:tblPr>
      <w:tblGrid>
        <w:gridCol w:w="1435"/>
        <w:gridCol w:w="1166"/>
        <w:gridCol w:w="1162"/>
        <w:gridCol w:w="1162"/>
        <w:gridCol w:w="1166"/>
        <w:gridCol w:w="1162"/>
        <w:gridCol w:w="1162"/>
        <w:gridCol w:w="1176"/>
      </w:tblGrid>
      <w:tr>
        <w:trPr>
          <w:trHeight w:val="408" w:hRule="exact"/>
        </w:trPr>
        <w:tc>
          <w:tcPr>
            <w:gridSpan w:val="8"/>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独立董事出席董事会及股东大会的情况</w:t>
            </w:r>
          </w:p>
        </w:tc>
      </w:tr>
      <w:tr>
        <w:trPr>
          <w:trHeight w:val="1027"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独立董事姓名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本报告期应参</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加董事会次数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现场出席董事 会次数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right"/>
            </w:pPr>
            <w:r>
              <w:rPr>
                <w:color w:val="000000"/>
                <w:spacing w:val="0"/>
                <w:w w:val="100"/>
                <w:position w:val="0"/>
              </w:rPr>
              <w:t>以通讯方式参 加董事会次数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委托出席董事 会次数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缺席董事会次 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是否连续两次 未亲自参加董 事会会议</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出席股东大会 次数</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管一民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刘爱民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吴凤君</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w:t>
            </w:r>
          </w:p>
        </w:tc>
      </w:tr>
    </w:tbl>
    <w:p>
      <w:pPr>
        <w:widowControl w:val="0"/>
        <w:spacing w:after="319" w:line="1" w:lineRule="exact"/>
      </w:pPr>
    </w:p>
    <w:p>
      <w:pPr>
        <w:pStyle w:val="Style55"/>
        <w:keepNext/>
        <w:keepLines/>
        <w:widowControl w:val="0"/>
        <w:shd w:val="clear" w:color="auto" w:fill="auto"/>
        <w:tabs>
          <w:tab w:pos="1138" w:val="left"/>
        </w:tabs>
        <w:bidi w:val="0"/>
        <w:spacing w:before="0" w:after="380" w:line="240" w:lineRule="auto"/>
        <w:ind w:left="0" w:right="0" w:firstLine="760"/>
        <w:jc w:val="both"/>
      </w:pPr>
      <w:bookmarkStart w:id="622" w:name="bookmark622"/>
      <w:bookmarkStart w:id="623" w:name="bookmark623"/>
      <w:bookmarkStart w:id="624" w:name="bookmark624"/>
      <w:bookmarkStart w:id="625" w:name="bookmark625"/>
      <w:r>
        <w:rPr>
          <w:rFonts w:ascii="Times New Roman" w:eastAsia="Times New Roman" w:hAnsi="Times New Roman" w:cs="Times New Roman"/>
          <w:color w:val="000000"/>
          <w:spacing w:val="0"/>
          <w:w w:val="100"/>
          <w:position w:val="0"/>
        </w:rPr>
        <w:t>2</w:t>
      </w:r>
      <w:bookmarkEnd w:id="624"/>
      <w:r>
        <w:rPr>
          <w:color w:val="000000"/>
          <w:spacing w:val="0"/>
          <w:w w:val="100"/>
          <w:position w:val="0"/>
        </w:rPr>
        <w:t>、</w:t>
        <w:tab/>
        <w:t>独立董事对公司有关事项提出异议的情况</w:t>
      </w:r>
      <w:bookmarkEnd w:id="622"/>
      <w:bookmarkEnd w:id="623"/>
      <w:bookmarkEnd w:id="625"/>
    </w:p>
    <w:p>
      <w:pPr>
        <w:pStyle w:val="Style32"/>
        <w:keepNext w:val="0"/>
        <w:keepLines w:val="0"/>
        <w:widowControl w:val="0"/>
        <w:shd w:val="clear" w:color="auto" w:fill="auto"/>
        <w:bidi w:val="0"/>
        <w:spacing w:before="0" w:after="120" w:line="240" w:lineRule="auto"/>
        <w:ind w:left="0" w:right="0" w:firstLine="760"/>
        <w:jc w:val="both"/>
      </w:pPr>
      <w:r>
        <w:rPr>
          <w:color w:val="000000"/>
          <w:spacing w:val="0"/>
          <w:w w:val="100"/>
          <w:position w:val="0"/>
        </w:rPr>
        <w:t>独立董事对公司有关事项是否提出异议</w:t>
      </w:r>
    </w:p>
    <w:p>
      <w:pPr>
        <w:pStyle w:val="Style32"/>
        <w:keepNext w:val="0"/>
        <w:keepLines w:val="0"/>
        <w:widowControl w:val="0"/>
        <w:shd w:val="clear" w:color="auto" w:fill="auto"/>
        <w:bidi w:val="0"/>
        <w:spacing w:before="0" w:after="120" w:line="240" w:lineRule="auto"/>
        <w:ind w:left="0" w:right="0" w:firstLine="760"/>
        <w:jc w:val="both"/>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2"/>
        <w:keepNext w:val="0"/>
        <w:keepLines w:val="0"/>
        <w:widowControl w:val="0"/>
        <w:shd w:val="clear" w:color="auto" w:fill="auto"/>
        <w:bidi w:val="0"/>
        <w:spacing w:before="0" w:after="380" w:line="240" w:lineRule="auto"/>
        <w:ind w:left="0" w:right="0" w:firstLine="760"/>
        <w:jc w:val="both"/>
      </w:pPr>
      <w:r>
        <w:rPr>
          <w:color w:val="000000"/>
          <w:spacing w:val="0"/>
          <w:w w:val="100"/>
          <w:position w:val="0"/>
        </w:rPr>
        <w:t>报告期内独立董事对公司有关事项未提出异议。</w:t>
      </w:r>
    </w:p>
    <w:p>
      <w:pPr>
        <w:pStyle w:val="Style55"/>
        <w:keepNext/>
        <w:keepLines/>
        <w:widowControl w:val="0"/>
        <w:shd w:val="clear" w:color="auto" w:fill="auto"/>
        <w:tabs>
          <w:tab w:pos="1138" w:val="left"/>
        </w:tabs>
        <w:bidi w:val="0"/>
        <w:spacing w:before="0" w:after="260" w:line="240" w:lineRule="auto"/>
        <w:ind w:left="0" w:right="0" w:firstLine="760"/>
        <w:jc w:val="both"/>
      </w:pPr>
      <w:bookmarkStart w:id="626" w:name="bookmark626"/>
      <w:bookmarkStart w:id="627" w:name="bookmark627"/>
      <w:bookmarkStart w:id="628" w:name="bookmark628"/>
      <w:bookmarkStart w:id="629" w:name="bookmark629"/>
      <w:r>
        <w:rPr>
          <w:rFonts w:ascii="Times New Roman" w:eastAsia="Times New Roman" w:hAnsi="Times New Roman" w:cs="Times New Roman"/>
          <w:color w:val="000000"/>
          <w:spacing w:val="0"/>
          <w:w w:val="100"/>
          <w:position w:val="0"/>
        </w:rPr>
        <w:t>3</w:t>
      </w:r>
      <w:bookmarkEnd w:id="628"/>
      <w:r>
        <w:rPr>
          <w:color w:val="000000"/>
          <w:spacing w:val="0"/>
          <w:w w:val="100"/>
          <w:position w:val="0"/>
        </w:rPr>
        <w:t>、</w:t>
        <w:tab/>
        <w:t>独立董事履行职责的其他说明</w:t>
      </w:r>
      <w:bookmarkEnd w:id="626"/>
      <w:bookmarkEnd w:id="627"/>
      <w:bookmarkEnd w:id="629"/>
    </w:p>
    <w:p>
      <w:pPr>
        <w:pStyle w:val="Style32"/>
        <w:keepNext w:val="0"/>
        <w:keepLines w:val="0"/>
        <w:widowControl w:val="0"/>
        <w:shd w:val="clear" w:color="auto" w:fill="auto"/>
        <w:bidi w:val="0"/>
        <w:spacing w:before="0" w:after="120" w:line="313" w:lineRule="exact"/>
        <w:ind w:left="0" w:right="0" w:firstLine="760"/>
        <w:jc w:val="both"/>
      </w:pPr>
      <w:r>
        <w:rPr>
          <w:color w:val="000000"/>
          <w:spacing w:val="0"/>
          <w:w w:val="100"/>
          <w:position w:val="0"/>
        </w:rPr>
        <w:t>独立董事对公司有关建议是否被采纳</w:t>
      </w:r>
    </w:p>
    <w:p>
      <w:pPr>
        <w:pStyle w:val="Style32"/>
        <w:keepNext w:val="0"/>
        <w:keepLines w:val="0"/>
        <w:widowControl w:val="0"/>
        <w:shd w:val="clear" w:color="auto" w:fill="auto"/>
        <w:bidi w:val="0"/>
        <w:spacing w:before="0" w:after="0"/>
        <w:ind w:left="0" w:right="0" w:firstLine="760"/>
        <w:jc w:val="both"/>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32"/>
        <w:keepNext w:val="0"/>
        <w:keepLines w:val="0"/>
        <w:widowControl w:val="0"/>
        <w:shd w:val="clear" w:color="auto" w:fill="auto"/>
        <w:bidi w:val="0"/>
        <w:spacing w:before="0" w:line="313" w:lineRule="exact"/>
        <w:ind w:left="0" w:right="0" w:firstLine="760"/>
        <w:jc w:val="both"/>
      </w:pPr>
      <w:r>
        <w:rPr>
          <w:color w:val="000000"/>
          <w:spacing w:val="0"/>
          <w:w w:val="100"/>
          <w:position w:val="0"/>
        </w:rPr>
        <w:t>独立董事对公司有关建议被采纳或未被采纳的说明</w:t>
      </w:r>
    </w:p>
    <w:p>
      <w:pPr>
        <w:pStyle w:val="Style32"/>
        <w:keepNext w:val="0"/>
        <w:keepLines w:val="0"/>
        <w:widowControl w:val="0"/>
        <w:shd w:val="clear" w:color="auto" w:fill="auto"/>
        <w:bidi w:val="0"/>
        <w:spacing w:before="0" w:after="380" w:line="314" w:lineRule="exact"/>
        <w:ind w:left="760" w:right="0" w:firstLine="0"/>
        <w:jc w:val="both"/>
      </w:pPr>
      <w:r>
        <w:rPr>
          <w:color w:val="000000"/>
          <w:spacing w:val="0"/>
          <w:w w:val="100"/>
          <w:position w:val="0"/>
        </w:rPr>
        <w:t>报告期内，公司独立董事勤勉尽责，与管理层保持了良好的沟通。独立董事在认真审阅董事会各项议案的基础上，对有关事 项进行仔细询问，提出意见和建议。对公司内部控制、公司治理、并购重组、年度利润分配、聘任审计机构等重大事项进行 了有效的监督，维护了广大投资者特别是中小投资者的合法权益。</w:t>
      </w:r>
    </w:p>
    <w:p>
      <w:pPr>
        <w:pStyle w:val="Style47"/>
        <w:keepNext/>
        <w:keepLines/>
        <w:widowControl w:val="0"/>
        <w:shd w:val="clear" w:color="auto" w:fill="auto"/>
        <w:bidi w:val="0"/>
        <w:spacing w:before="0" w:after="260" w:line="240" w:lineRule="auto"/>
        <w:ind w:left="0" w:right="0" w:firstLine="760"/>
        <w:jc w:val="both"/>
      </w:pPr>
      <w:bookmarkStart w:id="630" w:name="bookmark630"/>
      <w:bookmarkStart w:id="631" w:name="bookmark631"/>
      <w:bookmarkStart w:id="632" w:name="bookmark632"/>
      <w:bookmarkStart w:id="633" w:name="bookmark633"/>
      <w:r>
        <w:rPr>
          <w:color w:val="000000"/>
          <w:spacing w:val="0"/>
          <w:w w:val="100"/>
          <w:position w:val="0"/>
          <w:sz w:val="24"/>
          <w:szCs w:val="24"/>
        </w:rPr>
        <w:t>六</w:t>
      </w:r>
      <w:bookmarkEnd w:id="632"/>
      <w:r>
        <w:rPr>
          <w:color w:val="000000"/>
          <w:spacing w:val="0"/>
          <w:w w:val="100"/>
          <w:position w:val="0"/>
          <w:sz w:val="24"/>
          <w:szCs w:val="24"/>
        </w:rPr>
        <w:t>、董事会下设专门委员会在报告期内履行职责情况</w:t>
      </w:r>
      <w:bookmarkEnd w:id="630"/>
      <w:bookmarkEnd w:id="631"/>
      <w:bookmarkEnd w:id="633"/>
    </w:p>
    <w:p>
      <w:pPr>
        <w:pStyle w:val="Style32"/>
        <w:keepNext w:val="0"/>
        <w:keepLines w:val="0"/>
        <w:widowControl w:val="0"/>
        <w:shd w:val="clear" w:color="auto" w:fill="auto"/>
        <w:bidi w:val="0"/>
        <w:spacing w:before="0" w:after="120" w:line="313" w:lineRule="exact"/>
        <w:ind w:left="760" w:right="0" w:firstLine="0"/>
        <w:jc w:val="both"/>
      </w:pPr>
      <w:r>
        <w:rPr>
          <w:color w:val="000000"/>
          <w:spacing w:val="0"/>
          <w:w w:val="100"/>
          <w:position w:val="0"/>
        </w:rPr>
        <w:t>根据《公司法》、《公司章程》等相关法律法规的规定，公司董事会下设审计委员会、战略委员会、提名委员会和薪酬与考 核委员会四个专门委员会。</w:t>
      </w:r>
    </w:p>
    <w:p>
      <w:pPr>
        <w:pStyle w:val="Style32"/>
        <w:keepNext w:val="0"/>
        <w:keepLines w:val="0"/>
        <w:widowControl w:val="0"/>
        <w:shd w:val="clear" w:color="auto" w:fill="auto"/>
        <w:tabs>
          <w:tab w:pos="1094" w:val="left"/>
        </w:tabs>
        <w:bidi w:val="0"/>
        <w:spacing w:before="0" w:after="0"/>
        <w:ind w:left="0" w:right="0" w:firstLine="760"/>
        <w:jc w:val="both"/>
      </w:pPr>
      <w:bookmarkStart w:id="634" w:name="bookmark634"/>
      <w:r>
        <w:rPr>
          <w:rFonts w:ascii="Times New Roman" w:eastAsia="Times New Roman" w:hAnsi="Times New Roman" w:cs="Times New Roman"/>
          <w:color w:val="000000"/>
          <w:spacing w:val="0"/>
          <w:w w:val="100"/>
          <w:position w:val="0"/>
        </w:rPr>
        <w:t>1</w:t>
      </w:r>
      <w:bookmarkEnd w:id="634"/>
      <w:r>
        <w:rPr>
          <w:color w:val="000000"/>
          <w:spacing w:val="0"/>
          <w:w w:val="100"/>
          <w:position w:val="0"/>
        </w:rPr>
        <w:t>、</w:t>
        <w:tab/>
        <w:t>审计委员会</w:t>
      </w:r>
    </w:p>
    <w:p>
      <w:pPr>
        <w:pStyle w:val="Style32"/>
        <w:keepNext w:val="0"/>
        <w:keepLines w:val="0"/>
        <w:widowControl w:val="0"/>
        <w:shd w:val="clear" w:color="auto" w:fill="auto"/>
        <w:bidi w:val="0"/>
        <w:spacing w:before="0" w:after="120" w:line="313" w:lineRule="exact"/>
        <w:ind w:left="760" w:right="0" w:firstLine="0"/>
        <w:jc w:val="both"/>
      </w:pPr>
      <w:r>
        <w:rPr>
          <w:color w:val="000000"/>
          <w:spacing w:val="0"/>
          <w:w w:val="100"/>
          <w:position w:val="0"/>
        </w:rPr>
        <w:t>报告期内，公司审计委员会按照《审计委员会议事规则》的相关规定，重点对公司定期报告、募集资金的存放与使用及公司 内部控制实施情况进行了监督和审查。</w:t>
      </w:r>
    </w:p>
    <w:p>
      <w:pPr>
        <w:pStyle w:val="Style32"/>
        <w:keepNext w:val="0"/>
        <w:keepLines w:val="0"/>
        <w:widowControl w:val="0"/>
        <w:shd w:val="clear" w:color="auto" w:fill="auto"/>
        <w:tabs>
          <w:tab w:pos="1109" w:val="left"/>
        </w:tabs>
        <w:bidi w:val="0"/>
        <w:spacing w:before="0" w:after="0"/>
        <w:ind w:left="0" w:right="0" w:firstLine="760"/>
        <w:jc w:val="both"/>
      </w:pPr>
      <w:bookmarkStart w:id="635" w:name="bookmark635"/>
      <w:r>
        <w:rPr>
          <w:rFonts w:ascii="Times New Roman" w:eastAsia="Times New Roman" w:hAnsi="Times New Roman" w:cs="Times New Roman"/>
          <w:color w:val="000000"/>
          <w:spacing w:val="0"/>
          <w:w w:val="100"/>
          <w:position w:val="0"/>
        </w:rPr>
        <w:t>2</w:t>
      </w:r>
      <w:bookmarkEnd w:id="635"/>
      <w:r>
        <w:rPr>
          <w:color w:val="000000"/>
          <w:spacing w:val="0"/>
          <w:w w:val="100"/>
          <w:position w:val="0"/>
        </w:rPr>
        <w:t>、</w:t>
        <w:tab/>
        <w:t>战略委员会</w:t>
      </w:r>
    </w:p>
    <w:p>
      <w:pPr>
        <w:pStyle w:val="Style32"/>
        <w:keepNext w:val="0"/>
        <w:keepLines w:val="0"/>
        <w:widowControl w:val="0"/>
        <w:shd w:val="clear" w:color="auto" w:fill="auto"/>
        <w:bidi w:val="0"/>
        <w:spacing w:before="0" w:after="120" w:line="313" w:lineRule="exact"/>
        <w:ind w:left="760" w:right="0" w:firstLine="0"/>
        <w:jc w:val="both"/>
      </w:pPr>
      <w:r>
        <w:rPr>
          <w:color w:val="000000"/>
          <w:spacing w:val="0"/>
          <w:w w:val="100"/>
          <w:position w:val="0"/>
        </w:rPr>
        <w:t>报告期内，公司战略委员会按照《战略委员会议事规则》的相关规定，积极研究公司长期发展战略规划，确定了公司未来发 展战略及</w:t>
      </w:r>
      <w:r>
        <w:rPr>
          <w:rFonts w:ascii="Times New Roman" w:eastAsia="Times New Roman" w:hAnsi="Times New Roman" w:cs="Times New Roman"/>
          <w:color w:val="000000"/>
          <w:spacing w:val="0"/>
          <w:w w:val="100"/>
          <w:position w:val="0"/>
        </w:rPr>
        <w:t>2020</w:t>
      </w:r>
      <w:r>
        <w:rPr>
          <w:color w:val="000000"/>
          <w:spacing w:val="0"/>
          <w:w w:val="100"/>
          <w:position w:val="0"/>
        </w:rPr>
        <w:t>年经营计划。</w:t>
      </w:r>
    </w:p>
    <w:p>
      <w:pPr>
        <w:pStyle w:val="Style32"/>
        <w:keepNext w:val="0"/>
        <w:keepLines w:val="0"/>
        <w:widowControl w:val="0"/>
        <w:shd w:val="clear" w:color="auto" w:fill="auto"/>
        <w:tabs>
          <w:tab w:pos="1109" w:val="left"/>
        </w:tabs>
        <w:bidi w:val="0"/>
        <w:spacing w:before="0" w:after="0"/>
        <w:ind w:left="0" w:right="0" w:firstLine="760"/>
        <w:jc w:val="both"/>
      </w:pPr>
      <w:bookmarkStart w:id="636" w:name="bookmark636"/>
      <w:r>
        <w:rPr>
          <w:rFonts w:ascii="Times New Roman" w:eastAsia="Times New Roman" w:hAnsi="Times New Roman" w:cs="Times New Roman"/>
          <w:color w:val="000000"/>
          <w:spacing w:val="0"/>
          <w:w w:val="100"/>
          <w:position w:val="0"/>
        </w:rPr>
        <w:t>3</w:t>
      </w:r>
      <w:bookmarkEnd w:id="636"/>
      <w:r>
        <w:rPr>
          <w:color w:val="000000"/>
          <w:spacing w:val="0"/>
          <w:w w:val="100"/>
          <w:position w:val="0"/>
        </w:rPr>
        <w:t>、</w:t>
        <w:tab/>
        <w:t>提名委员会</w:t>
      </w:r>
    </w:p>
    <w:p>
      <w:pPr>
        <w:pStyle w:val="Style32"/>
        <w:keepNext w:val="0"/>
        <w:keepLines w:val="0"/>
        <w:widowControl w:val="0"/>
        <w:shd w:val="clear" w:color="auto" w:fill="auto"/>
        <w:bidi w:val="0"/>
        <w:spacing w:before="0" w:after="120" w:line="313" w:lineRule="exact"/>
        <w:ind w:left="760" w:right="0" w:firstLine="0"/>
        <w:jc w:val="both"/>
      </w:pPr>
      <w:r>
        <w:rPr>
          <w:color w:val="000000"/>
          <w:spacing w:val="0"/>
          <w:w w:val="100"/>
          <w:position w:val="0"/>
        </w:rPr>
        <w:t>报告期内，公司提名委员会按照《提名委员会议事规则》的相关规定，认真履行相关职责。在董事会换届选举的过程中，积 极履行相关职责，提名董事会候选人，并积极关注各位董事的履职表现；充分审议董事会工作报告等。</w:t>
      </w:r>
    </w:p>
    <w:p>
      <w:pPr>
        <w:pStyle w:val="Style32"/>
        <w:keepNext w:val="0"/>
        <w:keepLines w:val="0"/>
        <w:widowControl w:val="0"/>
        <w:shd w:val="clear" w:color="auto" w:fill="auto"/>
        <w:tabs>
          <w:tab w:pos="1114" w:val="left"/>
        </w:tabs>
        <w:bidi w:val="0"/>
        <w:spacing w:before="0" w:after="0"/>
        <w:ind w:left="0" w:right="0" w:firstLine="760"/>
        <w:jc w:val="both"/>
      </w:pPr>
      <w:bookmarkStart w:id="637" w:name="bookmark637"/>
      <w:r>
        <w:rPr>
          <w:rFonts w:ascii="Times New Roman" w:eastAsia="Times New Roman" w:hAnsi="Times New Roman" w:cs="Times New Roman"/>
          <w:color w:val="000000"/>
          <w:spacing w:val="0"/>
          <w:w w:val="100"/>
          <w:position w:val="0"/>
        </w:rPr>
        <w:t>4</w:t>
      </w:r>
      <w:bookmarkEnd w:id="637"/>
      <w:r>
        <w:rPr>
          <w:color w:val="000000"/>
          <w:spacing w:val="0"/>
          <w:w w:val="100"/>
          <w:position w:val="0"/>
        </w:rPr>
        <w:t>、</w:t>
        <w:tab/>
        <w:t>薪酬与考核委员会</w:t>
      </w:r>
    </w:p>
    <w:p>
      <w:pPr>
        <w:pStyle w:val="Style32"/>
        <w:keepNext w:val="0"/>
        <w:keepLines w:val="0"/>
        <w:widowControl w:val="0"/>
        <w:shd w:val="clear" w:color="auto" w:fill="auto"/>
        <w:bidi w:val="0"/>
        <w:spacing w:before="0" w:after="180" w:line="313" w:lineRule="exact"/>
        <w:ind w:left="0" w:right="0" w:firstLine="760"/>
        <w:jc w:val="both"/>
        <w:sectPr>
          <w:headerReference w:type="default" r:id="rId211"/>
          <w:footerReference w:type="default" r:id="rId212"/>
          <w:headerReference w:type="even" r:id="rId213"/>
          <w:footerReference w:type="even" r:id="rId214"/>
          <w:footnotePr>
            <w:pos w:val="pageBottom"/>
            <w:numFmt w:val="decimal"/>
            <w:numRestart w:val="continuous"/>
          </w:footnotePr>
          <w:pgSz w:w="11900" w:h="16840"/>
          <w:pgMar w:top="1129" w:right="942" w:bottom="1617" w:left="522" w:header="0" w:footer="3" w:gutter="0"/>
          <w:cols w:space="720"/>
          <w:noEndnote/>
          <w:rtlGutter w:val="0"/>
          <w:docGrid w:linePitch="360"/>
        </w:sectPr>
      </w:pPr>
      <w:r>
        <w:rPr>
          <w:color w:val="000000"/>
          <w:spacing w:val="0"/>
          <w:w w:val="100"/>
          <w:position w:val="0"/>
        </w:rPr>
        <w:t>报告期内，公司薪酬与考核委员会按照《薪酬与考核委员会议事规则》的相关规定，审议了《</w:t>
      </w:r>
      <w:r>
        <w:rPr>
          <w:rFonts w:ascii="Times New Roman" w:eastAsia="Times New Roman" w:hAnsi="Times New Roman" w:cs="Times New Roman"/>
          <w:color w:val="000000"/>
          <w:spacing w:val="0"/>
          <w:w w:val="100"/>
          <w:position w:val="0"/>
        </w:rPr>
        <w:t>2020</w:t>
      </w:r>
      <w:r>
        <w:rPr>
          <w:color w:val="000000"/>
          <w:spacing w:val="0"/>
          <w:w w:val="100"/>
          <w:position w:val="0"/>
        </w:rPr>
        <w:t>年高级管理人员薪酬考核</w:t>
      </w:r>
    </w:p>
    <w:p>
      <w:pPr>
        <w:pStyle w:val="Style2"/>
        <w:keepNext/>
        <w:keepLines/>
        <w:widowControl w:val="0"/>
        <w:shd w:val="clear" w:color="auto" w:fill="auto"/>
        <w:bidi w:val="0"/>
        <w:spacing w:before="0" w:after="0" w:line="240" w:lineRule="auto"/>
        <w:ind w:left="0" w:right="0" w:firstLine="760"/>
        <w:jc w:val="left"/>
      </w:pPr>
      <w:bookmarkStart w:id="638" w:name="bookmark638"/>
      <w:bookmarkStart w:id="639" w:name="bookmark639"/>
      <w:bookmarkStart w:id="640" w:name="bookmark640"/>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638"/>
      <w:bookmarkEnd w:id="639"/>
      <w:bookmarkEnd w:id="640"/>
    </w:p>
    <w:p>
      <w:pPr>
        <w:pStyle w:val="Style5"/>
        <w:keepNext w:val="0"/>
        <w:keepLines w:val="0"/>
        <w:widowControl w:val="0"/>
        <w:shd w:val="clear" w:color="auto" w:fill="auto"/>
        <w:bidi w:val="0"/>
        <w:spacing w:before="0" w:after="60" w:line="240" w:lineRule="auto"/>
        <w:ind w:left="0" w:right="0" w:firstLine="76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tabs>
          <w:tab w:pos="1510" w:val="left"/>
        </w:tabs>
        <w:bidi w:val="0"/>
        <w:spacing w:before="0" w:after="0" w:line="240" w:lineRule="auto"/>
        <w:ind w:left="0" w:right="0" w:firstLine="920"/>
        <w:jc w:val="both"/>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32"/>
        <w:keepNext w:val="0"/>
        <w:keepLines w:val="0"/>
        <w:widowControl w:val="0"/>
        <w:shd w:val="clear" w:color="auto" w:fill="auto"/>
        <w:bidi w:val="0"/>
        <w:spacing w:before="0" w:after="360" w:line="240" w:lineRule="auto"/>
        <w:ind w:left="0" w:right="0" w:firstLine="760"/>
        <w:jc w:val="both"/>
      </w:pPr>
      <w:r>
        <w:rPr>
          <w:color w:val="000000"/>
          <w:spacing w:val="0"/>
          <w:w w:val="100"/>
          <w:position w:val="0"/>
        </w:rPr>
        <w:t>方案》，听取了高级管理人员的年度工作汇报，并对高级管理人员的业绩和行为进行评估。</w:t>
      </w:r>
    </w:p>
    <w:p>
      <w:pPr>
        <w:pStyle w:val="Style47"/>
        <w:keepNext/>
        <w:keepLines/>
        <w:widowControl w:val="0"/>
        <w:shd w:val="clear" w:color="auto" w:fill="auto"/>
        <w:bidi w:val="0"/>
        <w:spacing w:before="0" w:after="360" w:line="240" w:lineRule="auto"/>
        <w:ind w:left="0" w:right="0" w:firstLine="760"/>
        <w:jc w:val="left"/>
      </w:pPr>
      <w:bookmarkStart w:id="641" w:name="bookmark641"/>
      <w:bookmarkStart w:id="642" w:name="bookmark642"/>
      <w:bookmarkStart w:id="643" w:name="bookmark643"/>
      <w:bookmarkStart w:id="644" w:name="bookmark644"/>
      <w:r>
        <w:rPr>
          <w:color w:val="000000"/>
          <w:spacing w:val="0"/>
          <w:w w:val="100"/>
          <w:position w:val="0"/>
          <w:sz w:val="24"/>
          <w:szCs w:val="24"/>
        </w:rPr>
        <w:t>七</w:t>
      </w:r>
      <w:bookmarkEnd w:id="643"/>
      <w:r>
        <w:rPr>
          <w:color w:val="000000"/>
          <w:spacing w:val="0"/>
          <w:w w:val="100"/>
          <w:position w:val="0"/>
          <w:sz w:val="24"/>
          <w:szCs w:val="24"/>
        </w:rPr>
        <w:t>、监事会工作情况</w:t>
      </w:r>
      <w:bookmarkEnd w:id="641"/>
      <w:bookmarkEnd w:id="642"/>
      <w:bookmarkEnd w:id="644"/>
    </w:p>
    <w:p>
      <w:pPr>
        <w:pStyle w:val="Style32"/>
        <w:keepNext w:val="0"/>
        <w:keepLines w:val="0"/>
        <w:widowControl w:val="0"/>
        <w:shd w:val="clear" w:color="auto" w:fill="auto"/>
        <w:bidi w:val="0"/>
        <w:spacing w:before="0" w:after="140" w:line="240" w:lineRule="auto"/>
        <w:ind w:left="0" w:right="0" w:firstLine="760"/>
        <w:jc w:val="left"/>
      </w:pPr>
      <w:r>
        <w:rPr>
          <w:color w:val="000000"/>
          <w:spacing w:val="0"/>
          <w:w w:val="100"/>
          <w:position w:val="0"/>
        </w:rPr>
        <w:t>监事会在报告期内的监督活动中发现公司是否存在风险</w:t>
      </w:r>
    </w:p>
    <w:p>
      <w:pPr>
        <w:pStyle w:val="Style32"/>
        <w:keepNext w:val="0"/>
        <w:keepLines w:val="0"/>
        <w:widowControl w:val="0"/>
        <w:shd w:val="clear" w:color="auto" w:fill="auto"/>
        <w:bidi w:val="0"/>
        <w:spacing w:before="0" w:after="140" w:line="240" w:lineRule="auto"/>
        <w:ind w:left="0" w:right="0" w:firstLine="76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2"/>
        <w:keepNext w:val="0"/>
        <w:keepLines w:val="0"/>
        <w:widowControl w:val="0"/>
        <w:shd w:val="clear" w:color="auto" w:fill="auto"/>
        <w:bidi w:val="0"/>
        <w:spacing w:before="0" w:after="360" w:line="240" w:lineRule="auto"/>
        <w:ind w:left="0" w:right="0" w:firstLine="760"/>
        <w:jc w:val="left"/>
      </w:pPr>
      <w:r>
        <w:rPr>
          <w:color w:val="000000"/>
          <w:spacing w:val="0"/>
          <w:w w:val="100"/>
          <w:position w:val="0"/>
        </w:rPr>
        <w:t>公司监事会对报告期内的监督事项无异议。</w:t>
      </w:r>
    </w:p>
    <w:p>
      <w:pPr>
        <w:pStyle w:val="Style47"/>
        <w:keepNext/>
        <w:keepLines/>
        <w:widowControl w:val="0"/>
        <w:shd w:val="clear" w:color="auto" w:fill="auto"/>
        <w:bidi w:val="0"/>
        <w:spacing w:before="0" w:after="240" w:line="240" w:lineRule="auto"/>
        <w:ind w:left="0" w:right="0" w:firstLine="760"/>
        <w:jc w:val="left"/>
      </w:pPr>
      <w:bookmarkStart w:id="645" w:name="bookmark645"/>
      <w:bookmarkStart w:id="646" w:name="bookmark646"/>
      <w:bookmarkStart w:id="647" w:name="bookmark647"/>
      <w:bookmarkStart w:id="648" w:name="bookmark648"/>
      <w:r>
        <w:rPr>
          <w:color w:val="000000"/>
          <w:spacing w:val="0"/>
          <w:w w:val="100"/>
          <w:position w:val="0"/>
          <w:sz w:val="24"/>
          <w:szCs w:val="24"/>
        </w:rPr>
        <w:t>八</w:t>
      </w:r>
      <w:bookmarkEnd w:id="647"/>
      <w:r>
        <w:rPr>
          <w:color w:val="000000"/>
          <w:spacing w:val="0"/>
          <w:w w:val="100"/>
          <w:position w:val="0"/>
          <w:sz w:val="24"/>
          <w:szCs w:val="24"/>
        </w:rPr>
        <w:t>、高级管理人员的考评及激励情况</w:t>
      </w:r>
      <w:bookmarkEnd w:id="645"/>
      <w:bookmarkEnd w:id="646"/>
      <w:bookmarkEnd w:id="648"/>
    </w:p>
    <w:p>
      <w:pPr>
        <w:pStyle w:val="Style32"/>
        <w:keepNext w:val="0"/>
        <w:keepLines w:val="0"/>
        <w:widowControl w:val="0"/>
        <w:shd w:val="clear" w:color="auto" w:fill="auto"/>
        <w:bidi w:val="0"/>
        <w:spacing w:before="0" w:after="360" w:line="314" w:lineRule="exact"/>
        <w:ind w:left="760" w:right="0" w:firstLine="0"/>
        <w:jc w:val="both"/>
      </w:pPr>
      <w:r>
        <w:rPr>
          <w:color w:val="000000"/>
          <w:spacing w:val="0"/>
          <w:w w:val="100"/>
          <w:position w:val="0"/>
        </w:rPr>
        <w:t>公司参考不同地域和行业的薪酬水平，结合公司生产经营的实际情况，按照风险、责任与利益相协调的原则，确立高级管理 人员的薪酬与公司业绩挂钩的绩效考核与激励约束机制，每年开展高级管理人员工作述职以及绩效考评，并根据年终考核结 果确定薪酬方案。</w:t>
      </w:r>
    </w:p>
    <w:p>
      <w:pPr>
        <w:pStyle w:val="Style47"/>
        <w:keepNext/>
        <w:keepLines/>
        <w:widowControl w:val="0"/>
        <w:shd w:val="clear" w:color="auto" w:fill="auto"/>
        <w:bidi w:val="0"/>
        <w:spacing w:before="0" w:after="360" w:line="240" w:lineRule="auto"/>
        <w:ind w:left="0" w:right="0" w:firstLine="760"/>
        <w:jc w:val="both"/>
      </w:pPr>
      <w:bookmarkStart w:id="649" w:name="bookmark649"/>
      <w:bookmarkStart w:id="650" w:name="bookmark650"/>
      <w:bookmarkStart w:id="651" w:name="bookmark651"/>
      <w:bookmarkStart w:id="652" w:name="bookmark652"/>
      <w:r>
        <w:rPr>
          <w:color w:val="000000"/>
          <w:spacing w:val="0"/>
          <w:w w:val="100"/>
          <w:position w:val="0"/>
          <w:sz w:val="24"/>
          <w:szCs w:val="24"/>
        </w:rPr>
        <w:t>九</w:t>
      </w:r>
      <w:bookmarkEnd w:id="651"/>
      <w:r>
        <w:rPr>
          <w:color w:val="000000"/>
          <w:spacing w:val="0"/>
          <w:w w:val="100"/>
          <w:position w:val="0"/>
          <w:sz w:val="24"/>
          <w:szCs w:val="24"/>
        </w:rPr>
        <w:t>、内部控制评价报告</w:t>
      </w:r>
      <w:bookmarkEnd w:id="649"/>
      <w:bookmarkEnd w:id="650"/>
      <w:bookmarkEnd w:id="652"/>
    </w:p>
    <w:p>
      <w:pPr>
        <w:pStyle w:val="Style55"/>
        <w:keepNext/>
        <w:keepLines/>
        <w:widowControl w:val="0"/>
        <w:shd w:val="clear" w:color="auto" w:fill="auto"/>
        <w:bidi w:val="0"/>
        <w:spacing w:before="0" w:after="360" w:line="240" w:lineRule="auto"/>
        <w:ind w:left="0" w:right="0" w:firstLine="760"/>
        <w:jc w:val="both"/>
      </w:pPr>
      <w:bookmarkStart w:id="653" w:name="bookmark653"/>
      <w:bookmarkStart w:id="654" w:name="bookmark654"/>
      <w:bookmarkStart w:id="655" w:name="bookmark655"/>
      <w:bookmarkStart w:id="656" w:name="bookmark656"/>
      <w:r>
        <w:rPr>
          <w:rFonts w:ascii="Times New Roman" w:eastAsia="Times New Roman" w:hAnsi="Times New Roman" w:cs="Times New Roman"/>
          <w:color w:val="000000"/>
          <w:spacing w:val="0"/>
          <w:w w:val="100"/>
          <w:position w:val="0"/>
        </w:rPr>
        <w:t>1</w:t>
      </w:r>
      <w:bookmarkEnd w:id="655"/>
      <w:r>
        <w:rPr>
          <w:color w:val="000000"/>
          <w:spacing w:val="0"/>
          <w:w w:val="100"/>
          <w:position w:val="0"/>
        </w:rPr>
        <w:t>、报告期内发现的内部控制重大缺陷的具体情况</w:t>
      </w:r>
      <w:bookmarkEnd w:id="653"/>
      <w:bookmarkEnd w:id="654"/>
      <w:bookmarkEnd w:id="656"/>
    </w:p>
    <w:p>
      <w:pPr>
        <w:pStyle w:val="Style32"/>
        <w:keepNext w:val="0"/>
        <w:keepLines w:val="0"/>
        <w:widowControl w:val="0"/>
        <w:shd w:val="clear" w:color="auto" w:fill="auto"/>
        <w:bidi w:val="0"/>
        <w:spacing w:before="0" w:after="360" w:line="240" w:lineRule="auto"/>
        <w:ind w:left="0" w:right="0" w:firstLine="760"/>
        <w:jc w:val="both"/>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55"/>
        <w:keepNext/>
        <w:keepLines/>
        <w:widowControl w:val="0"/>
        <w:shd w:val="clear" w:color="auto" w:fill="auto"/>
        <w:bidi w:val="0"/>
        <w:spacing w:before="0" w:after="360" w:line="240" w:lineRule="auto"/>
        <w:ind w:left="0" w:right="0" w:firstLine="760"/>
        <w:jc w:val="both"/>
      </w:pPr>
      <w:bookmarkStart w:id="657" w:name="bookmark657"/>
      <w:bookmarkStart w:id="658" w:name="bookmark658"/>
      <w:bookmarkStart w:id="659" w:name="bookmark659"/>
      <w:bookmarkStart w:id="660" w:name="bookmark660"/>
      <w:r>
        <w:rPr>
          <w:rFonts w:ascii="Times New Roman" w:eastAsia="Times New Roman" w:hAnsi="Times New Roman" w:cs="Times New Roman"/>
          <w:color w:val="000000"/>
          <w:spacing w:val="0"/>
          <w:w w:val="100"/>
          <w:position w:val="0"/>
        </w:rPr>
        <w:t>2</w:t>
      </w:r>
      <w:bookmarkEnd w:id="659"/>
      <w:r>
        <w:rPr>
          <w:color w:val="000000"/>
          <w:spacing w:val="0"/>
          <w:w w:val="100"/>
          <w:position w:val="0"/>
        </w:rPr>
        <w:t>、内控自我评价报告</w:t>
      </w:r>
      <w:bookmarkEnd w:id="657"/>
      <w:bookmarkEnd w:id="658"/>
      <w:bookmarkEnd w:id="660"/>
    </w:p>
    <w:tbl>
      <w:tblPr>
        <w:tblOverlap w:val="never"/>
        <w:jc w:val="center"/>
        <w:tblLayout w:type="fixed"/>
      </w:tblPr>
      <w:tblGrid>
        <w:gridCol w:w="3202"/>
        <w:gridCol w:w="3322"/>
        <w:gridCol w:w="3062"/>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内部控制评价报告全文披露日期</w:t>
            </w:r>
          </w:p>
        </w:tc>
        <w:tc>
          <w:tcPr>
            <w:gridSpan w:val="2"/>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内部控制评价报告全文披露索引</w:t>
            </w:r>
          </w:p>
        </w:tc>
        <w:tc>
          <w:tcPr>
            <w:gridSpan w:val="2"/>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巨潮资讯网</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纳入评价范围单位资产总额占公司合并 财务报表资产总额的比例</w:t>
            </w:r>
          </w:p>
        </w:tc>
        <w:tc>
          <w:tcPr>
            <w:gridSpan w:val="2"/>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r>
      <w:tr>
        <w:trPr>
          <w:trHeight w:val="71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纳入评价范围单位营业收入占公司合并 财务报表营业收入的比例</w:t>
            </w:r>
          </w:p>
        </w:tc>
        <w:tc>
          <w:tcPr>
            <w:gridSpan w:val="2"/>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99.99%</w:t>
            </w:r>
          </w:p>
        </w:tc>
      </w:tr>
      <w:tr>
        <w:trPr>
          <w:trHeight w:val="403" w:hRule="exact"/>
        </w:trPr>
        <w:tc>
          <w:tcPr>
            <w:gridSpan w:val="3"/>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缺陷认定标准</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财务报告</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非财务报告</w:t>
            </w:r>
          </w:p>
        </w:tc>
      </w:tr>
      <w:tr>
        <w:trPr>
          <w:trHeight w:val="3802"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定性标准</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重大缺陷：</w:t>
            </w:r>
            <w:r>
              <w:rPr>
                <w:rFonts w:ascii="Times New Roman" w:eastAsia="Times New Roman" w:hAnsi="Times New Roman" w:cs="Times New Roman"/>
                <w:color w:val="000000"/>
                <w:spacing w:val="0"/>
                <w:w w:val="100"/>
                <w:position w:val="0"/>
              </w:rPr>
              <w:t>1</w:t>
            </w:r>
            <w:r>
              <w:rPr>
                <w:color w:val="000000"/>
                <w:spacing w:val="0"/>
                <w:w w:val="100"/>
                <w:position w:val="0"/>
              </w:rPr>
              <w:t>、董事、监事和高级管理人员 存在舞弊行为；</w:t>
            </w:r>
            <w:r>
              <w:rPr>
                <w:rFonts w:ascii="Times New Roman" w:eastAsia="Times New Roman" w:hAnsi="Times New Roman" w:cs="Times New Roman"/>
                <w:color w:val="000000"/>
                <w:spacing w:val="0"/>
                <w:w w:val="100"/>
                <w:position w:val="0"/>
              </w:rPr>
              <w:t>2</w:t>
            </w:r>
            <w:r>
              <w:rPr>
                <w:color w:val="000000"/>
                <w:spacing w:val="0"/>
                <w:w w:val="100"/>
                <w:position w:val="0"/>
              </w:rPr>
              <w:t>、公司更正已公布的财务 报告；</w:t>
            </w:r>
            <w:r>
              <w:rPr>
                <w:rFonts w:ascii="Times New Roman" w:eastAsia="Times New Roman" w:hAnsi="Times New Roman" w:cs="Times New Roman"/>
                <w:color w:val="000000"/>
                <w:spacing w:val="0"/>
                <w:w w:val="100"/>
                <w:position w:val="0"/>
              </w:rPr>
              <w:t>3</w:t>
            </w:r>
            <w:r>
              <w:rPr>
                <w:color w:val="000000"/>
                <w:spacing w:val="0"/>
                <w:w w:val="100"/>
                <w:position w:val="0"/>
              </w:rPr>
              <w:t>、外部审计发现当期财务报告存在 重大错报，公司内部控制在运行过程中未 能发现该错报；</w:t>
            </w:r>
            <w:r>
              <w:rPr>
                <w:rFonts w:ascii="Times New Roman" w:eastAsia="Times New Roman" w:hAnsi="Times New Roman" w:cs="Times New Roman"/>
                <w:color w:val="000000"/>
                <w:spacing w:val="0"/>
                <w:w w:val="100"/>
                <w:position w:val="0"/>
              </w:rPr>
              <w:t>4</w:t>
            </w:r>
            <w:r>
              <w:rPr>
                <w:color w:val="000000"/>
                <w:spacing w:val="0"/>
                <w:w w:val="100"/>
                <w:position w:val="0"/>
              </w:rPr>
              <w:t>、其他可能对公司内控目 标产生重大影响的情形。重要缺陷：各种 可能对公司内控目标产生严重影响的情 形。一般缺陷：重大缺陷与重要缺陷包括 情形以外的、各种可能对公司内控目标产 生影响的情形。</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重大缺陷：</w:t>
            </w:r>
            <w:r>
              <w:rPr>
                <w:rFonts w:ascii="Times New Roman" w:eastAsia="Times New Roman" w:hAnsi="Times New Roman" w:cs="Times New Roman"/>
                <w:color w:val="000000"/>
                <w:spacing w:val="0"/>
                <w:w w:val="100"/>
                <w:position w:val="0"/>
              </w:rPr>
              <w:t>1</w:t>
            </w:r>
            <w:r>
              <w:rPr>
                <w:color w:val="000000"/>
                <w:spacing w:val="0"/>
                <w:w w:val="100"/>
                <w:position w:val="0"/>
              </w:rPr>
              <w:t>、重大决策程序缺失；</w:t>
            </w:r>
            <w:r>
              <w:rPr>
                <w:rFonts w:ascii="Times New Roman" w:eastAsia="Times New Roman" w:hAnsi="Times New Roman" w:cs="Times New Roman"/>
                <w:color w:val="000000"/>
                <w:spacing w:val="0"/>
                <w:w w:val="100"/>
                <w:position w:val="0"/>
              </w:rPr>
              <w:t>2</w:t>
            </w:r>
            <w:r>
              <w:rPr>
                <w:color w:val="000000"/>
                <w:spacing w:val="0"/>
                <w:w w:val="100"/>
                <w:position w:val="0"/>
              </w:rPr>
              <w:t>、 违反国家法律、法规或规范性文件；</w:t>
            </w:r>
            <w:r>
              <w:rPr>
                <w:rFonts w:ascii="Times New Roman" w:eastAsia="Times New Roman" w:hAnsi="Times New Roman" w:cs="Times New Roman"/>
                <w:color w:val="000000"/>
                <w:spacing w:val="0"/>
                <w:w w:val="100"/>
                <w:position w:val="0"/>
              </w:rPr>
              <w:t>3</w:t>
            </w:r>
            <w:r>
              <w:rPr>
                <w:color w:val="000000"/>
                <w:spacing w:val="0"/>
                <w:w w:val="100"/>
                <w:position w:val="0"/>
              </w:rPr>
              <w:t>、 重要管理方面缺乏制度控制或系统性 失效；</w:t>
            </w:r>
            <w:r>
              <w:rPr>
                <w:rFonts w:ascii="Times New Roman" w:eastAsia="Times New Roman" w:hAnsi="Times New Roman" w:cs="Times New Roman"/>
                <w:color w:val="000000"/>
                <w:spacing w:val="0"/>
                <w:w w:val="100"/>
                <w:position w:val="0"/>
              </w:rPr>
              <w:t>4</w:t>
            </w:r>
            <w:r>
              <w:rPr>
                <w:color w:val="000000"/>
                <w:spacing w:val="0"/>
                <w:w w:val="100"/>
                <w:position w:val="0"/>
              </w:rPr>
              <w:t>、中高层管理人员或核心岗位 人员流失严重；</w:t>
            </w:r>
            <w:r>
              <w:rPr>
                <w:rFonts w:ascii="Times New Roman" w:eastAsia="Times New Roman" w:hAnsi="Times New Roman" w:cs="Times New Roman"/>
                <w:color w:val="000000"/>
                <w:spacing w:val="0"/>
                <w:w w:val="100"/>
                <w:position w:val="0"/>
              </w:rPr>
              <w:t>5</w:t>
            </w:r>
            <w:r>
              <w:rPr>
                <w:color w:val="000000"/>
                <w:spacing w:val="0"/>
                <w:w w:val="100"/>
                <w:position w:val="0"/>
              </w:rPr>
              <w:t>、重大或重要缺陷未 得到整改；</w:t>
            </w:r>
            <w:r>
              <w:rPr>
                <w:rFonts w:ascii="Times New Roman" w:eastAsia="Times New Roman" w:hAnsi="Times New Roman" w:cs="Times New Roman"/>
                <w:color w:val="000000"/>
                <w:spacing w:val="0"/>
                <w:w w:val="100"/>
                <w:position w:val="0"/>
              </w:rPr>
              <w:t>6</w:t>
            </w:r>
            <w:r>
              <w:rPr>
                <w:color w:val="000000"/>
                <w:spacing w:val="0"/>
                <w:w w:val="100"/>
                <w:position w:val="0"/>
              </w:rPr>
              <w:t>、媒体出现负面信息、产 生重大影响；</w:t>
            </w:r>
            <w:r>
              <w:rPr>
                <w:rFonts w:ascii="Times New Roman" w:eastAsia="Times New Roman" w:hAnsi="Times New Roman" w:cs="Times New Roman"/>
                <w:color w:val="000000"/>
                <w:spacing w:val="0"/>
                <w:w w:val="100"/>
                <w:position w:val="0"/>
              </w:rPr>
              <w:t>7</w:t>
            </w:r>
            <w:r>
              <w:rPr>
                <w:color w:val="000000"/>
                <w:spacing w:val="0"/>
                <w:w w:val="100"/>
                <w:position w:val="0"/>
              </w:rPr>
              <w:t xml:space="preserve">、其他可能对公司内控 目标产生重大影响的情形。重要缺陷： </w:t>
            </w:r>
            <w:r>
              <w:rPr>
                <w:rFonts w:ascii="Times New Roman" w:eastAsia="Times New Roman" w:hAnsi="Times New Roman" w:cs="Times New Roman"/>
                <w:color w:val="000000"/>
                <w:spacing w:val="0"/>
                <w:w w:val="100"/>
                <w:position w:val="0"/>
              </w:rPr>
              <w:t>1</w:t>
            </w:r>
            <w:r>
              <w:rPr>
                <w:color w:val="000000"/>
                <w:spacing w:val="0"/>
                <w:w w:val="100"/>
                <w:position w:val="0"/>
              </w:rPr>
              <w:t>、重大决策程序不完善；</w:t>
            </w:r>
            <w:r>
              <w:rPr>
                <w:rFonts w:ascii="Times New Roman" w:eastAsia="Times New Roman" w:hAnsi="Times New Roman" w:cs="Times New Roman"/>
                <w:color w:val="000000"/>
                <w:spacing w:val="0"/>
                <w:w w:val="100"/>
                <w:position w:val="0"/>
              </w:rPr>
              <w:t>2</w:t>
            </w:r>
            <w:r>
              <w:rPr>
                <w:color w:val="000000"/>
                <w:spacing w:val="0"/>
                <w:w w:val="100"/>
                <w:position w:val="0"/>
              </w:rPr>
              <w:t>、违反公司 管理制度且造成严重损失；</w:t>
            </w:r>
            <w:r>
              <w:rPr>
                <w:rFonts w:ascii="Times New Roman" w:eastAsia="Times New Roman" w:hAnsi="Times New Roman" w:cs="Times New Roman"/>
                <w:color w:val="000000"/>
                <w:spacing w:val="0"/>
                <w:w w:val="100"/>
                <w:position w:val="0"/>
              </w:rPr>
              <w:t>3</w:t>
            </w:r>
            <w:r>
              <w:rPr>
                <w:color w:val="000000"/>
                <w:spacing w:val="0"/>
                <w:w w:val="100"/>
                <w:position w:val="0"/>
              </w:rPr>
              <w:t>、重要管 理方面的制度不完善或存在缺陷；</w:t>
            </w:r>
            <w:r>
              <w:rPr>
                <w:rFonts w:ascii="Times New Roman" w:eastAsia="Times New Roman" w:hAnsi="Times New Roman" w:cs="Times New Roman"/>
                <w:color w:val="000000"/>
                <w:spacing w:val="0"/>
                <w:w w:val="100"/>
                <w:position w:val="0"/>
              </w:rPr>
              <w:t>4</w:t>
            </w:r>
            <w:r>
              <w:rPr>
                <w:color w:val="000000"/>
                <w:spacing w:val="0"/>
                <w:w w:val="100"/>
                <w:position w:val="0"/>
              </w:rPr>
              <w:t>、 关键岗位人员流失严重；</w:t>
            </w:r>
            <w:r>
              <w:rPr>
                <w:rFonts w:ascii="Times New Roman" w:eastAsia="Times New Roman" w:hAnsi="Times New Roman" w:cs="Times New Roman"/>
                <w:color w:val="000000"/>
                <w:spacing w:val="0"/>
                <w:w w:val="100"/>
                <w:position w:val="0"/>
              </w:rPr>
              <w:t>5</w:t>
            </w:r>
            <w:r>
              <w:rPr>
                <w:color w:val="000000"/>
                <w:spacing w:val="0"/>
                <w:w w:val="100"/>
                <w:position w:val="0"/>
              </w:rPr>
              <w:t>、重要或一</w:t>
            </w:r>
          </w:p>
        </w:tc>
      </w:tr>
    </w:tbl>
    <w:p>
      <w:pPr>
        <w:sectPr>
          <w:footnotePr>
            <w:pos w:val="pageBottom"/>
            <w:numFmt w:val="decimal"/>
            <w:numRestart w:val="continuous"/>
          </w:footnotePr>
          <w:pgSz w:w="11900" w:h="16840"/>
          <w:pgMar w:top="678" w:right="1107" w:bottom="1158" w:left="358" w:header="0" w:footer="3" w:gutter="0"/>
          <w:cols w:space="720"/>
          <w:noEndnote/>
          <w:rtlGutter w:val="0"/>
          <w:docGrid w:linePitch="360"/>
        </w:sectPr>
      </w:pPr>
    </w:p>
    <w:p>
      <w:pPr>
        <w:widowControl w:val="0"/>
        <w:spacing w:line="1" w:lineRule="exact"/>
      </w:pPr>
      <w:r>
        <w:drawing>
          <wp:anchor distT="0" distB="1200785" distL="114300" distR="4878705" simplePos="0" relativeHeight="125829509" behindDoc="0" locked="0" layoutInCell="1" allowOverlap="1">
            <wp:simplePos x="0" y="0"/>
            <wp:positionH relativeFrom="page">
              <wp:posOffset>722630</wp:posOffset>
            </wp:positionH>
            <wp:positionV relativeFrom="paragraph">
              <wp:posOffset>12700</wp:posOffset>
            </wp:positionV>
            <wp:extent cx="1304290" cy="494030"/>
            <wp:wrapTopAndBottom/>
            <wp:docPr id="531" name="Shape 531"/>
            <a:graphic xmlns:a="http://schemas.openxmlformats.org/drawingml/2006/main">
              <a:graphicData uri="http://schemas.openxmlformats.org/drawingml/2006/picture">
                <pic:pic xmlns:pic="http://schemas.openxmlformats.org/drawingml/2006/picture">
                  <pic:nvPicPr>
                    <pic:cNvPr id="532" name="Picture box 532"/>
                    <pic:cNvPicPr/>
                  </pic:nvPicPr>
                  <pic:blipFill>
                    <a:blip r:embed="rId215"/>
                    <a:stretch/>
                  </pic:blipFill>
                  <pic:spPr>
                    <a:xfrm>
                      <a:ext cx="1304290" cy="49403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1219200</wp:posOffset>
                </wp:positionH>
                <wp:positionV relativeFrom="paragraph">
                  <wp:posOffset>256540</wp:posOffset>
                </wp:positionV>
                <wp:extent cx="822960" cy="247015"/>
                <wp:wrapNone/>
                <wp:docPr id="533" name="Shape 533"/>
                <a:graphic xmlns:a="http://schemas.openxmlformats.org/drawingml/2006/main">
                  <a:graphicData uri="http://schemas.microsoft.com/office/word/2010/wordprocessingShape">
                    <wps:wsp>
                      <wps:cNvSpPr txBox="1"/>
                      <wps:spPr>
                        <a:xfrm>
                          <a:ext cx="822960" cy="24701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xbxContent>
                      </wps:txbx>
                      <wps:bodyPr lIns="0" tIns="0" rIns="0" bIns="0">
                        <a:noAutoFit/>
                      </wps:bodyPr>
                    </wps:wsp>
                  </a:graphicData>
                </a:graphic>
              </wp:anchor>
            </w:drawing>
          </mc:Choice>
          <mc:Fallback>
            <w:pict>
              <v:shape id="_x0000_s1559" type="#_x0000_t202" style="position:absolute;margin-left:96.pt;margin-top:20.199999999999999pt;width:64.799999999999997pt;height:19.449999999999999pt;z-index:251657735;mso-wrap-distance-left:0;mso-wrap-distance-right:0;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xbxContent>
                </v:textbox>
                <w10:wrap anchorx="page"/>
              </v:shape>
            </w:pict>
          </mc:Fallback>
        </mc:AlternateContent>
      </w:r>
      <w:r>
        <mc:AlternateContent>
          <mc:Choice Requires="wps">
            <w:drawing>
              <wp:anchor distT="496570" distB="635" distL="4253230" distR="114935" simplePos="0" relativeHeight="125829510" behindDoc="0" locked="0" layoutInCell="1" allowOverlap="1">
                <wp:simplePos x="0" y="0"/>
                <wp:positionH relativeFrom="page">
                  <wp:posOffset>4861560</wp:posOffset>
                </wp:positionH>
                <wp:positionV relativeFrom="paragraph">
                  <wp:posOffset>509270</wp:posOffset>
                </wp:positionV>
                <wp:extent cx="1929130" cy="1197610"/>
                <wp:wrapTopAndBottom/>
                <wp:docPr id="535" name="Shape 535"/>
                <a:graphic xmlns:a="http://schemas.openxmlformats.org/drawingml/2006/main">
                  <a:graphicData uri="http://schemas.microsoft.com/office/word/2010/wordprocessingShape">
                    <wps:wsp>
                      <wps:cNvSpPr txBox="1"/>
                      <wps:spPr>
                        <a:xfrm>
                          <a:ext cx="1929130" cy="1197610"/>
                        </a:xfrm>
                        <a:prstGeom prst="rect"/>
                        <a:noFill/>
                      </wps:spPr>
                      <wps:txbx>
                        <w:txbxContent>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般缺陷未得到整改；</w:t>
                            </w:r>
                            <w:r>
                              <w:rPr>
                                <w:rFonts w:ascii="Times New Roman" w:eastAsia="Times New Roman" w:hAnsi="Times New Roman" w:cs="Times New Roman"/>
                                <w:color w:val="000000"/>
                                <w:spacing w:val="0"/>
                                <w:w w:val="100"/>
                                <w:position w:val="0"/>
                              </w:rPr>
                              <w:t>6</w:t>
                            </w:r>
                            <w:r>
                              <w:rPr>
                                <w:color w:val="000000"/>
                                <w:spacing w:val="0"/>
                                <w:w w:val="100"/>
                                <w:position w:val="0"/>
                              </w:rPr>
                              <w:t>、媒体出现负面 信息，产生重要影响；</w:t>
                            </w:r>
                            <w:r>
                              <w:rPr>
                                <w:rFonts w:ascii="Times New Roman" w:eastAsia="Times New Roman" w:hAnsi="Times New Roman" w:cs="Times New Roman"/>
                                <w:color w:val="000000"/>
                                <w:spacing w:val="0"/>
                                <w:w w:val="100"/>
                                <w:position w:val="0"/>
                              </w:rPr>
                              <w:t>7</w:t>
                            </w:r>
                            <w:r>
                              <w:rPr>
                                <w:color w:val="000000"/>
                                <w:spacing w:val="0"/>
                                <w:w w:val="100"/>
                                <w:position w:val="0"/>
                              </w:rPr>
                              <w:t>、其他可能对 公司内控目标产生严重影响的情形。一 般缺陷：重大缺陷与重要缺陷包括情形 以外的、各种可能对公司内控目标产生 影响的情形。</w:t>
                            </w:r>
                          </w:p>
                        </w:txbxContent>
                      </wps:txbx>
                      <wps:bodyPr lIns="0" tIns="0" rIns="0" bIns="0">
                        <a:noAutoFit/>
                      </wps:bodyPr>
                    </wps:wsp>
                  </a:graphicData>
                </a:graphic>
              </wp:anchor>
            </w:drawing>
          </mc:Choice>
          <mc:Fallback>
            <w:pict>
              <v:shape id="_x0000_s1561" type="#_x0000_t202" style="position:absolute;margin-left:382.80000000000001pt;margin-top:40.100000000000001pt;width:151.90000000000001pt;height:94.299999999999997pt;z-index:-125829243;mso-wrap-distance-left:334.90000000000003pt;mso-wrap-distance-top:39.100000000000001pt;mso-wrap-distance-right:9.0500000000000007pt;mso-wrap-distance-bottom:5.0000000000000003e-002pt;mso-position-horizontal-relative:page" filled="f" stroked="f">
                <v:textbox inset="0,0,0,0">
                  <w:txbxContent>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般缺陷未得到整改；</w:t>
                      </w:r>
                      <w:r>
                        <w:rPr>
                          <w:rFonts w:ascii="Times New Roman" w:eastAsia="Times New Roman" w:hAnsi="Times New Roman" w:cs="Times New Roman"/>
                          <w:color w:val="000000"/>
                          <w:spacing w:val="0"/>
                          <w:w w:val="100"/>
                          <w:position w:val="0"/>
                        </w:rPr>
                        <w:t>6</w:t>
                      </w:r>
                      <w:r>
                        <w:rPr>
                          <w:color w:val="000000"/>
                          <w:spacing w:val="0"/>
                          <w:w w:val="100"/>
                          <w:position w:val="0"/>
                        </w:rPr>
                        <w:t>、媒体出现负面 信息，产生重要影响；</w:t>
                      </w:r>
                      <w:r>
                        <w:rPr>
                          <w:rFonts w:ascii="Times New Roman" w:eastAsia="Times New Roman" w:hAnsi="Times New Roman" w:cs="Times New Roman"/>
                          <w:color w:val="000000"/>
                          <w:spacing w:val="0"/>
                          <w:w w:val="100"/>
                          <w:position w:val="0"/>
                        </w:rPr>
                        <w:t>7</w:t>
                      </w:r>
                      <w:r>
                        <w:rPr>
                          <w:color w:val="000000"/>
                          <w:spacing w:val="0"/>
                          <w:w w:val="100"/>
                          <w:position w:val="0"/>
                        </w:rPr>
                        <w:t>、其他可能对 公司内控目标产生严重影响的情形。一 般缺陷：重大缺陷与重要缺陷包括情形 以外的、各种可能对公司内控目标产生 影响的情形。</w:t>
                      </w:r>
                    </w:p>
                  </w:txbxContent>
                </v:textbox>
                <w10:wrap type="topAndBottom" anchorx="page"/>
              </v:shape>
            </w:pict>
          </mc:Fallback>
        </mc:AlternateContent>
      </w:r>
      <w:r>
        <mc:AlternateContent>
          <mc:Choice Requires="wps">
            <w:drawing>
              <wp:anchor distT="0" distB="0" distL="114300" distR="114300" simplePos="0" relativeHeight="125829512" behindDoc="0" locked="0" layoutInCell="1" allowOverlap="1">
                <wp:simplePos x="0" y="0"/>
                <wp:positionH relativeFrom="page">
                  <wp:posOffset>725805</wp:posOffset>
                </wp:positionH>
                <wp:positionV relativeFrom="paragraph">
                  <wp:posOffset>2843530</wp:posOffset>
                </wp:positionV>
                <wp:extent cx="478790" cy="146050"/>
                <wp:wrapSquare wrapText="right"/>
                <wp:docPr id="537" name="Shape 537"/>
                <a:graphic xmlns:a="http://schemas.openxmlformats.org/drawingml/2006/main">
                  <a:graphicData uri="http://schemas.microsoft.com/office/word/2010/wordprocessingShape">
                    <wps:wsp>
                      <wps:cNvSpPr txBox="1"/>
                      <wps:spPr>
                        <a:xfrm>
                          <a:ext cx="478790"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定量标准</w:t>
                            </w:r>
                          </w:p>
                        </w:txbxContent>
                      </wps:txbx>
                      <wps:bodyPr wrap="none" lIns="0" tIns="0" rIns="0" bIns="0">
                        <a:noAutoFit/>
                      </wps:bodyPr>
                    </wps:wsp>
                  </a:graphicData>
                </a:graphic>
              </wp:anchor>
            </w:drawing>
          </mc:Choice>
          <mc:Fallback>
            <w:pict>
              <v:shape id="_x0000_s1563" type="#_x0000_t202" style="position:absolute;margin-left:57.149999999999999pt;margin-top:223.90000000000001pt;width:37.700000000000003pt;height:11.5pt;z-index:-125829241;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定量标准</w:t>
                      </w:r>
                    </w:p>
                  </w:txbxContent>
                </v:textbox>
                <w10:wrap type="square" side="right" anchorx="page"/>
              </v:shape>
            </w:pict>
          </mc:Fallback>
        </mc:AlternateContent>
      </w:r>
      <w:r>
        <mc:AlternateContent>
          <mc:Choice Requires="wps">
            <w:drawing>
              <wp:anchor distT="0" distB="1911350" distL="0" distR="70485" simplePos="0" relativeHeight="125829514" behindDoc="0" locked="0" layoutInCell="1" allowOverlap="1">
                <wp:simplePos x="0" y="0"/>
                <wp:positionH relativeFrom="page">
                  <wp:posOffset>4861560</wp:posOffset>
                </wp:positionH>
                <wp:positionV relativeFrom="paragraph">
                  <wp:posOffset>2587625</wp:posOffset>
                </wp:positionV>
                <wp:extent cx="1856105" cy="606425"/>
                <wp:wrapSquare wrapText="left"/>
                <wp:docPr id="539" name="Shape 539"/>
                <a:graphic xmlns:a="http://schemas.openxmlformats.org/drawingml/2006/main">
                  <a:graphicData uri="http://schemas.microsoft.com/office/word/2010/wordprocessingShape">
                    <wps:wsp>
                      <wps:cNvSpPr txBox="1"/>
                      <wps:spPr>
                        <a:xfrm>
                          <a:ext cx="1856105" cy="606425"/>
                        </a:xfrm>
                        <a:prstGeom prst="rect"/>
                        <a:noFill/>
                      </wps:spPr>
                      <wps:txbx>
                        <w:txbxContent>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非财务报告内部控制缺陷定量评价标 准参照财务报告内部控制缺陷的定量 评价标准执行。</w:t>
                            </w:r>
                          </w:p>
                        </w:txbxContent>
                      </wps:txbx>
                      <wps:bodyPr lIns="0" tIns="0" rIns="0" bIns="0">
                        <a:noAutoFit/>
                      </wps:bodyPr>
                    </wps:wsp>
                  </a:graphicData>
                </a:graphic>
              </wp:anchor>
            </w:drawing>
          </mc:Choice>
          <mc:Fallback>
            <w:pict>
              <v:shape id="_x0000_s1565" type="#_x0000_t202" style="position:absolute;margin-left:382.80000000000001pt;margin-top:203.75pt;width:146.15000000000001pt;height:47.75pt;z-index:-125829239;mso-wrap-distance-left:0;mso-wrap-distance-right:5.5499999999999998pt;mso-wrap-distance-bottom:150.5pt;mso-position-horizontal-relative:page" filled="f" stroked="f">
                <v:textbox inset="0,0,0,0">
                  <w:txbxContent>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非财务报告内部控制缺陷定量评价标 准参照财务报告内部控制缺陷的定量 评价标准执行。</w:t>
                      </w:r>
                    </w:p>
                  </w:txbxContent>
                </v:textbox>
                <w10:wrap type="square" side="left" anchorx="page"/>
              </v:shape>
            </w:pict>
          </mc:Fallback>
        </mc:AlternateContent>
      </w:r>
      <w:r>
        <mc:AlternateContent>
          <mc:Choice Requires="wps">
            <w:drawing>
              <wp:anchor distT="1606550" distB="0" distL="1840865" distR="635" simplePos="0" relativeHeight="125829516" behindDoc="0" locked="0" layoutInCell="1" allowOverlap="1">
                <wp:simplePos x="0" y="0"/>
                <wp:positionH relativeFrom="page">
                  <wp:posOffset>6702425</wp:posOffset>
                </wp:positionH>
                <wp:positionV relativeFrom="paragraph">
                  <wp:posOffset>4194175</wp:posOffset>
                </wp:positionV>
                <wp:extent cx="85090" cy="911225"/>
                <wp:wrapSquare wrapText="left"/>
                <wp:docPr id="541" name="Shape 541"/>
                <a:graphic xmlns:a="http://schemas.openxmlformats.org/drawingml/2006/main">
                  <a:graphicData uri="http://schemas.microsoft.com/office/word/2010/wordprocessingShape">
                    <wps:wsp>
                      <wps:cNvSpPr txBox="1"/>
                      <wps:spPr>
                        <a:xfrm>
                          <a:ext cx="85090" cy="911225"/>
                        </a:xfrm>
                        <a:prstGeom prst="rect"/>
                        <a:noFill/>
                      </wps:spPr>
                      <wps:txbx>
                        <w:txbxContent>
                          <w:p>
                            <w:pPr>
                              <w:pStyle w:val="Style103"/>
                              <w:keepNext w:val="0"/>
                              <w:keepLines w:val="0"/>
                              <w:widowControl w:val="0"/>
                              <w:shd w:val="clear" w:color="auto" w:fill="auto"/>
                              <w:bidi w:val="0"/>
                              <w:spacing w:before="0" w:after="180" w:line="240" w:lineRule="auto"/>
                              <w:ind w:left="0" w:right="0" w:firstLine="0"/>
                              <w:jc w:val="left"/>
                            </w:pPr>
                            <w:r>
                              <w:rPr>
                                <w:color w:val="000000"/>
                                <w:spacing w:val="0"/>
                                <w:w w:val="100"/>
                                <w:position w:val="0"/>
                              </w:rPr>
                              <w:t>0</w:t>
                            </w:r>
                          </w:p>
                          <w:p>
                            <w:pPr>
                              <w:pStyle w:val="Style103"/>
                              <w:keepNext w:val="0"/>
                              <w:keepLines w:val="0"/>
                              <w:widowControl w:val="0"/>
                              <w:shd w:val="clear" w:color="auto" w:fill="auto"/>
                              <w:bidi w:val="0"/>
                              <w:spacing w:before="0" w:after="180" w:line="240" w:lineRule="auto"/>
                              <w:ind w:left="0" w:right="0" w:firstLine="0"/>
                              <w:jc w:val="left"/>
                            </w:pPr>
                            <w:r>
                              <w:rPr>
                                <w:color w:val="000000"/>
                                <w:spacing w:val="0"/>
                                <w:w w:val="100"/>
                                <w:position w:val="0"/>
                              </w:rPr>
                              <w:t>0</w:t>
                            </w:r>
                          </w:p>
                          <w:p>
                            <w:pPr>
                              <w:pStyle w:val="Style103"/>
                              <w:keepNext w:val="0"/>
                              <w:keepLines w:val="0"/>
                              <w:widowControl w:val="0"/>
                              <w:shd w:val="clear" w:color="auto" w:fill="auto"/>
                              <w:bidi w:val="0"/>
                              <w:spacing w:before="0" w:after="180" w:line="240" w:lineRule="auto"/>
                              <w:ind w:left="0" w:right="0" w:firstLine="0"/>
                              <w:jc w:val="left"/>
                            </w:pPr>
                            <w:r>
                              <w:rPr>
                                <w:color w:val="000000"/>
                                <w:spacing w:val="0"/>
                                <w:w w:val="100"/>
                                <w:position w:val="0"/>
                              </w:rPr>
                              <w:t>0</w:t>
                            </w:r>
                          </w:p>
                          <w:p>
                            <w:pPr>
                              <w:pStyle w:val="Style103"/>
                              <w:keepNext w:val="0"/>
                              <w:keepLines w:val="0"/>
                              <w:widowControl w:val="0"/>
                              <w:shd w:val="clear" w:color="auto" w:fill="auto"/>
                              <w:bidi w:val="0"/>
                              <w:spacing w:before="0" w:after="180" w:line="240" w:lineRule="auto"/>
                              <w:ind w:left="0" w:right="0" w:firstLine="0"/>
                              <w:jc w:val="left"/>
                            </w:pPr>
                            <w:r>
                              <w:rPr>
                                <w:color w:val="000000"/>
                                <w:spacing w:val="0"/>
                                <w:w w:val="100"/>
                                <w:position w:val="0"/>
                              </w:rPr>
                              <w:t>0</w:t>
                            </w:r>
                          </w:p>
                        </w:txbxContent>
                      </wps:txbx>
                      <wps:bodyPr lIns="0" tIns="0" rIns="0" bIns="0">
                        <a:noAutoFit/>
                      </wps:bodyPr>
                    </wps:wsp>
                  </a:graphicData>
                </a:graphic>
              </wp:anchor>
            </w:drawing>
          </mc:Choice>
          <mc:Fallback>
            <w:pict>
              <v:shape id="_x0000_s1567" type="#_x0000_t202" style="position:absolute;margin-left:527.75pt;margin-top:330.25pt;width:6.7000000000000002pt;height:71.75pt;z-index:-125829237;mso-wrap-distance-left:144.95000000000002pt;mso-wrap-distance-top:126.5pt;mso-wrap-distance-right:5.0000000000000003e-002pt;mso-position-horizontal-relative:page" filled="f" stroked="f">
                <v:textbox inset="0,0,0,0">
                  <w:txbxContent>
                    <w:p>
                      <w:pPr>
                        <w:pStyle w:val="Style103"/>
                        <w:keepNext w:val="0"/>
                        <w:keepLines w:val="0"/>
                        <w:widowControl w:val="0"/>
                        <w:shd w:val="clear" w:color="auto" w:fill="auto"/>
                        <w:bidi w:val="0"/>
                        <w:spacing w:before="0" w:after="180" w:line="240" w:lineRule="auto"/>
                        <w:ind w:left="0" w:right="0" w:firstLine="0"/>
                        <w:jc w:val="left"/>
                      </w:pPr>
                      <w:r>
                        <w:rPr>
                          <w:color w:val="000000"/>
                          <w:spacing w:val="0"/>
                          <w:w w:val="100"/>
                          <w:position w:val="0"/>
                        </w:rPr>
                        <w:t>0</w:t>
                      </w:r>
                    </w:p>
                    <w:p>
                      <w:pPr>
                        <w:pStyle w:val="Style103"/>
                        <w:keepNext w:val="0"/>
                        <w:keepLines w:val="0"/>
                        <w:widowControl w:val="0"/>
                        <w:shd w:val="clear" w:color="auto" w:fill="auto"/>
                        <w:bidi w:val="0"/>
                        <w:spacing w:before="0" w:after="180" w:line="240" w:lineRule="auto"/>
                        <w:ind w:left="0" w:right="0" w:firstLine="0"/>
                        <w:jc w:val="left"/>
                      </w:pPr>
                      <w:r>
                        <w:rPr>
                          <w:color w:val="000000"/>
                          <w:spacing w:val="0"/>
                          <w:w w:val="100"/>
                          <w:position w:val="0"/>
                        </w:rPr>
                        <w:t>0</w:t>
                      </w:r>
                    </w:p>
                    <w:p>
                      <w:pPr>
                        <w:pStyle w:val="Style103"/>
                        <w:keepNext w:val="0"/>
                        <w:keepLines w:val="0"/>
                        <w:widowControl w:val="0"/>
                        <w:shd w:val="clear" w:color="auto" w:fill="auto"/>
                        <w:bidi w:val="0"/>
                        <w:spacing w:before="0" w:after="180" w:line="240" w:lineRule="auto"/>
                        <w:ind w:left="0" w:right="0" w:firstLine="0"/>
                        <w:jc w:val="left"/>
                      </w:pPr>
                      <w:r>
                        <w:rPr>
                          <w:color w:val="000000"/>
                          <w:spacing w:val="0"/>
                          <w:w w:val="100"/>
                          <w:position w:val="0"/>
                        </w:rPr>
                        <w:t>0</w:t>
                      </w:r>
                    </w:p>
                    <w:p>
                      <w:pPr>
                        <w:pStyle w:val="Style103"/>
                        <w:keepNext w:val="0"/>
                        <w:keepLines w:val="0"/>
                        <w:widowControl w:val="0"/>
                        <w:shd w:val="clear" w:color="auto" w:fill="auto"/>
                        <w:bidi w:val="0"/>
                        <w:spacing w:before="0" w:after="180" w:line="240" w:lineRule="auto"/>
                        <w:ind w:left="0" w:right="0" w:firstLine="0"/>
                        <w:jc w:val="left"/>
                      </w:pPr>
                      <w:r>
                        <w:rPr>
                          <w:color w:val="000000"/>
                          <w:spacing w:val="0"/>
                          <w:w w:val="100"/>
                          <w:position w:val="0"/>
                        </w:rPr>
                        <w:t>0</w:t>
                      </w:r>
                    </w:p>
                  </w:txbxContent>
                </v:textbox>
                <w10:wrap type="square" side="left" anchorx="page"/>
              </v:shape>
            </w:pict>
          </mc:Fallback>
        </mc:AlternateContent>
      </w:r>
    </w:p>
    <w:p>
      <w:pPr>
        <w:pStyle w:val="Style32"/>
        <w:keepNext w:val="0"/>
        <w:keepLines w:val="0"/>
        <w:widowControl w:val="0"/>
        <w:shd w:val="clear" w:color="auto" w:fill="auto"/>
        <w:tabs>
          <w:tab w:pos="4791" w:val="left"/>
        </w:tabs>
        <w:bidi w:val="0"/>
        <w:spacing w:before="0" w:after="0" w:line="298" w:lineRule="exact"/>
        <w:ind w:left="3240" w:right="0" w:firstLine="0"/>
        <w:jc w:val="left"/>
      </w:pPr>
      <w:r>
        <w:rPr>
          <w:color w:val="000000"/>
          <w:spacing w:val="0"/>
          <w:w w:val="100"/>
          <w:position w:val="0"/>
        </w:rPr>
        <w:t>重大缺陷：</w:t>
      </w:r>
      <w:r>
        <w:rPr>
          <w:rFonts w:ascii="Times New Roman" w:eastAsia="Times New Roman" w:hAnsi="Times New Roman" w:cs="Times New Roman"/>
          <w:color w:val="000000"/>
          <w:spacing w:val="0"/>
          <w:w w:val="100"/>
          <w:position w:val="0"/>
        </w:rPr>
        <w:t>1</w:t>
      </w:r>
      <w:r>
        <w:rPr>
          <w:color w:val="000000"/>
          <w:spacing w:val="0"/>
          <w:w w:val="100"/>
          <w:position w:val="0"/>
        </w:rPr>
        <w:t>、缺陷影响＞当年合并财务报 表利润总额的</w:t>
      </w:r>
      <w:r>
        <w:rPr>
          <w:rFonts w:ascii="Times New Roman" w:eastAsia="Times New Roman" w:hAnsi="Times New Roman" w:cs="Times New Roman"/>
          <w:color w:val="000000"/>
          <w:spacing w:val="0"/>
          <w:w w:val="100"/>
          <w:position w:val="0"/>
        </w:rPr>
        <w:t>5%</w:t>
      </w:r>
      <w:r>
        <w:rPr>
          <w:color w:val="000000"/>
          <w:spacing w:val="0"/>
          <w:w w:val="100"/>
          <w:position w:val="0"/>
        </w:rPr>
        <w:t>；</w:t>
        <w:tab/>
      </w:r>
      <w:r>
        <w:rPr>
          <w:rFonts w:ascii="Times New Roman" w:eastAsia="Times New Roman" w:hAnsi="Times New Roman" w:cs="Times New Roman"/>
          <w:color w:val="000000"/>
          <w:spacing w:val="0"/>
          <w:w w:val="100"/>
          <w:position w:val="0"/>
        </w:rPr>
        <w:t>2</w:t>
      </w:r>
      <w:r>
        <w:rPr>
          <w:color w:val="000000"/>
          <w:spacing w:val="0"/>
          <w:w w:val="100"/>
          <w:position w:val="0"/>
        </w:rPr>
        <w:t>、缺陷影响〉当年合</w:t>
      </w:r>
    </w:p>
    <w:p>
      <w:pPr>
        <w:pStyle w:val="Style32"/>
        <w:keepNext w:val="0"/>
        <w:keepLines w:val="0"/>
        <w:widowControl w:val="0"/>
        <w:shd w:val="clear" w:color="auto" w:fill="auto"/>
        <w:bidi w:val="0"/>
        <w:spacing w:before="0" w:after="0" w:line="311" w:lineRule="exact"/>
        <w:ind w:left="2260" w:right="0" w:firstLine="980"/>
        <w:jc w:val="both"/>
      </w:pPr>
      <w:r>
        <w:rPr>
          <w:color w:val="000000"/>
          <w:spacing w:val="0"/>
          <w:w w:val="100"/>
          <w:position w:val="0"/>
        </w:rPr>
        <w:t>并财务报表总资产的</w:t>
      </w:r>
      <w:r>
        <w:rPr>
          <w:rFonts w:ascii="Times New Roman" w:eastAsia="Times New Roman" w:hAnsi="Times New Roman" w:cs="Times New Roman"/>
          <w:color w:val="000000"/>
          <w:spacing w:val="0"/>
          <w:w w:val="100"/>
          <w:position w:val="0"/>
        </w:rPr>
        <w:t>1%</w:t>
      </w:r>
      <w:r>
        <w:rPr>
          <w:color w:val="000000"/>
          <w:spacing w:val="0"/>
          <w:w w:val="100"/>
          <w:position w:val="0"/>
        </w:rPr>
        <w:t>。重要缺陷：</w:t>
      </w:r>
      <w:r>
        <w:rPr>
          <w:rFonts w:ascii="Times New Roman" w:eastAsia="Times New Roman" w:hAnsi="Times New Roman" w:cs="Times New Roman"/>
          <w:color w:val="000000"/>
          <w:spacing w:val="0"/>
          <w:w w:val="100"/>
          <w:position w:val="0"/>
        </w:rPr>
        <w:t>1</w:t>
      </w:r>
      <w:r>
        <w:rPr>
          <w:color w:val="000000"/>
          <w:spacing w:val="0"/>
          <w:w w:val="100"/>
          <w:position w:val="0"/>
        </w:rPr>
        <w:t>、 当年合并财务报表利润总额的</w:t>
      </w:r>
      <w:r>
        <w:rPr>
          <w:rFonts w:ascii="Times New Roman" w:eastAsia="Times New Roman" w:hAnsi="Times New Roman" w:cs="Times New Roman"/>
          <w:color w:val="000000"/>
          <w:spacing w:val="0"/>
          <w:w w:val="100"/>
          <w:position w:val="0"/>
        </w:rPr>
        <w:t>1%</w:t>
      </w:r>
      <w:r>
        <w:rPr>
          <w:color w:val="000000"/>
          <w:spacing w:val="0"/>
          <w:w w:val="100"/>
          <w:position w:val="0"/>
        </w:rPr>
        <w:t>〈缺陷 影响</w:t>
      </w:r>
      <w:r>
        <w:rPr>
          <w:rFonts w:ascii="Times New Roman" w:eastAsia="Times New Roman" w:hAnsi="Times New Roman" w:cs="Times New Roman"/>
          <w:color w:val="000000"/>
          <w:spacing w:val="0"/>
          <w:w w:val="100"/>
          <w:position w:val="0"/>
        </w:rPr>
        <w:t>W</w:t>
      </w:r>
      <w:r>
        <w:rPr>
          <w:color w:val="000000"/>
          <w:spacing w:val="0"/>
          <w:w w:val="100"/>
          <w:position w:val="0"/>
        </w:rPr>
        <w:t>当年合并财务报表利润总额的</w:t>
      </w:r>
      <w:r>
        <w:rPr>
          <w:rFonts w:ascii="Times New Roman" w:eastAsia="Times New Roman" w:hAnsi="Times New Roman" w:cs="Times New Roman"/>
          <w:color w:val="000000"/>
          <w:spacing w:val="0"/>
          <w:w w:val="100"/>
          <w:position w:val="0"/>
        </w:rPr>
        <w:t>5%</w:t>
      </w:r>
      <w:r>
        <w:rPr>
          <w:color w:val="000000"/>
          <w:spacing w:val="0"/>
          <w:w w:val="100"/>
          <w:position w:val="0"/>
        </w:rPr>
        <w:t xml:space="preserve">； </w:t>
      </w:r>
      <w:r>
        <w:rPr>
          <w:rFonts w:ascii="Times New Roman" w:eastAsia="Times New Roman" w:hAnsi="Times New Roman" w:cs="Times New Roman"/>
          <w:color w:val="000000"/>
          <w:spacing w:val="0"/>
          <w:w w:val="100"/>
          <w:position w:val="0"/>
        </w:rPr>
        <w:t>2</w:t>
      </w:r>
      <w:r>
        <w:rPr>
          <w:color w:val="000000"/>
          <w:spacing w:val="0"/>
          <w:w w:val="100"/>
          <w:position w:val="0"/>
        </w:rPr>
        <w:t>、当年合并财务报表总资产的</w:t>
      </w:r>
      <w:r>
        <w:rPr>
          <w:rFonts w:ascii="Times New Roman" w:eastAsia="Times New Roman" w:hAnsi="Times New Roman" w:cs="Times New Roman"/>
          <w:color w:val="000000"/>
          <w:spacing w:val="0"/>
          <w:w w:val="100"/>
          <w:position w:val="0"/>
        </w:rPr>
        <w:t>0.5%</w:t>
      </w:r>
      <w:r>
        <w:rPr>
          <w:color w:val="000000"/>
          <w:spacing w:val="0"/>
          <w:w w:val="100"/>
          <w:position w:val="0"/>
        </w:rPr>
        <w:t>〈缺 陷影响</w:t>
      </w:r>
      <w:r>
        <w:rPr>
          <w:rFonts w:ascii="Times New Roman" w:eastAsia="Times New Roman" w:hAnsi="Times New Roman" w:cs="Times New Roman"/>
          <w:color w:val="000000"/>
          <w:spacing w:val="0"/>
          <w:w w:val="100"/>
          <w:position w:val="0"/>
        </w:rPr>
        <w:t>W</w:t>
      </w:r>
      <w:r>
        <w:rPr>
          <w:color w:val="000000"/>
          <w:spacing w:val="0"/>
          <w:w w:val="100"/>
          <w:position w:val="0"/>
        </w:rPr>
        <w:t>当年合并财务报表总资产的</w:t>
      </w:r>
      <w:r>
        <w:rPr>
          <w:rFonts w:ascii="Times New Roman" w:eastAsia="Times New Roman" w:hAnsi="Times New Roman" w:cs="Times New Roman"/>
          <w:color w:val="000000"/>
          <w:spacing w:val="0"/>
          <w:w w:val="100"/>
          <w:position w:val="0"/>
        </w:rPr>
        <w:t>1%</w:t>
      </w:r>
      <w:r>
        <w:rPr>
          <w:color w:val="000000"/>
          <w:spacing w:val="0"/>
          <w:w w:val="100"/>
          <w:position w:val="0"/>
        </w:rPr>
        <w:t>; 以上述两者孰低确定重要性水平。一般缺 陷：</w:t>
      </w:r>
      <w:r>
        <w:rPr>
          <w:rFonts w:ascii="Times New Roman" w:eastAsia="Times New Roman" w:hAnsi="Times New Roman" w:cs="Times New Roman"/>
          <w:color w:val="000000"/>
          <w:spacing w:val="0"/>
          <w:w w:val="100"/>
          <w:position w:val="0"/>
        </w:rPr>
        <w:t>1</w:t>
      </w:r>
      <w:r>
        <w:rPr>
          <w:color w:val="000000"/>
          <w:spacing w:val="0"/>
          <w:w w:val="100"/>
          <w:position w:val="0"/>
        </w:rPr>
        <w:t>、缺陷影响</w:t>
      </w:r>
      <w:r>
        <w:rPr>
          <w:rFonts w:ascii="Times New Roman" w:eastAsia="Times New Roman" w:hAnsi="Times New Roman" w:cs="Times New Roman"/>
          <w:color w:val="000000"/>
          <w:spacing w:val="0"/>
          <w:w w:val="100"/>
          <w:position w:val="0"/>
        </w:rPr>
        <w:t>W</w:t>
      </w:r>
      <w:r>
        <w:rPr>
          <w:color w:val="000000"/>
          <w:spacing w:val="0"/>
          <w:w w:val="100"/>
          <w:position w:val="0"/>
        </w:rPr>
        <w:t>当年合并财务报表利润 总额的</w:t>
      </w:r>
      <w:r>
        <w:rPr>
          <w:rFonts w:ascii="Times New Roman" w:eastAsia="Times New Roman" w:hAnsi="Times New Roman" w:cs="Times New Roman"/>
          <w:color w:val="000000"/>
          <w:spacing w:val="0"/>
          <w:w w:val="100"/>
          <w:position w:val="0"/>
        </w:rPr>
        <w:t>1%</w:t>
      </w:r>
      <w:r>
        <w:rPr>
          <w:color w:val="000000"/>
          <w:spacing w:val="0"/>
          <w:w w:val="100"/>
          <w:position w:val="0"/>
        </w:rPr>
        <w:t xml:space="preserve">； </w:t>
      </w:r>
      <w:r>
        <w:rPr>
          <w:rFonts w:ascii="Times New Roman" w:eastAsia="Times New Roman" w:hAnsi="Times New Roman" w:cs="Times New Roman"/>
          <w:color w:val="000000"/>
          <w:spacing w:val="0"/>
          <w:w w:val="100"/>
          <w:position w:val="0"/>
        </w:rPr>
        <w:t>2</w:t>
      </w:r>
      <w:r>
        <w:rPr>
          <w:color w:val="000000"/>
          <w:spacing w:val="0"/>
          <w:w w:val="100"/>
          <w:position w:val="0"/>
        </w:rPr>
        <w:t>、缺陷影响</w:t>
      </w:r>
      <w:r>
        <w:rPr>
          <w:rFonts w:ascii="Times New Roman" w:eastAsia="Times New Roman" w:hAnsi="Times New Roman" w:cs="Times New Roman"/>
          <w:color w:val="000000"/>
          <w:spacing w:val="0"/>
          <w:w w:val="100"/>
          <w:position w:val="0"/>
        </w:rPr>
        <w:t>W</w:t>
      </w:r>
      <w:r>
        <w:rPr>
          <w:color w:val="000000"/>
          <w:spacing w:val="0"/>
          <w:w w:val="100"/>
          <w:position w:val="0"/>
        </w:rPr>
        <w:t>当年合并财务报 表总资产的</w:t>
      </w:r>
      <w:r>
        <w:rPr>
          <w:rFonts w:ascii="Times New Roman" w:eastAsia="Times New Roman" w:hAnsi="Times New Roman" w:cs="Times New Roman"/>
          <w:color w:val="000000"/>
          <w:spacing w:val="0"/>
          <w:w w:val="100"/>
          <w:position w:val="0"/>
        </w:rPr>
        <w:t>0.5%</w:t>
      </w:r>
      <w:r>
        <w:rPr>
          <w:color w:val="000000"/>
          <w:spacing w:val="0"/>
          <w:w w:val="100"/>
          <w:position w:val="0"/>
        </w:rPr>
        <w:t>；以上述两者孰低确定重 要性水平。</w:t>
      </w:r>
    </w:p>
    <w:p>
      <w:pPr>
        <w:pStyle w:val="Style32"/>
        <w:keepNext w:val="0"/>
        <w:keepLines w:val="0"/>
        <w:widowControl w:val="0"/>
        <w:shd w:val="clear" w:color="auto" w:fill="auto"/>
        <w:bidi w:val="0"/>
        <w:spacing w:before="0" w:after="400" w:line="403" w:lineRule="exact"/>
        <w:ind w:left="0" w:right="0" w:firstLine="0"/>
        <w:jc w:val="left"/>
      </w:pPr>
      <w:r>
        <w:rPr>
          <w:color w:val="000000"/>
          <w:spacing w:val="0"/>
          <w:w w:val="100"/>
          <w:position w:val="0"/>
        </w:rPr>
        <w:t>财务报告重大缺陷数量（个） 非财务报告重大缺陷数量（个） 财务报告重要缺陷数量（个） 非财务报告重要缺陷数量（个）</w:t>
      </w:r>
    </w:p>
    <w:p>
      <w:pPr>
        <w:pStyle w:val="Style47"/>
        <w:keepNext/>
        <w:keepLines/>
        <w:widowControl w:val="0"/>
        <w:shd w:val="clear" w:color="auto" w:fill="auto"/>
        <w:bidi w:val="0"/>
        <w:spacing w:before="0" w:after="360" w:line="240" w:lineRule="auto"/>
        <w:ind w:left="0" w:right="0" w:firstLine="0"/>
        <w:jc w:val="left"/>
      </w:pPr>
      <w:bookmarkStart w:id="661" w:name="bookmark661"/>
      <w:bookmarkStart w:id="662" w:name="bookmark662"/>
      <w:bookmarkStart w:id="663" w:name="bookmark663"/>
      <w:r>
        <w:rPr>
          <w:color w:val="000000"/>
          <w:spacing w:val="0"/>
          <w:w w:val="100"/>
          <w:position w:val="0"/>
          <w:sz w:val="24"/>
          <w:szCs w:val="24"/>
        </w:rPr>
        <w:t>十、内部控制审计报告或鉴证报告</w:t>
      </w:r>
      <w:bookmarkEnd w:id="661"/>
      <w:bookmarkEnd w:id="662"/>
      <w:bookmarkEnd w:id="663"/>
    </w:p>
    <w:p>
      <w:pPr>
        <w:pStyle w:val="Style49"/>
        <w:keepNext w:val="0"/>
        <w:keepLines w:val="0"/>
        <w:widowControl w:val="0"/>
        <w:shd w:val="clear" w:color="auto" w:fill="auto"/>
        <w:bidi w:val="0"/>
        <w:spacing w:before="0" w:after="0" w:line="240" w:lineRule="auto"/>
        <w:ind w:left="10" w:right="0" w:firstLine="0"/>
        <w:jc w:val="left"/>
      </w:pPr>
      <w:r>
        <w:rPr>
          <w:color w:val="000000"/>
          <w:spacing w:val="0"/>
          <w:w w:val="100"/>
          <w:position w:val="0"/>
        </w:rPr>
        <w:t>内部控制鉴证报告</w:t>
      </w:r>
    </w:p>
    <w:tbl>
      <w:tblPr>
        <w:tblOverlap w:val="never"/>
        <w:jc w:val="center"/>
        <w:tblLayout w:type="fixed"/>
      </w:tblPr>
      <w:tblGrid>
        <w:gridCol w:w="2669"/>
        <w:gridCol w:w="6917"/>
      </w:tblGrid>
      <w:tr>
        <w:trPr>
          <w:trHeight w:val="403" w:hRule="exact"/>
        </w:trPr>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内部控制鉴证报告中的审议意见段</w:t>
            </w:r>
          </w:p>
        </w:tc>
      </w:tr>
      <w:tr>
        <w:trPr>
          <w:trHeight w:val="715" w:hRule="exact"/>
        </w:trPr>
        <w:tc>
          <w:tcPr>
            <w:gridSpan w:val="2"/>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22" w:lineRule="exact"/>
              <w:ind w:left="0" w:right="0" w:firstLine="0"/>
              <w:jc w:val="left"/>
            </w:pPr>
            <w:r>
              <w:rPr>
                <w:color w:val="000000"/>
                <w:spacing w:val="0"/>
                <w:w w:val="100"/>
                <w:position w:val="0"/>
              </w:rPr>
              <w:t>我们认为，荣科科技公司于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日按照《企业内部控制基本规范》和相关规定在所有重大方面保持了有效的 财务报告内部控制。</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内控鉴证报告披露情况</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披露</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内部控制鉴证报告全文披露日期</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内部控制鉴证报告全文披露索引</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巨潮资讯网</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内控鉴证报告意见类型</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标准无保留意见</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非财务报告是否存在重大缺陷</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pStyle w:val="Style32"/>
        <w:keepNext w:val="0"/>
        <w:keepLines w:val="0"/>
        <w:widowControl w:val="0"/>
        <w:shd w:val="clear" w:color="auto" w:fill="auto"/>
        <w:bidi w:val="0"/>
        <w:spacing w:before="0" w:after="140" w:line="346" w:lineRule="exact"/>
        <w:ind w:left="0" w:right="0" w:firstLine="0"/>
        <w:jc w:val="left"/>
      </w:pPr>
      <w:r>
        <w:rPr>
          <w:color w:val="000000"/>
          <w:spacing w:val="0"/>
          <w:w w:val="100"/>
          <w:position w:val="0"/>
        </w:rPr>
        <w:t>会计师事务所是否出具非标准意见的内部控制鉴证报告</w:t>
      </w:r>
    </w:p>
    <w:p>
      <w:pPr>
        <w:pStyle w:val="Style32"/>
        <w:keepNext w:val="0"/>
        <w:keepLines w:val="0"/>
        <w:widowControl w:val="0"/>
        <w:shd w:val="clear" w:color="auto" w:fill="auto"/>
        <w:bidi w:val="0"/>
        <w:spacing w:before="0" w:after="0" w:line="401"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2"/>
        <w:keepNext w:val="0"/>
        <w:keepLines w:val="0"/>
        <w:widowControl w:val="0"/>
        <w:shd w:val="clear" w:color="auto" w:fill="auto"/>
        <w:bidi w:val="0"/>
        <w:spacing w:before="0" w:after="240" w:line="346" w:lineRule="exact"/>
        <w:ind w:left="0" w:right="0" w:firstLine="0"/>
        <w:jc w:val="left"/>
        <w:sectPr>
          <w:footnotePr>
            <w:pos w:val="pageBottom"/>
            <w:numFmt w:val="decimal"/>
            <w:numRestart w:val="continuous"/>
          </w:footnotePr>
          <w:pgSz w:w="11900" w:h="16840"/>
          <w:pgMar w:top="1388" w:right="1195" w:bottom="2037" w:left="1104" w:header="0" w:footer="3" w:gutter="0"/>
          <w:cols w:space="720"/>
          <w:noEndnote/>
          <w:rtlGutter w:val="0"/>
          <w:docGrid w:linePitch="360"/>
        </w:sectPr>
      </w:pPr>
      <w:r>
        <w:rPr>
          <w:color w:val="000000"/>
          <w:spacing w:val="0"/>
          <w:w w:val="100"/>
          <w:position w:val="0"/>
        </w:rPr>
        <w:t xml:space="preserve">会计师事务所出具的内部控制鉴证报告与董事会的自我评价报告意见是否一致 </w:t>
      </w: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20"/>
        <w:keepNext/>
        <w:keepLines/>
        <w:widowControl w:val="0"/>
        <w:shd w:val="clear" w:color="auto" w:fill="auto"/>
        <w:bidi w:val="0"/>
        <w:spacing w:before="0" w:after="580" w:line="240" w:lineRule="auto"/>
        <w:ind w:left="0" w:right="0" w:firstLine="0"/>
        <w:jc w:val="center"/>
      </w:pPr>
      <w:bookmarkStart w:id="664" w:name="bookmark664"/>
      <w:bookmarkStart w:id="665" w:name="bookmark665"/>
      <w:bookmarkStart w:id="666" w:name="bookmark666"/>
      <w:r>
        <w:rPr>
          <w:color w:val="000000"/>
          <w:spacing w:val="0"/>
          <w:w w:val="100"/>
          <w:position w:val="0"/>
        </w:rPr>
        <w:t>第十一节公司债券相关情况</w:t>
      </w:r>
      <w:bookmarkEnd w:id="664"/>
      <w:bookmarkEnd w:id="665"/>
      <w:bookmarkEnd w:id="666"/>
    </w:p>
    <w:p>
      <w:pPr>
        <w:pStyle w:val="Style32"/>
        <w:keepNext w:val="0"/>
        <w:keepLines w:val="0"/>
        <w:widowControl w:val="0"/>
        <w:shd w:val="clear" w:color="auto" w:fill="auto"/>
        <w:bidi w:val="0"/>
        <w:spacing w:before="0" w:after="0" w:line="240" w:lineRule="auto"/>
        <w:ind w:left="0" w:right="0" w:firstLine="0"/>
        <w:jc w:val="left"/>
        <w:sectPr>
          <w:headerReference w:type="default" r:id="rId217"/>
          <w:footerReference w:type="default" r:id="rId218"/>
          <w:headerReference w:type="even" r:id="rId219"/>
          <w:footerReference w:type="even" r:id="rId220"/>
          <w:footnotePr>
            <w:pos w:val="pageBottom"/>
            <w:numFmt w:val="decimal"/>
            <w:numRestart w:val="continuous"/>
          </w:footnotePr>
          <w:type w:val="continuous"/>
          <w:pgSz w:w="11900" w:h="16840"/>
          <w:pgMar w:top="1388" w:right="1195" w:bottom="2037" w:left="1104" w:header="0" w:footer="3" w:gutter="0"/>
          <w:cols w:space="720"/>
          <w:noEndnote/>
          <w:rtlGutter w:val="0"/>
          <w:docGrid w:linePitch="360"/>
        </w:sectPr>
      </w:pPr>
      <w:r>
        <w:rPr>
          <w:color w:val="000000"/>
          <w:spacing w:val="0"/>
          <w:w w:val="100"/>
          <w:position w:val="0"/>
        </w:rPr>
        <w:t>公司不存在公开发行并在证券交易所上市，且在年度报告批准报出日未到期或到期未能全额兑付的公司债券。</w:t>
      </w:r>
    </w:p>
    <w:p>
      <w:pPr>
        <w:widowControl w:val="0"/>
        <w:spacing w:line="1" w:lineRule="exact"/>
      </w:pPr>
      <w:r>
        <mc:AlternateContent>
          <mc:Choice Requires="wps">
            <w:drawing>
              <wp:anchor distT="73025" distB="127000" distL="0" distR="0" simplePos="0" relativeHeight="125829518" behindDoc="0" locked="0" layoutInCell="1" allowOverlap="1">
                <wp:simplePos x="0" y="0"/>
                <wp:positionH relativeFrom="page">
                  <wp:posOffset>783590</wp:posOffset>
                </wp:positionH>
                <wp:positionV relativeFrom="paragraph">
                  <wp:posOffset>73025</wp:posOffset>
                </wp:positionV>
                <wp:extent cx="198120" cy="289560"/>
                <wp:wrapTopAndBottom/>
                <wp:docPr id="555" name="Shape 555"/>
                <a:graphic xmlns:a="http://schemas.openxmlformats.org/drawingml/2006/main">
                  <a:graphicData uri="http://schemas.microsoft.com/office/word/2010/wordprocessingShape">
                    <wps:wsp>
                      <wps:cNvSpPr txBox="1"/>
                      <wps:spPr>
                        <a:xfrm>
                          <a:ext cx="198120" cy="289560"/>
                        </a:xfrm>
                        <a:prstGeom prst="rect"/>
                        <a:noFill/>
                      </wps:spPr>
                      <wps:txbx>
                        <w:txbxContent>
                          <w:p>
                            <w:pPr>
                              <w:pStyle w:val="Style38"/>
                              <w:keepNext/>
                              <w:keepLines/>
                              <w:widowControl w:val="0"/>
                              <w:shd w:val="clear" w:color="auto" w:fill="auto"/>
                              <w:bidi w:val="0"/>
                              <w:spacing w:before="0" w:after="0" w:line="240" w:lineRule="auto"/>
                              <w:ind w:left="0" w:right="0" w:firstLine="0"/>
                              <w:jc w:val="left"/>
                            </w:pPr>
                            <w:bookmarkStart w:id="667" w:name="bookmark667"/>
                            <w:bookmarkStart w:id="668" w:name="bookmark668"/>
                            <w:bookmarkStart w:id="669" w:name="bookmark669"/>
                            <w:r>
                              <w:rPr>
                                <w:spacing w:val="0"/>
                                <w:w w:val="100"/>
                                <w:position w:val="0"/>
                              </w:rPr>
                              <w:t>♦I</w:t>
                            </w:r>
                            <w:bookmarkEnd w:id="667"/>
                            <w:bookmarkEnd w:id="668"/>
                            <w:bookmarkEnd w:id="669"/>
                          </w:p>
                        </w:txbxContent>
                      </wps:txbx>
                      <wps:bodyPr wrap="none" lIns="0" tIns="0" rIns="0" bIns="0">
                        <a:noAutoFit/>
                      </wps:bodyPr>
                    </wps:wsp>
                  </a:graphicData>
                </a:graphic>
              </wp:anchor>
            </w:drawing>
          </mc:Choice>
          <mc:Fallback>
            <w:pict>
              <v:shape id="_x0000_s1581" type="#_x0000_t202" style="position:absolute;margin-left:61.700000000000003pt;margin-top:5.75pt;width:15.6pt;height:22.800000000000001pt;z-index:-125829235;mso-wrap-distance-left:0;mso-wrap-distance-top:5.75pt;mso-wrap-distance-right:0;mso-wrap-distance-bottom:10.pt;mso-position-horizontal-relative:page" filled="f" stroked="f">
                <v:textbox inset="0,0,0,0">
                  <w:txbxContent>
                    <w:p>
                      <w:pPr>
                        <w:pStyle w:val="Style38"/>
                        <w:keepNext/>
                        <w:keepLines/>
                        <w:widowControl w:val="0"/>
                        <w:shd w:val="clear" w:color="auto" w:fill="auto"/>
                        <w:bidi w:val="0"/>
                        <w:spacing w:before="0" w:after="0" w:line="240" w:lineRule="auto"/>
                        <w:ind w:left="0" w:right="0" w:firstLine="0"/>
                        <w:jc w:val="left"/>
                      </w:pPr>
                      <w:bookmarkStart w:id="667" w:name="bookmark667"/>
                      <w:bookmarkStart w:id="668" w:name="bookmark668"/>
                      <w:bookmarkStart w:id="669" w:name="bookmark669"/>
                      <w:r>
                        <w:rPr>
                          <w:spacing w:val="0"/>
                          <w:w w:val="100"/>
                          <w:position w:val="0"/>
                        </w:rPr>
                        <w:t>♦I</w:t>
                      </w:r>
                      <w:bookmarkEnd w:id="667"/>
                      <w:bookmarkEnd w:id="668"/>
                      <w:bookmarkEnd w:id="669"/>
                    </w:p>
                  </w:txbxContent>
                </v:textbox>
                <w10:wrap type="topAndBottom" anchorx="page"/>
              </v:shape>
            </w:pict>
          </mc:Fallback>
        </mc:AlternateContent>
      </w:r>
      <w:r>
        <mc:AlternateContent>
          <mc:Choice Requires="wps">
            <w:drawing>
              <wp:anchor distT="0" distB="203200" distL="0" distR="0" simplePos="0" relativeHeight="125829520" behindDoc="0" locked="0" layoutInCell="1" allowOverlap="1">
                <wp:simplePos x="0" y="0"/>
                <wp:positionH relativeFrom="page">
                  <wp:posOffset>911860</wp:posOffset>
                </wp:positionH>
                <wp:positionV relativeFrom="paragraph">
                  <wp:posOffset>0</wp:posOffset>
                </wp:positionV>
                <wp:extent cx="1097280" cy="286385"/>
                <wp:wrapTopAndBottom/>
                <wp:docPr id="557" name="Shape 557"/>
                <a:graphic xmlns:a="http://schemas.openxmlformats.org/drawingml/2006/main">
                  <a:graphicData uri="http://schemas.microsoft.com/office/word/2010/wordprocessingShape">
                    <wps:wsp>
                      <wps:cNvSpPr txBox="1"/>
                      <wps:spPr>
                        <a:xfrm>
                          <a:ext cx="1097280" cy="286385"/>
                        </a:xfrm>
                        <a:prstGeom prst="rect"/>
                        <a:noFill/>
                      </wps:spPr>
                      <wps:txbx>
                        <w:txbxContent>
                          <w:p>
                            <w:pPr>
                              <w:pStyle w:val="Style5"/>
                              <w:keepNext w:val="0"/>
                              <w:keepLines w:val="0"/>
                              <w:widowControl w:val="0"/>
                              <w:shd w:val="clear" w:color="auto" w:fill="auto"/>
                              <w:bidi w:val="0"/>
                              <w:spacing w:before="0" w:after="0" w:line="211" w:lineRule="exact"/>
                              <w:ind w:left="0" w:right="0" w:firstLine="0"/>
                              <w:jc w:val="right"/>
                              <w:rPr>
                                <w:sz w:val="18"/>
                                <w:szCs w:val="18"/>
                              </w:rPr>
                            </w:pPr>
                            <w:r>
                              <w:rPr>
                                <w:color w:val="2D2B2E"/>
                                <w:spacing w:val="0"/>
                                <w:w w:val="100"/>
                                <w:position w:val="0"/>
                                <w:sz w:val="15"/>
                                <w:szCs w:val="15"/>
                              </w:rPr>
                              <w:t>—</w:t>
                            </w: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583" type="#_x0000_t202" style="position:absolute;margin-left:71.799999999999997pt;margin-top:0;width:86.400000000000006pt;height:22.550000000000001pt;z-index:-125829233;mso-wrap-distance-left:0;mso-wrap-distance-right:0;mso-wrap-distance-bottom:16.pt;mso-position-horizontal-relative:page" filled="f" stroked="f">
                <v:textbox inset="0,0,0,0">
                  <w:txbxContent>
                    <w:p>
                      <w:pPr>
                        <w:pStyle w:val="Style5"/>
                        <w:keepNext w:val="0"/>
                        <w:keepLines w:val="0"/>
                        <w:widowControl w:val="0"/>
                        <w:shd w:val="clear" w:color="auto" w:fill="auto"/>
                        <w:bidi w:val="0"/>
                        <w:spacing w:before="0" w:after="0" w:line="211" w:lineRule="exact"/>
                        <w:ind w:left="0" w:right="0" w:firstLine="0"/>
                        <w:jc w:val="right"/>
                        <w:rPr>
                          <w:sz w:val="18"/>
                          <w:szCs w:val="18"/>
                        </w:rPr>
                      </w:pPr>
                      <w:r>
                        <w:rPr>
                          <w:color w:val="2D2B2E"/>
                          <w:spacing w:val="0"/>
                          <w:w w:val="100"/>
                          <w:position w:val="0"/>
                          <w:sz w:val="15"/>
                          <w:szCs w:val="15"/>
                        </w:rPr>
                        <w:t>—</w:t>
                      </w: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anchorx="page"/>
              </v:shape>
            </w:pict>
          </mc:Fallback>
        </mc:AlternateContent>
      </w:r>
    </w:p>
    <w:p>
      <w:pPr>
        <w:pStyle w:val="Style20"/>
        <w:keepNext/>
        <w:keepLines/>
        <w:widowControl w:val="0"/>
        <w:shd w:val="clear" w:color="auto" w:fill="auto"/>
        <w:bidi w:val="0"/>
        <w:spacing w:before="0" w:after="580" w:line="240" w:lineRule="auto"/>
        <w:ind w:left="0" w:right="0" w:firstLine="0"/>
        <w:jc w:val="center"/>
      </w:pPr>
      <w:bookmarkStart w:id="670" w:name="bookmark670"/>
      <w:bookmarkStart w:id="671" w:name="bookmark671"/>
      <w:bookmarkStart w:id="672" w:name="bookmark672"/>
      <w:r>
        <w:rPr>
          <w:color w:val="000000"/>
          <w:spacing w:val="0"/>
          <w:w w:val="100"/>
          <w:position w:val="0"/>
        </w:rPr>
        <w:t>第十二节财务报告</w:t>
      </w:r>
      <w:bookmarkEnd w:id="670"/>
      <w:bookmarkEnd w:id="671"/>
      <w:bookmarkEnd w:id="672"/>
    </w:p>
    <w:p>
      <w:pPr>
        <w:pStyle w:val="Style47"/>
        <w:keepNext/>
        <w:keepLines/>
        <w:widowControl w:val="0"/>
        <w:shd w:val="clear" w:color="auto" w:fill="auto"/>
        <w:bidi w:val="0"/>
        <w:spacing w:before="0" w:after="300" w:line="240" w:lineRule="auto"/>
        <w:ind w:left="0" w:right="0" w:firstLine="500"/>
        <w:jc w:val="both"/>
      </w:pPr>
      <w:bookmarkStart w:id="673" w:name="bookmark673"/>
      <w:bookmarkStart w:id="674" w:name="bookmark674"/>
      <w:bookmarkStart w:id="675" w:name="bookmark675"/>
      <w:r>
        <w:rPr>
          <w:color w:val="000000"/>
          <w:spacing w:val="0"/>
          <w:w w:val="100"/>
          <w:position w:val="0"/>
          <w:sz w:val="24"/>
          <w:szCs w:val="24"/>
        </w:rPr>
        <w:t>审计报告</w:t>
      </w:r>
      <w:bookmarkEnd w:id="673"/>
      <w:bookmarkEnd w:id="674"/>
      <w:bookmarkEnd w:id="675"/>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审计意见类型</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标准的无保留意见</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审计报告签署日期</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审计机构名称</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容诚会计师事务所（特殊普通合伙）</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审计报告文号</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容诚审字</w:t>
            </w:r>
            <w:r>
              <w:rPr>
                <w:rFonts w:ascii="Times New Roman" w:eastAsia="Times New Roman" w:hAnsi="Times New Roman" w:cs="Times New Roman"/>
                <w:color w:val="000000"/>
                <w:spacing w:val="0"/>
                <w:w w:val="100"/>
                <w:position w:val="0"/>
              </w:rPr>
              <w:t>[2021]110Z0121</w:t>
            </w:r>
            <w:r>
              <w:rPr>
                <w:color w:val="000000"/>
                <w:spacing w:val="0"/>
                <w:w w:val="100"/>
                <w:position w:val="0"/>
              </w:rPr>
              <w:t>号</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注册会计师姓名</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陆红、王逸飞</w:t>
            </w:r>
          </w:p>
        </w:tc>
      </w:tr>
    </w:tbl>
    <w:p>
      <w:pPr>
        <w:widowControl w:val="0"/>
        <w:spacing w:after="439" w:line="1" w:lineRule="exact"/>
      </w:pPr>
    </w:p>
    <w:p>
      <w:pPr>
        <w:pStyle w:val="Style32"/>
        <w:keepNext w:val="0"/>
        <w:keepLines w:val="0"/>
        <w:widowControl w:val="0"/>
        <w:shd w:val="clear" w:color="auto" w:fill="auto"/>
        <w:bidi w:val="0"/>
        <w:spacing w:before="0" w:after="440" w:line="240" w:lineRule="auto"/>
        <w:ind w:left="0" w:right="0" w:firstLine="0"/>
        <w:jc w:val="center"/>
      </w:pPr>
      <w:r>
        <w:rPr>
          <w:color w:val="000000"/>
          <w:spacing w:val="0"/>
          <w:w w:val="100"/>
          <w:position w:val="0"/>
        </w:rPr>
        <w:t>审计报告正文</w:t>
      </w:r>
    </w:p>
    <w:p>
      <w:pPr>
        <w:pStyle w:val="Style103"/>
        <w:keepNext w:val="0"/>
        <w:keepLines w:val="0"/>
        <w:widowControl w:val="0"/>
        <w:shd w:val="clear" w:color="auto" w:fill="auto"/>
        <w:bidi w:val="0"/>
        <w:spacing w:before="0" w:after="200" w:line="312" w:lineRule="exact"/>
        <w:ind w:left="0" w:right="0" w:firstLine="0"/>
        <w:jc w:val="right"/>
      </w:pPr>
      <w:r>
        <w:rPr>
          <w:rFonts w:ascii="SimSun" w:eastAsia="SimSun" w:hAnsi="SimSun" w:cs="SimSun"/>
          <w:color w:val="000000"/>
          <w:spacing w:val="0"/>
          <w:w w:val="100"/>
          <w:position w:val="0"/>
        </w:rPr>
        <w:t>容诚审字</w:t>
      </w:r>
      <w:r>
        <w:rPr>
          <w:color w:val="000000"/>
          <w:spacing w:val="0"/>
          <w:w w:val="100"/>
          <w:position w:val="0"/>
        </w:rPr>
        <w:t>[2021]110Z0121</w:t>
      </w:r>
      <w:r>
        <w:rPr>
          <w:rFonts w:ascii="SimSun" w:eastAsia="SimSun" w:hAnsi="SimSun" w:cs="SimSun"/>
          <w:color w:val="000000"/>
          <w:spacing w:val="0"/>
          <w:w w:val="100"/>
          <w:position w:val="0"/>
        </w:rPr>
        <w:t>号</w:t>
      </w:r>
    </w:p>
    <w:p>
      <w:pPr>
        <w:pStyle w:val="Style32"/>
        <w:keepNext w:val="0"/>
        <w:keepLines w:val="0"/>
        <w:widowControl w:val="0"/>
        <w:shd w:val="clear" w:color="auto" w:fill="auto"/>
        <w:bidi w:val="0"/>
        <w:spacing w:before="0" w:after="440" w:line="312" w:lineRule="exact"/>
        <w:ind w:left="0" w:right="0" w:firstLine="0"/>
        <w:jc w:val="center"/>
      </w:pPr>
      <w:r>
        <w:rPr>
          <w:b/>
          <w:bCs/>
          <w:color w:val="000000"/>
          <w:spacing w:val="0"/>
          <w:w w:val="100"/>
          <w:position w:val="0"/>
        </w:rPr>
        <w:t>审计报告</w:t>
      </w:r>
    </w:p>
    <w:p>
      <w:pPr>
        <w:pStyle w:val="Style32"/>
        <w:keepNext w:val="0"/>
        <w:keepLines w:val="0"/>
        <w:widowControl w:val="0"/>
        <w:shd w:val="clear" w:color="auto" w:fill="auto"/>
        <w:bidi w:val="0"/>
        <w:spacing w:before="0" w:after="0" w:line="312" w:lineRule="exact"/>
        <w:ind w:left="0" w:right="0" w:firstLine="0"/>
        <w:jc w:val="left"/>
      </w:pPr>
      <w:r>
        <w:rPr>
          <w:color w:val="000000"/>
          <w:spacing w:val="0"/>
          <w:w w:val="100"/>
          <w:position w:val="0"/>
        </w:rPr>
        <w:t>荣科科技股份有限公司全体股东：</w:t>
      </w:r>
    </w:p>
    <w:p>
      <w:pPr>
        <w:pStyle w:val="Style32"/>
        <w:keepNext w:val="0"/>
        <w:keepLines w:val="0"/>
        <w:widowControl w:val="0"/>
        <w:shd w:val="clear" w:color="auto" w:fill="auto"/>
        <w:bidi w:val="0"/>
        <w:spacing w:before="0" w:after="0" w:line="312" w:lineRule="exact"/>
        <w:ind w:left="0" w:right="0" w:firstLine="380"/>
        <w:jc w:val="both"/>
      </w:pPr>
      <w:bookmarkStart w:id="676" w:name="bookmark676"/>
      <w:r>
        <w:rPr>
          <w:color w:val="000000"/>
          <w:spacing w:val="0"/>
          <w:w w:val="100"/>
          <w:position w:val="0"/>
        </w:rPr>
        <w:t>一</w:t>
      </w:r>
      <w:bookmarkEnd w:id="676"/>
      <w:r>
        <w:rPr>
          <w:color w:val="000000"/>
          <w:spacing w:val="0"/>
          <w:w w:val="100"/>
          <w:position w:val="0"/>
        </w:rPr>
        <w:t>、审计意见</w:t>
      </w:r>
    </w:p>
    <w:p>
      <w:pPr>
        <w:pStyle w:val="Style32"/>
        <w:keepNext w:val="0"/>
        <w:keepLines w:val="0"/>
        <w:widowControl w:val="0"/>
        <w:shd w:val="clear" w:color="auto" w:fill="auto"/>
        <w:bidi w:val="0"/>
        <w:spacing w:before="0" w:after="0" w:line="307" w:lineRule="exact"/>
        <w:ind w:left="0" w:right="0" w:firstLine="0"/>
        <w:jc w:val="left"/>
      </w:pPr>
      <w:r>
        <w:rPr>
          <w:color w:val="000000"/>
          <w:spacing w:val="0"/>
          <w:w w:val="100"/>
          <w:position w:val="0"/>
        </w:rPr>
        <w:t>我们审计了荣科科技股份有限公司（以下简称荣科科技）财务报表，包括</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 xml:space="preserve">日的合并及母公司资产负债表， </w:t>
      </w:r>
      <w:r>
        <w:rPr>
          <w:rFonts w:ascii="Times New Roman" w:eastAsia="Times New Roman" w:hAnsi="Times New Roman" w:cs="Times New Roman"/>
          <w:color w:val="000000"/>
          <w:spacing w:val="0"/>
          <w:w w:val="100"/>
          <w:position w:val="0"/>
        </w:rPr>
        <w:t>2020</w:t>
      </w:r>
      <w:r>
        <w:rPr>
          <w:color w:val="000000"/>
          <w:spacing w:val="0"/>
          <w:w w:val="100"/>
          <w:position w:val="0"/>
        </w:rPr>
        <w:t>年度的合并及母公司利润表、合并及母公司现金流量表、合并及母公司所有者权益变动表以及相关财务报表附注。</w:t>
      </w:r>
    </w:p>
    <w:p>
      <w:pPr>
        <w:pStyle w:val="Style32"/>
        <w:keepNext w:val="0"/>
        <w:keepLines w:val="0"/>
        <w:widowControl w:val="0"/>
        <w:shd w:val="clear" w:color="auto" w:fill="auto"/>
        <w:bidi w:val="0"/>
        <w:spacing w:before="0" w:after="0" w:line="307" w:lineRule="exact"/>
        <w:ind w:left="0" w:right="0" w:firstLine="0"/>
        <w:jc w:val="left"/>
      </w:pPr>
      <w:r>
        <w:rPr>
          <w:color w:val="000000"/>
          <w:spacing w:val="0"/>
          <w:w w:val="100"/>
          <w:position w:val="0"/>
        </w:rPr>
        <w:t>我们认为，后附的财务报表在所有重大方面按照企业会计准则的规定编制，公允反映了荣科科技</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日的合并 及母公司财务状况以及</w:t>
      </w:r>
      <w:r>
        <w:rPr>
          <w:rFonts w:ascii="Times New Roman" w:eastAsia="Times New Roman" w:hAnsi="Times New Roman" w:cs="Times New Roman"/>
          <w:color w:val="000000"/>
          <w:spacing w:val="0"/>
          <w:w w:val="100"/>
          <w:position w:val="0"/>
        </w:rPr>
        <w:t>2020</w:t>
      </w:r>
      <w:r>
        <w:rPr>
          <w:color w:val="000000"/>
          <w:spacing w:val="0"/>
          <w:w w:val="100"/>
          <w:position w:val="0"/>
        </w:rPr>
        <w:t>年度的合并及母公司经营成果和现金流量。</w:t>
      </w:r>
    </w:p>
    <w:p>
      <w:pPr>
        <w:pStyle w:val="Style32"/>
        <w:keepNext w:val="0"/>
        <w:keepLines w:val="0"/>
        <w:widowControl w:val="0"/>
        <w:shd w:val="clear" w:color="auto" w:fill="auto"/>
        <w:tabs>
          <w:tab w:pos="430" w:val="left"/>
        </w:tabs>
        <w:bidi w:val="0"/>
        <w:spacing w:before="0" w:after="0" w:line="312" w:lineRule="exact"/>
        <w:ind w:left="0" w:right="0" w:firstLine="0"/>
        <w:jc w:val="left"/>
      </w:pPr>
      <w:bookmarkStart w:id="677" w:name="bookmark677"/>
      <w:r>
        <w:rPr>
          <w:color w:val="000000"/>
          <w:spacing w:val="0"/>
          <w:w w:val="100"/>
          <w:position w:val="0"/>
        </w:rPr>
        <w:t>二</w:t>
      </w:r>
      <w:bookmarkEnd w:id="677"/>
      <w:r>
        <w:rPr>
          <w:color w:val="000000"/>
          <w:spacing w:val="0"/>
          <w:w w:val="100"/>
          <w:position w:val="0"/>
        </w:rPr>
        <w:t>、</w:t>
        <w:tab/>
        <w:t>形成审计意见的基础</w:t>
      </w:r>
    </w:p>
    <w:p>
      <w:pPr>
        <w:pStyle w:val="Style32"/>
        <w:keepNext w:val="0"/>
        <w:keepLines w:val="0"/>
        <w:widowControl w:val="0"/>
        <w:shd w:val="clear" w:color="auto" w:fill="auto"/>
        <w:bidi w:val="0"/>
        <w:spacing w:before="0" w:after="0" w:line="312" w:lineRule="exact"/>
        <w:ind w:left="0" w:right="0" w:firstLine="0"/>
        <w:jc w:val="left"/>
      </w:pPr>
      <w:r>
        <w:rPr>
          <w:color w:val="000000"/>
          <w:spacing w:val="0"/>
          <w:w w:val="100"/>
          <w:position w:val="0"/>
        </w:rPr>
        <w:t>我们按照中国注册会计师审计准则的规定执行了审计工作。审计报告的“注册会计师对财务报表审计的责任”部分进一步阐 述了我们在这些准则下的责任。按照中国注册会计师职业道德守则，我们独立于荣科科技，并履行了职业道德方面的其他责 任。我们相信，我们获取的审计证据是充分、适当的，为发表审计意见提供了基础。</w:t>
      </w:r>
    </w:p>
    <w:p>
      <w:pPr>
        <w:pStyle w:val="Style32"/>
        <w:keepNext w:val="0"/>
        <w:keepLines w:val="0"/>
        <w:widowControl w:val="0"/>
        <w:shd w:val="clear" w:color="auto" w:fill="auto"/>
        <w:tabs>
          <w:tab w:pos="430" w:val="left"/>
        </w:tabs>
        <w:bidi w:val="0"/>
        <w:spacing w:before="0" w:after="0" w:line="312" w:lineRule="exact"/>
        <w:ind w:left="0" w:right="0" w:firstLine="0"/>
        <w:jc w:val="left"/>
      </w:pPr>
      <w:bookmarkStart w:id="678" w:name="bookmark678"/>
      <w:r>
        <w:rPr>
          <w:color w:val="000000"/>
          <w:spacing w:val="0"/>
          <w:w w:val="100"/>
          <w:position w:val="0"/>
        </w:rPr>
        <w:t>三</w:t>
      </w:r>
      <w:bookmarkEnd w:id="678"/>
      <w:r>
        <w:rPr>
          <w:color w:val="000000"/>
          <w:spacing w:val="0"/>
          <w:w w:val="100"/>
          <w:position w:val="0"/>
        </w:rPr>
        <w:t>、</w:t>
        <w:tab/>
        <w:t>关键审计事项</w:t>
      </w:r>
    </w:p>
    <w:p>
      <w:pPr>
        <w:pStyle w:val="Style3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关键审计事项是我们根据职业判断，认为对本期财务报表审计最为重要的事项。这些事项的应对以对财务报表整体进行审计 并形成审计意见为背景，我们不对这些事项单独发表意见。</w:t>
      </w:r>
    </w:p>
    <w:p>
      <w:pPr>
        <w:pStyle w:val="Style3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（一）应收账款预期信用损失</w:t>
      </w:r>
    </w:p>
    <w:p>
      <w:pPr>
        <w:pStyle w:val="Style32"/>
        <w:keepNext w:val="0"/>
        <w:keepLines w:val="0"/>
        <w:widowControl w:val="0"/>
        <w:numPr>
          <w:ilvl w:val="0"/>
          <w:numId w:val="19"/>
        </w:numPr>
        <w:shd w:val="clear" w:color="auto" w:fill="auto"/>
        <w:tabs>
          <w:tab w:pos="301" w:val="left"/>
        </w:tabs>
        <w:bidi w:val="0"/>
        <w:spacing w:before="0" w:after="0" w:line="312" w:lineRule="exact"/>
        <w:ind w:left="0" w:right="0" w:firstLine="0"/>
        <w:jc w:val="left"/>
      </w:pPr>
      <w:bookmarkStart w:id="679" w:name="bookmark679"/>
      <w:bookmarkEnd w:id="679"/>
      <w:r>
        <w:rPr>
          <w:color w:val="000000"/>
          <w:spacing w:val="0"/>
          <w:w w:val="100"/>
          <w:position w:val="0"/>
        </w:rPr>
        <w:t>事项描述</w:t>
      </w:r>
    </w:p>
    <w:p>
      <w:pPr>
        <w:pStyle w:val="Style32"/>
        <w:keepNext w:val="0"/>
        <w:keepLines w:val="0"/>
        <w:widowControl w:val="0"/>
        <w:shd w:val="clear" w:color="auto" w:fill="auto"/>
        <w:bidi w:val="0"/>
        <w:spacing w:before="0" w:after="0" w:line="314" w:lineRule="exact"/>
        <w:ind w:left="0" w:right="0" w:firstLine="0"/>
        <w:jc w:val="left"/>
      </w:pPr>
      <w:r>
        <w:rPr>
          <w:color w:val="000000"/>
          <w:spacing w:val="0"/>
          <w:w w:val="100"/>
          <w:position w:val="0"/>
        </w:rPr>
        <w:t>参见财务报表附注三、（十）及财务报表附注五、（三），截至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日止，荣科科技应收账款余额</w:t>
      </w:r>
      <w:r>
        <w:rPr>
          <w:rFonts w:ascii="Times New Roman" w:eastAsia="Times New Roman" w:hAnsi="Times New Roman" w:cs="Times New Roman"/>
          <w:color w:val="000000"/>
          <w:spacing w:val="0"/>
          <w:w w:val="100"/>
          <w:position w:val="0"/>
        </w:rPr>
        <w:t>62,335.07</w:t>
      </w:r>
      <w:r>
        <w:rPr>
          <w:color w:val="000000"/>
          <w:spacing w:val="0"/>
          <w:w w:val="100"/>
          <w:position w:val="0"/>
        </w:rPr>
        <w:t>万元, 预期信用损失余额</w:t>
      </w:r>
      <w:r>
        <w:rPr>
          <w:rFonts w:ascii="Times New Roman" w:eastAsia="Times New Roman" w:hAnsi="Times New Roman" w:cs="Times New Roman"/>
          <w:color w:val="000000"/>
          <w:spacing w:val="0"/>
          <w:w w:val="100"/>
          <w:position w:val="0"/>
        </w:rPr>
        <w:t>10,403.31</w:t>
      </w:r>
      <w:r>
        <w:rPr>
          <w:color w:val="000000"/>
          <w:spacing w:val="0"/>
          <w:w w:val="100"/>
          <w:position w:val="0"/>
        </w:rPr>
        <w:t>万元。由于应收账款的账面余额较高，对财务报表影响较为重大，预期信用损失的计提涉及管 理层的专业判断，因此我们将应收账款预期信用损失确定为关键审计事项。</w:t>
      </w:r>
    </w:p>
    <w:p>
      <w:pPr>
        <w:pStyle w:val="Style32"/>
        <w:keepNext w:val="0"/>
        <w:keepLines w:val="0"/>
        <w:widowControl w:val="0"/>
        <w:numPr>
          <w:ilvl w:val="0"/>
          <w:numId w:val="19"/>
        </w:numPr>
        <w:shd w:val="clear" w:color="auto" w:fill="auto"/>
        <w:tabs>
          <w:tab w:pos="320" w:val="left"/>
        </w:tabs>
        <w:bidi w:val="0"/>
        <w:spacing w:before="0" w:after="0" w:line="312" w:lineRule="exact"/>
        <w:ind w:left="0" w:right="0" w:firstLine="0"/>
        <w:jc w:val="left"/>
      </w:pPr>
      <w:bookmarkStart w:id="680" w:name="bookmark680"/>
      <w:bookmarkEnd w:id="680"/>
      <w:r>
        <w:rPr>
          <w:color w:val="000000"/>
          <w:spacing w:val="0"/>
          <w:w w:val="100"/>
          <w:position w:val="0"/>
        </w:rPr>
        <w:t>审计应对</w:t>
      </w:r>
    </w:p>
    <w:p>
      <w:pPr>
        <w:pStyle w:val="Style32"/>
        <w:keepNext w:val="0"/>
        <w:keepLines w:val="0"/>
        <w:widowControl w:val="0"/>
        <w:shd w:val="clear" w:color="auto" w:fill="auto"/>
        <w:bidi w:val="0"/>
        <w:spacing w:before="0" w:after="0" w:line="312" w:lineRule="exact"/>
        <w:ind w:left="0" w:right="0" w:firstLine="0"/>
        <w:jc w:val="left"/>
      </w:pPr>
      <w:r>
        <w:rPr>
          <w:color w:val="000000"/>
          <w:spacing w:val="0"/>
          <w:w w:val="100"/>
          <w:position w:val="0"/>
        </w:rPr>
        <w:t>我们对应收账款预期信用损失实施的相关程序包括：</w:t>
      </w:r>
    </w:p>
    <w:p>
      <w:pPr>
        <w:pStyle w:val="Style32"/>
        <w:keepNext w:val="0"/>
        <w:keepLines w:val="0"/>
        <w:widowControl w:val="0"/>
        <w:shd w:val="clear" w:color="auto" w:fill="auto"/>
        <w:tabs>
          <w:tab w:pos="445" w:val="left"/>
        </w:tabs>
        <w:bidi w:val="0"/>
        <w:spacing w:before="0" w:after="0" w:line="312" w:lineRule="exact"/>
        <w:ind w:left="0" w:right="0" w:firstLine="0"/>
        <w:jc w:val="left"/>
      </w:pPr>
      <w:bookmarkStart w:id="681" w:name="bookmark681"/>
      <w:r>
        <w:rPr>
          <w:color w:val="000000"/>
          <w:spacing w:val="0"/>
          <w:w w:val="100"/>
          <w:position w:val="0"/>
        </w:rPr>
        <w:t>（</w:t>
      </w:r>
      <w:bookmarkEnd w:id="681"/>
      <w:r>
        <w:rPr>
          <w:rFonts w:ascii="Times New Roman" w:eastAsia="Times New Roman" w:hAnsi="Times New Roman" w:cs="Times New Roman"/>
          <w:color w:val="000000"/>
          <w:spacing w:val="0"/>
          <w:w w:val="100"/>
          <w:position w:val="0"/>
        </w:rPr>
        <w:t>1</w:t>
      </w:r>
      <w:r>
        <w:rPr>
          <w:color w:val="000000"/>
          <w:spacing w:val="0"/>
          <w:w w:val="100"/>
          <w:position w:val="0"/>
        </w:rPr>
        <w:t>）</w:t>
        <w:tab/>
        <w:t>评价并测试管理层复核、评估和确定应收款项预期信用损失的内部控制。</w:t>
      </w:r>
    </w:p>
    <w:p>
      <w:pPr>
        <w:pStyle w:val="Style32"/>
        <w:keepNext w:val="0"/>
        <w:keepLines w:val="0"/>
        <w:widowControl w:val="0"/>
        <w:shd w:val="clear" w:color="auto" w:fill="auto"/>
        <w:tabs>
          <w:tab w:pos="445" w:val="left"/>
        </w:tabs>
        <w:bidi w:val="0"/>
        <w:spacing w:before="0" w:after="0" w:line="312" w:lineRule="exact"/>
        <w:ind w:left="0" w:right="0" w:firstLine="0"/>
        <w:jc w:val="left"/>
      </w:pPr>
      <w:bookmarkStart w:id="682" w:name="bookmark682"/>
      <w:r>
        <w:rPr>
          <w:color w:val="000000"/>
          <w:spacing w:val="0"/>
          <w:w w:val="100"/>
          <w:position w:val="0"/>
        </w:rPr>
        <w:t>（</w:t>
      </w:r>
      <w:bookmarkEnd w:id="682"/>
      <w:r>
        <w:rPr>
          <w:rFonts w:ascii="Times New Roman" w:eastAsia="Times New Roman" w:hAnsi="Times New Roman" w:cs="Times New Roman"/>
          <w:color w:val="000000"/>
          <w:spacing w:val="0"/>
          <w:w w:val="100"/>
          <w:position w:val="0"/>
        </w:rPr>
        <w:t>2</w:t>
      </w:r>
      <w:r>
        <w:rPr>
          <w:color w:val="000000"/>
          <w:spacing w:val="0"/>
          <w:w w:val="100"/>
          <w:position w:val="0"/>
        </w:rPr>
        <w:t>）</w:t>
        <w:tab/>
        <w:t>复核应收账款预期信用损失计提会计政策及会计估计的合理性。</w:t>
      </w:r>
      <w:r>
        <w:br w:type="page"/>
      </w:r>
    </w:p>
    <w:p>
      <w:pPr>
        <w:pStyle w:val="Style32"/>
        <w:keepNext w:val="0"/>
        <w:keepLines w:val="0"/>
        <w:widowControl w:val="0"/>
        <w:shd w:val="clear" w:color="auto" w:fill="auto"/>
        <w:bidi w:val="0"/>
        <w:spacing w:before="0" w:after="0" w:line="240" w:lineRule="auto"/>
        <w:ind w:left="0" w:right="0" w:firstLine="0"/>
        <w:jc w:val="both"/>
      </w:pPr>
      <w:r>
        <mc:AlternateContent>
          <mc:Choice Requires="wps">
            <w:drawing>
              <wp:anchor distT="0" distB="0" distL="114300" distR="114300" simplePos="0" relativeHeight="125829522" behindDoc="0" locked="0" layoutInCell="1" allowOverlap="1">
                <wp:simplePos x="0" y="0"/>
                <wp:positionH relativeFrom="page">
                  <wp:posOffset>771525</wp:posOffset>
                </wp:positionH>
                <wp:positionV relativeFrom="margin">
                  <wp:posOffset>-56515</wp:posOffset>
                </wp:positionV>
                <wp:extent cx="1243330" cy="283210"/>
                <wp:wrapTopAndBottom/>
                <wp:docPr id="559" name="Shape 559"/>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585" type="#_x0000_t202" style="position:absolute;margin-left:60.75pt;margin-top:-4.4500000000000002pt;width:97.900000000000006pt;height:22.300000000000001pt;z-index:-125829231;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bookmarkStart w:id="683" w:name="bookmark683"/>
      <w:r>
        <w:rPr>
          <w:rFonts w:ascii="Times New Roman" w:eastAsia="Times New Roman" w:hAnsi="Times New Roman" w:cs="Times New Roman"/>
          <w:color w:val="000000"/>
          <w:spacing w:val="0"/>
          <w:w w:val="100"/>
          <w:position w:val="0"/>
        </w:rPr>
        <w:t>（</w:t>
      </w:r>
      <w:bookmarkEnd w:id="683"/>
      <w:r>
        <w:rPr>
          <w:rFonts w:ascii="Times New Roman" w:eastAsia="Times New Roman" w:hAnsi="Times New Roman" w:cs="Times New Roman"/>
          <w:color w:val="000000"/>
          <w:spacing w:val="0"/>
          <w:w w:val="100"/>
          <w:position w:val="0"/>
        </w:rPr>
        <w:t>3</w:t>
      </w:r>
      <w:r>
        <w:rPr>
          <w:color w:val="000000"/>
          <w:spacing w:val="0"/>
          <w:w w:val="100"/>
          <w:position w:val="0"/>
        </w:rPr>
        <w:t>）对于单项计提预期信用损失的应收账款，复核管理层对于预计未来可收回现金流量进行评估判断的依据。</w:t>
      </w:r>
    </w:p>
    <w:p>
      <w:pPr>
        <w:pStyle w:val="Style32"/>
        <w:keepNext w:val="0"/>
        <w:keepLines w:val="0"/>
        <w:widowControl w:val="0"/>
        <w:shd w:val="clear" w:color="auto" w:fill="auto"/>
        <w:tabs>
          <w:tab w:pos="445" w:val="left"/>
        </w:tabs>
        <w:bidi w:val="0"/>
        <w:spacing w:before="0" w:after="0" w:line="322" w:lineRule="exact"/>
        <w:ind w:left="0" w:right="0" w:firstLine="0"/>
        <w:jc w:val="both"/>
      </w:pPr>
      <w:bookmarkStart w:id="684" w:name="bookmark684"/>
      <w:r>
        <w:rPr>
          <w:color w:val="000000"/>
          <w:spacing w:val="0"/>
          <w:w w:val="100"/>
          <w:position w:val="0"/>
        </w:rPr>
        <w:t>（</w:t>
      </w:r>
      <w:bookmarkEnd w:id="684"/>
      <w:r>
        <w:rPr>
          <w:rFonts w:ascii="Times New Roman" w:eastAsia="Times New Roman" w:hAnsi="Times New Roman" w:cs="Times New Roman"/>
          <w:color w:val="000000"/>
          <w:spacing w:val="0"/>
          <w:w w:val="100"/>
          <w:position w:val="0"/>
        </w:rPr>
        <w:t>4</w:t>
      </w:r>
      <w:r>
        <w:rPr>
          <w:color w:val="000000"/>
          <w:spacing w:val="0"/>
          <w:w w:val="100"/>
          <w:position w:val="0"/>
        </w:rPr>
        <w:t>）</w:t>
        <w:tab/>
        <w:t>获取了管理层确认预期损失率所依据的数据及相关资料，评价其恰当性和充分性。</w:t>
      </w:r>
    </w:p>
    <w:p>
      <w:pPr>
        <w:pStyle w:val="Style32"/>
        <w:keepNext w:val="0"/>
        <w:keepLines w:val="0"/>
        <w:widowControl w:val="0"/>
        <w:shd w:val="clear" w:color="auto" w:fill="auto"/>
        <w:tabs>
          <w:tab w:pos="541" w:val="left"/>
        </w:tabs>
        <w:bidi w:val="0"/>
        <w:spacing w:before="0" w:after="120" w:line="322" w:lineRule="exact"/>
        <w:ind w:left="0" w:right="0" w:firstLine="0"/>
        <w:jc w:val="both"/>
      </w:pPr>
      <w:bookmarkStart w:id="685" w:name="bookmark685"/>
      <w:r>
        <w:rPr>
          <w:color w:val="000000"/>
          <w:spacing w:val="0"/>
          <w:w w:val="100"/>
          <w:position w:val="0"/>
        </w:rPr>
        <w:t>（</w:t>
      </w:r>
      <w:bookmarkEnd w:id="685"/>
      <w:r>
        <w:rPr>
          <w:rFonts w:ascii="Times New Roman" w:eastAsia="Times New Roman" w:hAnsi="Times New Roman" w:cs="Times New Roman"/>
          <w:color w:val="000000"/>
          <w:spacing w:val="0"/>
          <w:w w:val="100"/>
          <w:position w:val="0"/>
        </w:rPr>
        <w:t>5</w:t>
      </w:r>
      <w:r>
        <w:rPr>
          <w:color w:val="000000"/>
          <w:spacing w:val="0"/>
          <w:w w:val="100"/>
          <w:position w:val="0"/>
        </w:rPr>
        <w:t>）</w:t>
        <w:tab/>
        <w:t>对于按照信用风险特征组合计提预期信用损失的应收账款，结合信用风险特征及账龄分析，评价预期信用损失计提的 合理性。</w:t>
      </w:r>
    </w:p>
    <w:p>
      <w:pPr>
        <w:pStyle w:val="Style32"/>
        <w:keepNext w:val="0"/>
        <w:keepLines w:val="0"/>
        <w:widowControl w:val="0"/>
        <w:shd w:val="clear" w:color="auto" w:fill="auto"/>
        <w:bidi w:val="0"/>
        <w:spacing w:before="0" w:after="0" w:line="240" w:lineRule="auto"/>
        <w:ind w:left="0" w:right="0" w:firstLine="0"/>
        <w:jc w:val="both"/>
      </w:pPr>
      <w:bookmarkStart w:id="686" w:name="bookmark686"/>
      <w:r>
        <w:rPr>
          <w:rFonts w:ascii="Times New Roman" w:eastAsia="Times New Roman" w:hAnsi="Times New Roman" w:cs="Times New Roman"/>
          <w:color w:val="000000"/>
          <w:spacing w:val="0"/>
          <w:w w:val="100"/>
          <w:position w:val="0"/>
        </w:rPr>
        <w:t>（</w:t>
      </w:r>
      <w:bookmarkEnd w:id="686"/>
      <w:r>
        <w:rPr>
          <w:rFonts w:ascii="Times New Roman" w:eastAsia="Times New Roman" w:hAnsi="Times New Roman" w:cs="Times New Roman"/>
          <w:color w:val="000000"/>
          <w:spacing w:val="0"/>
          <w:w w:val="100"/>
          <w:position w:val="0"/>
        </w:rPr>
        <w:t>6</w:t>
      </w:r>
      <w:r>
        <w:rPr>
          <w:color w:val="000000"/>
          <w:spacing w:val="0"/>
          <w:w w:val="100"/>
          <w:position w:val="0"/>
        </w:rPr>
        <w:t>）选取样本对金额重大的应收账款余额实施了函证程序，并将函证结果与公司账面记录的金额进行核对。</w:t>
      </w:r>
    </w:p>
    <w:p>
      <w:pPr>
        <w:pStyle w:val="Style32"/>
        <w:keepNext w:val="0"/>
        <w:keepLines w:val="0"/>
        <w:widowControl w:val="0"/>
        <w:shd w:val="clear" w:color="auto" w:fill="auto"/>
        <w:tabs>
          <w:tab w:pos="445" w:val="left"/>
        </w:tabs>
        <w:bidi w:val="0"/>
        <w:spacing w:before="0" w:after="0" w:line="326" w:lineRule="exact"/>
        <w:ind w:left="0" w:right="0" w:firstLine="0"/>
        <w:jc w:val="both"/>
      </w:pPr>
      <w:bookmarkStart w:id="687" w:name="bookmark687"/>
      <w:r>
        <w:rPr>
          <w:color w:val="000000"/>
          <w:spacing w:val="0"/>
          <w:w w:val="100"/>
          <w:position w:val="0"/>
        </w:rPr>
        <w:t>（</w:t>
      </w:r>
      <w:bookmarkEnd w:id="687"/>
      <w:r>
        <w:rPr>
          <w:rFonts w:ascii="Times New Roman" w:eastAsia="Times New Roman" w:hAnsi="Times New Roman" w:cs="Times New Roman"/>
          <w:color w:val="000000"/>
          <w:spacing w:val="0"/>
          <w:w w:val="100"/>
          <w:position w:val="0"/>
        </w:rPr>
        <w:t>7</w:t>
      </w:r>
      <w:r>
        <w:rPr>
          <w:color w:val="000000"/>
          <w:spacing w:val="0"/>
          <w:w w:val="100"/>
          <w:position w:val="0"/>
        </w:rPr>
        <w:t>）</w:t>
        <w:tab/>
        <w:t>执行函证及走访程序并期后回款情况检查，评价管理层对坏账准备计提的合理性。</w:t>
      </w:r>
    </w:p>
    <w:p>
      <w:pPr>
        <w:pStyle w:val="Style32"/>
        <w:keepNext w:val="0"/>
        <w:keepLines w:val="0"/>
        <w:widowControl w:val="0"/>
        <w:shd w:val="clear" w:color="auto" w:fill="auto"/>
        <w:tabs>
          <w:tab w:pos="541" w:val="left"/>
        </w:tabs>
        <w:bidi w:val="0"/>
        <w:spacing w:before="0" w:after="120" w:line="326" w:lineRule="exact"/>
        <w:ind w:left="0" w:right="0" w:firstLine="0"/>
        <w:jc w:val="both"/>
      </w:pPr>
      <w:bookmarkStart w:id="688" w:name="bookmark688"/>
      <w:r>
        <w:rPr>
          <w:color w:val="000000"/>
          <w:spacing w:val="0"/>
          <w:w w:val="100"/>
          <w:position w:val="0"/>
        </w:rPr>
        <w:t>（</w:t>
      </w:r>
      <w:bookmarkEnd w:id="688"/>
      <w:r>
        <w:rPr>
          <w:rFonts w:ascii="Times New Roman" w:eastAsia="Times New Roman" w:hAnsi="Times New Roman" w:cs="Times New Roman"/>
          <w:color w:val="000000"/>
          <w:spacing w:val="0"/>
          <w:w w:val="100"/>
          <w:position w:val="0"/>
        </w:rPr>
        <w:t>8</w:t>
      </w:r>
      <w:r>
        <w:rPr>
          <w:color w:val="000000"/>
          <w:spacing w:val="0"/>
          <w:w w:val="100"/>
          <w:position w:val="0"/>
        </w:rPr>
        <w:t>）</w:t>
        <w:tab/>
        <w:t>通过公开渠道查询与债务人或其行业发展状况有关的信息，以识别是否存在影响应收账款预期信用损失评估结果的情 形。</w:t>
      </w:r>
    </w:p>
    <w:p>
      <w:pPr>
        <w:pStyle w:val="Style32"/>
        <w:keepNext w:val="0"/>
        <w:keepLines w:val="0"/>
        <w:widowControl w:val="0"/>
        <w:shd w:val="clear" w:color="auto" w:fill="auto"/>
        <w:bidi w:val="0"/>
        <w:spacing w:before="0" w:after="0" w:line="240" w:lineRule="auto"/>
        <w:ind w:left="0" w:right="0" w:firstLine="0"/>
        <w:jc w:val="both"/>
      </w:pPr>
      <w:r>
        <w:rPr>
          <w:color w:val="000000"/>
          <w:spacing w:val="0"/>
          <w:w w:val="100"/>
          <w:position w:val="0"/>
        </w:rPr>
        <w:t>（二）商誉的减值</w:t>
      </w:r>
    </w:p>
    <w:p>
      <w:pPr>
        <w:pStyle w:val="Style32"/>
        <w:keepNext w:val="0"/>
        <w:keepLines w:val="0"/>
        <w:widowControl w:val="0"/>
        <w:numPr>
          <w:ilvl w:val="0"/>
          <w:numId w:val="21"/>
        </w:numPr>
        <w:shd w:val="clear" w:color="auto" w:fill="auto"/>
        <w:tabs>
          <w:tab w:pos="301" w:val="left"/>
        </w:tabs>
        <w:bidi w:val="0"/>
        <w:spacing w:before="0" w:after="0" w:line="317" w:lineRule="exact"/>
        <w:ind w:left="0" w:right="0" w:firstLine="0"/>
        <w:jc w:val="left"/>
      </w:pPr>
      <w:bookmarkStart w:id="689" w:name="bookmark689"/>
      <w:bookmarkEnd w:id="689"/>
      <w:r>
        <w:rPr>
          <w:color w:val="000000"/>
          <w:spacing w:val="0"/>
          <w:w w:val="100"/>
          <w:position w:val="0"/>
        </w:rPr>
        <w:t>事项描述</w:t>
      </w:r>
    </w:p>
    <w:p>
      <w:pPr>
        <w:pStyle w:val="Style32"/>
        <w:keepNext w:val="0"/>
        <w:keepLines w:val="0"/>
        <w:widowControl w:val="0"/>
        <w:shd w:val="clear" w:color="auto" w:fill="auto"/>
        <w:bidi w:val="0"/>
        <w:spacing w:before="0" w:after="0" w:line="317" w:lineRule="exact"/>
        <w:ind w:left="0" w:right="0" w:firstLine="0"/>
        <w:jc w:val="left"/>
      </w:pPr>
      <w:r>
        <w:rPr>
          <w:color w:val="000000"/>
          <w:spacing w:val="0"/>
          <w:w w:val="100"/>
          <w:position w:val="0"/>
        </w:rPr>
        <w:t>参见财务报表附注五、（十九），截至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日止，荣科科技合并财务报表中的商誉账面余额为</w:t>
      </w:r>
      <w:r>
        <w:rPr>
          <w:rFonts w:ascii="Times New Roman" w:eastAsia="Times New Roman" w:hAnsi="Times New Roman" w:cs="Times New Roman"/>
          <w:color w:val="000000"/>
          <w:spacing w:val="0"/>
          <w:w w:val="100"/>
          <w:position w:val="0"/>
        </w:rPr>
        <w:t>46,715.87</w:t>
      </w:r>
      <w:r>
        <w:rPr>
          <w:color w:val="000000"/>
          <w:spacing w:val="0"/>
          <w:w w:val="100"/>
          <w:position w:val="0"/>
        </w:rPr>
        <w:t>万元。管 理层在每年年度终了对商誉进行减值测试，并依据减值测试的结果调整商誉的账面价值。由于商誉减值测试的结果很大程度 上依赖于管理层所做的估计和采用的假设，管理层需要作出重大判断，因此我们将商誉的减值确定为关键审计事项。</w:t>
      </w:r>
    </w:p>
    <w:p>
      <w:pPr>
        <w:pStyle w:val="Style32"/>
        <w:keepNext w:val="0"/>
        <w:keepLines w:val="0"/>
        <w:widowControl w:val="0"/>
        <w:numPr>
          <w:ilvl w:val="0"/>
          <w:numId w:val="21"/>
        </w:numPr>
        <w:shd w:val="clear" w:color="auto" w:fill="auto"/>
        <w:tabs>
          <w:tab w:pos="320" w:val="left"/>
        </w:tabs>
        <w:bidi w:val="0"/>
        <w:spacing w:before="0" w:after="120" w:line="317" w:lineRule="exact"/>
        <w:ind w:left="0" w:right="0" w:firstLine="0"/>
        <w:jc w:val="left"/>
      </w:pPr>
      <w:bookmarkStart w:id="690" w:name="bookmark690"/>
      <w:bookmarkEnd w:id="690"/>
      <w:r>
        <w:rPr>
          <w:color w:val="000000"/>
          <w:spacing w:val="0"/>
          <w:w w:val="100"/>
          <w:position w:val="0"/>
        </w:rPr>
        <w:t xml:space="preserve">审计应对 </w:t>
      </w:r>
      <w:r>
        <w:rPr>
          <w:color w:val="000000"/>
          <w:spacing w:val="0"/>
          <w:w w:val="100"/>
          <w:position w:val="0"/>
        </w:rPr>
        <w:t>我们对商誉的减值实施的相关程序包括：</w:t>
      </w:r>
    </w:p>
    <w:p>
      <w:pPr>
        <w:pStyle w:val="Style32"/>
        <w:keepNext w:val="0"/>
        <w:keepLines w:val="0"/>
        <w:widowControl w:val="0"/>
        <w:shd w:val="clear" w:color="auto" w:fill="auto"/>
        <w:tabs>
          <w:tab w:pos="445" w:val="left"/>
        </w:tabs>
        <w:bidi w:val="0"/>
        <w:spacing w:before="0" w:after="120" w:line="240" w:lineRule="auto"/>
        <w:ind w:left="0" w:right="0" w:firstLine="0"/>
        <w:jc w:val="left"/>
      </w:pPr>
      <w:bookmarkStart w:id="691" w:name="bookmark691"/>
      <w:r>
        <w:rPr>
          <w:color w:val="000000"/>
          <w:spacing w:val="0"/>
          <w:w w:val="100"/>
          <w:position w:val="0"/>
        </w:rPr>
        <w:t>（</w:t>
      </w:r>
      <w:bookmarkEnd w:id="691"/>
      <w:r>
        <w:rPr>
          <w:rFonts w:ascii="Times New Roman" w:eastAsia="Times New Roman" w:hAnsi="Times New Roman" w:cs="Times New Roman"/>
          <w:color w:val="000000"/>
          <w:spacing w:val="0"/>
          <w:w w:val="100"/>
          <w:position w:val="0"/>
        </w:rPr>
        <w:t>1</w:t>
      </w:r>
      <w:r>
        <w:rPr>
          <w:color w:val="000000"/>
          <w:spacing w:val="0"/>
          <w:w w:val="100"/>
          <w:position w:val="0"/>
        </w:rPr>
        <w:t>）</w:t>
        <w:tab/>
        <w:t>了解和评价管理层与商誉减值相关的关键内部控制设计和运行的有效性。</w:t>
      </w:r>
    </w:p>
    <w:p>
      <w:pPr>
        <w:pStyle w:val="Style32"/>
        <w:keepNext w:val="0"/>
        <w:keepLines w:val="0"/>
        <w:widowControl w:val="0"/>
        <w:shd w:val="clear" w:color="auto" w:fill="auto"/>
        <w:tabs>
          <w:tab w:pos="445" w:val="left"/>
        </w:tabs>
        <w:bidi w:val="0"/>
        <w:spacing w:before="0" w:after="0" w:line="240" w:lineRule="auto"/>
        <w:ind w:left="0" w:right="0" w:firstLine="0"/>
        <w:jc w:val="left"/>
      </w:pPr>
      <w:bookmarkStart w:id="692" w:name="bookmark692"/>
      <w:r>
        <w:rPr>
          <w:color w:val="000000"/>
          <w:spacing w:val="0"/>
          <w:w w:val="100"/>
          <w:position w:val="0"/>
        </w:rPr>
        <w:t>（</w:t>
      </w:r>
      <w:bookmarkEnd w:id="692"/>
      <w:r>
        <w:rPr>
          <w:rFonts w:ascii="Times New Roman" w:eastAsia="Times New Roman" w:hAnsi="Times New Roman" w:cs="Times New Roman"/>
          <w:color w:val="000000"/>
          <w:spacing w:val="0"/>
          <w:w w:val="100"/>
          <w:position w:val="0"/>
        </w:rPr>
        <w:t>2</w:t>
      </w:r>
      <w:r>
        <w:rPr>
          <w:color w:val="000000"/>
          <w:spacing w:val="0"/>
          <w:w w:val="100"/>
          <w:position w:val="0"/>
        </w:rPr>
        <w:t>）</w:t>
        <w:tab/>
        <w:t>了解资产组的历史业绩情况及发展规划，以及行业的发展趋势。</w:t>
      </w:r>
    </w:p>
    <w:p>
      <w:pPr>
        <w:pStyle w:val="Style32"/>
        <w:keepNext w:val="0"/>
        <w:keepLines w:val="0"/>
        <w:widowControl w:val="0"/>
        <w:shd w:val="clear" w:color="auto" w:fill="auto"/>
        <w:tabs>
          <w:tab w:pos="541" w:val="left"/>
        </w:tabs>
        <w:bidi w:val="0"/>
        <w:spacing w:before="0" w:after="0" w:line="326" w:lineRule="exact"/>
        <w:ind w:left="0" w:right="0" w:firstLine="0"/>
        <w:jc w:val="left"/>
      </w:pPr>
      <w:bookmarkStart w:id="693" w:name="bookmark693"/>
      <w:r>
        <w:rPr>
          <w:color w:val="000000"/>
          <w:spacing w:val="0"/>
          <w:w w:val="100"/>
          <w:position w:val="0"/>
        </w:rPr>
        <w:t>（</w:t>
      </w:r>
      <w:bookmarkEnd w:id="693"/>
      <w:r>
        <w:rPr>
          <w:rFonts w:ascii="Times New Roman" w:eastAsia="Times New Roman" w:hAnsi="Times New Roman" w:cs="Times New Roman"/>
          <w:color w:val="000000"/>
          <w:spacing w:val="0"/>
          <w:w w:val="100"/>
          <w:position w:val="0"/>
        </w:rPr>
        <w:t>3</w:t>
      </w:r>
      <w:r>
        <w:rPr>
          <w:color w:val="000000"/>
          <w:spacing w:val="0"/>
          <w:w w:val="100"/>
          <w:position w:val="0"/>
        </w:rPr>
        <w:t>）</w:t>
        <w:tab/>
        <w:t>获取荣科科技商誉减值测试资料，与管理层讨论商誉减值测试的方法，分析和检查每个组成部分的预测未来收入、现 金流量、折现率等假设和方式的合理性。</w:t>
      </w:r>
    </w:p>
    <w:p>
      <w:pPr>
        <w:pStyle w:val="Style32"/>
        <w:keepNext w:val="0"/>
        <w:keepLines w:val="0"/>
        <w:widowControl w:val="0"/>
        <w:shd w:val="clear" w:color="auto" w:fill="auto"/>
        <w:tabs>
          <w:tab w:pos="445" w:val="left"/>
        </w:tabs>
        <w:bidi w:val="0"/>
        <w:spacing w:before="0" w:after="0" w:line="326" w:lineRule="exact"/>
        <w:ind w:left="0" w:right="0" w:firstLine="0"/>
        <w:jc w:val="left"/>
      </w:pPr>
      <w:bookmarkStart w:id="694" w:name="bookmark694"/>
      <w:r>
        <w:rPr>
          <w:color w:val="000000"/>
          <w:spacing w:val="0"/>
          <w:w w:val="100"/>
          <w:position w:val="0"/>
        </w:rPr>
        <w:t>（</w:t>
      </w:r>
      <w:bookmarkEnd w:id="694"/>
      <w:r>
        <w:rPr>
          <w:rFonts w:ascii="Times New Roman" w:eastAsia="Times New Roman" w:hAnsi="Times New Roman" w:cs="Times New Roman"/>
          <w:color w:val="000000"/>
          <w:spacing w:val="0"/>
          <w:w w:val="100"/>
          <w:position w:val="0"/>
        </w:rPr>
        <w:t>4</w:t>
      </w:r>
      <w:r>
        <w:rPr>
          <w:color w:val="000000"/>
          <w:spacing w:val="0"/>
          <w:w w:val="100"/>
          <w:position w:val="0"/>
        </w:rPr>
        <w:t>）</w:t>
        <w:tab/>
        <w:t>复核商誉减值测试的过程准确性。</w:t>
      </w:r>
    </w:p>
    <w:p>
      <w:pPr>
        <w:pStyle w:val="Style32"/>
        <w:keepNext w:val="0"/>
        <w:keepLines w:val="0"/>
        <w:widowControl w:val="0"/>
        <w:shd w:val="clear" w:color="auto" w:fill="auto"/>
        <w:bidi w:val="0"/>
        <w:spacing w:before="0" w:after="0" w:line="326" w:lineRule="exact"/>
        <w:ind w:left="0" w:right="0" w:firstLine="0"/>
        <w:jc w:val="left"/>
      </w:pPr>
      <w:bookmarkStart w:id="695" w:name="bookmark695"/>
      <w:r>
        <w:rPr>
          <w:color w:val="000000"/>
          <w:spacing w:val="0"/>
          <w:w w:val="100"/>
          <w:position w:val="0"/>
        </w:rPr>
        <w:t>（</w:t>
      </w:r>
      <w:bookmarkEnd w:id="695"/>
      <w:r>
        <w:rPr>
          <w:rFonts w:ascii="Times New Roman" w:eastAsia="Times New Roman" w:hAnsi="Times New Roman" w:cs="Times New Roman"/>
          <w:color w:val="000000"/>
          <w:spacing w:val="0"/>
          <w:w w:val="100"/>
          <w:position w:val="0"/>
        </w:rPr>
        <w:t>5</w:t>
      </w:r>
      <w:r>
        <w:rPr>
          <w:color w:val="000000"/>
          <w:spacing w:val="0"/>
          <w:w w:val="100"/>
          <w:position w:val="0"/>
        </w:rPr>
        <w:t>） 评估管理层对商誉及其减值估计结果、财务报表的披露是否恰当。</w:t>
      </w:r>
    </w:p>
    <w:p>
      <w:pPr>
        <w:pStyle w:val="Style32"/>
        <w:keepNext w:val="0"/>
        <w:keepLines w:val="0"/>
        <w:widowControl w:val="0"/>
        <w:shd w:val="clear" w:color="auto" w:fill="auto"/>
        <w:bidi w:val="0"/>
        <w:spacing w:before="0" w:after="0" w:line="317" w:lineRule="exact"/>
        <w:ind w:left="0" w:right="0" w:firstLine="0"/>
        <w:jc w:val="left"/>
      </w:pPr>
      <w:bookmarkStart w:id="696" w:name="bookmark696"/>
      <w:r>
        <w:rPr>
          <w:color w:val="000000"/>
          <w:spacing w:val="0"/>
          <w:w w:val="100"/>
          <w:position w:val="0"/>
        </w:rPr>
        <w:t>四</w:t>
      </w:r>
      <w:bookmarkEnd w:id="696"/>
      <w:r>
        <w:rPr>
          <w:color w:val="000000"/>
          <w:spacing w:val="0"/>
          <w:w w:val="100"/>
          <w:position w:val="0"/>
        </w:rPr>
        <w:t>、其他信息</w:t>
      </w:r>
    </w:p>
    <w:p>
      <w:pPr>
        <w:pStyle w:val="Style32"/>
        <w:keepNext w:val="0"/>
        <w:keepLines w:val="0"/>
        <w:widowControl w:val="0"/>
        <w:shd w:val="clear" w:color="auto" w:fill="auto"/>
        <w:bidi w:val="0"/>
        <w:spacing w:before="0" w:after="0" w:line="317" w:lineRule="exact"/>
        <w:ind w:left="0" w:right="0" w:firstLine="0"/>
        <w:jc w:val="left"/>
      </w:pPr>
      <w:r>
        <w:rPr>
          <w:color w:val="000000"/>
          <w:spacing w:val="0"/>
          <w:w w:val="100"/>
          <w:position w:val="0"/>
        </w:rPr>
        <w:t>荣科科技管理层（以下简称管理层）对其他信息负责。其他信息包括荣科科技</w:t>
      </w:r>
      <w:r>
        <w:rPr>
          <w:rFonts w:ascii="Times New Roman" w:eastAsia="Times New Roman" w:hAnsi="Times New Roman" w:cs="Times New Roman"/>
          <w:color w:val="000000"/>
          <w:spacing w:val="0"/>
          <w:w w:val="100"/>
          <w:position w:val="0"/>
        </w:rPr>
        <w:t>2020</w:t>
      </w:r>
      <w:r>
        <w:rPr>
          <w:color w:val="000000"/>
          <w:spacing w:val="0"/>
          <w:w w:val="100"/>
          <w:position w:val="0"/>
        </w:rPr>
        <w:t>年度报告中涵盖的信息，但不包括财务 报表和我们的审计报告。</w:t>
      </w:r>
    </w:p>
    <w:p>
      <w:pPr>
        <w:pStyle w:val="Style32"/>
        <w:keepNext w:val="0"/>
        <w:keepLines w:val="0"/>
        <w:widowControl w:val="0"/>
        <w:shd w:val="clear" w:color="auto" w:fill="auto"/>
        <w:bidi w:val="0"/>
        <w:spacing w:before="0" w:after="0" w:line="317" w:lineRule="exact"/>
        <w:ind w:left="0" w:right="0" w:firstLine="0"/>
        <w:jc w:val="left"/>
      </w:pPr>
      <w:r>
        <w:rPr>
          <w:color w:val="000000"/>
          <w:spacing w:val="0"/>
          <w:w w:val="100"/>
          <w:position w:val="0"/>
        </w:rPr>
        <w:t>我们对财务报表发表的审计意见不涵盖其他信息，我们也不对其他信息发表任何形式的鉴证结论。</w:t>
      </w:r>
    </w:p>
    <w:p>
      <w:pPr>
        <w:pStyle w:val="Style32"/>
        <w:keepNext w:val="0"/>
        <w:keepLines w:val="0"/>
        <w:widowControl w:val="0"/>
        <w:shd w:val="clear" w:color="auto" w:fill="auto"/>
        <w:bidi w:val="0"/>
        <w:spacing w:before="0" w:after="0" w:line="317" w:lineRule="exact"/>
        <w:ind w:left="0" w:right="0" w:firstLine="0"/>
        <w:jc w:val="left"/>
      </w:pPr>
      <w:r>
        <w:rPr>
          <w:color w:val="000000"/>
          <w:spacing w:val="0"/>
          <w:w w:val="100"/>
          <w:position w:val="0"/>
        </w:rPr>
        <w:t>结合我们对财务报表的审计，我们的责任是阅读其他信息，在此过程中，考虑其他信息是否与财务报表或我们在审计过程中 了解到的情况存在重大不一致或者似乎存在重大错报。</w:t>
      </w:r>
    </w:p>
    <w:p>
      <w:pPr>
        <w:pStyle w:val="Style32"/>
        <w:keepNext w:val="0"/>
        <w:keepLines w:val="0"/>
        <w:widowControl w:val="0"/>
        <w:shd w:val="clear" w:color="auto" w:fill="auto"/>
        <w:bidi w:val="0"/>
        <w:spacing w:before="0" w:after="0" w:line="355" w:lineRule="exact"/>
        <w:ind w:left="0" w:right="0" w:firstLine="0"/>
        <w:jc w:val="left"/>
      </w:pPr>
      <w:r>
        <w:rPr>
          <w:color w:val="000000"/>
          <w:spacing w:val="0"/>
          <w:w w:val="100"/>
          <w:position w:val="0"/>
          <w:shd w:val="clear" w:color="auto" w:fill="FFFFFF"/>
        </w:rPr>
        <w:t>基于我们已执行的工作，如果我们确定其他信息存在重大错报，我们应当报告该事实。在这方面，我们无任何事项需要报告。</w:t>
      </w:r>
    </w:p>
    <w:p>
      <w:pPr>
        <w:pStyle w:val="Style32"/>
        <w:keepNext w:val="0"/>
        <w:keepLines w:val="0"/>
        <w:widowControl w:val="0"/>
        <w:shd w:val="clear" w:color="auto" w:fill="auto"/>
        <w:bidi w:val="0"/>
        <w:spacing w:before="0" w:after="0" w:line="355" w:lineRule="exact"/>
        <w:ind w:left="0" w:right="0" w:firstLine="0"/>
        <w:jc w:val="left"/>
      </w:pPr>
      <w:bookmarkStart w:id="697" w:name="bookmark697"/>
      <w:r>
        <w:rPr>
          <w:color w:val="000000"/>
          <w:spacing w:val="0"/>
          <w:w w:val="100"/>
          <w:position w:val="0"/>
        </w:rPr>
        <w:t>五</w:t>
      </w:r>
      <w:bookmarkEnd w:id="697"/>
      <w:r>
        <w:rPr>
          <w:color w:val="000000"/>
          <w:spacing w:val="0"/>
          <w:w w:val="100"/>
          <w:position w:val="0"/>
        </w:rPr>
        <w:t xml:space="preserve">、管理层和治理层对财务报表的责任 </w:t>
      </w:r>
      <w:r>
        <w:rPr>
          <w:color w:val="000000"/>
          <w:spacing w:val="0"/>
          <w:w w:val="100"/>
          <w:position w:val="0"/>
        </w:rPr>
        <w:t>管理层负责按照企业会计准则的规定编制财务报表，使其实现公允反映，并设计、执行和维护必要的内部控制，以使财务报 表不存在由于舞弊或错误导致的重大错报。</w:t>
      </w:r>
    </w:p>
    <w:p>
      <w:pPr>
        <w:pStyle w:val="Style32"/>
        <w:keepNext w:val="0"/>
        <w:keepLines w:val="0"/>
        <w:widowControl w:val="0"/>
        <w:shd w:val="clear" w:color="auto" w:fill="auto"/>
        <w:bidi w:val="0"/>
        <w:spacing w:before="0" w:after="0" w:line="312" w:lineRule="exact"/>
        <w:ind w:left="0" w:right="0" w:firstLine="0"/>
        <w:jc w:val="left"/>
      </w:pPr>
      <w:r>
        <w:rPr>
          <w:color w:val="000000"/>
          <w:spacing w:val="0"/>
          <w:w w:val="100"/>
          <w:position w:val="0"/>
        </w:rPr>
        <w:t>在编制财务报表时，管理层负责评估荣科科技的持续经营能力，披露与持续经营相关的事项（如适用），并运用持续经营假 设，除非管理层计划清算荣科科技、终止运营或别无其他现实的选择。</w:t>
      </w:r>
    </w:p>
    <w:p>
      <w:pPr>
        <w:pStyle w:val="Style32"/>
        <w:keepNext w:val="0"/>
        <w:keepLines w:val="0"/>
        <w:widowControl w:val="0"/>
        <w:shd w:val="clear" w:color="auto" w:fill="auto"/>
        <w:bidi w:val="0"/>
        <w:spacing w:before="0" w:after="0" w:line="312" w:lineRule="exact"/>
        <w:ind w:left="0" w:right="0" w:firstLine="0"/>
        <w:jc w:val="left"/>
      </w:pPr>
      <w:r>
        <w:rPr>
          <w:color w:val="000000"/>
          <w:spacing w:val="0"/>
          <w:w w:val="100"/>
          <w:position w:val="0"/>
        </w:rPr>
        <w:t>荣科科技治理层（以下简称治理层）负责监督荣科科技的财务报告过程。</w:t>
      </w:r>
    </w:p>
    <w:p>
      <w:pPr>
        <w:pStyle w:val="Style32"/>
        <w:keepNext w:val="0"/>
        <w:keepLines w:val="0"/>
        <w:widowControl w:val="0"/>
        <w:shd w:val="clear" w:color="auto" w:fill="auto"/>
        <w:bidi w:val="0"/>
        <w:spacing w:before="0" w:after="0" w:line="310" w:lineRule="exact"/>
        <w:ind w:left="0" w:right="0" w:firstLine="0"/>
        <w:jc w:val="left"/>
      </w:pPr>
      <w:bookmarkStart w:id="698" w:name="bookmark698"/>
      <w:r>
        <w:rPr>
          <w:color w:val="000000"/>
          <w:spacing w:val="0"/>
          <w:w w:val="100"/>
          <w:position w:val="0"/>
        </w:rPr>
        <w:t>六</w:t>
      </w:r>
      <w:bookmarkEnd w:id="698"/>
      <w:r>
        <w:rPr>
          <w:color w:val="000000"/>
          <w:spacing w:val="0"/>
          <w:w w:val="100"/>
          <w:position w:val="0"/>
        </w:rPr>
        <w:t>、注册会计师对财务报表审计的责任</w:t>
      </w:r>
    </w:p>
    <w:p>
      <w:pPr>
        <w:pStyle w:val="Style32"/>
        <w:keepNext w:val="0"/>
        <w:keepLines w:val="0"/>
        <w:widowControl w:val="0"/>
        <w:shd w:val="clear" w:color="auto" w:fill="auto"/>
        <w:bidi w:val="0"/>
        <w:spacing w:before="0" w:after="120" w:line="310" w:lineRule="exact"/>
        <w:ind w:left="0" w:right="0" w:firstLine="0"/>
        <w:jc w:val="left"/>
      </w:pPr>
      <w:r>
        <w:rPr>
          <w:color w:val="000000"/>
          <w:spacing w:val="0"/>
          <w:w w:val="100"/>
          <w:position w:val="0"/>
        </w:rPr>
        <w:t>我们的目标是对财务报表整体是否不存在由于舞弊或错误导致的重大错报获取合理保证，并出具包含审计意见的审计报告。 合理保证是高水平的保证，但并不能保证按照审计准则执行的审计在某一重大错报存在时总能发现。错报可能由于舞弊或错 误导致，如果合理预期错报单独或汇总起来可能影响财务报表使用者依据财务报表作出的经济决策，则通常认为错报是重大 的。</w:t>
      </w:r>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在按照审计准则执行审计工作的过程中，我们运用职业判断，并保持职业怀疑。同时，我们也执行以下工作：</w:t>
      </w:r>
    </w:p>
    <w:p>
      <w:pPr>
        <w:pStyle w:val="Style32"/>
        <w:keepNext w:val="0"/>
        <w:keepLines w:val="0"/>
        <w:widowControl w:val="0"/>
        <w:shd w:val="clear" w:color="auto" w:fill="auto"/>
        <w:bidi w:val="0"/>
        <w:spacing w:before="0" w:after="0" w:line="240" w:lineRule="auto"/>
        <w:ind w:left="0" w:right="0" w:firstLine="0"/>
        <w:jc w:val="left"/>
      </w:pPr>
      <w:bookmarkStart w:id="699" w:name="bookmark699"/>
      <w:r>
        <w:rPr>
          <w:color w:val="000000"/>
          <w:spacing w:val="0"/>
          <w:w w:val="100"/>
          <w:position w:val="0"/>
        </w:rPr>
        <w:t>（</w:t>
      </w:r>
      <w:bookmarkEnd w:id="699"/>
      <w:r>
        <w:rPr>
          <w:rFonts w:ascii="Times New Roman" w:eastAsia="Times New Roman" w:hAnsi="Times New Roman" w:cs="Times New Roman"/>
          <w:color w:val="000000"/>
          <w:spacing w:val="0"/>
          <w:w w:val="100"/>
          <w:position w:val="0"/>
        </w:rPr>
        <w:t>1</w:t>
      </w:r>
      <w:r>
        <w:rPr>
          <w:color w:val="000000"/>
          <w:spacing w:val="0"/>
          <w:w w:val="100"/>
          <w:position w:val="0"/>
        </w:rPr>
        <w:t>）识别和评估由于舞弊或错误导致的财务报表重大错报风险，设计和实施审计程序以应对这些风险，并获取充分、适当</w:t>
      </w:r>
      <w:r>
        <w:br w:type="page"/>
      </w:r>
    </w:p>
    <w:p>
      <w:pPr>
        <w:pStyle w:val="Style32"/>
        <w:keepNext w:val="0"/>
        <w:keepLines w:val="0"/>
        <w:widowControl w:val="0"/>
        <w:shd w:val="clear" w:color="auto" w:fill="auto"/>
        <w:bidi w:val="0"/>
        <w:spacing w:before="0" w:after="0" w:line="240" w:lineRule="auto"/>
        <w:ind w:left="0" w:right="0" w:firstLine="0"/>
        <w:jc w:val="both"/>
      </w:pPr>
      <w:r>
        <mc:AlternateContent>
          <mc:Choice Requires="wps">
            <w:drawing>
              <wp:anchor distT="0" distB="0" distL="114300" distR="114300" simplePos="0" relativeHeight="125829524" behindDoc="0" locked="0" layoutInCell="1" allowOverlap="1">
                <wp:simplePos x="0" y="0"/>
                <wp:positionH relativeFrom="page">
                  <wp:posOffset>795655</wp:posOffset>
                </wp:positionH>
                <wp:positionV relativeFrom="margin">
                  <wp:posOffset>-57785</wp:posOffset>
                </wp:positionV>
                <wp:extent cx="1243330" cy="283210"/>
                <wp:wrapTopAndBottom/>
                <wp:docPr id="561" name="Shape 561"/>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587" type="#_x0000_t202" style="position:absolute;margin-left:62.649999999999999pt;margin-top:-4.5499999999999998pt;width:97.900000000000006pt;height:22.300000000000001pt;z-index:-125829229;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 xml:space="preserve">的审计证据，作为发表审计意见的基础。由于舞弊可能涉及串通、伪造、故意遗漏、虚假陈述或凌驾于内部控制之上，未能 </w:t>
      </w:r>
      <w:r>
        <w:rPr>
          <w:color w:val="000000"/>
          <w:spacing w:val="0"/>
          <w:w w:val="100"/>
          <w:position w:val="0"/>
        </w:rPr>
        <w:t>发现由于舞弊导致的重大错报的风险高于未能发现由于错误导致的重大错报的风险。</w:t>
      </w:r>
    </w:p>
    <w:p>
      <w:pPr>
        <w:pStyle w:val="Style32"/>
        <w:keepNext w:val="0"/>
        <w:keepLines w:val="0"/>
        <w:widowControl w:val="0"/>
        <w:numPr>
          <w:ilvl w:val="0"/>
          <w:numId w:val="23"/>
        </w:numPr>
        <w:shd w:val="clear" w:color="auto" w:fill="auto"/>
        <w:tabs>
          <w:tab w:pos="445" w:val="left"/>
        </w:tabs>
        <w:bidi w:val="0"/>
        <w:spacing w:before="0" w:after="0" w:line="317" w:lineRule="exact"/>
        <w:ind w:left="0" w:right="0" w:firstLine="0"/>
        <w:jc w:val="both"/>
      </w:pPr>
      <w:bookmarkStart w:id="700" w:name="bookmark700"/>
      <w:bookmarkEnd w:id="700"/>
      <w:r>
        <w:rPr>
          <w:color w:val="000000"/>
          <w:spacing w:val="0"/>
          <w:w w:val="100"/>
          <w:position w:val="0"/>
        </w:rPr>
        <w:t>了解与审计相关的内部控制，以设计恰当的审计程序。</w:t>
      </w:r>
    </w:p>
    <w:p>
      <w:pPr>
        <w:pStyle w:val="Style32"/>
        <w:keepNext w:val="0"/>
        <w:keepLines w:val="0"/>
        <w:widowControl w:val="0"/>
        <w:numPr>
          <w:ilvl w:val="0"/>
          <w:numId w:val="23"/>
        </w:numPr>
        <w:shd w:val="clear" w:color="auto" w:fill="auto"/>
        <w:tabs>
          <w:tab w:pos="445" w:val="left"/>
        </w:tabs>
        <w:bidi w:val="0"/>
        <w:spacing w:before="0" w:after="0" w:line="317" w:lineRule="exact"/>
        <w:ind w:left="0" w:right="0" w:firstLine="0"/>
        <w:jc w:val="both"/>
      </w:pPr>
      <w:bookmarkStart w:id="701" w:name="bookmark701"/>
      <w:bookmarkEnd w:id="701"/>
      <w:r>
        <w:rPr>
          <w:color w:val="000000"/>
          <w:spacing w:val="0"/>
          <w:w w:val="100"/>
          <w:position w:val="0"/>
        </w:rPr>
        <w:t>评价管理层选用会计政策的恰当性和作出会计估计及相关披露的合理性。</w:t>
      </w:r>
    </w:p>
    <w:p>
      <w:pPr>
        <w:pStyle w:val="Style32"/>
        <w:keepNext w:val="0"/>
        <w:keepLines w:val="0"/>
        <w:widowControl w:val="0"/>
        <w:numPr>
          <w:ilvl w:val="0"/>
          <w:numId w:val="23"/>
        </w:numPr>
        <w:shd w:val="clear" w:color="auto" w:fill="auto"/>
        <w:tabs>
          <w:tab w:pos="541" w:val="left"/>
        </w:tabs>
        <w:bidi w:val="0"/>
        <w:spacing w:before="0" w:after="0" w:line="317" w:lineRule="exact"/>
        <w:ind w:left="0" w:right="0" w:firstLine="0"/>
        <w:jc w:val="both"/>
      </w:pPr>
      <w:bookmarkStart w:id="702" w:name="bookmark702"/>
      <w:bookmarkEnd w:id="702"/>
      <w:r>
        <w:rPr>
          <w:color w:val="000000"/>
          <w:spacing w:val="0"/>
          <w:w w:val="100"/>
          <w:position w:val="0"/>
        </w:rPr>
        <w:t>对管理层使用持续经营假设的恰当性得出结论。同时，根据获取的审计证据，就可能导致对荣科科技持续经营能力产 生重大疑虑的事项或情况是否存在重大不确定性得出结论。如果我们得出结论认为存在重大不确定性，审计准则要求我们在 审计报告中提请报表使用者注意财务报表中的相关披露；如果披露不充分，我们应当发表非无保留意见。我们的结论基于截 至审计报告日可获得的信息。然而，未来的事项或情况可能导致荣科科技不能持续经营。</w:t>
      </w:r>
    </w:p>
    <w:p>
      <w:pPr>
        <w:pStyle w:val="Style32"/>
        <w:keepNext w:val="0"/>
        <w:keepLines w:val="0"/>
        <w:widowControl w:val="0"/>
        <w:numPr>
          <w:ilvl w:val="0"/>
          <w:numId w:val="23"/>
        </w:numPr>
        <w:shd w:val="clear" w:color="auto" w:fill="auto"/>
        <w:tabs>
          <w:tab w:pos="445" w:val="left"/>
        </w:tabs>
        <w:bidi w:val="0"/>
        <w:spacing w:before="0" w:after="0" w:line="319" w:lineRule="exact"/>
        <w:ind w:left="0" w:right="0" w:firstLine="0"/>
        <w:jc w:val="both"/>
      </w:pPr>
      <w:bookmarkStart w:id="703" w:name="bookmark703"/>
      <w:bookmarkEnd w:id="703"/>
      <w:r>
        <w:rPr>
          <w:color w:val="000000"/>
          <w:spacing w:val="0"/>
          <w:w w:val="100"/>
          <w:position w:val="0"/>
        </w:rPr>
        <w:t>评价财务报表的总体列报、结构和内容，并评价财务报表是否公允反映相关交易和事项。</w:t>
      </w:r>
    </w:p>
    <w:p>
      <w:pPr>
        <w:pStyle w:val="Style32"/>
        <w:keepNext w:val="0"/>
        <w:keepLines w:val="0"/>
        <w:widowControl w:val="0"/>
        <w:numPr>
          <w:ilvl w:val="0"/>
          <w:numId w:val="23"/>
        </w:numPr>
        <w:shd w:val="clear" w:color="auto" w:fill="auto"/>
        <w:bidi w:val="0"/>
        <w:spacing w:before="0" w:after="0" w:line="326" w:lineRule="exact"/>
        <w:ind w:left="0" w:right="0" w:firstLine="0"/>
        <w:jc w:val="both"/>
      </w:pPr>
      <w:bookmarkStart w:id="704" w:name="bookmark704"/>
      <w:bookmarkEnd w:id="704"/>
      <w:r>
        <w:rPr>
          <w:color w:val="000000"/>
          <w:spacing w:val="0"/>
          <w:w w:val="100"/>
          <w:position w:val="0"/>
        </w:rPr>
        <w:t xml:space="preserve"> 就荣科科技中实体或业务活动的财务信息获取充分、适当的审计证据，以对财务报表发表审计意见。我们负责指导、 监督和执行集团审计，并对审计意见承担全部责任。</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我们与治理层就计划的审计范围、时间安排和重大审计发现等事项进行沟通，包括沟通我们在审计中识别出的值得关注的内 部控制缺陷。</w:t>
      </w:r>
    </w:p>
    <w:p>
      <w:pPr>
        <w:pStyle w:val="Style32"/>
        <w:keepNext w:val="0"/>
        <w:keepLines w:val="0"/>
        <w:widowControl w:val="0"/>
        <w:shd w:val="clear" w:color="auto" w:fill="auto"/>
        <w:bidi w:val="0"/>
        <w:spacing w:before="0" w:after="0" w:line="317" w:lineRule="exact"/>
        <w:ind w:left="0" w:right="0" w:firstLine="0"/>
        <w:jc w:val="both"/>
      </w:pPr>
      <w:r>
        <w:rPr>
          <w:color w:val="000000"/>
          <w:spacing w:val="0"/>
          <w:w w:val="100"/>
          <w:position w:val="0"/>
        </w:rPr>
        <w:t>我们还就已遵守与独立性相关的职业道德要求向治理层提供声明，并与治理层沟通可能被合理认为影响我们独立性的所有关 系和其他事项，以及相关的防范措施(如适用)。</w:t>
      </w:r>
    </w:p>
    <w:p>
      <w:pPr>
        <w:pStyle w:val="Style32"/>
        <w:keepNext w:val="0"/>
        <w:keepLines w:val="0"/>
        <w:widowControl w:val="0"/>
        <w:shd w:val="clear" w:color="auto" w:fill="auto"/>
        <w:bidi w:val="0"/>
        <w:spacing w:before="0" w:after="360" w:line="314" w:lineRule="exact"/>
        <w:ind w:left="0" w:right="0" w:firstLine="0"/>
        <w:jc w:val="both"/>
      </w:pPr>
      <w:r>
        <w:rPr>
          <w:color w:val="000000"/>
          <w:spacing w:val="0"/>
          <w:w w:val="100"/>
          <w:position w:val="0"/>
        </w:rPr>
        <w:t>从与治理层沟通过的事项中，我们确定哪些事项对本期财务报表审计最为重要，因而构成关键审计事项。我们在审计报告中 描述这些事项，除非法律法规禁止公开披露这些事项，或在极少数情形下，如果合理预期在审计报告中沟通某事项造成的负 面后果超过在公众利益方面产生的益处，我们确定不应在审计报告中沟通该事项。</w:t>
      </w:r>
    </w:p>
    <w:p>
      <w:pPr>
        <w:pStyle w:val="Style47"/>
        <w:keepNext/>
        <w:keepLines/>
        <w:widowControl w:val="0"/>
        <w:shd w:val="clear" w:color="auto" w:fill="auto"/>
        <w:bidi w:val="0"/>
        <w:spacing w:before="0" w:after="360" w:line="240" w:lineRule="auto"/>
        <w:ind w:left="0" w:right="0" w:firstLine="0"/>
        <w:jc w:val="both"/>
      </w:pPr>
      <w:bookmarkStart w:id="705" w:name="bookmark705"/>
      <w:bookmarkStart w:id="706" w:name="bookmark706"/>
      <w:bookmarkStart w:id="707" w:name="bookmark707"/>
      <w:r>
        <w:rPr>
          <w:color w:val="000000"/>
          <w:spacing w:val="0"/>
          <w:w w:val="100"/>
          <w:position w:val="0"/>
          <w:sz w:val="24"/>
          <w:szCs w:val="24"/>
        </w:rPr>
        <w:t>二、财务报表</w:t>
      </w:r>
      <w:bookmarkEnd w:id="705"/>
      <w:bookmarkEnd w:id="706"/>
      <w:bookmarkEnd w:id="707"/>
    </w:p>
    <w:p>
      <w:pPr>
        <w:pStyle w:val="Style32"/>
        <w:keepNext w:val="0"/>
        <w:keepLines w:val="0"/>
        <w:widowControl w:val="0"/>
        <w:shd w:val="clear" w:color="auto" w:fill="auto"/>
        <w:bidi w:val="0"/>
        <w:spacing w:before="0" w:after="360" w:line="240" w:lineRule="auto"/>
        <w:ind w:left="0" w:right="0" w:firstLine="0"/>
        <w:jc w:val="both"/>
      </w:pPr>
      <w:r>
        <w:rPr>
          <w:color w:val="000000"/>
          <w:spacing w:val="0"/>
          <w:w w:val="100"/>
          <w:position w:val="0"/>
        </w:rPr>
        <w:t>财务附注中报表的单位为：元</w:t>
      </w:r>
    </w:p>
    <w:p>
      <w:pPr>
        <w:pStyle w:val="Style55"/>
        <w:keepNext/>
        <w:keepLines/>
        <w:widowControl w:val="0"/>
        <w:shd w:val="clear" w:color="auto" w:fill="auto"/>
        <w:bidi w:val="0"/>
        <w:spacing w:before="0" w:after="360" w:line="240" w:lineRule="auto"/>
        <w:ind w:left="0" w:right="0" w:firstLine="0"/>
        <w:jc w:val="both"/>
      </w:pPr>
      <w:bookmarkStart w:id="708" w:name="bookmark708"/>
      <w:bookmarkStart w:id="709" w:name="bookmark709"/>
      <w:bookmarkStart w:id="710" w:name="bookmark710"/>
      <w:bookmarkStart w:id="711" w:name="bookmark711"/>
      <w:r>
        <w:rPr>
          <w:rFonts w:ascii="Times New Roman" w:eastAsia="Times New Roman" w:hAnsi="Times New Roman" w:cs="Times New Roman"/>
          <w:color w:val="000000"/>
          <w:spacing w:val="0"/>
          <w:w w:val="100"/>
          <w:position w:val="0"/>
        </w:rPr>
        <w:t>1</w:t>
      </w:r>
      <w:bookmarkEnd w:id="710"/>
      <w:r>
        <w:rPr>
          <w:color w:val="000000"/>
          <w:spacing w:val="0"/>
          <w:w w:val="100"/>
          <w:position w:val="0"/>
        </w:rPr>
        <w:t>、合并资产负债表</w:t>
      </w:r>
      <w:bookmarkEnd w:id="708"/>
      <w:bookmarkEnd w:id="709"/>
      <w:bookmarkEnd w:id="711"/>
    </w:p>
    <w:p>
      <w:pPr>
        <w:pStyle w:val="Style32"/>
        <w:keepNext w:val="0"/>
        <w:keepLines w:val="0"/>
        <w:widowControl w:val="0"/>
        <w:shd w:val="clear" w:color="auto" w:fill="auto"/>
        <w:bidi w:val="0"/>
        <w:spacing w:before="0" w:after="120" w:line="240" w:lineRule="auto"/>
        <w:ind w:left="0" w:right="0" w:firstLine="0"/>
        <w:jc w:val="both"/>
      </w:pPr>
      <w:r>
        <w:rPr>
          <w:color w:val="000000"/>
          <w:spacing w:val="0"/>
          <w:w w:val="100"/>
          <w:position w:val="0"/>
        </w:rPr>
        <w:t>编制单位：荣科科技股份有限公司</w:t>
      </w:r>
    </w:p>
    <w:p>
      <w:pPr>
        <w:pStyle w:val="Style103"/>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2020</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w:t>
      </w:r>
    </w:p>
    <w:p>
      <w:pPr>
        <w:pStyle w:val="Style3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4402"/>
        <w:gridCol w:w="2693"/>
        <w:gridCol w:w="2491"/>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383,850,263.97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285,888,396.42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9,466,885.67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1,984,111.00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519,317,597.44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517,422,554.17</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4,721,135.31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251,000.00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预付款项</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16,522,596.41</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11,416,842.29</w:t>
            </w:r>
          </w:p>
        </w:tc>
      </w:tr>
    </w:tbl>
    <w:p>
      <w:pPr>
        <w:widowControl w:val="0"/>
        <w:spacing w:line="1" w:lineRule="exact"/>
      </w:pPr>
      <w:r>
        <w:br w:type="page"/>
      </w:r>
    </w:p>
    <w:tbl>
      <w:tblPr>
        <w:tblOverlap w:val="never"/>
        <w:jc w:val="left"/>
        <w:tblLayout w:type="fixed"/>
      </w:tblPr>
      <w:tblGrid>
        <w:gridCol w:w="4402"/>
        <w:gridCol w:w="2693"/>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应收保费</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应收分保账款</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应收分保合同准备金</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31,953,770.36</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11,850,355.35</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580"/>
              <w:jc w:val="left"/>
            </w:pPr>
            <w:r>
              <w:rPr>
                <w:color w:val="000000"/>
                <w:spacing w:val="0"/>
                <w:w w:val="100"/>
                <w:position w:val="0"/>
              </w:rPr>
              <w:t>其中：应收利息</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10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买入返售金融资产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存货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126,107,583.51</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92,197,042.30</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合同资产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17,311,606.11</w:t>
            </w: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持有待售资产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一年内到期的非流动资产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10,216,563.31</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4,609,559.36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8,590,295.24</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7,181,792.81</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1,128,058,297.33</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932,801,653.70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4D4D4"/>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发放贷款和垫款</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债权投资</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其他债权投资</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长期应收款</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15,561,815.65</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9,133,358.28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195,893.26</w:t>
            </w: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85,450,790.14</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81,434,696.40</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其他非流动金融资产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6,187,087.17</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6,379,939.53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105,481,564.59</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118,445,101.06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11,206,129.82</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3,723,101.47</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生产性生物资产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油气资产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使用权资产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67,735,069.98</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47,201,433.14</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12,652,204.35</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16,362,963.50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商誉</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467,158,739.00</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329,950,878.75</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1,628,115.61</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922,734.18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44,523,445.40</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26,620,689.11</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37,123,918.80</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25,000,000.00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bottom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854,904,773.77</w:t>
            </w:r>
          </w:p>
        </w:tc>
        <w:tc>
          <w:tcPr>
            <w:tcBorders>
              <w:top w:val="single" w:sz="4"/>
              <w:left w:val="single" w:sz="4"/>
              <w:bottom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665,174,895.42</w:t>
            </w:r>
          </w:p>
        </w:tc>
      </w:tr>
    </w:tbl>
    <w:p>
      <w:pPr>
        <w:pStyle w:val="Style49"/>
        <w:keepNext w:val="0"/>
        <w:keepLines w:val="0"/>
        <w:framePr w:w="1291" w:h="365" w:hSpace="96" w:wrap="notBeside" w:vAnchor="text" w:hAnchor="text" w:x="899"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sectPr>
          <w:headerReference w:type="default" r:id="rId221"/>
          <w:footerReference w:type="default" r:id="rId222"/>
          <w:headerReference w:type="even" r:id="rId223"/>
          <w:footerReference w:type="even" r:id="rId224"/>
          <w:headerReference w:type="first" r:id="rId225"/>
          <w:footerReference w:type="first" r:id="rId226"/>
          <w:footnotePr>
            <w:pos w:val="pageBottom"/>
            <w:numFmt w:val="decimal"/>
            <w:numRestart w:val="continuous"/>
          </w:footnotePr>
          <w:pgSz w:w="11900" w:h="16840"/>
          <w:pgMar w:top="1103" w:right="1071" w:bottom="1309" w:left="1051" w:header="0" w:footer="3" w:gutter="0"/>
          <w:cols w:space="720"/>
          <w:noEndnote/>
          <w:titlePg/>
          <w:rtlGutter w:val="0"/>
          <w:docGrid w:linePitch="360"/>
        </w:sectPr>
      </w:pPr>
      <w:r>
        <w:drawing>
          <wp:anchor distT="0" distB="0" distL="0" distR="0" simplePos="0" relativeHeight="125829526" behindDoc="0" locked="0" layoutInCell="1" allowOverlap="1">
            <wp:simplePos x="0" y="0"/>
            <wp:positionH relativeFrom="page">
              <wp:posOffset>749935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577" name="Shape 577"/>
            <a:graphic xmlns:a="http://schemas.openxmlformats.org/drawingml/2006/main">
              <a:graphicData uri="http://schemas.openxmlformats.org/drawingml/2006/picture">
                <pic:pic xmlns:pic="http://schemas.openxmlformats.org/drawingml/2006/picture">
                  <pic:nvPicPr>
                    <pic:cNvPr id="578" name="Picture box 578"/>
                    <pic:cNvPicPr/>
                  </pic:nvPicPr>
                  <pic:blipFill>
                    <a:blip r:embed="rId227"/>
                    <a:stretch/>
                  </pic:blipFill>
                  <pic:spPr>
                    <a:xfrm>
                      <a:ext cx="487680" cy="237490"/>
                    </a:xfrm>
                    <a:prstGeom prst="rect"/>
                  </pic:spPr>
                </pic:pic>
              </a:graphicData>
            </a:graphic>
          </wp:anchor>
        </w:drawing>
      </w:r>
    </w:p>
    <w:p>
      <w:pPr>
        <w:widowControl w:val="0"/>
        <w:jc w:val="left"/>
        <w:rPr>
          <w:sz w:val="2"/>
          <w:szCs w:val="2"/>
        </w:rPr>
      </w:pPr>
      <w:r>
        <w:drawing>
          <wp:inline>
            <wp:extent cx="1298575" cy="481330"/>
            <wp:docPr id="579" name="Picutre 579"/>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229"/>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168" w:lineRule="exact"/>
        <w:ind w:left="782"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line="1" w:lineRule="exact"/>
      </w:pPr>
    </w:p>
    <w:tbl>
      <w:tblPr>
        <w:tblOverlap w:val="never"/>
        <w:jc w:val="center"/>
        <w:tblLayout w:type="fixed"/>
      </w:tblPr>
      <w:tblGrid>
        <w:gridCol w:w="4402"/>
        <w:gridCol w:w="2693"/>
        <w:gridCol w:w="2491"/>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1,982,963,071.10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1,597,976,549.12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108,327,969.32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76,827,924.93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7,650,211.00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25,745,753.10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180,952,896.63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153,463,464.58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82,181,735.72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106,717,946.62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32,131,456.67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22,934,015.79</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28,960,067.48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21,035,386.93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21,860,980.04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20,446,609.46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3,600,000.00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28,486,539.83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27,588,500.00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1,532,265.87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516,620,333.46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430,223,390.51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24,646,000.00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52,234,500.00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长期应付款</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7,509,369.21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left"/>
        <w:tblLayout w:type="fixed"/>
      </w:tblPr>
      <w:tblGrid>
        <w:gridCol w:w="4402"/>
        <w:gridCol w:w="2693"/>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长期应付职工薪酬</w:t>
            </w:r>
          </w:p>
        </w:tc>
        <w:tc>
          <w:tcPr>
            <w:tcBorders>
              <w:top w:val="single" w:sz="4"/>
              <w:left w:val="single" w:sz="4"/>
            </w:tcBorders>
            <w:shd w:val="clear" w:color="auto" w:fill="FFFFFF"/>
            <w:vAlign w:val="top"/>
          </w:tcPr>
          <w:p>
            <w:pPr>
              <w:framePr w:w="9586" w:h="9259"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9259"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预计负债</w:t>
            </w:r>
          </w:p>
        </w:tc>
        <w:tc>
          <w:tcPr>
            <w:tcBorders>
              <w:top w:val="single" w:sz="4"/>
              <w:left w:val="single" w:sz="4"/>
            </w:tcBorders>
            <w:shd w:val="clear" w:color="auto" w:fill="FFFFFF"/>
            <w:vAlign w:val="top"/>
          </w:tcPr>
          <w:p>
            <w:pPr>
              <w:framePr w:w="9586" w:h="9259"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9259"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21,278,496.00</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18,309,696.00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2,223,528.56</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955,217.52</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其他非流动负债</w:t>
            </w:r>
          </w:p>
        </w:tc>
        <w:tc>
          <w:tcPr>
            <w:tcBorders>
              <w:top w:val="single" w:sz="4"/>
              <w:left w:val="single" w:sz="4"/>
            </w:tcBorders>
            <w:shd w:val="clear" w:color="auto" w:fill="FFFFFF"/>
            <w:vAlign w:val="top"/>
          </w:tcPr>
          <w:p>
            <w:pPr>
              <w:framePr w:w="9586" w:h="9259"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9259"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55,657,393.77</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71,499,413.52</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572,277,727.23</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501,722,804.03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4D4D4"/>
            <w:vAlign w:val="top"/>
          </w:tcPr>
          <w:p>
            <w:pPr>
              <w:framePr w:w="9586" w:h="9259"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9259"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股本</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597,527,930.00</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553,756,711.00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其他权益工具</w:t>
            </w:r>
          </w:p>
        </w:tc>
        <w:tc>
          <w:tcPr>
            <w:tcBorders>
              <w:top w:val="single" w:sz="4"/>
              <w:left w:val="single" w:sz="4"/>
            </w:tcBorders>
            <w:shd w:val="clear" w:color="auto" w:fill="FFFFFF"/>
            <w:vAlign w:val="top"/>
          </w:tcPr>
          <w:p>
            <w:pPr>
              <w:framePr w:w="9586" w:h="9259"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9259"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framePr w:w="9586" w:h="9259"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9259"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framePr w:w="9586" w:h="9259"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9259"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412,756,197.59</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219,797,391.29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减：库存股</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5,829,040.00</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8,394,400.00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-17,483,098.86</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5,157,066.15</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专项储备</w:t>
            </w:r>
          </w:p>
        </w:tc>
        <w:tc>
          <w:tcPr>
            <w:tcBorders>
              <w:top w:val="single" w:sz="4"/>
              <w:left w:val="single" w:sz="4"/>
            </w:tcBorders>
            <w:shd w:val="clear" w:color="auto" w:fill="FFFFFF"/>
            <w:vAlign w:val="top"/>
          </w:tcPr>
          <w:p>
            <w:pPr>
              <w:framePr w:w="9586" w:h="9259"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9259"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32,459,369.45</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31,862,016.33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一般风险准备</w:t>
            </w:r>
          </w:p>
        </w:tc>
        <w:tc>
          <w:tcPr>
            <w:tcBorders>
              <w:top w:val="single" w:sz="4"/>
              <w:left w:val="single" w:sz="4"/>
            </w:tcBorders>
            <w:shd w:val="clear" w:color="auto" w:fill="FFFFFF"/>
            <w:vAlign w:val="top"/>
          </w:tcPr>
          <w:p>
            <w:pPr>
              <w:framePr w:w="9586" w:h="9259"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9259"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346,391,862.08</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287,637,529.29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归属于母公司所有者权益合计</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1,365,823,220.26</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1,089,816,314.06</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44,862,123.61</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6,437,431.03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1,410,685,343.87</w:t>
            </w:r>
          </w:p>
        </w:tc>
        <w:tc>
          <w:tcPr>
            <w:tcBorders>
              <w:top w:val="single" w:sz="4"/>
              <w:left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1,096,253,745.09</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1,982,963,071.10</w:t>
            </w:r>
          </w:p>
        </w:tc>
        <w:tc>
          <w:tcPr>
            <w:tcBorders>
              <w:top w:val="single" w:sz="4"/>
              <w:left w:val="single" w:sz="4"/>
              <w:bottom w:val="single" w:sz="4"/>
              <w:right w:val="single" w:sz="4"/>
            </w:tcBorders>
            <w:shd w:val="clear" w:color="auto" w:fill="FFFFFF"/>
            <w:vAlign w:val="center"/>
          </w:tcPr>
          <w:p>
            <w:pPr>
              <w:pStyle w:val="Style44"/>
              <w:keepNext w:val="0"/>
              <w:keepLines w:val="0"/>
              <w:framePr w:w="9586" w:h="9259" w:vSpace="365" w:wrap="notBeside" w:vAnchor="text" w:hAnchor="text" w:x="97" w:y="366"/>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1,597,976,549.12</w:t>
            </w:r>
          </w:p>
        </w:tc>
      </w:tr>
    </w:tbl>
    <w:p>
      <w:pPr>
        <w:pStyle w:val="Style49"/>
        <w:keepNext w:val="0"/>
        <w:keepLines w:val="0"/>
        <w:framePr w:w="1296" w:h="365" w:hSpace="96" w:wrap="notBeside" w:vAnchor="text" w:hAnchor="text" w:x="899" w:y="1"/>
        <w:widowControl w:val="0"/>
        <w:shd w:val="clear" w:color="auto" w:fill="auto"/>
        <w:bidi w:val="0"/>
        <w:spacing w:before="0" w:after="0" w:line="173"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r>
        <w:drawing>
          <wp:anchor distT="0" distB="0" distL="0" distR="0" simplePos="0" relativeHeight="125829527" behindDoc="0" locked="0" layoutInCell="1" allowOverlap="1">
            <wp:simplePos x="0" y="0"/>
            <wp:positionH relativeFrom="page">
              <wp:posOffset>727075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580" name="Shape 580"/>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231"/>
                    <a:stretch/>
                  </pic:blipFill>
                  <pic:spPr>
                    <a:xfrm>
                      <a:ext cx="487680" cy="237490"/>
                    </a:xfrm>
                    <a:prstGeom prst="rect"/>
                  </pic:spPr>
                </pic:pic>
              </a:graphicData>
            </a:graphic>
          </wp:anchor>
        </w:drawing>
      </w:r>
      <w:r>
        <mc:AlternateContent>
          <mc:Choice Requires="wps">
            <w:drawing>
              <wp:anchor distT="152400" distB="0" distL="114300" distR="5146675" simplePos="0" relativeHeight="125829528" behindDoc="0" locked="0" layoutInCell="1" allowOverlap="1">
                <wp:simplePos x="0" y="0"/>
                <wp:positionH relativeFrom="page">
                  <wp:posOffset>699770</wp:posOffset>
                </wp:positionH>
                <wp:positionV relativeFrom="margin">
                  <wp:posOffset>6275705</wp:posOffset>
                </wp:positionV>
                <wp:extent cx="1054735" cy="149225"/>
                <wp:wrapTopAndBottom/>
                <wp:docPr id="582" name="Shape 582"/>
                <a:graphic xmlns:a="http://schemas.openxmlformats.org/drawingml/2006/main">
                  <a:graphicData uri="http://schemas.microsoft.com/office/word/2010/wordprocessingShape">
                    <wps:wsp>
                      <wps:cNvSpPr txBox="1"/>
                      <wps:spPr>
                        <a:xfrm>
                          <a:ext cx="1054735"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法定代表人：何任晖</w:t>
                            </w:r>
                          </w:p>
                        </w:txbxContent>
                      </wps:txbx>
                      <wps:bodyPr wrap="none" lIns="0" tIns="0" rIns="0" bIns="0">
                        <a:noAutoFit/>
                      </wps:bodyPr>
                    </wps:wsp>
                  </a:graphicData>
                </a:graphic>
              </wp:anchor>
            </w:drawing>
          </mc:Choice>
          <mc:Fallback>
            <w:pict>
              <v:shape id="_x0000_s1608" type="#_x0000_t202" style="position:absolute;margin-left:55.100000000000001pt;margin-top:494.15000000000003pt;width:83.049999999999997pt;height:11.75pt;z-index:-125829225;mso-wrap-distance-left:9.pt;mso-wrap-distance-top:12.pt;mso-wrap-distance-right:405.25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法定代表人：何任晖</w:t>
                      </w:r>
                    </w:p>
                  </w:txbxContent>
                </v:textbox>
                <w10:wrap type="topAndBottom" anchorx="page" anchory="margin"/>
              </v:shape>
            </w:pict>
          </mc:Fallback>
        </mc:AlternateContent>
      </w:r>
      <w:r>
        <mc:AlternateContent>
          <mc:Choice Requires="wps">
            <w:drawing>
              <wp:anchor distT="152400" distB="3175" distL="2348230" distR="2574290" simplePos="0" relativeHeight="125829530" behindDoc="0" locked="0" layoutInCell="1" allowOverlap="1">
                <wp:simplePos x="0" y="0"/>
                <wp:positionH relativeFrom="page">
                  <wp:posOffset>2933700</wp:posOffset>
                </wp:positionH>
                <wp:positionV relativeFrom="margin">
                  <wp:posOffset>6275705</wp:posOffset>
                </wp:positionV>
                <wp:extent cx="1393190" cy="146050"/>
                <wp:wrapTopAndBottom/>
                <wp:docPr id="584" name="Shape 584"/>
                <a:graphic xmlns:a="http://schemas.openxmlformats.org/drawingml/2006/main">
                  <a:graphicData uri="http://schemas.microsoft.com/office/word/2010/wordprocessingShape">
                    <wps:wsp>
                      <wps:cNvSpPr txBox="1"/>
                      <wps:spPr>
                        <a:xfrm>
                          <a:ext cx="1393190"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主管会计工作负责人：李绣</w:t>
                            </w:r>
                          </w:p>
                        </w:txbxContent>
                      </wps:txbx>
                      <wps:bodyPr wrap="none" lIns="0" tIns="0" rIns="0" bIns="0">
                        <a:noAutoFit/>
                      </wps:bodyPr>
                    </wps:wsp>
                  </a:graphicData>
                </a:graphic>
              </wp:anchor>
            </w:drawing>
          </mc:Choice>
          <mc:Fallback>
            <w:pict>
              <v:shape id="_x0000_s1610" type="#_x0000_t202" style="position:absolute;margin-left:231.pt;margin-top:494.15000000000003pt;width:109.7pt;height:11.5pt;z-index:-125829223;mso-wrap-distance-left:184.90000000000001pt;mso-wrap-distance-top:12.pt;mso-wrap-distance-right:202.70000000000002pt;mso-wrap-distance-bottom:0.25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主管会计工作负责人：李绣</w:t>
                      </w:r>
                    </w:p>
                  </w:txbxContent>
                </v:textbox>
                <w10:wrap type="topAndBottom" anchorx="page" anchory="margin"/>
              </v:shape>
            </w:pict>
          </mc:Fallback>
        </mc:AlternateContent>
      </w:r>
      <w:r>
        <mc:AlternateContent>
          <mc:Choice Requires="wps">
            <w:drawing>
              <wp:anchor distT="152400" distB="0" distL="4914900" distR="114300" simplePos="0" relativeHeight="125829532" behindDoc="0" locked="0" layoutInCell="1" allowOverlap="1">
                <wp:simplePos x="0" y="0"/>
                <wp:positionH relativeFrom="page">
                  <wp:posOffset>5500370</wp:posOffset>
                </wp:positionH>
                <wp:positionV relativeFrom="margin">
                  <wp:posOffset>6275705</wp:posOffset>
                </wp:positionV>
                <wp:extent cx="1286510" cy="149225"/>
                <wp:wrapTopAndBottom/>
                <wp:docPr id="586" name="Shape 586"/>
                <a:graphic xmlns:a="http://schemas.openxmlformats.org/drawingml/2006/main">
                  <a:graphicData uri="http://schemas.microsoft.com/office/word/2010/wordprocessingShape">
                    <wps:wsp>
                      <wps:cNvSpPr txBox="1"/>
                      <wps:spPr>
                        <a:xfrm>
                          <a:ext cx="128651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会计机构负责人：谭波涛</w:t>
                            </w:r>
                          </w:p>
                        </w:txbxContent>
                      </wps:txbx>
                      <wps:bodyPr wrap="none" lIns="0" tIns="0" rIns="0" bIns="0">
                        <a:noAutoFit/>
                      </wps:bodyPr>
                    </wps:wsp>
                  </a:graphicData>
                </a:graphic>
              </wp:anchor>
            </w:drawing>
          </mc:Choice>
          <mc:Fallback>
            <w:pict>
              <v:shape id="_x0000_s1612" type="#_x0000_t202" style="position:absolute;margin-left:433.10000000000002pt;margin-top:494.15000000000003pt;width:101.3pt;height:11.75pt;z-index:-125829221;mso-wrap-distance-left:387.pt;mso-wrap-distance-top:12.pt;mso-wrap-distance-right: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会计机构负责人：谭波涛</w:t>
                      </w:r>
                    </w:p>
                  </w:txbxContent>
                </v:textbox>
                <w10:wrap type="topAndBottom" anchorx="page" anchory="margin"/>
              </v:shape>
            </w:pict>
          </mc:Fallback>
        </mc:AlternateContent>
      </w:r>
    </w:p>
    <w:p>
      <w:pPr>
        <w:pStyle w:val="Style55"/>
        <w:keepNext/>
        <w:keepLines/>
        <w:widowControl w:val="0"/>
        <w:shd w:val="clear" w:color="auto" w:fill="auto"/>
        <w:bidi w:val="0"/>
        <w:spacing w:before="0" w:after="380" w:line="240" w:lineRule="auto"/>
        <w:ind w:left="0" w:right="0" w:firstLine="0"/>
        <w:jc w:val="left"/>
      </w:pPr>
      <w:bookmarkStart w:id="712" w:name="bookmark712"/>
      <w:bookmarkStart w:id="713" w:name="bookmark713"/>
      <w:bookmarkStart w:id="714" w:name="bookmark714"/>
      <w:bookmarkStart w:id="715" w:name="bookmark715"/>
      <w:r>
        <w:rPr>
          <w:rFonts w:ascii="Times New Roman" w:eastAsia="Times New Roman" w:hAnsi="Times New Roman" w:cs="Times New Roman"/>
          <w:color w:val="000000"/>
          <w:spacing w:val="0"/>
          <w:w w:val="100"/>
          <w:position w:val="0"/>
        </w:rPr>
        <w:t>2</w:t>
      </w:r>
      <w:bookmarkEnd w:id="714"/>
      <w:r>
        <w:rPr>
          <w:color w:val="000000"/>
          <w:spacing w:val="0"/>
          <w:w w:val="100"/>
          <w:position w:val="0"/>
        </w:rPr>
        <w:t>、母公司资产负债表</w:t>
      </w:r>
      <w:bookmarkEnd w:id="712"/>
      <w:bookmarkEnd w:id="713"/>
      <w:bookmarkEnd w:id="715"/>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402"/>
        <w:gridCol w:w="2693"/>
        <w:gridCol w:w="2491"/>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173,454,483.23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148,124,244.12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5,684,000.00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249,220.66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应收账款</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202,455,530.69</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261,110,456.67</w:t>
            </w:r>
          </w:p>
        </w:tc>
      </w:tr>
    </w:tbl>
    <w:p>
      <w:pPr>
        <w:widowControl w:val="0"/>
        <w:spacing w:line="1" w:lineRule="exact"/>
      </w:pPr>
      <w:r>
        <w:br w:type="page"/>
      </w:r>
    </w:p>
    <w:tbl>
      <w:tblPr>
        <w:tblOverlap w:val="never"/>
        <w:jc w:val="left"/>
        <w:tblLayout w:type="fixed"/>
      </w:tblPr>
      <w:tblGrid>
        <w:gridCol w:w="4402"/>
        <w:gridCol w:w="2693"/>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936,500.00</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251,000.00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1,402,162.15</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1,147,551.57</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112,103,448.53</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98,974,593.01</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580"/>
              <w:jc w:val="left"/>
            </w:pPr>
            <w:r>
              <w:rPr>
                <w:color w:val="000000"/>
                <w:spacing w:val="0"/>
                <w:w w:val="100"/>
                <w:position w:val="0"/>
              </w:rPr>
              <w:t>其中：应收利息</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100" w:right="0" w:firstLine="0"/>
              <w:jc w:val="left"/>
            </w:pPr>
            <w:r>
              <w:rPr>
                <w:color w:val="000000"/>
                <w:spacing w:val="0"/>
                <w:w w:val="100"/>
                <w:position w:val="0"/>
              </w:rPr>
              <w:t>应收股利</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98,400,000.00</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85,000,000.00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存货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27,684,855.44</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25,849,925.86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合同资产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10,249,903.46</w:t>
            </w: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持有待售资产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一年内到期的非流动资产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8,462,458.69</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4,609,559.36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546,290.26</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1,003,632.33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542,979,632.45</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541,320,183.58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4D4D4"/>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债权投资</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其他债权投资</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长期应收款</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15,561,815.65</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9,133,358.28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980,474,474.27</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766,475,762.08</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85,450,790.14</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81,434,696.40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其他非流动金融资产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投资性房地产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82,562,650.75</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92,675,292.93</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在建工程</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生产性生物资产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油气资产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使用权资产</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17,176,709.93</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15,246,341.04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开发支出</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商誉</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1,192,707.68</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1,558.22</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33,529,104.48</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19,990,032.94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30,525,345.60</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25,000,000.00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1,246,473,598.50</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1,009,957,041.89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1,789,453,230.95</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1,551,277,225.47</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4D4D4"/>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13680" w:vSpace="365" w:wrap="notBeside" w:vAnchor="text" w:hAnchor="text" w:x="97" w:y="366"/>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短期借款</w:t>
            </w:r>
          </w:p>
        </w:tc>
        <w:tc>
          <w:tcPr>
            <w:tcBorders>
              <w:top w:val="single" w:sz="4"/>
              <w:left w:val="single" w:sz="4"/>
              <w:bottom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77,327,969.32</w:t>
            </w:r>
          </w:p>
        </w:tc>
        <w:tc>
          <w:tcPr>
            <w:tcBorders>
              <w:top w:val="single" w:sz="4"/>
              <w:left w:val="single" w:sz="4"/>
              <w:bottom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56,837,924.93</w:t>
            </w:r>
          </w:p>
        </w:tc>
      </w:tr>
    </w:tbl>
    <w:p>
      <w:pPr>
        <w:pStyle w:val="Style49"/>
        <w:keepNext w:val="0"/>
        <w:keepLines w:val="0"/>
        <w:framePr w:w="1291" w:h="365" w:hSpace="96" w:wrap="notBeside" w:vAnchor="text" w:hAnchor="text" w:x="899"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sectPr>
          <w:headerReference w:type="default" r:id="rId233"/>
          <w:footerReference w:type="default" r:id="rId234"/>
          <w:headerReference w:type="even" r:id="rId235"/>
          <w:footerReference w:type="even" r:id="rId236"/>
          <w:headerReference w:type="first" r:id="rId237"/>
          <w:footerReference w:type="first" r:id="rId238"/>
          <w:footnotePr>
            <w:pos w:val="pageBottom"/>
            <w:numFmt w:val="decimal"/>
            <w:numRestart w:val="continuous"/>
          </w:footnotePr>
          <w:pgSz w:w="11900" w:h="16840"/>
          <w:pgMar w:top="1103" w:right="1071" w:bottom="1309" w:left="1051" w:header="0" w:footer="3" w:gutter="0"/>
          <w:cols w:space="720"/>
          <w:noEndnote/>
          <w:titlePg/>
          <w:rtlGutter w:val="0"/>
          <w:docGrid w:linePitch="360"/>
        </w:sectPr>
      </w:pPr>
      <w:r>
        <w:drawing>
          <wp:anchor distT="0" distB="0" distL="0" distR="0" simplePos="0" relativeHeight="125829534" behindDoc="0" locked="0" layoutInCell="1" allowOverlap="1">
            <wp:simplePos x="0" y="0"/>
            <wp:positionH relativeFrom="page">
              <wp:posOffset>749935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601" name="Shape 601"/>
            <a:graphic xmlns:a="http://schemas.openxmlformats.org/drawingml/2006/main">
              <a:graphicData uri="http://schemas.openxmlformats.org/drawingml/2006/picture">
                <pic:pic xmlns:pic="http://schemas.openxmlformats.org/drawingml/2006/picture">
                  <pic:nvPicPr>
                    <pic:cNvPr id="602" name="Picture box 602"/>
                    <pic:cNvPicPr/>
                  </pic:nvPicPr>
                  <pic:blipFill>
                    <a:blip r:embed="rId239"/>
                    <a:stretch/>
                  </pic:blipFill>
                  <pic:spPr>
                    <a:xfrm>
                      <a:ext cx="487680" cy="237490"/>
                    </a:xfrm>
                    <a:prstGeom prst="rect"/>
                  </pic:spPr>
                </pic:pic>
              </a:graphicData>
            </a:graphic>
          </wp:anchor>
        </w:drawing>
      </w:r>
    </w:p>
    <w:p>
      <w:pPr>
        <w:widowControl w:val="0"/>
        <w:jc w:val="left"/>
        <w:rPr>
          <w:sz w:val="2"/>
          <w:szCs w:val="2"/>
        </w:rPr>
      </w:pPr>
      <w:r>
        <w:drawing>
          <wp:inline>
            <wp:extent cx="1298575" cy="481330"/>
            <wp:docPr id="603" name="Picutre 603"/>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241"/>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168" w:lineRule="exact"/>
        <w:ind w:left="782"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line="1" w:lineRule="exact"/>
      </w:pPr>
    </w:p>
    <w:tbl>
      <w:tblPr>
        <w:tblOverlap w:val="never"/>
        <w:jc w:val="center"/>
        <w:tblLayout w:type="fixed"/>
      </w:tblPr>
      <w:tblGrid>
        <w:gridCol w:w="4402"/>
        <w:gridCol w:w="2693"/>
        <w:gridCol w:w="2491"/>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5,255,684.00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19,818,691.60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128,178,954.18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142,794,693.87</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13,175,180.86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22,433,289.15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1,293,976.98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1,078,042.20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2,327,420.29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179,811.39</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75,704,141.62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45,050,112.58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28,486,539.83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27,588,500.00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517,378.70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341,525,354.07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306,522,957.43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24,646,000.00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52,234,500.00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7,509,369.21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14,388,496.00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10,769,696.00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46,543,865.21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63,004,196.00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388,069,219.28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369,527,153.43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股本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597,527,930.00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553,756,711.00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left"/>
        <w:tblLayout w:type="fixed"/>
      </w:tblPr>
      <w:tblGrid>
        <w:gridCol w:w="4402"/>
        <w:gridCol w:w="2693"/>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596,652,198.34</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398,439,739.89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减：库存股</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5,829,040.00</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8,394,400.00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-17,483,098.86</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4,200,807.40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专项储备</w:t>
            </w:r>
          </w:p>
        </w:tc>
        <w:tc>
          <w:tcPr>
            <w:tcBorders>
              <w:top w:val="single" w:sz="4"/>
              <w:left w:val="single" w:sz="4"/>
            </w:tcBorders>
            <w:shd w:val="clear" w:color="auto" w:fill="FFFFFF"/>
            <w:vAlign w:val="top"/>
          </w:tcPr>
          <w:p>
            <w:pPr>
              <w:framePr w:w="9586" w:h="323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323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32,459,369.45</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31,862,016.33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198,056,652.74</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201,885,197.42</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1,401,384,011.67</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1,181,750,072.04</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1,789,453,230.95</w:t>
            </w:r>
          </w:p>
        </w:tc>
        <w:tc>
          <w:tcPr>
            <w:tcBorders>
              <w:top w:val="single" w:sz="4"/>
              <w:left w:val="single" w:sz="4"/>
              <w:bottom w:val="single" w:sz="4"/>
              <w:right w:val="single" w:sz="4"/>
            </w:tcBorders>
            <w:shd w:val="clear" w:color="auto" w:fill="FFFFFF"/>
            <w:vAlign w:val="center"/>
          </w:tcPr>
          <w:p>
            <w:pPr>
              <w:pStyle w:val="Style44"/>
              <w:keepNext w:val="0"/>
              <w:keepLines w:val="0"/>
              <w:framePr w:w="9586" w:h="323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1,551,277,225.47</w:t>
            </w:r>
          </w:p>
        </w:tc>
      </w:tr>
    </w:tbl>
    <w:p>
      <w:pPr>
        <w:pStyle w:val="Style49"/>
        <w:keepNext w:val="0"/>
        <w:keepLines w:val="0"/>
        <w:framePr w:w="1291" w:h="365" w:hSpace="96" w:wrap="notBeside" w:vAnchor="text" w:hAnchor="text" w:x="899"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80" w:line="240" w:lineRule="auto"/>
        <w:ind w:left="0" w:right="0" w:firstLine="0"/>
        <w:jc w:val="left"/>
      </w:pPr>
      <w:r>
        <w:drawing>
          <wp:anchor distT="0" distB="0" distL="0" distR="0" simplePos="0" relativeHeight="125829535" behindDoc="0" locked="0" layoutInCell="1" allowOverlap="1">
            <wp:simplePos x="0" y="0"/>
            <wp:positionH relativeFrom="page">
              <wp:posOffset>727075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604" name="Shape 604"/>
            <a:graphic xmlns:a="http://schemas.openxmlformats.org/drawingml/2006/main">
              <a:graphicData uri="http://schemas.openxmlformats.org/drawingml/2006/picture">
                <pic:pic xmlns:pic="http://schemas.openxmlformats.org/drawingml/2006/picture">
                  <pic:nvPicPr>
                    <pic:cNvPr id="605" name="Picture box 605"/>
                    <pic:cNvPicPr/>
                  </pic:nvPicPr>
                  <pic:blipFill>
                    <a:blip r:embed="rId243"/>
                    <a:stretch/>
                  </pic:blipFill>
                  <pic:spPr>
                    <a:xfrm>
                      <a:ext cx="487680" cy="237490"/>
                    </a:xfrm>
                    <a:prstGeom prst="rect"/>
                  </pic:spPr>
                </pic:pic>
              </a:graphicData>
            </a:graphic>
          </wp:anchor>
        </w:drawing>
      </w:r>
      <w:bookmarkStart w:id="716" w:name="bookmark716"/>
      <w:bookmarkStart w:id="717" w:name="bookmark717"/>
      <w:bookmarkStart w:id="718" w:name="bookmark718"/>
      <w:bookmarkStart w:id="719" w:name="bookmark719"/>
      <w:r>
        <w:rPr>
          <w:rFonts w:ascii="Times New Roman" w:eastAsia="Times New Roman" w:hAnsi="Times New Roman" w:cs="Times New Roman"/>
          <w:color w:val="000000"/>
          <w:spacing w:val="0"/>
          <w:w w:val="100"/>
          <w:position w:val="0"/>
        </w:rPr>
        <w:t>3</w:t>
      </w:r>
      <w:bookmarkEnd w:id="718"/>
      <w:r>
        <w:rPr>
          <w:color w:val="000000"/>
          <w:spacing w:val="0"/>
          <w:w w:val="100"/>
          <w:position w:val="0"/>
        </w:rPr>
        <w:t>、合并利润表</w:t>
      </w:r>
      <w:bookmarkEnd w:id="716"/>
      <w:bookmarkEnd w:id="717"/>
      <w:bookmarkEnd w:id="719"/>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402"/>
        <w:gridCol w:w="2693"/>
        <w:gridCol w:w="2491"/>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一、营业总收入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787,896,467.61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723,766,459.30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其中：营业收入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787,896,467.61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723,766,459.30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二、营业总成本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728,778,773.97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675,706,850.99</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其中：营业成本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486,731,451.26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452,352,089.47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提取保险责任合同准备金净额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税金及附加</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6,053,805.20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6,401,593.19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77,087,604.75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72,051,338.26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93,353,205.42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91,486,444.93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60,362,468.03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45,615,884.20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5,190,239.31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7,799,500.94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其中：利息费用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8,013,143.24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9,557,741.20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66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2,550,145.36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2,325,621.31</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加：其他收益</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31,556,934.52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24,178,612.49</w:t>
            </w:r>
          </w:p>
        </w:tc>
      </w:tr>
    </w:tbl>
    <w:p>
      <w:pPr>
        <w:widowControl w:val="0"/>
        <w:spacing w:line="1" w:lineRule="exact"/>
      </w:pPr>
      <w:r>
        <w:br w:type="page"/>
      </w:r>
    </w:p>
    <w:tbl>
      <w:tblPr>
        <w:tblOverlap w:val="never"/>
        <w:jc w:val="left"/>
        <w:tblLayout w:type="fixed"/>
      </w:tblPr>
      <w:tblGrid>
        <w:gridCol w:w="4402"/>
        <w:gridCol w:w="2693"/>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740"/>
              <w:jc w:val="left"/>
            </w:pPr>
            <w:r>
              <w:rPr>
                <w:color w:val="000000"/>
                <w:spacing w:val="0"/>
                <w:w w:val="100"/>
                <w:position w:val="0"/>
              </w:rPr>
              <w:t>投资收益（损失以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4,149,600.52</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1,385,678.06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740"/>
              <w:jc w:val="left"/>
            </w:pPr>
            <w:r>
              <w:rPr>
                <w:color w:val="000000"/>
                <w:spacing w:val="0"/>
                <w:w w:val="100"/>
                <w:position w:val="0"/>
              </w:rPr>
              <w:t>其中：对联营企业和合营企业的投资收益</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-28,947.37</w:t>
            </w: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100" w:right="0" w:firstLine="0"/>
              <w:jc w:val="left"/>
            </w:pPr>
            <w:r>
              <w:rPr>
                <w:color w:val="000000"/>
                <w:spacing w:val="0"/>
                <w:w w:val="100"/>
                <w:position w:val="0"/>
              </w:rPr>
              <w:t>以摊余成本计量的金融资产终止确认收益</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740"/>
              <w:jc w:val="left"/>
            </w:pPr>
            <w:r>
              <w:rPr>
                <w:color w:val="000000"/>
                <w:spacing w:val="0"/>
                <w:w w:val="100"/>
                <w:position w:val="0"/>
              </w:rPr>
              <w:t>汇兑收益（损失以号填列）</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740"/>
              <w:jc w:val="left"/>
            </w:pPr>
            <w:r>
              <w:rPr>
                <w:color w:val="000000"/>
                <w:spacing w:val="0"/>
                <w:w w:val="100"/>
                <w:position w:val="0"/>
              </w:rPr>
              <w:t>净敞口套期收益（损失以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740"/>
              <w:jc w:val="left"/>
            </w:pPr>
            <w:r>
              <w:rPr>
                <w:color w:val="000000"/>
                <w:spacing w:val="0"/>
                <w:w w:val="100"/>
                <w:position w:val="0"/>
              </w:rPr>
              <w:t>公允价值变动收益（损失以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740"/>
              <w:jc w:val="left"/>
            </w:pPr>
            <w:r>
              <w:rPr>
                <w:color w:val="000000"/>
                <w:spacing w:val="0"/>
                <w:w w:val="100"/>
                <w:position w:val="0"/>
              </w:rPr>
              <w:t>信用减值损失（损失以号填列）</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8,717,568.34</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-28,159,342.75</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740"/>
              <w:jc w:val="left"/>
            </w:pPr>
            <w:r>
              <w:rPr>
                <w:color w:val="000000"/>
                <w:spacing w:val="0"/>
                <w:w w:val="100"/>
                <w:position w:val="0"/>
              </w:rPr>
              <w:t>资产减值损失（损失以号填列）</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-6,627,482.28</w:t>
            </w: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740"/>
              <w:jc w:val="left"/>
            </w:pPr>
            <w:r>
              <w:rPr>
                <w:color w:val="000000"/>
                <w:spacing w:val="0"/>
                <w:w w:val="100"/>
                <w:position w:val="0"/>
              </w:rPr>
              <w:t>资产处置收益（损失以号填列）</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840" w:right="0" w:firstLine="0"/>
              <w:jc w:val="both"/>
            </w:pPr>
            <w:r>
              <w:rPr>
                <w:rFonts w:ascii="Times New Roman" w:eastAsia="Times New Roman" w:hAnsi="Times New Roman" w:cs="Times New Roman"/>
                <w:color w:val="000000"/>
                <w:spacing w:val="0"/>
                <w:w w:val="100"/>
                <w:position w:val="0"/>
              </w:rPr>
              <w:t>373,021.16</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722,019.57</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三、营业利润（亏损以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97,287,335.90</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46,186,575.68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加：营业外收入</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840" w:right="0" w:firstLine="0"/>
              <w:jc w:val="both"/>
            </w:pPr>
            <w:r>
              <w:rPr>
                <w:rFonts w:ascii="Times New Roman" w:eastAsia="Times New Roman" w:hAnsi="Times New Roman" w:cs="Times New Roman"/>
                <w:color w:val="000000"/>
                <w:spacing w:val="0"/>
                <w:w w:val="100"/>
                <w:position w:val="0"/>
              </w:rPr>
              <w:t>467,186.41</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58,831.44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减：营业外支出</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2,587,130.55</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138,993.29</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四、利润总额（亏损总额以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95,167,391.76</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46,106,413.83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840" w:right="0" w:firstLine="0"/>
              <w:jc w:val="both"/>
            </w:pPr>
            <w:r>
              <w:rPr>
                <w:rFonts w:ascii="Times New Roman" w:eastAsia="Times New Roman" w:hAnsi="Times New Roman" w:cs="Times New Roman"/>
                <w:color w:val="000000"/>
                <w:spacing w:val="0"/>
                <w:w w:val="100"/>
                <w:position w:val="0"/>
              </w:rPr>
              <w:t>449,835.45</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1,723,991.25</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五、净利润（净亏损以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94,717,556.31</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44,382,422.58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220"/>
              <w:jc w:val="left"/>
            </w:pPr>
            <w:r>
              <w:rPr>
                <w:color w:val="000000"/>
                <w:spacing w:val="0"/>
                <w:w w:val="100"/>
                <w:position w:val="0"/>
              </w:rPr>
              <w:t>（一）按经营持续性分类</w:t>
            </w:r>
          </w:p>
        </w:tc>
        <w:tc>
          <w:tcPr>
            <w:tcBorders>
              <w:top w:val="single" w:sz="4"/>
              <w:left w:val="single" w:sz="4"/>
            </w:tcBorders>
            <w:shd w:val="clear" w:color="auto" w:fill="D4D4D4"/>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w:t>
            </w:r>
            <w:r>
              <w:rPr>
                <w:color w:val="000000"/>
                <w:spacing w:val="0"/>
                <w:w w:val="100"/>
                <w:position w:val="0"/>
              </w:rPr>
              <w:t>持续经营净利润（净亏损以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94,717,556.31</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44,382,422.58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2.</w:t>
            </w:r>
            <w:r>
              <w:rPr>
                <w:color w:val="000000"/>
                <w:spacing w:val="0"/>
                <w:w w:val="100"/>
                <w:position w:val="0"/>
              </w:rPr>
              <w:t>终止经营净利润（净亏损以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220"/>
              <w:jc w:val="left"/>
            </w:pPr>
            <w:r>
              <w:rPr>
                <w:color w:val="000000"/>
                <w:spacing w:val="0"/>
                <w:w w:val="100"/>
                <w:position w:val="0"/>
              </w:rPr>
              <w:t>（二）按所有权归属分类</w:t>
            </w:r>
          </w:p>
        </w:tc>
        <w:tc>
          <w:tcPr>
            <w:tcBorders>
              <w:top w:val="single" w:sz="4"/>
              <w:left w:val="single" w:sz="4"/>
            </w:tcBorders>
            <w:shd w:val="clear" w:color="auto" w:fill="D4D4D4"/>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w:t>
            </w:r>
            <w:r>
              <w:rPr>
                <w:color w:val="000000"/>
                <w:spacing w:val="0"/>
                <w:w w:val="100"/>
                <w:position w:val="0"/>
              </w:rPr>
              <w:t>归属于母公司股东的净利润</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80,368,462.37</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43,153,626.44</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2.</w:t>
            </w:r>
            <w:r>
              <w:rPr>
                <w:color w:val="000000"/>
                <w:spacing w:val="0"/>
                <w:w w:val="100"/>
                <w:position w:val="0"/>
              </w:rPr>
              <w:t>少数股东损益</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14,349,093.94</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1,228,796.14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六、其他综合收益的税后净额</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-21,683,906.26</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2,480,835.16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220"/>
              <w:jc w:val="left"/>
            </w:pPr>
            <w:r>
              <w:rPr>
                <w:color w:val="000000"/>
                <w:spacing w:val="0"/>
                <w:w w:val="100"/>
                <w:position w:val="0"/>
              </w:rPr>
              <w:t>归属母公司所有者的其他综合收益的税后净额</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-21,683,906.26</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2,480,835.16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（一）不能重分类进损益的其他综合收益</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-21,683,906.26</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2,297,718.26</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w:t>
            </w:r>
            <w:r>
              <w:rPr>
                <w:color w:val="000000"/>
                <w:spacing w:val="0"/>
                <w:w w:val="100"/>
                <w:position w:val="0"/>
              </w:rPr>
              <w:t>重新计量设定受益计划变动额</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2.</w:t>
            </w:r>
            <w:r>
              <w:rPr>
                <w:color w:val="000000"/>
                <w:spacing w:val="0"/>
                <w:w w:val="100"/>
                <w:position w:val="0"/>
              </w:rPr>
              <w:t>权益法下不能转损益的其他综合收益</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3.</w:t>
            </w:r>
            <w:r>
              <w:rPr>
                <w:color w:val="000000"/>
                <w:spacing w:val="0"/>
                <w:w w:val="100"/>
                <w:position w:val="0"/>
              </w:rPr>
              <w:t>其他权益工具投资公允价值变动</w:t>
            </w:r>
          </w:p>
        </w:tc>
        <w:tc>
          <w:tcPr>
            <w:tcBorders>
              <w:top w:val="single" w:sz="4"/>
              <w:lef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-21,683,906.26</w:t>
            </w: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2,297,718.26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4.</w:t>
            </w:r>
            <w:r>
              <w:rPr>
                <w:color w:val="000000"/>
                <w:spacing w:val="0"/>
                <w:w w:val="100"/>
                <w:position w:val="0"/>
              </w:rPr>
              <w:t>企业自身信用风险公允价值变动</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5.</w:t>
            </w:r>
            <w:r>
              <w:rPr>
                <w:color w:val="000000"/>
                <w:spacing w:val="0"/>
                <w:w w:val="100"/>
                <w:position w:val="0"/>
              </w:rPr>
              <w:t>其他</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（二）将重分类进损益的其他综合收益</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183,116.90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w:t>
            </w:r>
            <w:r>
              <w:rPr>
                <w:color w:val="000000"/>
                <w:spacing w:val="0"/>
                <w:w w:val="100"/>
                <w:position w:val="0"/>
              </w:rPr>
              <w:t>权益法下可转损益的其他综合收益</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2.</w:t>
            </w:r>
            <w:r>
              <w:rPr>
                <w:color w:val="000000"/>
                <w:spacing w:val="0"/>
                <w:w w:val="100"/>
                <w:position w:val="0"/>
              </w:rPr>
              <w:t>其他债权投资公允价值变动</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3.</w:t>
            </w:r>
            <w:r>
              <w:rPr>
                <w:color w:val="000000"/>
                <w:spacing w:val="0"/>
                <w:w w:val="100"/>
                <w:position w:val="0"/>
              </w:rPr>
              <w:t>金融资产重分类计入其他综合收益的金额</w:t>
            </w:r>
          </w:p>
        </w:tc>
        <w:tc>
          <w:tcPr>
            <w:tcBorders>
              <w:top w:val="single" w:sz="4"/>
              <w:left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680" w:vSpace="365" w:wrap="notBeside" w:vAnchor="text" w:hAnchor="text" w:x="97" w:y="366"/>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13680"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4.</w:t>
            </w:r>
            <w:r>
              <w:rPr>
                <w:color w:val="000000"/>
                <w:spacing w:val="0"/>
                <w:w w:val="100"/>
                <w:position w:val="0"/>
              </w:rPr>
              <w:t>其他债权投资信用减值准备</w:t>
            </w:r>
          </w:p>
        </w:tc>
        <w:tc>
          <w:tcPr>
            <w:tcBorders>
              <w:top w:val="single" w:sz="4"/>
              <w:left w:val="single" w:sz="4"/>
              <w:bottom w:val="single" w:sz="4"/>
            </w:tcBorders>
            <w:shd w:val="clear" w:color="auto" w:fill="FFFFFF"/>
            <w:vAlign w:val="top"/>
          </w:tcPr>
          <w:p>
            <w:pPr>
              <w:framePr w:w="9586" w:h="13680" w:vSpace="365" w:wrap="notBeside" w:vAnchor="text" w:hAnchor="text" w:x="97" w:y="366"/>
              <w:widowControl w:val="0"/>
              <w:rPr>
                <w:sz w:val="10"/>
                <w:szCs w:val="10"/>
              </w:rPr>
            </w:pPr>
          </w:p>
        </w:tc>
        <w:tc>
          <w:tcPr>
            <w:tcBorders>
              <w:top w:val="single" w:sz="4"/>
              <w:left w:val="single" w:sz="4"/>
              <w:bottom w:val="single" w:sz="4"/>
              <w:right w:val="single" w:sz="4"/>
            </w:tcBorders>
            <w:shd w:val="clear" w:color="auto" w:fill="FFFFFF"/>
            <w:vAlign w:val="top"/>
          </w:tcPr>
          <w:p>
            <w:pPr>
              <w:framePr w:w="9586" w:h="13680" w:vSpace="365" w:wrap="notBeside" w:vAnchor="text" w:hAnchor="text" w:x="97" w:y="366"/>
              <w:widowControl w:val="0"/>
              <w:rPr>
                <w:sz w:val="10"/>
                <w:szCs w:val="10"/>
              </w:rPr>
            </w:pPr>
          </w:p>
        </w:tc>
      </w:tr>
    </w:tbl>
    <w:p>
      <w:pPr>
        <w:pStyle w:val="Style49"/>
        <w:keepNext w:val="0"/>
        <w:keepLines w:val="0"/>
        <w:framePr w:w="1291" w:h="365" w:hSpace="96" w:wrap="notBeside" w:vAnchor="text" w:hAnchor="text" w:x="899"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r>
        <w:drawing>
          <wp:anchor distT="0" distB="0" distL="0" distR="0" simplePos="0" relativeHeight="125829536" behindDoc="0" locked="0" layoutInCell="1" allowOverlap="1">
            <wp:simplePos x="0" y="0"/>
            <wp:positionH relativeFrom="page">
              <wp:posOffset>749935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606" name="Shape 606"/>
            <a:graphic xmlns:a="http://schemas.openxmlformats.org/drawingml/2006/main">
              <a:graphicData uri="http://schemas.openxmlformats.org/drawingml/2006/picture">
                <pic:pic xmlns:pic="http://schemas.openxmlformats.org/drawingml/2006/picture">
                  <pic:nvPicPr>
                    <pic:cNvPr id="607" name="Picture box 607"/>
                    <pic:cNvPicPr/>
                  </pic:nvPicPr>
                  <pic:blipFill>
                    <a:blip r:embed="rId245"/>
                    <a:stretch/>
                  </pic:blipFill>
                  <pic:spPr>
                    <a:xfrm>
                      <a:ext cx="487680" cy="237490"/>
                    </a:xfrm>
                    <a:prstGeom prst="rect"/>
                  </pic:spPr>
                </pic:pic>
              </a:graphicData>
            </a:graphic>
          </wp:anchor>
        </w:drawing>
      </w:r>
      <w:r>
        <w:br w:type="page"/>
      </w:r>
    </w:p>
    <w:tbl>
      <w:tblPr>
        <w:tblOverlap w:val="never"/>
        <w:jc w:val="left"/>
        <w:tblLayout w:type="fixed"/>
      </w:tblPr>
      <w:tblGrid>
        <w:gridCol w:w="4402"/>
        <w:gridCol w:w="2693"/>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5.</w:t>
            </w:r>
            <w:r>
              <w:rPr>
                <w:color w:val="000000"/>
                <w:spacing w:val="0"/>
                <w:w w:val="100"/>
                <w:position w:val="0"/>
              </w:rPr>
              <w:t>现金流量套期储备</w:t>
            </w:r>
          </w:p>
        </w:tc>
        <w:tc>
          <w:tcPr>
            <w:tcBorders>
              <w:top w:val="single" w:sz="4"/>
              <w:left w:val="single" w:sz="4"/>
            </w:tcBorders>
            <w:shd w:val="clear" w:color="auto" w:fill="FFFFFF"/>
            <w:vAlign w:val="top"/>
          </w:tcPr>
          <w:p>
            <w:pPr>
              <w:framePr w:w="9586" w:h="4032"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4032"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6.</w:t>
            </w:r>
            <w:r>
              <w:rPr>
                <w:color w:val="000000"/>
                <w:spacing w:val="0"/>
                <w:w w:val="100"/>
                <w:position w:val="0"/>
              </w:rPr>
              <w:t>外币财务报表折算差额</w:t>
            </w:r>
          </w:p>
        </w:tc>
        <w:tc>
          <w:tcPr>
            <w:tcBorders>
              <w:top w:val="single" w:sz="4"/>
              <w:left w:val="single" w:sz="4"/>
            </w:tcBorders>
            <w:shd w:val="clear" w:color="auto" w:fill="FFFFFF"/>
            <w:vAlign w:val="top"/>
          </w:tcPr>
          <w:p>
            <w:pPr>
              <w:framePr w:w="9586" w:h="4032" w:vSpace="365" w:wrap="notBeside" w:vAnchor="text" w:hAnchor="text" w:x="97" w:y="366"/>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183,116.90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7.</w:t>
            </w:r>
            <w:r>
              <w:rPr>
                <w:color w:val="000000"/>
                <w:spacing w:val="0"/>
                <w:w w:val="100"/>
                <w:position w:val="0"/>
              </w:rPr>
              <w:t>其他</w:t>
            </w:r>
          </w:p>
        </w:tc>
        <w:tc>
          <w:tcPr>
            <w:tcBorders>
              <w:top w:val="single" w:sz="4"/>
              <w:left w:val="single" w:sz="4"/>
            </w:tcBorders>
            <w:shd w:val="clear" w:color="auto" w:fill="FFFFFF"/>
            <w:vAlign w:val="top"/>
          </w:tcPr>
          <w:p>
            <w:pPr>
              <w:framePr w:w="9586" w:h="4032"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4032"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220"/>
              <w:jc w:val="left"/>
            </w:pPr>
            <w:r>
              <w:rPr>
                <w:color w:val="000000"/>
                <w:spacing w:val="0"/>
                <w:w w:val="100"/>
                <w:position w:val="0"/>
              </w:rPr>
              <w:t>归属于少数股东的其他综合收益的税后净额</w:t>
            </w:r>
          </w:p>
        </w:tc>
        <w:tc>
          <w:tcPr>
            <w:tcBorders>
              <w:top w:val="single" w:sz="4"/>
              <w:left w:val="single" w:sz="4"/>
            </w:tcBorders>
            <w:shd w:val="clear" w:color="auto" w:fill="FFFFFF"/>
            <w:vAlign w:val="top"/>
          </w:tcPr>
          <w:p>
            <w:pPr>
              <w:framePr w:w="9586" w:h="4032"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4032"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七、综合收益总额</w:t>
            </w:r>
          </w:p>
        </w:tc>
        <w:tc>
          <w:tcPr>
            <w:tcBorders>
              <w:top w:val="single" w:sz="4"/>
              <w:lef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73,033,650.05</w:t>
            </w:r>
          </w:p>
        </w:tc>
        <w:tc>
          <w:tcPr>
            <w:tcBorders>
              <w:top w:val="single" w:sz="4"/>
              <w:left w:val="single" w:sz="4"/>
              <w:righ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46,863,257.74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归属于母公司所有者的综合收益总额</w:t>
            </w:r>
          </w:p>
        </w:tc>
        <w:tc>
          <w:tcPr>
            <w:tcBorders>
              <w:top w:val="single" w:sz="4"/>
              <w:lef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58,684,556.11</w:t>
            </w:r>
          </w:p>
        </w:tc>
        <w:tc>
          <w:tcPr>
            <w:tcBorders>
              <w:top w:val="single" w:sz="4"/>
              <w:left w:val="single" w:sz="4"/>
              <w:righ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45,634,461.60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归属于少数股东的综合收益总额</w:t>
            </w:r>
          </w:p>
        </w:tc>
        <w:tc>
          <w:tcPr>
            <w:tcBorders>
              <w:top w:val="single" w:sz="4"/>
              <w:lef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14,349,093.94</w:t>
            </w:r>
          </w:p>
        </w:tc>
        <w:tc>
          <w:tcPr>
            <w:tcBorders>
              <w:top w:val="single" w:sz="4"/>
              <w:left w:val="single" w:sz="4"/>
              <w:righ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1,228,796.14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八、每股收益：</w:t>
            </w:r>
          </w:p>
        </w:tc>
        <w:tc>
          <w:tcPr>
            <w:tcBorders>
              <w:top w:val="single" w:sz="4"/>
              <w:left w:val="single" w:sz="4"/>
            </w:tcBorders>
            <w:shd w:val="clear" w:color="auto" w:fill="D4D4D4"/>
            <w:vAlign w:val="top"/>
          </w:tcPr>
          <w:p>
            <w:pPr>
              <w:framePr w:w="9586" w:h="4032"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4032"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（一）基本每股收益</w:t>
            </w:r>
          </w:p>
        </w:tc>
        <w:tc>
          <w:tcPr>
            <w:tcBorders>
              <w:top w:val="single" w:sz="4"/>
              <w:lef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0.1403</w:t>
            </w:r>
          </w:p>
        </w:tc>
        <w:tc>
          <w:tcPr>
            <w:tcBorders>
              <w:top w:val="single" w:sz="4"/>
              <w:left w:val="single" w:sz="4"/>
              <w:righ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0.0795</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（二）稀释每股收益</w:t>
            </w:r>
          </w:p>
        </w:tc>
        <w:tc>
          <w:tcPr>
            <w:tcBorders>
              <w:top w:val="single" w:sz="4"/>
              <w:left w:val="single" w:sz="4"/>
              <w:bottom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0.1395</w:t>
            </w:r>
          </w:p>
        </w:tc>
        <w:tc>
          <w:tcPr>
            <w:tcBorders>
              <w:top w:val="single" w:sz="4"/>
              <w:left w:val="single" w:sz="4"/>
              <w:bottom w:val="single" w:sz="4"/>
              <w:right w:val="single" w:sz="4"/>
            </w:tcBorders>
            <w:shd w:val="clear" w:color="auto" w:fill="FFFFFF"/>
            <w:vAlign w:val="center"/>
          </w:tcPr>
          <w:p>
            <w:pPr>
              <w:pStyle w:val="Style44"/>
              <w:keepNext w:val="0"/>
              <w:keepLines w:val="0"/>
              <w:framePr w:w="9586" w:h="4032"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0.0794</w:t>
            </w:r>
          </w:p>
        </w:tc>
      </w:tr>
    </w:tbl>
    <w:p>
      <w:pPr>
        <w:pStyle w:val="Style49"/>
        <w:keepNext w:val="0"/>
        <w:keepLines w:val="0"/>
        <w:framePr w:w="1296" w:h="365" w:hSpace="96" w:wrap="notBeside" w:vAnchor="text" w:hAnchor="text" w:x="899" w:y="1"/>
        <w:widowControl w:val="0"/>
        <w:shd w:val="clear" w:color="auto" w:fill="auto"/>
        <w:bidi w:val="0"/>
        <w:spacing w:before="0" w:after="0" w:line="173"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r>
        <w:drawing>
          <wp:anchor distT="0" distB="0" distL="0" distR="0" simplePos="0" relativeHeight="125829537" behindDoc="0" locked="0" layoutInCell="1" allowOverlap="1">
            <wp:simplePos x="0" y="0"/>
            <wp:positionH relativeFrom="page">
              <wp:posOffset>727075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608" name="Shape 608"/>
            <a:graphic xmlns:a="http://schemas.openxmlformats.org/drawingml/2006/main">
              <a:graphicData uri="http://schemas.openxmlformats.org/drawingml/2006/picture">
                <pic:pic xmlns:pic="http://schemas.openxmlformats.org/drawingml/2006/picture">
                  <pic:nvPicPr>
                    <pic:cNvPr id="609" name="Picture box 609"/>
                    <pic:cNvPicPr/>
                  </pic:nvPicPr>
                  <pic:blipFill>
                    <a:blip r:embed="rId247"/>
                    <a:stretch/>
                  </pic:blipFill>
                  <pic:spPr>
                    <a:xfrm>
                      <a:ext cx="487680" cy="237490"/>
                    </a:xfrm>
                    <a:prstGeom prst="rect"/>
                  </pic:spPr>
                </pic:pic>
              </a:graphicData>
            </a:graphic>
          </wp:anchor>
        </w:drawing>
      </w:r>
      <w:r>
        <mc:AlternateContent>
          <mc:Choice Requires="wps">
            <w:drawing>
              <wp:anchor distT="152400" distB="0" distL="114300" distR="5146675" simplePos="0" relativeHeight="125829538" behindDoc="0" locked="0" layoutInCell="1" allowOverlap="1">
                <wp:simplePos x="0" y="0"/>
                <wp:positionH relativeFrom="page">
                  <wp:posOffset>699770</wp:posOffset>
                </wp:positionH>
                <wp:positionV relativeFrom="margin">
                  <wp:posOffset>2956560</wp:posOffset>
                </wp:positionV>
                <wp:extent cx="1054735" cy="149225"/>
                <wp:wrapTopAndBottom/>
                <wp:docPr id="610" name="Shape 610"/>
                <a:graphic xmlns:a="http://schemas.openxmlformats.org/drawingml/2006/main">
                  <a:graphicData uri="http://schemas.microsoft.com/office/word/2010/wordprocessingShape">
                    <wps:wsp>
                      <wps:cNvSpPr txBox="1"/>
                      <wps:spPr>
                        <a:xfrm>
                          <a:ext cx="1054735"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法定代表人：何任晖</w:t>
                            </w:r>
                          </w:p>
                        </w:txbxContent>
                      </wps:txbx>
                      <wps:bodyPr wrap="none" lIns="0" tIns="0" rIns="0" bIns="0">
                        <a:noAutoFit/>
                      </wps:bodyPr>
                    </wps:wsp>
                  </a:graphicData>
                </a:graphic>
              </wp:anchor>
            </w:drawing>
          </mc:Choice>
          <mc:Fallback>
            <w:pict>
              <v:shape id="_x0000_s1636" type="#_x0000_t202" style="position:absolute;margin-left:55.100000000000001pt;margin-top:232.80000000000001pt;width:83.049999999999997pt;height:11.75pt;z-index:-125829215;mso-wrap-distance-left:9.pt;mso-wrap-distance-top:12.pt;mso-wrap-distance-right:405.25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法定代表人：何任晖</w:t>
                      </w:r>
                    </w:p>
                  </w:txbxContent>
                </v:textbox>
                <w10:wrap type="topAndBottom" anchorx="page" anchory="margin"/>
              </v:shape>
            </w:pict>
          </mc:Fallback>
        </mc:AlternateContent>
      </w:r>
      <w:r>
        <mc:AlternateContent>
          <mc:Choice Requires="wps">
            <w:drawing>
              <wp:anchor distT="152400" distB="3175" distL="2348230" distR="2574290" simplePos="0" relativeHeight="125829540" behindDoc="0" locked="0" layoutInCell="1" allowOverlap="1">
                <wp:simplePos x="0" y="0"/>
                <wp:positionH relativeFrom="page">
                  <wp:posOffset>2933700</wp:posOffset>
                </wp:positionH>
                <wp:positionV relativeFrom="margin">
                  <wp:posOffset>2956560</wp:posOffset>
                </wp:positionV>
                <wp:extent cx="1393190" cy="146050"/>
                <wp:wrapTopAndBottom/>
                <wp:docPr id="612" name="Shape 612"/>
                <a:graphic xmlns:a="http://schemas.openxmlformats.org/drawingml/2006/main">
                  <a:graphicData uri="http://schemas.microsoft.com/office/word/2010/wordprocessingShape">
                    <wps:wsp>
                      <wps:cNvSpPr txBox="1"/>
                      <wps:spPr>
                        <a:xfrm>
                          <a:ext cx="1393190"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主管会计工作负责人：李绣</w:t>
                            </w:r>
                          </w:p>
                        </w:txbxContent>
                      </wps:txbx>
                      <wps:bodyPr wrap="none" lIns="0" tIns="0" rIns="0" bIns="0">
                        <a:noAutoFit/>
                      </wps:bodyPr>
                    </wps:wsp>
                  </a:graphicData>
                </a:graphic>
              </wp:anchor>
            </w:drawing>
          </mc:Choice>
          <mc:Fallback>
            <w:pict>
              <v:shape id="_x0000_s1638" type="#_x0000_t202" style="position:absolute;margin-left:231.pt;margin-top:232.80000000000001pt;width:109.7pt;height:11.5pt;z-index:-125829213;mso-wrap-distance-left:184.90000000000001pt;mso-wrap-distance-top:12.pt;mso-wrap-distance-right:202.70000000000002pt;mso-wrap-distance-bottom:0.25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主管会计工作负责人：李绣</w:t>
                      </w:r>
                    </w:p>
                  </w:txbxContent>
                </v:textbox>
                <w10:wrap type="topAndBottom" anchorx="page" anchory="margin"/>
              </v:shape>
            </w:pict>
          </mc:Fallback>
        </mc:AlternateContent>
      </w:r>
      <w:r>
        <mc:AlternateContent>
          <mc:Choice Requires="wps">
            <w:drawing>
              <wp:anchor distT="152400" distB="0" distL="4914900" distR="114300" simplePos="0" relativeHeight="125829542" behindDoc="0" locked="0" layoutInCell="1" allowOverlap="1">
                <wp:simplePos x="0" y="0"/>
                <wp:positionH relativeFrom="page">
                  <wp:posOffset>5500370</wp:posOffset>
                </wp:positionH>
                <wp:positionV relativeFrom="margin">
                  <wp:posOffset>2956560</wp:posOffset>
                </wp:positionV>
                <wp:extent cx="1286510" cy="149225"/>
                <wp:wrapTopAndBottom/>
                <wp:docPr id="614" name="Shape 614"/>
                <a:graphic xmlns:a="http://schemas.openxmlformats.org/drawingml/2006/main">
                  <a:graphicData uri="http://schemas.microsoft.com/office/word/2010/wordprocessingShape">
                    <wps:wsp>
                      <wps:cNvSpPr txBox="1"/>
                      <wps:spPr>
                        <a:xfrm>
                          <a:ext cx="128651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会计机构负责人：谭波涛</w:t>
                            </w:r>
                          </w:p>
                        </w:txbxContent>
                      </wps:txbx>
                      <wps:bodyPr wrap="none" lIns="0" tIns="0" rIns="0" bIns="0">
                        <a:noAutoFit/>
                      </wps:bodyPr>
                    </wps:wsp>
                  </a:graphicData>
                </a:graphic>
              </wp:anchor>
            </w:drawing>
          </mc:Choice>
          <mc:Fallback>
            <w:pict>
              <v:shape id="_x0000_s1640" type="#_x0000_t202" style="position:absolute;margin-left:433.10000000000002pt;margin-top:232.80000000000001pt;width:101.3pt;height:11.75pt;z-index:-125829211;mso-wrap-distance-left:387.pt;mso-wrap-distance-top:12.pt;mso-wrap-distance-right: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会计机构负责人：谭波涛</w:t>
                      </w:r>
                    </w:p>
                  </w:txbxContent>
                </v:textbox>
                <w10:wrap type="topAndBottom" anchorx="page" anchory="margin"/>
              </v:shape>
            </w:pict>
          </mc:Fallback>
        </mc:AlternateContent>
      </w:r>
    </w:p>
    <w:p>
      <w:pPr>
        <w:pStyle w:val="Style55"/>
        <w:keepNext/>
        <w:keepLines/>
        <w:widowControl w:val="0"/>
        <w:shd w:val="clear" w:color="auto" w:fill="auto"/>
        <w:bidi w:val="0"/>
        <w:spacing w:before="0" w:after="380" w:line="240" w:lineRule="auto"/>
        <w:ind w:left="0" w:right="0" w:firstLine="0"/>
        <w:jc w:val="left"/>
      </w:pPr>
      <w:bookmarkStart w:id="720" w:name="bookmark720"/>
      <w:bookmarkStart w:id="721" w:name="bookmark721"/>
      <w:bookmarkStart w:id="722" w:name="bookmark722"/>
      <w:bookmarkStart w:id="723" w:name="bookmark723"/>
      <w:r>
        <w:rPr>
          <w:rFonts w:ascii="Times New Roman" w:eastAsia="Times New Roman" w:hAnsi="Times New Roman" w:cs="Times New Roman"/>
          <w:color w:val="000000"/>
          <w:spacing w:val="0"/>
          <w:w w:val="100"/>
          <w:position w:val="0"/>
        </w:rPr>
        <w:t>4</w:t>
      </w:r>
      <w:bookmarkEnd w:id="722"/>
      <w:r>
        <w:rPr>
          <w:color w:val="000000"/>
          <w:spacing w:val="0"/>
          <w:w w:val="100"/>
          <w:position w:val="0"/>
        </w:rPr>
        <w:t>、母公司利润表</w:t>
      </w:r>
      <w:bookmarkEnd w:id="720"/>
      <w:bookmarkEnd w:id="721"/>
      <w:bookmarkEnd w:id="723"/>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402"/>
        <w:gridCol w:w="2693"/>
        <w:gridCol w:w="2491"/>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272,129,414.17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365,038,541.41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减：营业成本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251,118,779.61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296,365,901.13</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税金及附加</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1,059,676.71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1,311,374.55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3,620,665.39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10,078,402.17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37,122,175.99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48,887,966.20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17,964,943.12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25,444,460.27</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7,167,775.85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6,544,955.70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其中：利息费用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9,488,203.64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8,978,759.87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6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1,859,966.78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2,585,910.14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加：其他收益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875,016.84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2,951,493.75</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投资收益（损失以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30,527,351.77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33,000,000.00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其中：对联营企业和合营企业的投资收益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1100" w:right="0" w:firstLine="0"/>
              <w:jc w:val="left"/>
            </w:pPr>
            <w:r>
              <w:rPr>
                <w:color w:val="000000"/>
                <w:spacing w:val="0"/>
                <w:w w:val="100"/>
                <w:position w:val="0"/>
              </w:rPr>
              <w:t>以摊余成本计量的金融资产终止确认收益</w:t>
            </w:r>
          </w:p>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（损失以号填列）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净敞口套期收益（损失以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公允价值变动收益（损失以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信用减值损失（损失以号填列）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15,336,797.49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-11,208,321.15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资产减值损失（损失以号填列）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-6,342,755.89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资产处置收益（损失以号填列）</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373,021.16</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515,473.06</w:t>
            </w:r>
          </w:p>
        </w:tc>
      </w:tr>
    </w:tbl>
    <w:p>
      <w:pPr>
        <w:widowControl w:val="0"/>
        <w:spacing w:line="1" w:lineRule="exact"/>
      </w:pPr>
      <w:r>
        <w:br w:type="page"/>
      </w:r>
    </w:p>
    <w:tbl>
      <w:tblPr>
        <w:tblOverlap w:val="never"/>
        <w:jc w:val="left"/>
        <w:tblLayout w:type="fixed"/>
      </w:tblPr>
      <w:tblGrid>
        <w:gridCol w:w="4402"/>
        <w:gridCol w:w="2693"/>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二、营业利润（亏损以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-5,155,171.13</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1,664,127.05</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加：营业外收入</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90,248.50</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4,963.34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减：营业外支出</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2,500,617.74</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647.39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三、利润总额（亏损总额以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-7,565,540.37</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1,668,443.00</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-13,539,071.54</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-6,758,466.68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四、净利润（净亏损以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5,973,531.17</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8,426,909.68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（一）持续经营净利润（净亏损以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5,973,531.17</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8,426,909.68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（二）终止经营净利润（净亏损以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五、其他综合收益的税后净额</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-21,683,906.26</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2,297,718.26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（一）不能重分类进损益的其他综合收益</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-21,683,906.26</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2,297,718.26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w:t>
            </w:r>
            <w:r>
              <w:rPr>
                <w:color w:val="000000"/>
                <w:spacing w:val="0"/>
                <w:w w:val="100"/>
                <w:position w:val="0"/>
              </w:rPr>
              <w:t>重新计量设定受益计划变动额</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2.</w:t>
            </w:r>
            <w:r>
              <w:rPr>
                <w:color w:val="000000"/>
                <w:spacing w:val="0"/>
                <w:w w:val="100"/>
                <w:position w:val="0"/>
              </w:rPr>
              <w:t>权益法下不能转损益的其他综合收益</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3.</w:t>
            </w:r>
            <w:r>
              <w:rPr>
                <w:color w:val="000000"/>
                <w:spacing w:val="0"/>
                <w:w w:val="100"/>
                <w:position w:val="0"/>
              </w:rPr>
              <w:t>其他权益工具投资公允价值变动</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-21,683,906.26</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2,297,718.26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4.</w:t>
            </w:r>
            <w:r>
              <w:rPr>
                <w:color w:val="000000"/>
                <w:spacing w:val="0"/>
                <w:w w:val="100"/>
                <w:position w:val="0"/>
              </w:rPr>
              <w:t>企业自身信用风险公允价值变动</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5.</w:t>
            </w:r>
            <w:r>
              <w:rPr>
                <w:color w:val="000000"/>
                <w:spacing w:val="0"/>
                <w:w w:val="100"/>
                <w:position w:val="0"/>
              </w:rPr>
              <w:t>其他</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（二）将重分类进损益的其他综合收益</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w:t>
            </w:r>
            <w:r>
              <w:rPr>
                <w:color w:val="000000"/>
                <w:spacing w:val="0"/>
                <w:w w:val="100"/>
                <w:position w:val="0"/>
              </w:rPr>
              <w:t>权益法下可转损益的其他综合收益</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2.</w:t>
            </w:r>
            <w:r>
              <w:rPr>
                <w:color w:val="000000"/>
                <w:spacing w:val="0"/>
                <w:w w:val="100"/>
                <w:position w:val="0"/>
              </w:rPr>
              <w:t>其他债权投资公允价值变动</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3.</w:t>
            </w:r>
            <w:r>
              <w:rPr>
                <w:color w:val="000000"/>
                <w:spacing w:val="0"/>
                <w:w w:val="100"/>
                <w:position w:val="0"/>
              </w:rPr>
              <w:t>金融资产重分类计入其他综合收益的金额</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4.</w:t>
            </w:r>
            <w:r>
              <w:rPr>
                <w:color w:val="000000"/>
                <w:spacing w:val="0"/>
                <w:w w:val="100"/>
                <w:position w:val="0"/>
              </w:rPr>
              <w:t>其他债权投资信用减值准备</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5.</w:t>
            </w:r>
            <w:r>
              <w:rPr>
                <w:color w:val="000000"/>
                <w:spacing w:val="0"/>
                <w:w w:val="100"/>
                <w:position w:val="0"/>
              </w:rPr>
              <w:t>现金流量套期储备</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6.</w:t>
            </w:r>
            <w:r>
              <w:rPr>
                <w:color w:val="000000"/>
                <w:spacing w:val="0"/>
                <w:w w:val="100"/>
                <w:position w:val="0"/>
              </w:rPr>
              <w:t>外币财务报表折算差额</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7.</w:t>
            </w:r>
            <w:r>
              <w:rPr>
                <w:color w:val="000000"/>
                <w:spacing w:val="0"/>
                <w:w w:val="100"/>
                <w:position w:val="0"/>
              </w:rPr>
              <w:t>其他</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六、综合收益总额</w:t>
            </w:r>
          </w:p>
        </w:tc>
        <w:tc>
          <w:tcPr>
            <w:tcBorders>
              <w:top w:val="single" w:sz="4"/>
              <w:lef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-15,710,375.09</w:t>
            </w:r>
          </w:p>
        </w:tc>
        <w:tc>
          <w:tcPr>
            <w:tcBorders>
              <w:top w:val="single" w:sz="4"/>
              <w:left w:val="single" w:sz="4"/>
              <w:right w:val="single" w:sz="4"/>
            </w:tcBorders>
            <w:shd w:val="clear" w:color="auto" w:fill="FFFFFF"/>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10,724,627.94</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七、每股收益：</w:t>
            </w:r>
          </w:p>
        </w:tc>
        <w:tc>
          <w:tcPr>
            <w:tcBorders>
              <w:top w:val="single" w:sz="4"/>
              <w:left w:val="single" w:sz="4"/>
            </w:tcBorders>
            <w:shd w:val="clear" w:color="auto" w:fill="D4D4D4"/>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10867"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（一）基本每股收益</w:t>
            </w:r>
          </w:p>
        </w:tc>
        <w:tc>
          <w:tcPr>
            <w:tcBorders>
              <w:top w:val="single" w:sz="4"/>
              <w:left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0867" w:vSpace="365" w:wrap="notBeside" w:vAnchor="text" w:hAnchor="text" w:x="97" w:y="366"/>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10867"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（二）稀释每股收益</w:t>
            </w:r>
          </w:p>
        </w:tc>
        <w:tc>
          <w:tcPr>
            <w:tcBorders>
              <w:top w:val="single" w:sz="4"/>
              <w:left w:val="single" w:sz="4"/>
              <w:bottom w:val="single" w:sz="4"/>
            </w:tcBorders>
            <w:shd w:val="clear" w:color="auto" w:fill="FFFFFF"/>
            <w:vAlign w:val="top"/>
          </w:tcPr>
          <w:p>
            <w:pPr>
              <w:framePr w:w="9586" w:h="10867" w:vSpace="365" w:wrap="notBeside" w:vAnchor="text" w:hAnchor="text" w:x="97" w:y="366"/>
              <w:widowControl w:val="0"/>
              <w:rPr>
                <w:sz w:val="10"/>
                <w:szCs w:val="10"/>
              </w:rPr>
            </w:pPr>
          </w:p>
        </w:tc>
        <w:tc>
          <w:tcPr>
            <w:tcBorders>
              <w:top w:val="single" w:sz="4"/>
              <w:left w:val="single" w:sz="4"/>
              <w:bottom w:val="single" w:sz="4"/>
              <w:right w:val="single" w:sz="4"/>
            </w:tcBorders>
            <w:shd w:val="clear" w:color="auto" w:fill="FFFFFF"/>
            <w:vAlign w:val="top"/>
          </w:tcPr>
          <w:p>
            <w:pPr>
              <w:framePr w:w="9586" w:h="10867" w:vSpace="365" w:wrap="notBeside" w:vAnchor="text" w:hAnchor="text" w:x="97" w:y="366"/>
              <w:widowControl w:val="0"/>
              <w:rPr>
                <w:sz w:val="10"/>
                <w:szCs w:val="10"/>
              </w:rPr>
            </w:pPr>
          </w:p>
        </w:tc>
      </w:tr>
    </w:tbl>
    <w:p>
      <w:pPr>
        <w:pStyle w:val="Style49"/>
        <w:keepNext w:val="0"/>
        <w:keepLines w:val="0"/>
        <w:framePr w:w="1291" w:h="365" w:hSpace="96" w:wrap="notBeside" w:vAnchor="text" w:hAnchor="text" w:x="899"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40" w:line="240" w:lineRule="auto"/>
        <w:ind w:left="0" w:right="0" w:firstLine="0"/>
        <w:jc w:val="left"/>
      </w:pPr>
      <w:r>
        <w:drawing>
          <wp:anchor distT="0" distB="0" distL="0" distR="0" simplePos="0" relativeHeight="125829544" behindDoc="0" locked="0" layoutInCell="1" allowOverlap="1">
            <wp:simplePos x="0" y="0"/>
            <wp:positionH relativeFrom="page">
              <wp:posOffset>727075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616" name="Shape 616"/>
            <a:graphic xmlns:a="http://schemas.openxmlformats.org/drawingml/2006/main">
              <a:graphicData uri="http://schemas.openxmlformats.org/drawingml/2006/picture">
                <pic:pic xmlns:pic="http://schemas.openxmlformats.org/drawingml/2006/picture">
                  <pic:nvPicPr>
                    <pic:cNvPr id="617" name="Picture box 617"/>
                    <pic:cNvPicPr/>
                  </pic:nvPicPr>
                  <pic:blipFill>
                    <a:blip r:embed="rId249"/>
                    <a:stretch/>
                  </pic:blipFill>
                  <pic:spPr>
                    <a:xfrm>
                      <a:ext cx="487680" cy="237490"/>
                    </a:xfrm>
                    <a:prstGeom prst="rect"/>
                  </pic:spPr>
                </pic:pic>
              </a:graphicData>
            </a:graphic>
          </wp:anchor>
        </w:drawing>
      </w:r>
      <w:bookmarkStart w:id="724" w:name="bookmark724"/>
      <w:bookmarkStart w:id="725" w:name="bookmark725"/>
      <w:bookmarkStart w:id="726" w:name="bookmark726"/>
      <w:bookmarkStart w:id="727" w:name="bookmark727"/>
      <w:r>
        <w:rPr>
          <w:rFonts w:ascii="Times New Roman" w:eastAsia="Times New Roman" w:hAnsi="Times New Roman" w:cs="Times New Roman"/>
          <w:color w:val="000000"/>
          <w:spacing w:val="0"/>
          <w:w w:val="100"/>
          <w:position w:val="0"/>
        </w:rPr>
        <w:t>5</w:t>
      </w:r>
      <w:bookmarkEnd w:id="726"/>
      <w:r>
        <w:rPr>
          <w:color w:val="000000"/>
          <w:spacing w:val="0"/>
          <w:w w:val="100"/>
          <w:position w:val="0"/>
        </w:rPr>
        <w:t>、合并现金流量表</w:t>
      </w:r>
      <w:bookmarkEnd w:id="724"/>
      <w:bookmarkEnd w:id="725"/>
      <w:bookmarkEnd w:id="727"/>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546"/>
        <w:gridCol w:w="2549"/>
        <w:gridCol w:w="2491"/>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882,488,767.85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788,842,171.58</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客户存款和同业存放款项净增加额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left"/>
        <w:tblLayout w:type="fixed"/>
      </w:tblPr>
      <w:tblGrid>
        <w:gridCol w:w="4546"/>
        <w:gridCol w:w="2549"/>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向中央银行借款净增加额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向其他金融机构拆入资金净增加额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收到原保险合同保费取得的现金</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收到再保业务现金净额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保户储金及投资款净增加额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收取利息、手续费及佣金的现金</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拆入资金净增加额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回购业务资金净增加额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代理买卖证券收到的现金净额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收到的税费返还</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27,658,744.01</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19,902,843.78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17,991,244.63</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16,478,911.51</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928,138,756.49</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825,223,926.87</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502,016,547.36</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454,468,270.43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客户贷款及垫款净增加额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存放中央银行和同业款项净增加额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支付原保险合同赔付款项的现金</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拆出资金净增加额</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支付利息、手续费及佣金的现金</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支付保单红利的现金</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支付给职工以及为职工支付的现金</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164,304,500.60</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162,156,965.29</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支付的各项税费</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64,039,806.03</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56,175,188.65</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支付其他与经营活动有关的现金</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83,944,681.90</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72,120,612.32</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814,305,535.89</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744,921,036.69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113,833,220.60</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80,302,890.18</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D4D4D4"/>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228,361,474.07</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236,000,000.00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取得投资收益收到的现金</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2,213,650.31</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1,385,678.06</w:t>
            </w:r>
          </w:p>
        </w:tc>
      </w:tr>
      <w:tr>
        <w:trPr>
          <w:trHeight w:val="715"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312" w:lineRule="exact"/>
              <w:ind w:left="0" w:right="0" w:firstLine="380"/>
              <w:jc w:val="left"/>
            </w:pPr>
            <w:r>
              <w:rPr>
                <w:color w:val="000000"/>
                <w:spacing w:val="0"/>
                <w:w w:val="100"/>
                <w:position w:val="0"/>
              </w:rPr>
              <w:t>处置固定资产、无形资产和其他长期资产收回的现金 净额</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488,567.50</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1,030,990.00</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处置子公司及其他营业单位收到的现金净额</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920,317.77</w:t>
            </w: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收到其他与投资活动有关的现金</w:t>
            </w:r>
          </w:p>
        </w:tc>
        <w:tc>
          <w:tcPr>
            <w:tcBorders>
              <w:top w:val="single" w:sz="4"/>
              <w:left w:val="single" w:sz="4"/>
            </w:tcBorders>
            <w:shd w:val="clear" w:color="auto" w:fill="FFFFFF"/>
            <w:vAlign w:val="top"/>
          </w:tcPr>
          <w:p>
            <w:pPr>
              <w:framePr w:w="9586" w:h="13594"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3594"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231,984,009.65</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238,416,668.06</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购建固定资产、无形资产和其他长期资产支付的现金</w:t>
            </w:r>
          </w:p>
        </w:tc>
        <w:tc>
          <w:tcPr>
            <w:tcBorders>
              <w:top w:val="single" w:sz="4"/>
              <w:lef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30,874,703.44</w:t>
            </w:r>
          </w:p>
        </w:tc>
        <w:tc>
          <w:tcPr>
            <w:tcBorders>
              <w:top w:val="single" w:sz="4"/>
              <w:left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30,931,542.19</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投资支付的现金</w:t>
            </w:r>
          </w:p>
        </w:tc>
        <w:tc>
          <w:tcPr>
            <w:tcBorders>
              <w:top w:val="single" w:sz="4"/>
              <w:left w:val="single" w:sz="4"/>
              <w:bottom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263,700,000.00</w:t>
            </w:r>
          </w:p>
        </w:tc>
        <w:tc>
          <w:tcPr>
            <w:tcBorders>
              <w:top w:val="single" w:sz="4"/>
              <w:left w:val="single" w:sz="4"/>
              <w:bottom w:val="single" w:sz="4"/>
              <w:right w:val="single" w:sz="4"/>
            </w:tcBorders>
            <w:shd w:val="clear" w:color="auto" w:fill="FFFFFF"/>
            <w:vAlign w:val="center"/>
          </w:tcPr>
          <w:p>
            <w:pPr>
              <w:pStyle w:val="Style44"/>
              <w:keepNext w:val="0"/>
              <w:keepLines w:val="0"/>
              <w:framePr w:w="9586" w:h="13594"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357,583,889.00</w:t>
            </w:r>
          </w:p>
        </w:tc>
      </w:tr>
    </w:tbl>
    <w:p>
      <w:pPr>
        <w:pStyle w:val="Style49"/>
        <w:keepNext w:val="0"/>
        <w:keepLines w:val="0"/>
        <w:framePr w:w="1291" w:h="365" w:hSpace="96" w:wrap="notBeside" w:vAnchor="text" w:hAnchor="text" w:x="899"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r>
        <w:drawing>
          <wp:anchor distT="0" distB="0" distL="0" distR="0" simplePos="0" relativeHeight="125829545" behindDoc="0" locked="0" layoutInCell="1" allowOverlap="1">
            <wp:simplePos x="0" y="0"/>
            <wp:positionH relativeFrom="page">
              <wp:posOffset>749935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618" name="Shape 618"/>
            <a:graphic xmlns:a="http://schemas.openxmlformats.org/drawingml/2006/main">
              <a:graphicData uri="http://schemas.openxmlformats.org/drawingml/2006/picture">
                <pic:pic xmlns:pic="http://schemas.openxmlformats.org/drawingml/2006/picture">
                  <pic:nvPicPr>
                    <pic:cNvPr id="619" name="Picture box 619"/>
                    <pic:cNvPicPr/>
                  </pic:nvPicPr>
                  <pic:blipFill>
                    <a:blip r:embed="rId251"/>
                    <a:stretch/>
                  </pic:blipFill>
                  <pic:spPr>
                    <a:xfrm>
                      <a:ext cx="487680" cy="237490"/>
                    </a:xfrm>
                    <a:prstGeom prst="rect"/>
                  </pic:spPr>
                </pic:pic>
              </a:graphicData>
            </a:graphic>
          </wp:anchor>
        </w:drawing>
      </w:r>
      <w:r>
        <w:br w:type="page"/>
      </w:r>
    </w:p>
    <w:tbl>
      <w:tblPr>
        <w:tblOverlap w:val="never"/>
        <w:jc w:val="left"/>
        <w:tblLayout w:type="fixed"/>
      </w:tblPr>
      <w:tblGrid>
        <w:gridCol w:w="4546"/>
        <w:gridCol w:w="2549"/>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质押贷款净增加额</w:t>
            </w:r>
          </w:p>
        </w:tc>
        <w:tc>
          <w:tcPr>
            <w:tcBorders>
              <w:top w:val="single" w:sz="4"/>
              <w:left w:val="single" w:sz="4"/>
            </w:tcBorders>
            <w:shd w:val="clear" w:color="auto" w:fill="FFFFFF"/>
            <w:vAlign w:val="top"/>
          </w:tcPr>
          <w:p>
            <w:pPr>
              <w:framePr w:w="9586" w:h="8458"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8458"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取得子公司及其他营业单位支付的现金净额</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51,664,604.03</w:t>
            </w:r>
          </w:p>
        </w:tc>
        <w:tc>
          <w:tcPr>
            <w:tcBorders>
              <w:top w:val="single" w:sz="4"/>
              <w:left w:val="single" w:sz="4"/>
              <w:right w:val="single" w:sz="4"/>
            </w:tcBorders>
            <w:shd w:val="clear" w:color="auto" w:fill="FFFFFF"/>
            <w:vAlign w:val="top"/>
          </w:tcPr>
          <w:p>
            <w:pPr>
              <w:framePr w:w="9586" w:h="8458"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支付其他与投资活动有关的现金</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1,911,197.85</w:t>
            </w:r>
          </w:p>
        </w:tc>
        <w:tc>
          <w:tcPr>
            <w:tcBorders>
              <w:top w:val="single" w:sz="4"/>
              <w:left w:val="single" w:sz="4"/>
              <w:right w:val="single" w:sz="4"/>
            </w:tcBorders>
            <w:shd w:val="clear" w:color="auto" w:fill="FFFFFF"/>
            <w:vAlign w:val="top"/>
          </w:tcPr>
          <w:p>
            <w:pPr>
              <w:framePr w:w="9586" w:h="8458"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348,150,505.32</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388,515,431.19</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-116,166,495.67</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-150,098,763.13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4D4D4"/>
            <w:vAlign w:val="top"/>
          </w:tcPr>
          <w:p>
            <w:pPr>
              <w:framePr w:w="9586" w:h="8458"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8458"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吸收投资收到的现金</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119,214,707.74</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170,927,995.24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其中：子公司吸收少数股东投资收到的现金</w:t>
            </w:r>
          </w:p>
        </w:tc>
        <w:tc>
          <w:tcPr>
            <w:tcBorders>
              <w:top w:val="single" w:sz="4"/>
              <w:left w:val="single" w:sz="4"/>
            </w:tcBorders>
            <w:shd w:val="clear" w:color="auto" w:fill="FFFFFF"/>
            <w:vAlign w:val="top"/>
          </w:tcPr>
          <w:p>
            <w:pPr>
              <w:framePr w:w="9586" w:h="8458" w:vSpace="365" w:wrap="notBeside" w:vAnchor="text" w:hAnchor="text" w:x="97" w:y="366"/>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5,000,000.00</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121,736,589.57</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88,709,924.93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收到其他与筹资活动有关的现金</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5,894,290.55</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1,964,515.40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246,845,587.86</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261,602,435.57</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117,825,045.18</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66,578,018.71</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分配股利、利润或偿付利息支付的现金</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18,048,922.69</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13,922,370.69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其中：子公司支付给少数股东的股利、利润</w:t>
            </w:r>
          </w:p>
        </w:tc>
        <w:tc>
          <w:tcPr>
            <w:tcBorders>
              <w:top w:val="single" w:sz="4"/>
              <w:left w:val="single" w:sz="4"/>
            </w:tcBorders>
            <w:shd w:val="clear" w:color="auto" w:fill="FFFFFF"/>
            <w:vAlign w:val="top"/>
          </w:tcPr>
          <w:p>
            <w:pPr>
              <w:framePr w:w="9586" w:h="8458"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8458"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支付其他与筹资活动有关的现金</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8,419,568.26</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21,513,699.18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144,293,536.13</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102,014,088.58</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102,552,051.73</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159,588,346.99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四、汇率变动对现金及现金等价物的影响</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-9,117.88</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9,920.77</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100,209,658.78</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89,802,394.81</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281,975,218.90</w:t>
            </w:r>
          </w:p>
        </w:tc>
        <w:tc>
          <w:tcPr>
            <w:tcBorders>
              <w:top w:val="single" w:sz="4"/>
              <w:left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192,172,824.09</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382,184,877.68</w:t>
            </w:r>
          </w:p>
        </w:tc>
        <w:tc>
          <w:tcPr>
            <w:tcBorders>
              <w:top w:val="single" w:sz="4"/>
              <w:left w:val="single" w:sz="4"/>
              <w:bottom w:val="single" w:sz="4"/>
              <w:right w:val="single" w:sz="4"/>
            </w:tcBorders>
            <w:shd w:val="clear" w:color="auto" w:fill="FFFFFF"/>
            <w:vAlign w:val="center"/>
          </w:tcPr>
          <w:p>
            <w:pPr>
              <w:pStyle w:val="Style44"/>
              <w:keepNext w:val="0"/>
              <w:keepLines w:val="0"/>
              <w:framePr w:w="9586" w:h="8458" w:vSpace="365" w:wrap="notBeside" w:vAnchor="text" w:hAnchor="text" w:x="97" w:y="366"/>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281,975,218.90</w:t>
            </w:r>
          </w:p>
        </w:tc>
      </w:tr>
    </w:tbl>
    <w:p>
      <w:pPr>
        <w:pStyle w:val="Style49"/>
        <w:keepNext w:val="0"/>
        <w:keepLines w:val="0"/>
        <w:framePr w:w="1291" w:h="365" w:hSpace="96" w:wrap="notBeside" w:vAnchor="text" w:hAnchor="text" w:x="899"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60" w:line="240" w:lineRule="auto"/>
        <w:ind w:left="0" w:right="0" w:firstLine="0"/>
        <w:jc w:val="left"/>
      </w:pPr>
      <w:r>
        <w:drawing>
          <wp:anchor distT="0" distB="0" distL="0" distR="0" simplePos="0" relativeHeight="125829546" behindDoc="0" locked="0" layoutInCell="1" allowOverlap="1">
            <wp:simplePos x="0" y="0"/>
            <wp:positionH relativeFrom="page">
              <wp:posOffset>727075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620" name="Shape 620"/>
            <a:graphic xmlns:a="http://schemas.openxmlformats.org/drawingml/2006/main">
              <a:graphicData uri="http://schemas.openxmlformats.org/drawingml/2006/picture">
                <pic:pic xmlns:pic="http://schemas.openxmlformats.org/drawingml/2006/picture">
                  <pic:nvPicPr>
                    <pic:cNvPr id="621" name="Picture box 621"/>
                    <pic:cNvPicPr/>
                  </pic:nvPicPr>
                  <pic:blipFill>
                    <a:blip r:embed="rId253"/>
                    <a:stretch/>
                  </pic:blipFill>
                  <pic:spPr>
                    <a:xfrm>
                      <a:ext cx="487680" cy="237490"/>
                    </a:xfrm>
                    <a:prstGeom prst="rect"/>
                  </pic:spPr>
                </pic:pic>
              </a:graphicData>
            </a:graphic>
          </wp:anchor>
        </w:drawing>
      </w:r>
      <w:bookmarkStart w:id="728" w:name="bookmark728"/>
      <w:bookmarkStart w:id="729" w:name="bookmark729"/>
      <w:bookmarkStart w:id="730" w:name="bookmark730"/>
      <w:bookmarkStart w:id="731" w:name="bookmark731"/>
      <w:r>
        <w:rPr>
          <w:rFonts w:ascii="Times New Roman" w:eastAsia="Times New Roman" w:hAnsi="Times New Roman" w:cs="Times New Roman"/>
          <w:color w:val="000000"/>
          <w:spacing w:val="0"/>
          <w:w w:val="100"/>
          <w:position w:val="0"/>
        </w:rPr>
        <w:t>6</w:t>
      </w:r>
      <w:bookmarkEnd w:id="730"/>
      <w:r>
        <w:rPr>
          <w:color w:val="000000"/>
          <w:spacing w:val="0"/>
          <w:w w:val="100"/>
          <w:position w:val="0"/>
        </w:rPr>
        <w:t>、母公司现金流量表</w:t>
      </w:r>
      <w:bookmarkEnd w:id="728"/>
      <w:bookmarkEnd w:id="729"/>
      <w:bookmarkEnd w:id="731"/>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546"/>
        <w:gridCol w:w="2549"/>
        <w:gridCol w:w="2491"/>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年度</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348,946,478.01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439,154,159.39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收到的税费返还</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660,778.75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1,775,621.38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8,257,583.74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19,574,663.43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357,864,840.50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460,504,444.20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296,048,876.83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322,719,423.24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支付给职工以及为职工支付的现金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18,600,248.86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40,185,602.42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支付的各项税费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1,352,208.72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9,102,868.83</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支付其他与经营活动有关的现金</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32,079,029.91</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28,799,108.14</w:t>
            </w:r>
          </w:p>
        </w:tc>
      </w:tr>
    </w:tbl>
    <w:p>
      <w:pPr>
        <w:widowControl w:val="0"/>
        <w:spacing w:line="1" w:lineRule="exact"/>
      </w:pPr>
      <w:r>
        <w:br w:type="page"/>
      </w:r>
    </w:p>
    <w:tbl>
      <w:tblPr>
        <w:tblOverlap w:val="never"/>
        <w:jc w:val="left"/>
        <w:tblLayout w:type="fixed"/>
      </w:tblPr>
      <w:tblGrid>
        <w:gridCol w:w="4546"/>
        <w:gridCol w:w="2549"/>
        <w:gridCol w:w="2491"/>
      </w:tblGrid>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348,080,364.32</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400,807,002.63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9,784,476.18</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59,697,441.57</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D4D4D4"/>
            <w:vAlign w:val="top"/>
          </w:tcPr>
          <w:p>
            <w:pPr>
              <w:framePr w:w="9586" w:h="11986"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11986"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both"/>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1,215,502.21</w:t>
            </w:r>
          </w:p>
        </w:tc>
        <w:tc>
          <w:tcPr>
            <w:tcBorders>
              <w:top w:val="single" w:sz="4"/>
              <w:left w:val="single" w:sz="4"/>
              <w:right w:val="single" w:sz="4"/>
            </w:tcBorders>
            <w:shd w:val="clear" w:color="auto" w:fill="FFFFFF"/>
            <w:vAlign w:val="top"/>
          </w:tcPr>
          <w:p>
            <w:pPr>
              <w:framePr w:w="9586" w:h="11986"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both"/>
            </w:pPr>
            <w:r>
              <w:rPr>
                <w:color w:val="000000"/>
                <w:spacing w:val="0"/>
                <w:w w:val="100"/>
                <w:position w:val="0"/>
              </w:rPr>
              <w:t>取得投资收益收到的现金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21,000,000.00</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10,000,000.00</w:t>
            </w:r>
          </w:p>
        </w:tc>
      </w:tr>
      <w:tr>
        <w:trPr>
          <w:trHeight w:val="715"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307" w:lineRule="exact"/>
              <w:ind w:left="0" w:right="0" w:firstLine="380"/>
              <w:jc w:val="both"/>
            </w:pPr>
            <w:r>
              <w:rPr>
                <w:color w:val="000000"/>
                <w:spacing w:val="0"/>
                <w:w w:val="100"/>
                <w:position w:val="0"/>
              </w:rPr>
              <w:t>处置固定资产、无形资产和其他长期资产收回的现金 净额</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488,567.50</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750,045.00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both"/>
            </w:pPr>
            <w:r>
              <w:rPr>
                <w:color w:val="000000"/>
                <w:spacing w:val="0"/>
                <w:w w:val="100"/>
                <w:position w:val="0"/>
              </w:rPr>
              <w:t>处置子公司及其他营业单位收到的现金净额</w:t>
            </w:r>
          </w:p>
        </w:tc>
        <w:tc>
          <w:tcPr>
            <w:tcBorders>
              <w:top w:val="single" w:sz="4"/>
              <w:left w:val="single" w:sz="4"/>
            </w:tcBorders>
            <w:shd w:val="clear" w:color="auto" w:fill="FFFFFF"/>
            <w:vAlign w:val="top"/>
          </w:tcPr>
          <w:p>
            <w:pPr>
              <w:framePr w:w="9586" w:h="11986"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1986"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both"/>
            </w:pPr>
            <w:r>
              <w:rPr>
                <w:color w:val="000000"/>
                <w:spacing w:val="0"/>
                <w:w w:val="100"/>
                <w:position w:val="0"/>
              </w:rPr>
              <w:t>收到其他与投资活动有关的现金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10,167,435.83</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27,000,000.00</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32,871,505.54</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37,750,045.00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购建固定资产、无形资产和其他长期资产支付的现金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5,643,059.70</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473,316.43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投资支付的现金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138,200,000.00</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233,583,889.00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取得子公司及其他营业单位支付的现金净额</w:t>
            </w:r>
          </w:p>
        </w:tc>
        <w:tc>
          <w:tcPr>
            <w:tcBorders>
              <w:top w:val="single" w:sz="4"/>
              <w:left w:val="single" w:sz="4"/>
            </w:tcBorders>
            <w:shd w:val="clear" w:color="auto" w:fill="FFFFFF"/>
            <w:vAlign w:val="top"/>
          </w:tcPr>
          <w:p>
            <w:pPr>
              <w:framePr w:w="9586" w:h="11986"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1986"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支付其他与投资活动有关的现金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1,207,500.00</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9,000,000.00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145,050,559.70</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243,057,205.43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-112,179,054.16</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-205,307,160.43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4D4D4"/>
            <w:vAlign w:val="top"/>
          </w:tcPr>
          <w:p>
            <w:pPr>
              <w:framePr w:w="9586" w:h="11986" w:vSpace="365" w:wrap="notBeside" w:vAnchor="text" w:hAnchor="text" w:x="97" w:y="366"/>
              <w:widowControl w:val="0"/>
              <w:rPr>
                <w:sz w:val="10"/>
                <w:szCs w:val="10"/>
              </w:rPr>
            </w:pPr>
          </w:p>
        </w:tc>
        <w:tc>
          <w:tcPr>
            <w:tcBorders>
              <w:top w:val="single" w:sz="4"/>
              <w:left w:val="single" w:sz="4"/>
              <w:right w:val="single" w:sz="4"/>
            </w:tcBorders>
            <w:shd w:val="clear" w:color="auto" w:fill="D4D4D4"/>
            <w:vAlign w:val="top"/>
          </w:tcPr>
          <w:p>
            <w:pPr>
              <w:framePr w:w="9586" w:h="11986" w:vSpace="365" w:wrap="notBeside" w:vAnchor="text" w:hAnchor="text" w:x="97"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吸收投资收到的现金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119,214,707.74</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165,927,995.24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90,736,589.57</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68,709,924.93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收到其他与筹资活动有关的现金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82,894,290.55</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16,964,515.40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292,845,587.86</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251,602,435.57</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97,835,045.18</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56,568,018.71</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分配股利、利润或偿付利息支付的现金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18,527,787.48</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13,231,806.49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支付其他与筹资活动有关的现金</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45,320,068.26</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1,322,089.18</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161,682,900.92</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71,121,914.38</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131,162,686.94</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180,480,521.19</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四、汇率变动对现金及现金等价物的影响</w:t>
            </w:r>
          </w:p>
        </w:tc>
        <w:tc>
          <w:tcPr>
            <w:tcBorders>
              <w:top w:val="single" w:sz="4"/>
              <w:left w:val="single" w:sz="4"/>
            </w:tcBorders>
            <w:shd w:val="clear" w:color="auto" w:fill="FFFFFF"/>
            <w:vAlign w:val="top"/>
          </w:tcPr>
          <w:p>
            <w:pPr>
              <w:framePr w:w="9586" w:h="11986" w:vSpace="365" w:wrap="notBeside" w:vAnchor="text" w:hAnchor="text" w:x="97" w:y="366"/>
              <w:widowControl w:val="0"/>
              <w:rPr>
                <w:sz w:val="10"/>
                <w:szCs w:val="10"/>
              </w:rPr>
            </w:pPr>
          </w:p>
        </w:tc>
        <w:tc>
          <w:tcPr>
            <w:tcBorders>
              <w:top w:val="single" w:sz="4"/>
              <w:left w:val="single" w:sz="4"/>
              <w:right w:val="single" w:sz="4"/>
            </w:tcBorders>
            <w:shd w:val="clear" w:color="auto" w:fill="FFFFFF"/>
            <w:vAlign w:val="top"/>
          </w:tcPr>
          <w:p>
            <w:pPr>
              <w:framePr w:w="9586" w:h="11986" w:vSpace="365" w:wrap="notBeside" w:vAnchor="text" w:hAnchor="text" w:x="97"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28,768,108.96</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34,870,802.33</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380"/>
              <w:jc w:val="left"/>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144,414,196.55</w:t>
            </w:r>
          </w:p>
        </w:tc>
        <w:tc>
          <w:tcPr>
            <w:tcBorders>
              <w:top w:val="single" w:sz="4"/>
              <w:left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109,543,394.22</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173,182,305.51</w:t>
            </w:r>
          </w:p>
        </w:tc>
        <w:tc>
          <w:tcPr>
            <w:tcBorders>
              <w:top w:val="single" w:sz="4"/>
              <w:left w:val="single" w:sz="4"/>
              <w:bottom w:val="single" w:sz="4"/>
              <w:right w:val="single" w:sz="4"/>
            </w:tcBorders>
            <w:shd w:val="clear" w:color="auto" w:fill="FFFFFF"/>
            <w:vAlign w:val="center"/>
          </w:tcPr>
          <w:p>
            <w:pPr>
              <w:pStyle w:val="Style44"/>
              <w:keepNext w:val="0"/>
              <w:keepLines w:val="0"/>
              <w:framePr w:w="9586" w:h="11986" w:vSpace="365" w:wrap="notBeside" w:vAnchor="text" w:hAnchor="text" w:x="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144,414,196.55</w:t>
            </w:r>
          </w:p>
        </w:tc>
      </w:tr>
    </w:tbl>
    <w:p>
      <w:pPr>
        <w:pStyle w:val="Style49"/>
        <w:keepNext w:val="0"/>
        <w:keepLines w:val="0"/>
        <w:framePr w:w="1291" w:h="365" w:hSpace="96" w:wrap="notBeside" w:vAnchor="text" w:hAnchor="text" w:x="899"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720" w:line="240" w:lineRule="auto"/>
        <w:ind w:left="0" w:right="0" w:firstLine="0"/>
        <w:jc w:val="left"/>
      </w:pPr>
      <w:r>
        <w:drawing>
          <wp:anchor distT="0" distB="0" distL="0" distR="0" simplePos="0" relativeHeight="125829547" behindDoc="0" locked="0" layoutInCell="1" allowOverlap="1">
            <wp:simplePos x="0" y="0"/>
            <wp:positionH relativeFrom="page">
              <wp:posOffset>725805</wp:posOffset>
            </wp:positionH>
            <wp:positionV relativeFrom="margin">
              <wp:posOffset>-57785</wp:posOffset>
            </wp:positionV>
            <wp:extent cx="487680" cy="237490"/>
            <wp:wrapTight wrapText="bothSides">
              <wp:wrapPolygon>
                <wp:start x="0" y="0"/>
                <wp:lineTo x="21600" y="0"/>
                <wp:lineTo x="21600" y="21600"/>
                <wp:lineTo x="0" y="21600"/>
                <wp:lineTo x="0" y="0"/>
              </wp:wrapPolygon>
            </wp:wrapTight>
            <wp:docPr id="622" name="Shape 622"/>
            <a:graphic xmlns:a="http://schemas.openxmlformats.org/drawingml/2006/main">
              <a:graphicData uri="http://schemas.openxmlformats.org/drawingml/2006/picture">
                <pic:pic xmlns:pic="http://schemas.openxmlformats.org/drawingml/2006/picture">
                  <pic:nvPicPr>
                    <pic:cNvPr id="623" name="Picture box 623"/>
                    <pic:cNvPicPr/>
                  </pic:nvPicPr>
                  <pic:blipFill>
                    <a:blip r:embed="rId255"/>
                    <a:stretch/>
                  </pic:blipFill>
                  <pic:spPr>
                    <a:xfrm>
                      <a:ext cx="487680" cy="237490"/>
                    </a:xfrm>
                    <a:prstGeom prst="rect"/>
                  </pic:spPr>
                </pic:pic>
              </a:graphicData>
            </a:graphic>
          </wp:anchor>
        </w:drawing>
      </w:r>
      <w:bookmarkStart w:id="732" w:name="bookmark732"/>
      <w:bookmarkStart w:id="733" w:name="bookmark733"/>
      <w:bookmarkStart w:id="734" w:name="bookmark734"/>
      <w:bookmarkStart w:id="735" w:name="bookmark735"/>
      <w:r>
        <w:rPr>
          <w:rFonts w:ascii="Times New Roman" w:eastAsia="Times New Roman" w:hAnsi="Times New Roman" w:cs="Times New Roman"/>
          <w:color w:val="000000"/>
          <w:spacing w:val="0"/>
          <w:w w:val="100"/>
          <w:position w:val="0"/>
        </w:rPr>
        <w:t>7</w:t>
      </w:r>
      <w:bookmarkEnd w:id="734"/>
      <w:r>
        <w:rPr>
          <w:color w:val="000000"/>
          <w:spacing w:val="0"/>
          <w:w w:val="100"/>
          <w:position w:val="0"/>
        </w:rPr>
        <w:t>、合并所有者权益变动表</w:t>
      </w:r>
      <w:bookmarkEnd w:id="732"/>
      <w:bookmarkEnd w:id="733"/>
      <w:bookmarkEnd w:id="735"/>
    </w:p>
    <w:p>
      <w:pPr>
        <w:pStyle w:val="Style32"/>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本期金额</w:t>
      </w:r>
    </w:p>
    <w:p>
      <w:pPr>
        <w:pStyle w:val="Style32"/>
        <w:keepNext w:val="0"/>
        <w:keepLines w:val="0"/>
        <w:widowControl w:val="0"/>
        <w:shd w:val="clear" w:color="auto" w:fill="auto"/>
        <w:bidi w:val="0"/>
        <w:spacing w:before="0" w:after="320" w:line="240" w:lineRule="auto"/>
        <w:ind w:left="0" w:right="0" w:firstLine="0"/>
        <w:jc w:val="right"/>
        <w:sectPr>
          <w:headerReference w:type="default" r:id="rId257"/>
          <w:footerReference w:type="default" r:id="rId258"/>
          <w:headerReference w:type="even" r:id="rId259"/>
          <w:footerReference w:type="even" r:id="rId260"/>
          <w:headerReference w:type="first" r:id="rId261"/>
          <w:footerReference w:type="first" r:id="rId262"/>
          <w:footnotePr>
            <w:pos w:val="pageBottom"/>
            <w:numFmt w:val="decimal"/>
            <w:numRestart w:val="continuous"/>
          </w:footnotePr>
          <w:pgSz w:w="11900" w:h="16840"/>
          <w:pgMar w:top="1103" w:right="1071" w:bottom="1309" w:left="1051" w:header="0" w:footer="3" w:gutter="0"/>
          <w:cols w:space="720"/>
          <w:noEndnote/>
          <w:titlePg/>
          <w:rtlGutter w:val="0"/>
          <w:docGrid w:linePitch="360"/>
        </w:sectPr>
      </w:pPr>
      <w:r>
        <w:rPr>
          <w:color w:val="000000"/>
          <w:spacing w:val="0"/>
          <w:w w:val="100"/>
          <w:position w:val="0"/>
        </w:rPr>
        <w:t>单位：元</w:t>
      </w:r>
    </w:p>
    <w:p>
      <w:pPr>
        <w:pStyle w:val="Style5"/>
        <w:keepNext w:val="0"/>
        <w:keepLines w:val="0"/>
        <w:framePr w:w="1291" w:h="389" w:wrap="none" w:hAnchor="page" w:x="1926" w:y="-8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bl>
      <w:tblPr>
        <w:tblOverlap w:val="never"/>
        <w:jc w:val="left"/>
        <w:tblLayout w:type="fixed"/>
      </w:tblPr>
      <w:tblGrid>
        <w:gridCol w:w="1387"/>
        <w:gridCol w:w="955"/>
        <w:gridCol w:w="250"/>
        <w:gridCol w:w="264"/>
        <w:gridCol w:w="312"/>
        <w:gridCol w:w="869"/>
        <w:gridCol w:w="826"/>
        <w:gridCol w:w="864"/>
        <w:gridCol w:w="355"/>
        <w:gridCol w:w="869"/>
        <w:gridCol w:w="374"/>
        <w:gridCol w:w="902"/>
        <w:gridCol w:w="245"/>
        <w:gridCol w:w="1051"/>
        <w:gridCol w:w="850"/>
        <w:gridCol w:w="998"/>
      </w:tblGrid>
      <w:tr>
        <w:trPr>
          <w:trHeight w:val="336" w:hRule="exact"/>
        </w:trPr>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560"/>
              <w:jc w:val="left"/>
              <w:rPr>
                <w:sz w:val="13"/>
                <w:szCs w:val="13"/>
              </w:rPr>
            </w:pPr>
            <w:r>
              <w:rPr>
                <w:color w:val="000000"/>
                <w:spacing w:val="0"/>
                <w:w w:val="100"/>
                <w:position w:val="0"/>
                <w:sz w:val="13"/>
                <w:szCs w:val="13"/>
              </w:rPr>
              <w:t>项目</w:t>
            </w:r>
          </w:p>
        </w:tc>
        <w:tc>
          <w:tcPr>
            <w:gridSpan w:val="15"/>
            <w:tcBorders>
              <w:top w:val="single" w:sz="4"/>
              <w:left w:val="single" w:sz="4"/>
              <w:righ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2020</w:t>
            </w:r>
            <w:r>
              <w:rPr>
                <w:color w:val="000000"/>
                <w:spacing w:val="0"/>
                <w:w w:val="100"/>
                <w:position w:val="0"/>
                <w:sz w:val="13"/>
                <w:szCs w:val="13"/>
              </w:rPr>
              <w:t>年度</w:t>
            </w:r>
          </w:p>
        </w:tc>
      </w:tr>
      <w:tr>
        <w:trPr>
          <w:trHeight w:val="326" w:hRule="exact"/>
        </w:trPr>
        <w:tc>
          <w:tcPr>
            <w:vMerge/>
            <w:tcBorders>
              <w:left w:val="single" w:sz="4"/>
            </w:tcBorders>
            <w:shd w:val="clear" w:color="auto" w:fill="D4D4D4"/>
            <w:vAlign w:val="center"/>
          </w:tcPr>
          <w:p>
            <w:pPr>
              <w:framePr w:w="11371" w:h="13685" w:wrap="none" w:hAnchor="page" w:x="10" w:y="285"/>
            </w:pPr>
          </w:p>
        </w:tc>
        <w:tc>
          <w:tcPr>
            <w:gridSpan w:val="13"/>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归属于母公司所有者权益</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少数股东权益</w:t>
            </w:r>
          </w:p>
        </w:tc>
        <w:tc>
          <w:tcPr>
            <w:vMerge w:val="restart"/>
            <w:tcBorders>
              <w:top w:val="single" w:sz="4"/>
              <w:left w:val="single" w:sz="4"/>
              <w:righ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所有者权益合计</w:t>
            </w:r>
          </w:p>
        </w:tc>
      </w:tr>
      <w:tr>
        <w:trPr>
          <w:trHeight w:val="331" w:hRule="exact"/>
        </w:trPr>
        <w:tc>
          <w:tcPr>
            <w:vMerge/>
            <w:tcBorders>
              <w:left w:val="single" w:sz="4"/>
            </w:tcBorders>
            <w:shd w:val="clear" w:color="auto" w:fill="D4D4D4"/>
            <w:vAlign w:val="center"/>
          </w:tcPr>
          <w:p>
            <w:pPr>
              <w:framePr w:w="11371" w:h="13685" w:wrap="none" w:hAnchor="page" w:x="10" w:y="285"/>
            </w:pP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股本</w:t>
            </w:r>
          </w:p>
        </w:tc>
        <w:tc>
          <w:tcPr>
            <w:gridSpan w:val="3"/>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其他权益工具</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资本公积</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减：库存股</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其他综合收益</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80" w:line="240" w:lineRule="auto"/>
              <w:ind w:left="0" w:right="0" w:firstLine="0"/>
              <w:jc w:val="right"/>
              <w:rPr>
                <w:sz w:val="13"/>
                <w:szCs w:val="13"/>
              </w:rPr>
            </w:pPr>
            <w:r>
              <w:rPr>
                <w:color w:val="000000"/>
                <w:spacing w:val="0"/>
                <w:w w:val="100"/>
                <w:position w:val="0"/>
                <w:sz w:val="13"/>
                <w:szCs w:val="13"/>
              </w:rPr>
              <w:t>专项</w:t>
            </w:r>
          </w:p>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储备</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160" w:firstLine="0"/>
              <w:jc w:val="right"/>
              <w:rPr>
                <w:sz w:val="13"/>
                <w:szCs w:val="13"/>
              </w:rPr>
            </w:pPr>
            <w:r>
              <w:rPr>
                <w:color w:val="000000"/>
                <w:spacing w:val="0"/>
                <w:w w:val="100"/>
                <w:position w:val="0"/>
                <w:sz w:val="13"/>
                <w:szCs w:val="13"/>
              </w:rPr>
              <w:t>盈余公积</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80" w:line="240" w:lineRule="auto"/>
              <w:ind w:left="0" w:right="0" w:firstLine="0"/>
              <w:jc w:val="right"/>
              <w:rPr>
                <w:sz w:val="13"/>
                <w:szCs w:val="13"/>
              </w:rPr>
            </w:pPr>
            <w:r>
              <w:rPr>
                <w:color w:val="000000"/>
                <w:spacing w:val="0"/>
                <w:w w:val="100"/>
                <w:position w:val="0"/>
                <w:sz w:val="13"/>
                <w:szCs w:val="13"/>
              </w:rPr>
              <w:t>一般</w:t>
            </w:r>
          </w:p>
          <w:p>
            <w:pPr>
              <w:pStyle w:val="Style44"/>
              <w:keepNext w:val="0"/>
              <w:keepLines w:val="0"/>
              <w:framePr w:w="11371" w:h="13685" w:wrap="none" w:hAnchor="page" w:x="10" w:y="285"/>
              <w:widowControl w:val="0"/>
              <w:shd w:val="clear" w:color="auto" w:fill="auto"/>
              <w:bidi w:val="0"/>
              <w:spacing w:before="0" w:after="80" w:line="240" w:lineRule="auto"/>
              <w:ind w:left="0" w:right="0" w:firstLine="0"/>
              <w:jc w:val="right"/>
              <w:rPr>
                <w:sz w:val="13"/>
                <w:szCs w:val="13"/>
              </w:rPr>
            </w:pPr>
            <w:r>
              <w:rPr>
                <w:color w:val="000000"/>
                <w:spacing w:val="0"/>
                <w:w w:val="100"/>
                <w:position w:val="0"/>
                <w:sz w:val="13"/>
                <w:szCs w:val="13"/>
              </w:rPr>
              <w:t>风险</w:t>
            </w:r>
          </w:p>
          <w:p>
            <w:pPr>
              <w:pStyle w:val="Style44"/>
              <w:keepNext w:val="0"/>
              <w:keepLines w:val="0"/>
              <w:framePr w:w="11371" w:h="13685" w:wrap="none" w:hAnchor="page" w:x="10" w:y="285"/>
              <w:widowControl w:val="0"/>
              <w:shd w:val="clear" w:color="auto" w:fill="auto"/>
              <w:bidi w:val="0"/>
              <w:spacing w:before="0" w:after="80" w:line="240" w:lineRule="auto"/>
              <w:ind w:left="0" w:right="0" w:firstLine="0"/>
              <w:jc w:val="right"/>
              <w:rPr>
                <w:sz w:val="13"/>
                <w:szCs w:val="13"/>
              </w:rPr>
            </w:pPr>
            <w:r>
              <w:rPr>
                <w:color w:val="000000"/>
                <w:spacing w:val="0"/>
                <w:w w:val="100"/>
                <w:position w:val="0"/>
                <w:sz w:val="13"/>
                <w:szCs w:val="13"/>
              </w:rPr>
              <w:t>准备</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未分配利润</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35" w:lineRule="exact"/>
              <w:ind w:left="0" w:right="0" w:firstLine="0"/>
              <w:jc w:val="center"/>
              <w:rPr>
                <w:sz w:val="13"/>
                <w:szCs w:val="13"/>
              </w:rPr>
            </w:pPr>
            <w:r>
              <w:rPr>
                <w:color w:val="000000"/>
                <w:spacing w:val="0"/>
                <w:w w:val="100"/>
                <w:position w:val="0"/>
                <w:sz w:val="13"/>
                <w:szCs w:val="13"/>
              </w:rPr>
              <w:t>其 他</w:t>
            </w:r>
          </w:p>
        </w:tc>
        <w:tc>
          <w:tcPr>
            <w:vMerge w:val="restart"/>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380" w:firstLine="0"/>
              <w:jc w:val="right"/>
              <w:rPr>
                <w:sz w:val="13"/>
                <w:szCs w:val="13"/>
              </w:rPr>
            </w:pPr>
            <w:r>
              <w:rPr>
                <w:color w:val="000000"/>
                <w:spacing w:val="0"/>
                <w:w w:val="100"/>
                <w:position w:val="0"/>
                <w:sz w:val="13"/>
                <w:szCs w:val="13"/>
              </w:rPr>
              <w:t>小计</w:t>
            </w:r>
          </w:p>
        </w:tc>
        <w:tc>
          <w:tcPr>
            <w:vMerge/>
            <w:tcBorders>
              <w:left w:val="single" w:sz="4"/>
            </w:tcBorders>
            <w:shd w:val="clear" w:color="auto" w:fill="D4D4D4"/>
            <w:vAlign w:val="center"/>
          </w:tcPr>
          <w:p>
            <w:pPr>
              <w:framePr w:w="11371" w:h="13685" w:wrap="none" w:hAnchor="page" w:x="10" w:y="285"/>
            </w:pPr>
          </w:p>
        </w:tc>
        <w:tc>
          <w:tcPr>
            <w:vMerge/>
            <w:tcBorders>
              <w:left w:val="single" w:sz="4"/>
              <w:right w:val="single" w:sz="4"/>
            </w:tcBorders>
            <w:shd w:val="clear" w:color="auto" w:fill="D4D4D4"/>
            <w:vAlign w:val="center"/>
          </w:tcPr>
          <w:p>
            <w:pPr>
              <w:framePr w:w="11371" w:h="13685" w:wrap="none" w:hAnchor="page" w:x="10" w:y="285"/>
            </w:pPr>
          </w:p>
        </w:tc>
      </w:tr>
      <w:tr>
        <w:trPr>
          <w:trHeight w:val="936" w:hRule="exact"/>
        </w:trPr>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38" w:lineRule="exact"/>
              <w:ind w:left="0" w:right="0" w:firstLine="0"/>
              <w:jc w:val="left"/>
              <w:rPr>
                <w:sz w:val="13"/>
                <w:szCs w:val="13"/>
              </w:rPr>
            </w:pPr>
            <w:r>
              <w:rPr>
                <w:color w:val="000000"/>
                <w:spacing w:val="0"/>
                <w:w w:val="100"/>
                <w:position w:val="0"/>
                <w:sz w:val="13"/>
                <w:szCs w:val="13"/>
              </w:rPr>
              <w:t>优 先 股</w:t>
            </w:r>
          </w:p>
        </w:tc>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5" w:lineRule="exact"/>
              <w:ind w:left="0" w:right="0" w:firstLine="0"/>
              <w:jc w:val="center"/>
              <w:rPr>
                <w:sz w:val="13"/>
                <w:szCs w:val="13"/>
              </w:rPr>
            </w:pPr>
            <w:r>
              <w:rPr>
                <w:color w:val="000000"/>
                <w:spacing w:val="0"/>
                <w:w w:val="100"/>
                <w:position w:val="0"/>
                <w:sz w:val="13"/>
                <w:szCs w:val="13"/>
              </w:rPr>
              <w:t>永 续</w:t>
            </w:r>
          </w:p>
          <w:p>
            <w:pPr>
              <w:pStyle w:val="Style44"/>
              <w:keepNext w:val="0"/>
              <w:keepLines w:val="0"/>
              <w:framePr w:w="11371" w:h="13685" w:wrap="none" w:hAnchor="page" w:x="10" w:y="285"/>
              <w:widowControl w:val="0"/>
              <w:shd w:val="clear" w:color="auto" w:fill="auto"/>
              <w:bidi w:val="0"/>
              <w:spacing w:before="0" w:after="0" w:line="245" w:lineRule="exact"/>
              <w:ind w:left="0" w:right="0" w:firstLine="0"/>
              <w:jc w:val="left"/>
              <w:rPr>
                <w:sz w:val="13"/>
                <w:szCs w:val="13"/>
              </w:rPr>
            </w:pPr>
            <w:r>
              <w:rPr>
                <w:color w:val="000000"/>
                <w:spacing w:val="0"/>
                <w:w w:val="100"/>
                <w:position w:val="0"/>
                <w:sz w:val="13"/>
                <w:szCs w:val="13"/>
              </w:rPr>
              <w:t>债</w:t>
            </w:r>
          </w:p>
        </w:tc>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35" w:lineRule="exact"/>
              <w:ind w:left="0" w:right="0" w:firstLine="0"/>
              <w:jc w:val="left"/>
              <w:rPr>
                <w:sz w:val="13"/>
                <w:szCs w:val="13"/>
              </w:rPr>
            </w:pPr>
            <w:r>
              <w:rPr>
                <w:color w:val="000000"/>
                <w:spacing w:val="0"/>
                <w:w w:val="100"/>
                <w:position w:val="0"/>
                <w:sz w:val="13"/>
                <w:szCs w:val="13"/>
              </w:rPr>
              <w:t>其 他</w:t>
            </w:r>
          </w:p>
        </w:tc>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vMerge/>
            <w:tcBorders>
              <w:left w:val="single" w:sz="4"/>
            </w:tcBorders>
            <w:shd w:val="clear" w:color="auto" w:fill="D4D4D4"/>
            <w:vAlign w:val="center"/>
          </w:tcPr>
          <w:p>
            <w:pPr>
              <w:framePr w:w="11371" w:h="13685" w:wrap="none" w:hAnchor="page" w:x="10" w:y="285"/>
            </w:pPr>
          </w:p>
        </w:tc>
        <w:tc>
          <w:tcPr>
            <w:vMerge/>
            <w:tcBorders>
              <w:left w:val="single" w:sz="4"/>
              <w:right w:val="single" w:sz="4"/>
            </w:tcBorders>
            <w:shd w:val="clear" w:color="auto" w:fill="D4D4D4"/>
            <w:vAlign w:val="center"/>
          </w:tcPr>
          <w:p>
            <w:pPr>
              <w:framePr w:w="11371" w:h="13685" w:wrap="none" w:hAnchor="page" w:x="10" w:y="285"/>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一、上年期末余额</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553,756,711.00</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219,797,391.29</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5,157,066.15</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31,862,016.33</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287,637,529.29</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1,089,816,314.06</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6,437,431.03</w:t>
            </w: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1,096,253,745.09</w:t>
            </w: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60"/>
              <w:jc w:val="left"/>
              <w:rPr>
                <w:sz w:val="13"/>
                <w:szCs w:val="13"/>
              </w:rPr>
            </w:pPr>
            <w:r>
              <w:rPr>
                <w:color w:val="000000"/>
                <w:spacing w:val="0"/>
                <w:w w:val="100"/>
                <w:position w:val="0"/>
                <w:sz w:val="13"/>
                <w:szCs w:val="13"/>
              </w:rPr>
              <w:t>加：会计政策变更</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-11,812,053.73</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-11,812,053.73</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-11,812,053.73</w:t>
            </w:r>
          </w:p>
        </w:tc>
      </w:tr>
      <w:tr>
        <w:trPr>
          <w:trHeight w:val="398"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60"/>
              <w:jc w:val="left"/>
              <w:rPr>
                <w:sz w:val="13"/>
                <w:szCs w:val="13"/>
              </w:rPr>
            </w:pPr>
            <w:r>
              <w:rPr>
                <w:color w:val="000000"/>
                <w:spacing w:val="0"/>
                <w:w w:val="100"/>
                <w:position w:val="0"/>
                <w:sz w:val="13"/>
                <w:szCs w:val="13"/>
              </w:rPr>
              <w:t>前期差错更正</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60"/>
              <w:jc w:val="left"/>
              <w:rPr>
                <w:sz w:val="13"/>
                <w:szCs w:val="13"/>
              </w:rPr>
            </w:pPr>
            <w:r>
              <w:rPr>
                <w:color w:val="000000"/>
                <w:spacing w:val="0"/>
                <w:w w:val="100"/>
                <w:position w:val="0"/>
                <w:sz w:val="13"/>
                <w:szCs w:val="13"/>
              </w:rPr>
              <w:t>同一控制下企业合并</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60"/>
              <w:jc w:val="left"/>
              <w:rPr>
                <w:sz w:val="13"/>
                <w:szCs w:val="13"/>
              </w:rPr>
            </w:pPr>
            <w:r>
              <w:rPr>
                <w:color w:val="000000"/>
                <w:spacing w:val="0"/>
                <w:w w:val="100"/>
                <w:position w:val="0"/>
                <w:sz w:val="13"/>
                <w:szCs w:val="13"/>
              </w:rPr>
              <w:t>其他</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二、本年期初余额</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553,756,711.00</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219,797,391.29</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5,157,066.15</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31,862,016.33</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275,825,475.56</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1,078,004,260.33</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6,437,431.03</w:t>
            </w: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1,084,441,691.36</w:t>
            </w:r>
          </w:p>
        </w:tc>
      </w:tr>
      <w:tr>
        <w:trPr>
          <w:trHeight w:val="710"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三、本期增减变动金额</w:t>
            </w:r>
          </w:p>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（减少以</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13"/>
                <w:szCs w:val="13"/>
              </w:rPr>
              <w:t>一</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13"/>
                <w:szCs w:val="13"/>
              </w:rPr>
              <w:t>号填列）</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80"/>
              <w:jc w:val="left"/>
              <w:rPr>
                <w:sz w:val="13"/>
                <w:szCs w:val="13"/>
              </w:rPr>
            </w:pPr>
            <w:r>
              <w:rPr>
                <w:rFonts w:ascii="Times New Roman" w:eastAsia="Times New Roman" w:hAnsi="Times New Roman" w:cs="Times New Roman"/>
                <w:color w:val="000000"/>
                <w:spacing w:val="0"/>
                <w:w w:val="100"/>
                <w:position w:val="0"/>
                <w:sz w:val="13"/>
                <w:szCs w:val="13"/>
              </w:rPr>
              <w:t>43,771,219.00</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192,958,806.30</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-2,565,360.00</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-22,640,165.01</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597,353.12</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70,566,386.52</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287,818,959.93</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38,424,692.58</w:t>
            </w: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326,243,652.51</w:t>
            </w: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（一）综合收益总额</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-21,683,906.26</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80,368,462.37</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color w:val="000000"/>
                <w:spacing w:val="0"/>
                <w:w w:val="100"/>
                <w:position w:val="0"/>
                <w:sz w:val="13"/>
                <w:szCs w:val="13"/>
              </w:rPr>
              <w:t>58,684,556.11</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14,349,093.94</w:t>
            </w: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73,033,650.05</w:t>
            </w:r>
          </w:p>
        </w:tc>
      </w:tr>
      <w:tr>
        <w:trPr>
          <w:trHeight w:val="715"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（二）所有者投入和减</w:t>
            </w:r>
          </w:p>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少资本</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80"/>
              <w:jc w:val="left"/>
              <w:rPr>
                <w:sz w:val="13"/>
                <w:szCs w:val="13"/>
              </w:rPr>
            </w:pPr>
            <w:r>
              <w:rPr>
                <w:rFonts w:ascii="Times New Roman" w:eastAsia="Times New Roman" w:hAnsi="Times New Roman" w:cs="Times New Roman"/>
                <w:color w:val="000000"/>
                <w:spacing w:val="0"/>
                <w:w w:val="100"/>
                <w:position w:val="0"/>
                <w:sz w:val="13"/>
                <w:szCs w:val="13"/>
              </w:rPr>
              <w:t>43,771,219.00</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192,958,806.30</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-2,498,160.00</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-956,258.75</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238,271,926.55</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28,475,598.64</w:t>
            </w: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266,747,525.19</w:t>
            </w: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所有者投入的普通股</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80"/>
              <w:jc w:val="left"/>
              <w:rPr>
                <w:sz w:val="13"/>
                <w:szCs w:val="13"/>
              </w:rPr>
            </w:pPr>
            <w:r>
              <w:rPr>
                <w:rFonts w:ascii="Times New Roman" w:eastAsia="Times New Roman" w:hAnsi="Times New Roman" w:cs="Times New Roman"/>
                <w:color w:val="000000"/>
                <w:spacing w:val="0"/>
                <w:w w:val="100"/>
                <w:position w:val="0"/>
                <w:sz w:val="13"/>
                <w:szCs w:val="13"/>
              </w:rPr>
              <w:t>43,771,219.00</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190,118,887.63</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-2,498,160.00</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236,388,266.63</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236,388,266.63</w:t>
            </w:r>
          </w:p>
        </w:tc>
      </w:tr>
      <w:tr>
        <w:trPr>
          <w:trHeight w:val="710"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w:t>
            </w:r>
            <w:r>
              <w:rPr>
                <w:color w:val="000000"/>
                <w:spacing w:val="0"/>
                <w:w w:val="100"/>
                <w:position w:val="0"/>
                <w:sz w:val="13"/>
                <w:szCs w:val="13"/>
              </w:rPr>
              <w:t>其他权益工具持有者</w:t>
            </w:r>
          </w:p>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投入资本</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14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w:t>
            </w:r>
            <w:r>
              <w:rPr>
                <w:color w:val="000000"/>
                <w:spacing w:val="0"/>
                <w:w w:val="100"/>
                <w:position w:val="0"/>
                <w:sz w:val="13"/>
                <w:szCs w:val="13"/>
              </w:rPr>
              <w:t>股份支付计入所有者</w:t>
            </w:r>
          </w:p>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权益的金额</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2,839,918.67</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2,839,918.67</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2,839,918.67</w:t>
            </w: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•其他</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-956,258.75</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380"/>
              <w:jc w:val="both"/>
              <w:rPr>
                <w:sz w:val="13"/>
                <w:szCs w:val="13"/>
              </w:rPr>
            </w:pPr>
            <w:r>
              <w:rPr>
                <w:rFonts w:ascii="Times New Roman" w:eastAsia="Times New Roman" w:hAnsi="Times New Roman" w:cs="Times New Roman"/>
                <w:color w:val="000000"/>
                <w:spacing w:val="0"/>
                <w:w w:val="100"/>
                <w:position w:val="0"/>
                <w:sz w:val="13"/>
                <w:szCs w:val="13"/>
              </w:rPr>
              <w:t>-956,258.75</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28,475,598.64</w:t>
            </w: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27,519,339.89</w:t>
            </w: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（三）利润分配</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-67,200.00</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597,353.12</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-9,802,075.85</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color w:val="000000"/>
                <w:spacing w:val="0"/>
                <w:w w:val="100"/>
                <w:position w:val="0"/>
                <w:sz w:val="13"/>
                <w:szCs w:val="13"/>
              </w:rPr>
              <w:t>-9,137,522.73</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-4,400,000.00</w:t>
            </w: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-13,537,522.73</w:t>
            </w:r>
          </w:p>
        </w:tc>
      </w:tr>
      <w:tr>
        <w:trPr>
          <w:trHeight w:val="398"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提取盈余公积</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597,353.12</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-597,353.12</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w:t>
            </w:r>
            <w:r>
              <w:rPr>
                <w:color w:val="000000"/>
                <w:spacing w:val="0"/>
                <w:w w:val="100"/>
                <w:position w:val="0"/>
                <w:sz w:val="13"/>
                <w:szCs w:val="13"/>
              </w:rPr>
              <w:t>提取一般风险准备</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w:t>
            </w:r>
            <w:r>
              <w:rPr>
                <w:color w:val="000000"/>
                <w:spacing w:val="0"/>
                <w:w w:val="100"/>
                <w:position w:val="0"/>
                <w:sz w:val="13"/>
                <w:szCs w:val="13"/>
              </w:rPr>
              <w:t>对所有者（或股东）</w:t>
            </w:r>
          </w:p>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的分配</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-67,200.00</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-9,204,722.73</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color w:val="000000"/>
                <w:spacing w:val="0"/>
                <w:w w:val="100"/>
                <w:position w:val="0"/>
                <w:sz w:val="13"/>
                <w:szCs w:val="13"/>
              </w:rPr>
              <w:t>-9,137,522.73</w:t>
            </w:r>
          </w:p>
        </w:tc>
        <w:tc>
          <w:tcPr>
            <w:tcBorders>
              <w:top w:val="single" w:sz="4"/>
              <w:lef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-4,400,000.00</w:t>
            </w:r>
          </w:p>
        </w:tc>
        <w:tc>
          <w:tcPr>
            <w:tcBorders>
              <w:top w:val="single" w:sz="4"/>
              <w:left w:val="single" w:sz="4"/>
              <w:right w:val="single" w:sz="4"/>
            </w:tcBorders>
            <w:shd w:val="clear" w:color="auto" w:fill="FFFFFF"/>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-13,537,522.73</w:t>
            </w: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•其他</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（四）所有者权益内部</w:t>
            </w:r>
          </w:p>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结转</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资本公积转增资本</w:t>
            </w:r>
          </w:p>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（或股本）</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w:t>
            </w:r>
            <w:r>
              <w:rPr>
                <w:color w:val="000000"/>
                <w:spacing w:val="0"/>
                <w:w w:val="100"/>
                <w:position w:val="0"/>
                <w:sz w:val="13"/>
                <w:szCs w:val="13"/>
              </w:rPr>
              <w:t>盈余公积转增资本</w:t>
            </w:r>
          </w:p>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（或股本）</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w:t>
            </w:r>
            <w:r>
              <w:rPr>
                <w:color w:val="000000"/>
                <w:spacing w:val="0"/>
                <w:w w:val="100"/>
                <w:position w:val="0"/>
                <w:sz w:val="13"/>
                <w:szCs w:val="13"/>
              </w:rPr>
              <w:t>盈余公积弥补亏损</w:t>
            </w: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13685" w:wrap="none" w:hAnchor="page" w:x="10" w:y="285"/>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11371" w:h="13685"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w:t>
            </w:r>
            <w:r>
              <w:rPr>
                <w:color w:val="000000"/>
                <w:spacing w:val="0"/>
                <w:w w:val="100"/>
                <w:position w:val="0"/>
                <w:sz w:val="13"/>
                <w:szCs w:val="13"/>
              </w:rPr>
              <w:t>设定受益计划变动额</w:t>
            </w: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13685" w:wrap="none" w:hAnchor="page" w:x="10" w:y="285"/>
              <w:widowControl w:val="0"/>
              <w:rPr>
                <w:sz w:val="10"/>
                <w:szCs w:val="10"/>
              </w:rPr>
            </w:pPr>
          </w:p>
        </w:tc>
        <w:tc>
          <w:tcPr>
            <w:tcBorders>
              <w:top w:val="single" w:sz="4"/>
              <w:left w:val="single" w:sz="4"/>
              <w:bottom w:val="single" w:sz="4"/>
              <w:right w:val="single" w:sz="4"/>
            </w:tcBorders>
            <w:shd w:val="clear" w:color="auto" w:fill="FFFFFF"/>
            <w:vAlign w:val="top"/>
          </w:tcPr>
          <w:p>
            <w:pPr>
              <w:framePr w:w="11371" w:h="13685" w:wrap="none" w:hAnchor="page" w:x="10" w:y="285"/>
              <w:widowControl w:val="0"/>
              <w:rPr>
                <w:sz w:val="10"/>
                <w:szCs w:val="10"/>
              </w:rPr>
            </w:pPr>
          </w:p>
        </w:tc>
      </w:tr>
    </w:tbl>
    <w:p>
      <w:pPr>
        <w:framePr w:w="11371" w:h="13685" w:wrap="none" w:hAnchor="page" w:x="10" w:y="285"/>
        <w:widowControl w:val="0"/>
        <w:spacing w:line="1" w:lineRule="exact"/>
      </w:pPr>
    </w:p>
    <w:p>
      <w:pPr>
        <w:widowControl w:val="0"/>
        <w:spacing w:line="360" w:lineRule="exact"/>
      </w:pPr>
      <w:r>
        <w:drawing>
          <wp:anchor distT="0" distB="0" distL="0" distR="0" simplePos="0" relativeHeight="62915062" behindDoc="1" locked="0" layoutInCell="1" allowOverlap="1">
            <wp:simplePos x="0" y="0"/>
            <wp:positionH relativeFrom="page">
              <wp:posOffset>725170</wp:posOffset>
            </wp:positionH>
            <wp:positionV relativeFrom="margin">
              <wp:posOffset>-295275</wp:posOffset>
            </wp:positionV>
            <wp:extent cx="1304290" cy="481330"/>
            <wp:wrapNone/>
            <wp:docPr id="637" name="Shape 637"/>
            <a:graphic xmlns:a="http://schemas.openxmlformats.org/drawingml/2006/main">
              <a:graphicData uri="http://schemas.openxmlformats.org/drawingml/2006/picture">
                <pic:pic xmlns:pic="http://schemas.openxmlformats.org/drawingml/2006/picture">
                  <pic:nvPicPr>
                    <pic:cNvPr id="638" name="Picture box 638"/>
                    <pic:cNvPicPr/>
                  </pic:nvPicPr>
                  <pic:blipFill>
                    <a:blip r:embed="rId263"/>
                    <a:stretch/>
                  </pic:blipFill>
                  <pic:spPr>
                    <a:xfrm>
                      <a:ext cx="1304290" cy="4813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8" w:line="1" w:lineRule="exact"/>
      </w:pPr>
    </w:p>
    <w:p>
      <w:pPr>
        <w:widowControl w:val="0"/>
        <w:spacing w:line="1" w:lineRule="exact"/>
        <w:sectPr>
          <w:headerReference w:type="default" r:id="rId265"/>
          <w:footerReference w:type="default" r:id="rId266"/>
          <w:headerReference w:type="even" r:id="rId267"/>
          <w:footerReference w:type="even" r:id="rId268"/>
          <w:footnotePr>
            <w:pos w:val="pageBottom"/>
            <w:numFmt w:val="decimal"/>
            <w:numRestart w:val="continuous"/>
          </w:footnotePr>
          <w:pgSz w:w="11900" w:h="16840"/>
          <w:pgMar w:top="1157" w:right="519" w:bottom="1158" w:left="9" w:header="0" w:footer="3" w:gutter="0"/>
          <w:cols w:space="720"/>
          <w:noEndnote/>
          <w:rtlGutter w:val="0"/>
          <w:docGrid w:linePitch="360"/>
        </w:sectPr>
      </w:pPr>
    </w:p>
    <w:p>
      <w:pPr>
        <w:pStyle w:val="Style5"/>
        <w:keepNext w:val="0"/>
        <w:keepLines w:val="0"/>
        <w:framePr w:w="1291" w:h="408" w:wrap="none" w:hAnchor="page" w:x="1926" w:y="-8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R09290</w:t>
      </w:r>
    </w:p>
    <w:tbl>
      <w:tblPr>
        <w:tblOverlap w:val="never"/>
        <w:jc w:val="left"/>
        <w:tblLayout w:type="fixed"/>
      </w:tblPr>
      <w:tblGrid>
        <w:gridCol w:w="1387"/>
        <w:gridCol w:w="955"/>
        <w:gridCol w:w="250"/>
        <w:gridCol w:w="264"/>
        <w:gridCol w:w="312"/>
        <w:gridCol w:w="869"/>
        <w:gridCol w:w="826"/>
        <w:gridCol w:w="864"/>
        <w:gridCol w:w="355"/>
        <w:gridCol w:w="869"/>
        <w:gridCol w:w="374"/>
        <w:gridCol w:w="902"/>
        <w:gridCol w:w="245"/>
        <w:gridCol w:w="1051"/>
        <w:gridCol w:w="850"/>
        <w:gridCol w:w="998"/>
      </w:tblGrid>
      <w:tr>
        <w:trPr>
          <w:trHeight w:val="365" w:hRule="exact"/>
        </w:trPr>
        <w:tc>
          <w:tcPr>
            <w:tcBorders>
              <w:top w:val="single" w:sz="4"/>
              <w:left w:val="single" w:sz="4"/>
            </w:tcBorders>
            <w:shd w:val="clear" w:color="auto" w:fill="D4D4D4"/>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结转留存收益</w:t>
            </w: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3499" w:wrap="none" w:hAnchor="page" w:x="10" w:y="285"/>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framePr w:w="11371" w:h="3499" w:wrap="none" w:hAnchor="page" w:x="10" w:y="285"/>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13"/>
                <w:szCs w:val="13"/>
              </w:rPr>
              <w:t>.</w:t>
            </w:r>
            <w:r>
              <w:rPr>
                <w:color w:val="000000"/>
                <w:spacing w:val="0"/>
                <w:w w:val="100"/>
                <w:position w:val="0"/>
                <w:sz w:val="13"/>
                <w:szCs w:val="13"/>
              </w:rPr>
              <w:t>其他综合收益结转留</w:t>
            </w:r>
          </w:p>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存收益</w:t>
            </w: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3499" w:wrap="none" w:hAnchor="page" w:x="10"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w:t>
            </w:r>
            <w:r>
              <w:rPr>
                <w:color w:val="000000"/>
                <w:spacing w:val="0"/>
                <w:w w:val="100"/>
                <w:position w:val="0"/>
                <w:sz w:val="13"/>
                <w:szCs w:val="13"/>
              </w:rPr>
              <w:t>.其他</w:t>
            </w: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3499" w:wrap="none" w:hAnchor="page" w:x="10" w:y="285"/>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（五）专项储备</w:t>
            </w: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3499" w:wrap="none" w:hAnchor="page" w:x="10"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•本期提取</w:t>
            </w: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3499" w:wrap="none" w:hAnchor="page" w:x="10"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•本期使用</w:t>
            </w: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3499" w:wrap="none" w:hAnchor="page" w:x="10" w:y="285"/>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（六）其他</w:t>
            </w: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right w:val="single" w:sz="4"/>
            </w:tcBorders>
            <w:shd w:val="clear" w:color="auto" w:fill="FFFFFF"/>
            <w:vAlign w:val="top"/>
          </w:tcPr>
          <w:p>
            <w:pPr>
              <w:framePr w:w="11371" w:h="3499" w:wrap="none" w:hAnchor="page" w:x="10" w:y="285"/>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四、本期期末余额</w:t>
            </w:r>
          </w:p>
        </w:tc>
        <w:tc>
          <w:tcPr>
            <w:tcBorders>
              <w:top w:val="single" w:sz="4"/>
              <w:left w:val="single" w:sz="4"/>
              <w:bottom w:val="single" w:sz="4"/>
            </w:tcBorders>
            <w:shd w:val="clear" w:color="auto" w:fill="FFFFFF"/>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597,527,930.00</w:t>
            </w:r>
          </w:p>
        </w:tc>
        <w:tc>
          <w:tcPr>
            <w:tcBorders>
              <w:top w:val="single" w:sz="4"/>
              <w:left w:val="single" w:sz="4"/>
              <w:bottom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bottom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412,756,197.59</w:t>
            </w:r>
          </w:p>
        </w:tc>
        <w:tc>
          <w:tcPr>
            <w:tcBorders>
              <w:top w:val="single" w:sz="4"/>
              <w:left w:val="single" w:sz="4"/>
              <w:bottom w:val="single" w:sz="4"/>
            </w:tcBorders>
            <w:shd w:val="clear" w:color="auto" w:fill="FFFFFF"/>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5,829,040.00</w:t>
            </w:r>
          </w:p>
        </w:tc>
        <w:tc>
          <w:tcPr>
            <w:tcBorders>
              <w:top w:val="single" w:sz="4"/>
              <w:left w:val="single" w:sz="4"/>
              <w:bottom w:val="single" w:sz="4"/>
            </w:tcBorders>
            <w:shd w:val="clear" w:color="auto" w:fill="FFFFFF"/>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-17,483,098.86</w:t>
            </w:r>
          </w:p>
        </w:tc>
        <w:tc>
          <w:tcPr>
            <w:tcBorders>
              <w:top w:val="single" w:sz="4"/>
              <w:left w:val="single" w:sz="4"/>
              <w:bottom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32,459,369.45</w:t>
            </w:r>
          </w:p>
        </w:tc>
        <w:tc>
          <w:tcPr>
            <w:tcBorders>
              <w:top w:val="single" w:sz="4"/>
              <w:left w:val="single" w:sz="4"/>
              <w:bottom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346,391,862.08</w:t>
            </w:r>
          </w:p>
        </w:tc>
        <w:tc>
          <w:tcPr>
            <w:tcBorders>
              <w:top w:val="single" w:sz="4"/>
              <w:left w:val="single" w:sz="4"/>
              <w:bottom w:val="single" w:sz="4"/>
            </w:tcBorders>
            <w:shd w:val="clear" w:color="auto" w:fill="FFFFFF"/>
            <w:vAlign w:val="top"/>
          </w:tcPr>
          <w:p>
            <w:pPr>
              <w:framePr w:w="11371" w:h="3499" w:wrap="none" w:hAnchor="page" w:x="10" w:y="285"/>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1,365,823,220.26</w:t>
            </w:r>
          </w:p>
        </w:tc>
        <w:tc>
          <w:tcPr>
            <w:tcBorders>
              <w:top w:val="single" w:sz="4"/>
              <w:left w:val="single" w:sz="4"/>
              <w:bottom w:val="single" w:sz="4"/>
            </w:tcBorders>
            <w:shd w:val="clear" w:color="auto" w:fill="FFFFFF"/>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44,862,123.61</w:t>
            </w:r>
          </w:p>
        </w:tc>
        <w:tc>
          <w:tcPr>
            <w:tcBorders>
              <w:top w:val="single" w:sz="4"/>
              <w:left w:val="single" w:sz="4"/>
              <w:bottom w:val="single" w:sz="4"/>
              <w:right w:val="single" w:sz="4"/>
            </w:tcBorders>
            <w:shd w:val="clear" w:color="auto" w:fill="FFFFFF"/>
            <w:vAlign w:val="center"/>
          </w:tcPr>
          <w:p>
            <w:pPr>
              <w:pStyle w:val="Style44"/>
              <w:keepNext w:val="0"/>
              <w:keepLines w:val="0"/>
              <w:framePr w:w="11371" w:h="3499" w:wrap="none" w:hAnchor="page" w:x="10" w:y="285"/>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1,410,685,343.87</w:t>
            </w:r>
          </w:p>
        </w:tc>
      </w:tr>
    </w:tbl>
    <w:p>
      <w:pPr>
        <w:framePr w:w="11371" w:h="3499" w:wrap="none" w:hAnchor="page" w:x="10" w:y="285"/>
        <w:widowControl w:val="0"/>
        <w:spacing w:line="1" w:lineRule="exact"/>
      </w:pPr>
    </w:p>
    <w:p>
      <w:pPr>
        <w:widowControl w:val="0"/>
        <w:spacing w:line="360" w:lineRule="exact"/>
      </w:pPr>
      <w:r>
        <w:drawing>
          <wp:anchor distT="0" distB="0" distL="0" distR="0" simplePos="0" relativeHeight="62915071" behindDoc="1" locked="0" layoutInCell="1" allowOverlap="1">
            <wp:simplePos x="0" y="0"/>
            <wp:positionH relativeFrom="page">
              <wp:posOffset>725170</wp:posOffset>
            </wp:positionH>
            <wp:positionV relativeFrom="margin">
              <wp:posOffset>-295275</wp:posOffset>
            </wp:positionV>
            <wp:extent cx="1304290" cy="481330"/>
            <wp:wrapNone/>
            <wp:docPr id="649" name="Shape 649"/>
            <a:graphic xmlns:a="http://schemas.openxmlformats.org/drawingml/2006/main">
              <a:graphicData uri="http://schemas.openxmlformats.org/drawingml/2006/picture">
                <pic:pic xmlns:pic="http://schemas.openxmlformats.org/drawingml/2006/picture">
                  <pic:nvPicPr>
                    <pic:cNvPr id="650" name="Picture box 650"/>
                    <pic:cNvPicPr/>
                  </pic:nvPicPr>
                  <pic:blipFill>
                    <a:blip r:embed="rId269"/>
                    <a:stretch/>
                  </pic:blipFill>
                  <pic:spPr>
                    <a:xfrm>
                      <a:ext cx="1304290" cy="4813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2" w:line="1" w:lineRule="exact"/>
      </w:pPr>
    </w:p>
    <w:p>
      <w:pPr>
        <w:widowControl w:val="0"/>
        <w:spacing w:line="1" w:lineRule="exact"/>
        <w:sectPr>
          <w:footnotePr>
            <w:pos w:val="pageBottom"/>
            <w:numFmt w:val="decimal"/>
            <w:numRestart w:val="continuous"/>
          </w:footnotePr>
          <w:pgSz w:w="11900" w:h="16840"/>
          <w:pgMar w:top="1157" w:right="509" w:bottom="1258" w:left="9" w:header="0" w:footer="3" w:gutter="0"/>
          <w:cols w:space="720"/>
          <w:noEndnote/>
          <w:rtlGutter w:val="0"/>
          <w:docGrid w:linePitch="360"/>
        </w:sectPr>
      </w:pPr>
    </w:p>
    <w:p>
      <w:pPr>
        <w:pStyle w:val="Style32"/>
        <w:keepNext w:val="0"/>
        <w:keepLines w:val="0"/>
        <w:widowControl w:val="0"/>
        <w:shd w:val="clear" w:color="auto" w:fill="auto"/>
        <w:bidi w:val="0"/>
        <w:spacing w:before="0" w:after="140" w:line="240" w:lineRule="auto"/>
        <w:ind w:left="1120" w:right="0" w:firstLine="0"/>
        <w:jc w:val="left"/>
      </w:pPr>
      <w:r>
        <w:rPr>
          <w:color w:val="000000"/>
          <w:spacing w:val="0"/>
          <w:w w:val="100"/>
          <w:position w:val="0"/>
        </w:rPr>
        <w:t>上期金额</w:t>
      </w:r>
    </w:p>
    <w:p>
      <w:pPr>
        <w:pStyle w:val="Style32"/>
        <w:keepNext w:val="0"/>
        <w:keepLines w:val="0"/>
        <w:widowControl w:val="0"/>
        <w:shd w:val="clear" w:color="auto" w:fill="auto"/>
        <w:bidi w:val="0"/>
        <w:spacing w:before="0" w:after="80" w:line="240" w:lineRule="auto"/>
        <w:ind w:left="10040" w:right="0" w:firstLine="0"/>
        <w:jc w:val="left"/>
      </w:pPr>
      <w:r>
        <w:rPr>
          <w:color w:val="000000"/>
          <w:spacing w:val="0"/>
          <w:w w:val="100"/>
          <w:position w:val="0"/>
        </w:rPr>
        <w:t>单位：元</w:t>
      </w:r>
    </w:p>
    <w:tbl>
      <w:tblPr>
        <w:tblOverlap w:val="never"/>
        <w:jc w:val="center"/>
        <w:tblLayout w:type="fixed"/>
      </w:tblPr>
      <w:tblGrid>
        <w:gridCol w:w="1378"/>
        <w:gridCol w:w="941"/>
        <w:gridCol w:w="293"/>
        <w:gridCol w:w="221"/>
        <w:gridCol w:w="312"/>
        <w:gridCol w:w="950"/>
        <w:gridCol w:w="744"/>
        <w:gridCol w:w="830"/>
        <w:gridCol w:w="413"/>
        <w:gridCol w:w="830"/>
        <w:gridCol w:w="403"/>
        <w:gridCol w:w="878"/>
        <w:gridCol w:w="269"/>
        <w:gridCol w:w="1061"/>
        <w:gridCol w:w="840"/>
        <w:gridCol w:w="994"/>
      </w:tblGrid>
      <w:tr>
        <w:trPr>
          <w:trHeight w:val="336"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60"/>
              <w:jc w:val="left"/>
              <w:rPr>
                <w:sz w:val="13"/>
                <w:szCs w:val="13"/>
              </w:rPr>
            </w:pPr>
            <w:r>
              <w:rPr>
                <w:color w:val="000000"/>
                <w:spacing w:val="0"/>
                <w:w w:val="100"/>
                <w:position w:val="0"/>
                <w:sz w:val="13"/>
                <w:szCs w:val="13"/>
              </w:rPr>
              <w:t>项目</w:t>
            </w:r>
          </w:p>
        </w:tc>
        <w:tc>
          <w:tcPr>
            <w:gridSpan w:val="15"/>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2019</w:t>
            </w:r>
            <w:r>
              <w:rPr>
                <w:color w:val="000000"/>
                <w:spacing w:val="0"/>
                <w:w w:val="100"/>
                <w:position w:val="0"/>
                <w:sz w:val="13"/>
                <w:szCs w:val="13"/>
              </w:rPr>
              <w:t>年年度</w:t>
            </w:r>
          </w:p>
        </w:tc>
      </w:tr>
      <w:tr>
        <w:trPr>
          <w:trHeight w:val="331" w:hRule="exact"/>
        </w:trPr>
        <w:tc>
          <w:tcPr>
            <w:vMerge/>
            <w:tcBorders>
              <w:left w:val="single" w:sz="4"/>
            </w:tcBorders>
            <w:shd w:val="clear" w:color="auto" w:fill="D4D4D4"/>
            <w:vAlign w:val="center"/>
          </w:tcPr>
          <w:p>
            <w:pPr/>
          </w:p>
        </w:tc>
        <w:tc>
          <w:tcPr>
            <w:gridSpan w:val="1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归属于母公司所有者权益</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少数股东权益</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所有者权益合计</w:t>
            </w:r>
          </w:p>
        </w:tc>
      </w:tr>
      <w:tr>
        <w:trPr>
          <w:trHeight w:val="331" w:hRule="exact"/>
        </w:trPr>
        <w:tc>
          <w:tcPr>
            <w:vMerge/>
            <w:tcBorders>
              <w:left w:val="single" w:sz="4"/>
            </w:tcBorders>
            <w:shd w:val="clear" w:color="auto" w:fill="D4D4D4"/>
            <w:vAlign w:val="center"/>
          </w:tcPr>
          <w:p>
            <w:pP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股本</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其他权益工具</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资本公积</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减：库存股</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其他综合收益</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center"/>
              <w:rPr>
                <w:sz w:val="13"/>
                <w:szCs w:val="13"/>
              </w:rPr>
            </w:pPr>
            <w:r>
              <w:rPr>
                <w:color w:val="000000"/>
                <w:spacing w:val="0"/>
                <w:w w:val="100"/>
                <w:position w:val="0"/>
                <w:sz w:val="13"/>
                <w:szCs w:val="13"/>
              </w:rPr>
              <w:t>专项</w:t>
            </w:r>
          </w:p>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储备</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140" w:firstLine="0"/>
              <w:jc w:val="right"/>
              <w:rPr>
                <w:sz w:val="13"/>
                <w:szCs w:val="13"/>
              </w:rPr>
            </w:pPr>
            <w:r>
              <w:rPr>
                <w:color w:val="000000"/>
                <w:spacing w:val="0"/>
                <w:w w:val="100"/>
                <w:position w:val="0"/>
                <w:sz w:val="13"/>
                <w:szCs w:val="13"/>
              </w:rPr>
              <w:t>盈余公积</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right"/>
              <w:rPr>
                <w:sz w:val="13"/>
                <w:szCs w:val="13"/>
              </w:rPr>
            </w:pPr>
            <w:r>
              <w:rPr>
                <w:color w:val="000000"/>
                <w:spacing w:val="0"/>
                <w:w w:val="100"/>
                <w:position w:val="0"/>
                <w:sz w:val="13"/>
                <w:szCs w:val="13"/>
              </w:rPr>
              <w:t>一般</w:t>
            </w:r>
          </w:p>
          <w:p>
            <w:pPr>
              <w:pStyle w:val="Style44"/>
              <w:keepNext w:val="0"/>
              <w:keepLines w:val="0"/>
              <w:widowControl w:val="0"/>
              <w:shd w:val="clear" w:color="auto" w:fill="auto"/>
              <w:bidi w:val="0"/>
              <w:spacing w:before="0" w:after="160" w:line="240" w:lineRule="auto"/>
              <w:ind w:left="0" w:right="0" w:firstLine="0"/>
              <w:jc w:val="right"/>
              <w:rPr>
                <w:sz w:val="13"/>
                <w:szCs w:val="13"/>
              </w:rPr>
            </w:pPr>
            <w:r>
              <w:rPr>
                <w:color w:val="000000"/>
                <w:spacing w:val="0"/>
                <w:w w:val="100"/>
                <w:position w:val="0"/>
                <w:sz w:val="13"/>
                <w:szCs w:val="13"/>
              </w:rPr>
              <w:t>风险</w:t>
            </w:r>
          </w:p>
          <w:p>
            <w:pPr>
              <w:pStyle w:val="Style44"/>
              <w:keepNext w:val="0"/>
              <w:keepLines w:val="0"/>
              <w:widowControl w:val="0"/>
              <w:shd w:val="clear" w:color="auto" w:fill="auto"/>
              <w:bidi w:val="0"/>
              <w:spacing w:before="0" w:after="160" w:line="240" w:lineRule="auto"/>
              <w:ind w:left="0" w:right="0" w:firstLine="0"/>
              <w:jc w:val="right"/>
              <w:rPr>
                <w:sz w:val="13"/>
                <w:szCs w:val="13"/>
              </w:rPr>
            </w:pPr>
            <w:r>
              <w:rPr>
                <w:color w:val="000000"/>
                <w:spacing w:val="0"/>
                <w:w w:val="100"/>
                <w:position w:val="0"/>
                <w:sz w:val="13"/>
                <w:szCs w:val="13"/>
              </w:rPr>
              <w:t>准备</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未分配利润</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right"/>
              <w:rPr>
                <w:sz w:val="13"/>
                <w:szCs w:val="13"/>
              </w:rPr>
            </w:pPr>
            <w:r>
              <w:rPr>
                <w:color w:val="000000"/>
                <w:spacing w:val="0"/>
                <w:w w:val="100"/>
                <w:position w:val="0"/>
                <w:sz w:val="13"/>
                <w:szCs w:val="13"/>
              </w:rPr>
              <w:t>其</w:t>
            </w:r>
          </w:p>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他</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80" w:firstLine="0"/>
              <w:jc w:val="right"/>
              <w:rPr>
                <w:sz w:val="13"/>
                <w:szCs w:val="13"/>
              </w:rPr>
            </w:pPr>
            <w:r>
              <w:rPr>
                <w:color w:val="000000"/>
                <w:spacing w:val="0"/>
                <w:w w:val="100"/>
                <w:position w:val="0"/>
                <w:sz w:val="13"/>
                <w:szCs w:val="13"/>
              </w:rPr>
              <w:t>小计</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1022"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优</w:t>
            </w:r>
          </w:p>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先</w:t>
            </w:r>
          </w:p>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永</w:t>
            </w:r>
          </w:p>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续</w:t>
            </w:r>
          </w:p>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债</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3"/>
                <w:szCs w:val="13"/>
              </w:rPr>
            </w:pPr>
            <w:r>
              <w:rPr>
                <w:color w:val="000000"/>
                <w:spacing w:val="0"/>
                <w:w w:val="100"/>
                <w:position w:val="0"/>
                <w:sz w:val="13"/>
                <w:szCs w:val="13"/>
              </w:rPr>
              <w:t>其</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他</w:t>
            </w: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一、上年期末余额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338,572,507.00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262,577,176.52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773,141.85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31,545,868.40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256,266,175.93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889,734,869.70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209,075.20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889,943,944.90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color w:val="000000"/>
                <w:spacing w:val="0"/>
                <w:w w:val="100"/>
                <w:position w:val="0"/>
                <w:sz w:val="13"/>
                <w:szCs w:val="13"/>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1,903,089.14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-526,543.04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-6,509,528.42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rPr>
                <w:sz w:val="13"/>
                <w:szCs w:val="13"/>
              </w:rPr>
            </w:pPr>
            <w:r>
              <w:rPr>
                <w:rFonts w:ascii="Times New Roman" w:eastAsia="Times New Roman" w:hAnsi="Times New Roman" w:cs="Times New Roman"/>
                <w:color w:val="000000"/>
                <w:spacing w:val="0"/>
                <w:w w:val="100"/>
                <w:position w:val="0"/>
                <w:sz w:val="13"/>
                <w:szCs w:val="13"/>
              </w:rPr>
              <w:t>-5,132,982.32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-440.31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-5,133,422.63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color w:val="000000"/>
                <w:spacing w:val="0"/>
                <w:w w:val="100"/>
                <w:position w:val="0"/>
                <w:sz w:val="13"/>
                <w:szCs w:val="13"/>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color w:val="000000"/>
                <w:spacing w:val="0"/>
                <w:w w:val="100"/>
                <w:position w:val="0"/>
                <w:sz w:val="13"/>
                <w:szCs w:val="13"/>
              </w:rPr>
              <w:t>同一控制下企业合并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二、本年期初余额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338,572,507.00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262,577,176.52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2,676,230.99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31,019,325.36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249,756,647.51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884,601,887.38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208,634.89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884,810,522.27</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三、本期增减变动金额</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（减少以</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13"/>
                <w:szCs w:val="13"/>
              </w:rPr>
              <w:t xml:space="preserve">一 </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13"/>
                <w:szCs w:val="13"/>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215,184,204.00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-42,779,785.23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2,480,835.16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842,690.97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37,880,881.78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205,214,426.68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6,228,796.14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211,443,222.82</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2,480,835.16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43,153,626.44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45,634,461.60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1,228,796.14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46,863,257.74</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（二）所有者投入和减</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少资本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30,598,634.00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141,805,784.77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164,010,018.77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5,000,000.00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169,010,018.77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•所有者投入的普通股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30,598,634.00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134,792,758.77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156,996,992.77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5,000,000.00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161,996,992.77</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w:t>
            </w:r>
            <w:r>
              <w:rPr>
                <w:color w:val="000000"/>
                <w:spacing w:val="0"/>
                <w:w w:val="100"/>
                <w:position w:val="0"/>
                <w:sz w:val="13"/>
                <w:szCs w:val="13"/>
              </w:rPr>
              <w:t>其他权益工具持有者</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w:t>
            </w:r>
            <w:r>
              <w:rPr>
                <w:color w:val="000000"/>
                <w:spacing w:val="0"/>
                <w:w w:val="100"/>
                <w:position w:val="0"/>
                <w:sz w:val="13"/>
                <w:szCs w:val="13"/>
              </w:rPr>
              <w:t>股份支付计入所有者</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both"/>
              <w:rPr>
                <w:sz w:val="13"/>
                <w:szCs w:val="13"/>
              </w:rPr>
            </w:pPr>
            <w:r>
              <w:rPr>
                <w:rFonts w:ascii="Times New Roman" w:eastAsia="Times New Roman" w:hAnsi="Times New Roman" w:cs="Times New Roman"/>
                <w:color w:val="000000"/>
                <w:spacing w:val="0"/>
                <w:w w:val="100"/>
                <w:position w:val="0"/>
                <w:sz w:val="13"/>
                <w:szCs w:val="13"/>
              </w:rPr>
              <w:t>7,013,026.00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7,013,026.00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7,013,026.00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842,690.97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-5,272,744.66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rPr>
                <w:sz w:val="13"/>
                <w:szCs w:val="13"/>
              </w:rPr>
            </w:pPr>
            <w:r>
              <w:rPr>
                <w:rFonts w:ascii="Times New Roman" w:eastAsia="Times New Roman" w:hAnsi="Times New Roman" w:cs="Times New Roman"/>
                <w:color w:val="000000"/>
                <w:spacing w:val="0"/>
                <w:w w:val="100"/>
                <w:position w:val="0"/>
                <w:sz w:val="13"/>
                <w:szCs w:val="13"/>
              </w:rPr>
              <w:t>-4,430,053.69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-4,430,053.69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842,690.97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-842,690.97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•提取一般风险准备</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type w:val="continuous"/>
          <w:pgSz w:w="11900" w:h="16840"/>
          <w:pgMar w:top="1141" w:right="471" w:bottom="1362" w:left="47" w:header="0" w:footer="3" w:gutter="0"/>
          <w:cols w:space="720"/>
          <w:noEndnote/>
          <w:rtlGutter w:val="0"/>
          <w:docGrid w:linePitch="360"/>
        </w:sectPr>
      </w:pPr>
    </w:p>
    <w:p>
      <w:pPr>
        <w:widowControl w:val="0"/>
        <w:spacing w:line="1" w:lineRule="exact"/>
      </w:pPr>
      <w:r>
        <mc:AlternateContent>
          <mc:Choice Requires="wps">
            <w:drawing>
              <wp:anchor distT="0" distB="5425440" distL="0" distR="0" simplePos="0" relativeHeight="125829548" behindDoc="0" locked="0" layoutInCell="1" allowOverlap="1">
                <wp:simplePos x="0" y="0"/>
                <wp:positionH relativeFrom="page">
                  <wp:posOffset>789305</wp:posOffset>
                </wp:positionH>
                <wp:positionV relativeFrom="paragraph">
                  <wp:posOffset>0</wp:posOffset>
                </wp:positionV>
                <wp:extent cx="1243330" cy="332105"/>
                <wp:wrapTopAndBottom/>
                <wp:docPr id="651" name="Shape 651"/>
                <a:graphic xmlns:a="http://schemas.openxmlformats.org/drawingml/2006/main">
                  <a:graphicData uri="http://schemas.microsoft.com/office/word/2010/wordprocessingShape">
                    <wps:wsp>
                      <wps:cNvSpPr txBox="1"/>
                      <wps:spPr>
                        <a:xfrm>
                          <a:ext cx="1243330" cy="332105"/>
                        </a:xfrm>
                        <a:prstGeom prst="rect"/>
                        <a:noFill/>
                      </wps:spPr>
                      <wps:txbx>
                        <w:txbxContent>
                          <w:p>
                            <w:pPr>
                              <w:pStyle w:val="Style5"/>
                              <w:keepNext w:val="0"/>
                              <w:keepLines w:val="0"/>
                              <w:widowControl w:val="0"/>
                              <w:shd w:val="clear" w:color="auto" w:fill="auto"/>
                              <w:bidi w:val="0"/>
                              <w:spacing w:before="0" w:after="0" w:line="230" w:lineRule="exact"/>
                              <w:ind w:left="0" w:right="0" w:firstLine="0"/>
                              <w:jc w:val="left"/>
                              <w:rPr>
                                <w:sz w:val="18"/>
                                <w:szCs w:val="18"/>
                              </w:rPr>
                            </w:pPr>
                            <w:r>
                              <w:rPr>
                                <w:color w:val="245994"/>
                                <w:spacing w:val="0"/>
                                <w:w w:val="100"/>
                                <w:position w:val="0"/>
                                <w:sz w:val="15"/>
                                <w:szCs w:val="15"/>
                              </w:rPr>
                              <w:t>，:一</w:t>
                            </w:r>
                            <w:r>
                              <w:rPr>
                                <w:spacing w:val="0"/>
                                <w:w w:val="100"/>
                                <w:position w:val="0"/>
                                <w:sz w:val="15"/>
                                <w:szCs w:val="15"/>
                              </w:rPr>
                              <w:t xml:space="preserve">国家高新技术企业 </w:t>
                            </w:r>
                            <w:r>
                              <w:rPr>
                                <w:rFonts w:ascii="SimSun" w:eastAsia="SimSun" w:hAnsi="SimSun" w:cs="SimSun"/>
                                <w:color w:val="245994"/>
                                <w:spacing w:val="0"/>
                                <w:w w:val="100"/>
                                <w:position w:val="0"/>
                                <w:sz w:val="46"/>
                                <w:szCs w:val="46"/>
                              </w:rPr>
                              <w:t>，</w:t>
                            </w:r>
                            <w:r>
                              <w:rPr>
                                <w:rFonts w:ascii="Arial" w:eastAsia="Arial" w:hAnsi="Arial" w:cs="Arial"/>
                                <w:color w:val="245994"/>
                                <w:spacing w:val="0"/>
                                <w:w w:val="100"/>
                                <w:position w:val="0"/>
                                <w:sz w:val="38"/>
                                <w:szCs w:val="38"/>
                              </w:rPr>
                              <w:t xml:space="preserve">1 </w:t>
                            </w:r>
                            <w:r>
                              <w:rPr>
                                <w:spacing w:val="0"/>
                                <w:w w:val="100"/>
                                <w:position w:val="0"/>
                                <w:sz w:val="15"/>
                                <w:szCs w:val="15"/>
                              </w:rPr>
                              <w:t>股</w:t>
                            </w:r>
                            <w:r>
                              <w:rPr>
                                <w:color w:val="2D4562"/>
                                <w:spacing w:val="0"/>
                                <w:w w:val="100"/>
                                <w:position w:val="0"/>
                                <w:sz w:val="15"/>
                                <w:szCs w:val="15"/>
                              </w:rPr>
                              <w:t>票代码</w:t>
                            </w:r>
                            <w:r>
                              <w:rPr>
                                <w:rFonts w:ascii="SimSun" w:eastAsia="SimSun" w:hAnsi="SimSun" w:cs="SimSun"/>
                                <w:color w:val="2D4562"/>
                                <w:spacing w:val="0"/>
                                <w:w w:val="100"/>
                                <w:position w:val="0"/>
                                <w:sz w:val="18"/>
                                <w:szCs w:val="18"/>
                              </w:rPr>
                              <w:t>：.30Q29Q</w:t>
                            </w:r>
                          </w:p>
                        </w:txbxContent>
                      </wps:txbx>
                      <wps:bodyPr lIns="0" tIns="0" rIns="0" bIns="0">
                        <a:noAutoFit/>
                      </wps:bodyPr>
                    </wps:wsp>
                  </a:graphicData>
                </a:graphic>
              </wp:anchor>
            </w:drawing>
          </mc:Choice>
          <mc:Fallback>
            <w:pict>
              <v:shape id="_x0000_s1677" type="#_x0000_t202" style="position:absolute;margin-left:62.149999999999999pt;margin-top:0;width:97.900000000000006pt;height:26.150000000000002pt;z-index:-125829205;mso-wrap-distance-left:0;mso-wrap-distance-right:0;mso-wrap-distance-bottom:427.19999999999999pt;mso-position-horizontal-relative:page" filled="f" stroked="f">
                <v:textbox inset="0,0,0,0">
                  <w:txbxContent>
                    <w:p>
                      <w:pPr>
                        <w:pStyle w:val="Style5"/>
                        <w:keepNext w:val="0"/>
                        <w:keepLines w:val="0"/>
                        <w:widowControl w:val="0"/>
                        <w:shd w:val="clear" w:color="auto" w:fill="auto"/>
                        <w:bidi w:val="0"/>
                        <w:spacing w:before="0" w:after="0" w:line="230" w:lineRule="exact"/>
                        <w:ind w:left="0" w:right="0" w:firstLine="0"/>
                        <w:jc w:val="left"/>
                        <w:rPr>
                          <w:sz w:val="18"/>
                          <w:szCs w:val="18"/>
                        </w:rPr>
                      </w:pPr>
                      <w:r>
                        <w:rPr>
                          <w:color w:val="245994"/>
                          <w:spacing w:val="0"/>
                          <w:w w:val="100"/>
                          <w:position w:val="0"/>
                          <w:sz w:val="15"/>
                          <w:szCs w:val="15"/>
                        </w:rPr>
                        <w:t>，:一</w:t>
                      </w:r>
                      <w:r>
                        <w:rPr>
                          <w:spacing w:val="0"/>
                          <w:w w:val="100"/>
                          <w:position w:val="0"/>
                          <w:sz w:val="15"/>
                          <w:szCs w:val="15"/>
                        </w:rPr>
                        <w:t xml:space="preserve">国家高新技术企业 </w:t>
                      </w:r>
                      <w:r>
                        <w:rPr>
                          <w:rFonts w:ascii="SimSun" w:eastAsia="SimSun" w:hAnsi="SimSun" w:cs="SimSun"/>
                          <w:color w:val="245994"/>
                          <w:spacing w:val="0"/>
                          <w:w w:val="100"/>
                          <w:position w:val="0"/>
                          <w:sz w:val="46"/>
                          <w:szCs w:val="46"/>
                        </w:rPr>
                        <w:t>，</w:t>
                      </w:r>
                      <w:r>
                        <w:rPr>
                          <w:rFonts w:ascii="Arial" w:eastAsia="Arial" w:hAnsi="Arial" w:cs="Arial"/>
                          <w:color w:val="245994"/>
                          <w:spacing w:val="0"/>
                          <w:w w:val="100"/>
                          <w:position w:val="0"/>
                          <w:sz w:val="38"/>
                          <w:szCs w:val="38"/>
                        </w:rPr>
                        <w:t xml:space="preserve">1 </w:t>
                      </w:r>
                      <w:r>
                        <w:rPr>
                          <w:spacing w:val="0"/>
                          <w:w w:val="100"/>
                          <w:position w:val="0"/>
                          <w:sz w:val="15"/>
                          <w:szCs w:val="15"/>
                        </w:rPr>
                        <w:t>股</w:t>
                      </w:r>
                      <w:r>
                        <w:rPr>
                          <w:color w:val="2D4562"/>
                          <w:spacing w:val="0"/>
                          <w:w w:val="100"/>
                          <w:position w:val="0"/>
                          <w:sz w:val="15"/>
                          <w:szCs w:val="15"/>
                        </w:rPr>
                        <w:t>票代码</w:t>
                      </w:r>
                      <w:r>
                        <w:rPr>
                          <w:rFonts w:ascii="SimSun" w:eastAsia="SimSun" w:hAnsi="SimSun" w:cs="SimSun"/>
                          <w:color w:val="2D4562"/>
                          <w:spacing w:val="0"/>
                          <w:w w:val="100"/>
                          <w:position w:val="0"/>
                          <w:sz w:val="18"/>
                          <w:szCs w:val="18"/>
                        </w:rPr>
                        <w:t>：.30Q29Q</w:t>
                      </w:r>
                    </w:p>
                  </w:txbxContent>
                </v:textbox>
                <w10:wrap type="topAndBottom" anchorx="page"/>
              </v:shape>
            </w:pict>
          </mc:Fallback>
        </mc:AlternateContent>
      </w:r>
      <w:r>
        <mc:AlternateContent>
          <mc:Choice Requires="wps">
            <w:drawing>
              <wp:anchor distT="231775" distB="755650" distL="0" distR="0" simplePos="0" relativeHeight="125829550" behindDoc="0" locked="0" layoutInCell="1" allowOverlap="1">
                <wp:simplePos x="0" y="0"/>
                <wp:positionH relativeFrom="page">
                  <wp:posOffset>5715</wp:posOffset>
                </wp:positionH>
                <wp:positionV relativeFrom="paragraph">
                  <wp:posOffset>231775</wp:posOffset>
                </wp:positionV>
                <wp:extent cx="3605530" cy="4770120"/>
                <wp:wrapTopAndBottom/>
                <wp:docPr id="653" name="Shape 653"/>
                <a:graphic xmlns:a="http://schemas.openxmlformats.org/drawingml/2006/main">
                  <a:graphicData uri="http://schemas.microsoft.com/office/word/2010/wordprocessingShape">
                    <wps:wsp>
                      <wps:cNvSpPr txBox="1"/>
                      <wps:spPr>
                        <a:xfrm>
                          <a:ext cx="3605530" cy="4770120"/>
                        </a:xfrm>
                        <a:prstGeom prst="rect"/>
                        <a:noFill/>
                      </wps:spPr>
                      <wps:txbx>
                        <w:txbxContent>
                          <w:tbl>
                            <w:tblPr>
                              <w:tblOverlap w:val="never"/>
                              <w:jc w:val="left"/>
                              <w:tblLayout w:type="fixed"/>
                            </w:tblPr>
                            <w:tblGrid>
                              <w:gridCol w:w="1378"/>
                              <w:gridCol w:w="941"/>
                              <w:gridCol w:w="293"/>
                              <w:gridCol w:w="221"/>
                              <w:gridCol w:w="312"/>
                              <w:gridCol w:w="950"/>
                              <w:gridCol w:w="744"/>
                              <w:gridCol w:w="840"/>
                            </w:tblGrid>
                            <w:tr>
                              <w:trPr>
                                <w:tblHeade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•对所有者（或股东）</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（四）所有者权益内部</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1 </w:t>
                                  </w:r>
                                  <w:r>
                                    <w:rPr>
                                      <w:color w:val="000000"/>
                                      <w:spacing w:val="0"/>
                                      <w:w w:val="100"/>
                                      <w:position w:val="0"/>
                                      <w:sz w:val="13"/>
                                      <w:szCs w:val="13"/>
                                    </w:rPr>
                                    <w:t>.资本公积转增资本</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（或股本）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.盈余公积转增资本</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w:t>
                                  </w:r>
                                  <w:r>
                                    <w:rPr>
                                      <w:color w:val="000000"/>
                                      <w:spacing w:val="0"/>
                                      <w:w w:val="100"/>
                                      <w:position w:val="0"/>
                                      <w:sz w:val="13"/>
                                      <w:szCs w:val="13"/>
                                    </w:rPr>
                                    <w:t>设定受益计划变动额</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13"/>
                                      <w:szCs w:val="13"/>
                                    </w:rPr>
                                    <w:t>.</w:t>
                                  </w:r>
                                  <w:r>
                                    <w:rPr>
                                      <w:color w:val="000000"/>
                                      <w:spacing w:val="0"/>
                                      <w:w w:val="100"/>
                                      <w:position w:val="0"/>
                                      <w:sz w:val="13"/>
                                      <w:szCs w:val="13"/>
                                    </w:rPr>
                                    <w:t>其他综合收益结转留</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w:t>
                                  </w: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四、本期期末余额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553,756,711.00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219,797,391.29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5,157,066.15</w:t>
                                  </w:r>
                                </w:p>
                              </w:tc>
                            </w:tr>
                          </w:tbl>
                          <w:p>
                            <w:pPr>
                              <w:widowControl w:val="0"/>
                              <w:spacing w:line="1" w:lineRule="exact"/>
                            </w:pPr>
                          </w:p>
                        </w:txbxContent>
                      </wps:txbx>
                      <wps:bodyPr lIns="0" tIns="0" rIns="0" bIns="0">
                        <a:noAutoFit/>
                      </wps:bodyPr>
                    </wps:wsp>
                  </a:graphicData>
                </a:graphic>
              </wp:anchor>
            </w:drawing>
          </mc:Choice>
          <mc:Fallback>
            <w:pict>
              <v:shape id="_x0000_s1679" type="#_x0000_t202" style="position:absolute;margin-left:0.45000000000000001pt;margin-top:18.25pt;width:283.90000000000003pt;height:375.60000000000002pt;z-index:-125829203;mso-wrap-distance-left:0;mso-wrap-distance-top:18.25pt;mso-wrap-distance-right:0;mso-wrap-distance-bottom:59.5pt;mso-position-horizontal-relative:page" filled="f" stroked="f">
                <v:textbox inset="0,0,0,0">
                  <w:txbxContent>
                    <w:tbl>
                      <w:tblPr>
                        <w:tblOverlap w:val="never"/>
                        <w:jc w:val="left"/>
                        <w:tblLayout w:type="fixed"/>
                      </w:tblPr>
                      <w:tblGrid>
                        <w:gridCol w:w="1378"/>
                        <w:gridCol w:w="941"/>
                        <w:gridCol w:w="293"/>
                        <w:gridCol w:w="221"/>
                        <w:gridCol w:w="312"/>
                        <w:gridCol w:w="950"/>
                        <w:gridCol w:w="744"/>
                        <w:gridCol w:w="840"/>
                      </w:tblGrid>
                      <w:tr>
                        <w:trPr>
                          <w:tblHeade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•对所有者（或股东）</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color w:val="000000"/>
                                <w:spacing w:val="0"/>
                                <w:w w:val="100"/>
                                <w:position w:val="0"/>
                                <w:sz w:val="13"/>
                                <w:szCs w:val="13"/>
                              </w:rPr>
                              <w:t>（四）所有者权益内部</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 xml:space="preserve">1 </w:t>
                            </w:r>
                            <w:r>
                              <w:rPr>
                                <w:color w:val="000000"/>
                                <w:spacing w:val="0"/>
                                <w:w w:val="100"/>
                                <w:position w:val="0"/>
                                <w:sz w:val="13"/>
                                <w:szCs w:val="13"/>
                              </w:rPr>
                              <w:t>.资本公积转增资本</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（或股本）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.盈余公积转增资本</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w:t>
                            </w:r>
                            <w:r>
                              <w:rPr>
                                <w:color w:val="000000"/>
                                <w:spacing w:val="0"/>
                                <w:w w:val="100"/>
                                <w:position w:val="0"/>
                                <w:sz w:val="13"/>
                                <w:szCs w:val="13"/>
                              </w:rPr>
                              <w:t>设定受益计划变动额</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6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13"/>
                                <w:szCs w:val="13"/>
                              </w:rPr>
                              <w:t>.</w:t>
                            </w:r>
                            <w:r>
                              <w:rPr>
                                <w:color w:val="000000"/>
                                <w:spacing w:val="0"/>
                                <w:w w:val="100"/>
                                <w:position w:val="0"/>
                                <w:sz w:val="13"/>
                                <w:szCs w:val="13"/>
                              </w:rPr>
                              <w:t>其他综合收益结转留</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w:t>
                            </w: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四、本期期末余额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553,756,711.00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219,797,391.29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5,157,066.15</w:t>
                            </w:r>
                          </w:p>
                        </w:tc>
                      </w:tr>
                    </w:tbl>
                    <w:p>
                      <w:pPr>
                        <w:widowControl w:val="0"/>
                        <w:spacing w:line="1" w:lineRule="exact"/>
                      </w:pPr>
                    </w:p>
                  </w:txbxContent>
                </v:textbox>
                <w10:wrap type="topAndBottom" anchorx="page"/>
              </v:shape>
            </w:pict>
          </mc:Fallback>
        </mc:AlternateContent>
      </w:r>
      <w:r>
        <mc:AlternateContent>
          <mc:Choice Requires="wps">
            <w:drawing>
              <wp:anchor distT="231775" distB="755650" distL="0" distR="0" simplePos="0" relativeHeight="125829552" behindDoc="0" locked="0" layoutInCell="1" allowOverlap="1">
                <wp:simplePos x="0" y="0"/>
                <wp:positionH relativeFrom="page">
                  <wp:posOffset>3599180</wp:posOffset>
                </wp:positionH>
                <wp:positionV relativeFrom="paragraph">
                  <wp:posOffset>231775</wp:posOffset>
                </wp:positionV>
                <wp:extent cx="3618230" cy="4770120"/>
                <wp:wrapTopAndBottom/>
                <wp:docPr id="655" name="Shape 655"/>
                <a:graphic xmlns:a="http://schemas.openxmlformats.org/drawingml/2006/main">
                  <a:graphicData uri="http://schemas.microsoft.com/office/word/2010/wordprocessingShape">
                    <wps:wsp>
                      <wps:cNvSpPr txBox="1"/>
                      <wps:spPr>
                        <a:xfrm>
                          <a:ext cx="3618230" cy="4770120"/>
                        </a:xfrm>
                        <a:prstGeom prst="rect"/>
                        <a:noFill/>
                      </wps:spPr>
                      <wps:txbx>
                        <w:txbxContent>
                          <w:tbl>
                            <w:tblPr>
                              <w:tblOverlap w:val="never"/>
                              <w:jc w:val="left"/>
                              <w:tblLayout w:type="fixed"/>
                            </w:tblPr>
                            <w:tblGrid>
                              <w:gridCol w:w="422"/>
                              <w:gridCol w:w="830"/>
                              <w:gridCol w:w="403"/>
                              <w:gridCol w:w="878"/>
                              <w:gridCol w:w="269"/>
                              <w:gridCol w:w="1061"/>
                              <w:gridCol w:w="840"/>
                              <w:gridCol w:w="994"/>
                            </w:tblGrid>
                            <w:tr>
                              <w:trPr>
                                <w:tblHeade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-4,430,053.69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-4,430,053.69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-4,430,053.69</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31,862,016.33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287,637,529.29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1,089,816,314.06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6,437,431.03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1,096,253,745.09</w:t>
                                  </w:r>
                                </w:p>
                              </w:tc>
                            </w:tr>
                          </w:tbl>
                          <w:p>
                            <w:pPr>
                              <w:widowControl w:val="0"/>
                              <w:spacing w:line="1" w:lineRule="exact"/>
                            </w:pPr>
                          </w:p>
                        </w:txbxContent>
                      </wps:txbx>
                      <wps:bodyPr lIns="0" tIns="0" rIns="0" bIns="0">
                        <a:noAutoFit/>
                      </wps:bodyPr>
                    </wps:wsp>
                  </a:graphicData>
                </a:graphic>
              </wp:anchor>
            </w:drawing>
          </mc:Choice>
          <mc:Fallback>
            <w:pict>
              <v:shape id="_x0000_s1681" type="#_x0000_t202" style="position:absolute;margin-left:283.40000000000003pt;margin-top:18.25pt;width:284.90000000000003pt;height:375.60000000000002pt;z-index:-125829201;mso-wrap-distance-left:0;mso-wrap-distance-top:18.25pt;mso-wrap-distance-right:0;mso-wrap-distance-bottom:59.5pt;mso-position-horizontal-relative:page" filled="f" stroked="f">
                <v:textbox inset="0,0,0,0">
                  <w:txbxContent>
                    <w:tbl>
                      <w:tblPr>
                        <w:tblOverlap w:val="never"/>
                        <w:jc w:val="left"/>
                        <w:tblLayout w:type="fixed"/>
                      </w:tblPr>
                      <w:tblGrid>
                        <w:gridCol w:w="422"/>
                        <w:gridCol w:w="830"/>
                        <w:gridCol w:w="403"/>
                        <w:gridCol w:w="878"/>
                        <w:gridCol w:w="269"/>
                        <w:gridCol w:w="1061"/>
                        <w:gridCol w:w="840"/>
                        <w:gridCol w:w="994"/>
                      </w:tblGrid>
                      <w:tr>
                        <w:trPr>
                          <w:tblHeade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-4,430,053.69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-4,430,053.69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-4,430,053.69</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31,862,016.33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287,637,529.29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1,089,816,314.06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6,437,431.03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1,096,253,745.09</w:t>
                            </w:r>
                          </w:p>
                        </w:tc>
                      </w:tr>
                    </w:tbl>
                    <w:p>
                      <w:pPr>
                        <w:widowControl w:val="0"/>
                        <w:spacing w:line="1" w:lineRule="exact"/>
                      </w:pPr>
                    </w:p>
                  </w:txbxContent>
                </v:textbox>
                <w10:wrap type="topAndBottom" anchorx="page"/>
              </v:shape>
            </w:pict>
          </mc:Fallback>
        </mc:AlternateContent>
      </w:r>
      <w:r>
        <mc:AlternateContent>
          <mc:Choice Requires="wps">
            <w:drawing>
              <wp:anchor distT="5205730" distB="375285" distL="0" distR="0" simplePos="0" relativeHeight="125829554" behindDoc="0" locked="0" layoutInCell="1" allowOverlap="1">
                <wp:simplePos x="0" y="0"/>
                <wp:positionH relativeFrom="page">
                  <wp:posOffset>688340</wp:posOffset>
                </wp:positionH>
                <wp:positionV relativeFrom="paragraph">
                  <wp:posOffset>5205730</wp:posOffset>
                </wp:positionV>
                <wp:extent cx="1703705" cy="176530"/>
                <wp:wrapTopAndBottom/>
                <wp:docPr id="657" name="Shape 657"/>
                <a:graphic xmlns:a="http://schemas.openxmlformats.org/drawingml/2006/main">
                  <a:graphicData uri="http://schemas.microsoft.com/office/word/2010/wordprocessingShape">
                    <wps:wsp>
                      <wps:cNvSpPr txBox="1"/>
                      <wps:spPr>
                        <a:xfrm>
                          <a:ext cx="1703705" cy="176530"/>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736" w:name="bookmark736"/>
                            <w:bookmarkStart w:id="737" w:name="bookmark737"/>
                            <w:bookmarkStart w:id="738" w:name="bookmark738"/>
                            <w:r>
                              <w:rPr>
                                <w:rFonts w:ascii="Times New Roman" w:eastAsia="Times New Roman" w:hAnsi="Times New Roman" w:cs="Times New Roman"/>
                                <w:color w:val="000000"/>
                                <w:spacing w:val="0"/>
                                <w:w w:val="100"/>
                                <w:position w:val="0"/>
                              </w:rPr>
                              <w:t>8</w:t>
                            </w:r>
                            <w:r>
                              <w:rPr>
                                <w:color w:val="000000"/>
                                <w:spacing w:val="0"/>
                                <w:w w:val="100"/>
                                <w:position w:val="0"/>
                              </w:rPr>
                              <w:t>、母公司所有者权益变动表</w:t>
                            </w:r>
                            <w:bookmarkEnd w:id="736"/>
                            <w:bookmarkEnd w:id="737"/>
                            <w:bookmarkEnd w:id="738"/>
                          </w:p>
                        </w:txbxContent>
                      </wps:txbx>
                      <wps:bodyPr wrap="none" lIns="0" tIns="0" rIns="0" bIns="0">
                        <a:noAutoFit/>
                      </wps:bodyPr>
                    </wps:wsp>
                  </a:graphicData>
                </a:graphic>
              </wp:anchor>
            </w:drawing>
          </mc:Choice>
          <mc:Fallback>
            <w:pict>
              <v:shape id="_x0000_s1683" type="#_x0000_t202" style="position:absolute;margin-left:54.200000000000003pt;margin-top:409.90000000000003pt;width:134.15000000000001pt;height:13.9pt;z-index:-125829199;mso-wrap-distance-left:0;mso-wrap-distance-top:409.90000000000003pt;mso-wrap-distance-right:0;mso-wrap-distance-bottom:29.550000000000001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736" w:name="bookmark736"/>
                      <w:bookmarkStart w:id="737" w:name="bookmark737"/>
                      <w:bookmarkStart w:id="738" w:name="bookmark738"/>
                      <w:r>
                        <w:rPr>
                          <w:rFonts w:ascii="Times New Roman" w:eastAsia="Times New Roman" w:hAnsi="Times New Roman" w:cs="Times New Roman"/>
                          <w:color w:val="000000"/>
                          <w:spacing w:val="0"/>
                          <w:w w:val="100"/>
                          <w:position w:val="0"/>
                        </w:rPr>
                        <w:t>8</w:t>
                      </w:r>
                      <w:r>
                        <w:rPr>
                          <w:color w:val="000000"/>
                          <w:spacing w:val="0"/>
                          <w:w w:val="100"/>
                          <w:position w:val="0"/>
                        </w:rPr>
                        <w:t>、母公司所有者权益变动表</w:t>
                      </w:r>
                      <w:bookmarkEnd w:id="736"/>
                      <w:bookmarkEnd w:id="737"/>
                      <w:bookmarkEnd w:id="738"/>
                    </w:p>
                  </w:txbxContent>
                </v:textbox>
                <w10:wrap type="topAndBottom" anchorx="page"/>
              </v:shape>
            </w:pict>
          </mc:Fallback>
        </mc:AlternateContent>
      </w:r>
      <w:r>
        <mc:AlternateContent>
          <mc:Choice Requires="wps">
            <w:drawing>
              <wp:anchor distT="5608320" distB="0" distL="0" distR="0" simplePos="0" relativeHeight="125829556" behindDoc="0" locked="0" layoutInCell="1" allowOverlap="1">
                <wp:simplePos x="0" y="0"/>
                <wp:positionH relativeFrom="page">
                  <wp:posOffset>691515</wp:posOffset>
                </wp:positionH>
                <wp:positionV relativeFrom="paragraph">
                  <wp:posOffset>5608320</wp:posOffset>
                </wp:positionV>
                <wp:extent cx="481330" cy="149225"/>
                <wp:wrapTopAndBottom/>
                <wp:docPr id="659" name="Shape 659"/>
                <a:graphic xmlns:a="http://schemas.openxmlformats.org/drawingml/2006/main">
                  <a:graphicData uri="http://schemas.microsoft.com/office/word/2010/wordprocessingShape">
                    <wps:wsp>
                      <wps:cNvSpPr txBox="1"/>
                      <wps:spPr>
                        <a:xfrm>
                          <a:ext cx="48133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本期金额</w:t>
                            </w:r>
                          </w:p>
                        </w:txbxContent>
                      </wps:txbx>
                      <wps:bodyPr wrap="none" lIns="0" tIns="0" rIns="0" bIns="0">
                        <a:noAutoFit/>
                      </wps:bodyPr>
                    </wps:wsp>
                  </a:graphicData>
                </a:graphic>
              </wp:anchor>
            </w:drawing>
          </mc:Choice>
          <mc:Fallback>
            <w:pict>
              <v:shape id="_x0000_s1685" type="#_x0000_t202" style="position:absolute;margin-left:54.450000000000003pt;margin-top:441.60000000000002pt;width:37.899999999999999pt;height:11.75pt;z-index:-125829197;mso-wrap-distance-left:0;mso-wrap-distance-top:441.60000000000002pt;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本期金额</w:t>
                      </w:r>
                    </w:p>
                  </w:txbxContent>
                </v:textbox>
                <w10:wrap type="topAndBottom" anchorx="page"/>
              </v:shape>
            </w:pict>
          </mc:Fallback>
        </mc:AlternateContent>
      </w:r>
    </w:p>
    <w:p>
      <w:pPr>
        <w:pStyle w:val="Style32"/>
        <w:keepNext w:val="0"/>
        <w:keepLines w:val="0"/>
        <w:widowControl w:val="0"/>
        <w:shd w:val="clear" w:color="auto" w:fill="auto"/>
        <w:bidi w:val="0"/>
        <w:spacing w:before="0" w:after="80" w:line="240" w:lineRule="auto"/>
        <w:ind w:left="0" w:right="560" w:firstLine="0"/>
        <w:jc w:val="right"/>
      </w:pPr>
      <w:r>
        <w:rPr>
          <w:color w:val="000000"/>
          <w:spacing w:val="0"/>
          <w:w w:val="100"/>
          <w:position w:val="0"/>
        </w:rPr>
        <w:t>单位：元</w:t>
      </w:r>
    </w:p>
    <w:tbl>
      <w:tblPr>
        <w:tblOverlap w:val="never"/>
        <w:jc w:val="center"/>
        <w:tblLayout w:type="fixed"/>
      </w:tblPr>
      <w:tblGrid>
        <w:gridCol w:w="2582"/>
        <w:gridCol w:w="1003"/>
        <w:gridCol w:w="456"/>
        <w:gridCol w:w="595"/>
        <w:gridCol w:w="614"/>
        <w:gridCol w:w="946"/>
        <w:gridCol w:w="797"/>
        <w:gridCol w:w="869"/>
        <w:gridCol w:w="331"/>
        <w:gridCol w:w="835"/>
        <w:gridCol w:w="869"/>
        <w:gridCol w:w="240"/>
        <w:gridCol w:w="1013"/>
      </w:tblGrid>
      <w:tr>
        <w:trPr>
          <w:trHeight w:val="336"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项目</w:t>
            </w:r>
          </w:p>
        </w:tc>
        <w:tc>
          <w:tcPr>
            <w:gridSpan w:val="1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2020</w:t>
            </w:r>
            <w:r>
              <w:rPr>
                <w:color w:val="000000"/>
                <w:spacing w:val="0"/>
                <w:w w:val="100"/>
                <w:position w:val="0"/>
                <w:sz w:val="13"/>
                <w:szCs w:val="13"/>
              </w:rPr>
              <w:t>年度</w:t>
            </w:r>
          </w:p>
        </w:tc>
      </w:tr>
      <w:tr>
        <w:trPr>
          <w:trHeight w:val="331" w:hRule="exact"/>
        </w:trPr>
        <w:tc>
          <w:tcPr>
            <w:vMerge/>
            <w:tcBorders>
              <w:left w:val="single" w:sz="4"/>
            </w:tcBorders>
            <w:shd w:val="clear" w:color="auto" w:fill="D4D4D4"/>
            <w:vAlign w:val="center"/>
          </w:tcPr>
          <w:p>
            <w:pP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股本</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其他权益工具</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资本公积</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减：库存股</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其他综合收益</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80" w:line="240" w:lineRule="auto"/>
              <w:ind w:left="0" w:right="0" w:firstLine="0"/>
              <w:jc w:val="left"/>
              <w:rPr>
                <w:sz w:val="13"/>
                <w:szCs w:val="13"/>
              </w:rPr>
            </w:pPr>
            <w:r>
              <w:rPr>
                <w:color w:val="000000"/>
                <w:spacing w:val="0"/>
                <w:w w:val="100"/>
                <w:position w:val="0"/>
                <w:sz w:val="13"/>
                <w:szCs w:val="13"/>
              </w:rPr>
              <w:t>专项</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储备</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盈余公积</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未分配利润</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35" w:lineRule="exact"/>
              <w:ind w:left="0" w:right="0" w:firstLine="0"/>
              <w:jc w:val="center"/>
              <w:rPr>
                <w:sz w:val="13"/>
                <w:szCs w:val="13"/>
              </w:rPr>
            </w:pPr>
            <w:r>
              <w:rPr>
                <w:color w:val="000000"/>
                <w:spacing w:val="0"/>
                <w:w w:val="100"/>
                <w:position w:val="0"/>
                <w:sz w:val="13"/>
                <w:szCs w:val="13"/>
              </w:rPr>
              <w:t>其 他</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所有者权益合计</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优先股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永续债</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其他</w:t>
            </w: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一、上年期末余额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553,756,711.00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398,439,739.89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4,200,807.40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31,862,016.33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201,885,197.42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1,181,750,072.04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80"/>
              <w:jc w:val="left"/>
              <w:rPr>
                <w:sz w:val="13"/>
                <w:szCs w:val="13"/>
              </w:rPr>
            </w:pPr>
            <w:r>
              <w:rPr>
                <w:color w:val="000000"/>
                <w:spacing w:val="0"/>
                <w:w w:val="100"/>
                <w:position w:val="0"/>
                <w:sz w:val="13"/>
                <w:szCs w:val="13"/>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40"/>
              <w:jc w:val="left"/>
              <w:rPr>
                <w:sz w:val="13"/>
                <w:szCs w:val="13"/>
              </w:rPr>
            </w:pPr>
            <w:r>
              <w:rPr>
                <w:color w:val="000000"/>
                <w:spacing w:val="0"/>
                <w:w w:val="100"/>
                <w:position w:val="0"/>
                <w:sz w:val="13"/>
                <w:szCs w:val="13"/>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40"/>
              <w:jc w:val="left"/>
              <w:rPr>
                <w:sz w:val="13"/>
                <w:szCs w:val="13"/>
              </w:rPr>
            </w:pP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二、本年期初余额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553,756,711.00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398,439,739.89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4,200,807.40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31,862,016.33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201,885,197.42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1,181,750,072.04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三、本期增减变动金额（减少以</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13"/>
                <w:szCs w:val="13"/>
              </w:rPr>
              <w:t xml:space="preserve">一 </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13"/>
                <w:szCs w:val="13"/>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43,771,219.00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198,212,458.45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-2,565,360.00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-21,683,906.26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597,353.12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-3,828,544.68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219,633,939.63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-21,683,906.26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5,973,531.17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-15,710,375.09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（二）所有者投入和减少资本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43,771,219.00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198,212,458.45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-2,498,160.00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244,481,837.45</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•所有者投入的普通股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43,771,219.00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195,372,539.78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-2,498,160.00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241,641,918.78</w:t>
            </w:r>
          </w:p>
        </w:tc>
      </w:tr>
    </w:tbl>
    <w:p>
      <w:pPr>
        <w:spacing w:lineRule="exact" w:line="1"/>
        <w:rPr>
          <w:sz w:val="2"/>
          <w:szCs w:val="2"/>
        </w:rPr>
      </w:pPr>
      <w:r>
        <w:br w:type="page"/>
      </w:r>
    </w:p>
    <w:p>
      <w:pPr>
        <w:pStyle w:val="Style5"/>
        <w:keepNext w:val="0"/>
        <w:keepLines w:val="0"/>
        <w:widowControl w:val="0"/>
        <w:shd w:val="clear" w:color="auto" w:fill="auto"/>
        <w:tabs>
          <w:tab w:pos="624" w:val="left"/>
        </w:tabs>
        <w:bidi w:val="0"/>
        <w:spacing w:before="0" w:after="0" w:line="0" w:lineRule="atLeast"/>
        <w:ind w:left="0" w:right="0" w:firstLine="0"/>
        <w:jc w:val="center"/>
        <w:rPr>
          <w:sz w:val="18"/>
          <w:szCs w:val="18"/>
        </w:rPr>
      </w:pPr>
      <w:r>
        <w:rPr>
          <w:color w:val="2B4F7D"/>
          <w:spacing w:val="0"/>
          <w:w w:val="100"/>
          <w:position w:val="0"/>
          <w:sz w:val="30"/>
          <w:szCs w:val="30"/>
        </w:rPr>
        <w:t>七一</w:t>
      </w:r>
      <w:r>
        <w:rPr>
          <w:spacing w:val="0"/>
          <w:w w:val="100"/>
          <w:position w:val="0"/>
          <w:sz w:val="15"/>
          <w:szCs w:val="15"/>
        </w:rPr>
        <w:t>国家高新技术企业</w:t>
        <w:br/>
      </w:r>
      <w:r>
        <w:rPr>
          <w:rFonts w:ascii="SimSun" w:eastAsia="SimSun" w:hAnsi="SimSun" w:cs="SimSun"/>
          <w:color w:val="2B4F7D"/>
          <w:spacing w:val="0"/>
          <w:w w:val="100"/>
          <w:position w:val="0"/>
          <w:sz w:val="46"/>
          <w:szCs w:val="46"/>
        </w:rPr>
        <w:t>，</w:t>
      </w:r>
      <w:r>
        <w:rPr>
          <w:rFonts w:ascii="Arial" w:eastAsia="Arial" w:hAnsi="Arial" w:cs="Arial"/>
          <w:color w:val="2B4F7D"/>
          <w:spacing w:val="0"/>
          <w:w w:val="100"/>
          <w:position w:val="0"/>
          <w:sz w:val="38"/>
          <w:szCs w:val="38"/>
        </w:rPr>
        <w:t>1</w:t>
        <w:tab/>
      </w:r>
      <w:r>
        <w:rPr>
          <w:spacing w:val="0"/>
          <w:w w:val="100"/>
          <w:position w:val="0"/>
          <w:sz w:val="15"/>
          <w:szCs w:val="15"/>
        </w:rPr>
        <w:t>股票代码</w:t>
      </w:r>
      <w:r>
        <w:rPr>
          <w:rFonts w:ascii="SimSun" w:eastAsia="SimSun" w:hAnsi="SimSun" w:cs="SimSun"/>
          <w:color w:val="2B4F7D"/>
          <w:spacing w:val="0"/>
          <w:w w:val="100"/>
          <w:position w:val="0"/>
          <w:sz w:val="18"/>
          <w:szCs w:val="18"/>
        </w:rPr>
        <w:t>：3</w:t>
      </w:r>
      <w:r>
        <w:rPr>
          <w:color w:val="2B4F7D"/>
          <w:spacing w:val="0"/>
          <w:w w:val="100"/>
          <w:position w:val="0"/>
          <w:sz w:val="15"/>
          <w:szCs w:val="15"/>
        </w:rPr>
        <w:t>典</w:t>
      </w:r>
      <w:r>
        <w:rPr>
          <w:rFonts w:ascii="SimSun" w:eastAsia="SimSun" w:hAnsi="SimSun" w:cs="SimSun"/>
          <w:color w:val="2B4F7D"/>
          <w:spacing w:val="0"/>
          <w:w w:val="100"/>
          <w:position w:val="0"/>
          <w:sz w:val="18"/>
          <w:szCs w:val="18"/>
        </w:rPr>
        <w:t>290</w:t>
      </w:r>
    </w:p>
    <w:tbl>
      <w:tblPr>
        <w:tblOverlap w:val="never"/>
        <w:jc w:val="center"/>
        <w:tblLayout w:type="fixed"/>
      </w:tblPr>
      <w:tblGrid>
        <w:gridCol w:w="2582"/>
        <w:gridCol w:w="1003"/>
        <w:gridCol w:w="456"/>
        <w:gridCol w:w="595"/>
        <w:gridCol w:w="614"/>
        <w:gridCol w:w="946"/>
        <w:gridCol w:w="797"/>
        <w:gridCol w:w="869"/>
        <w:gridCol w:w="331"/>
        <w:gridCol w:w="835"/>
        <w:gridCol w:w="869"/>
        <w:gridCol w:w="240"/>
        <w:gridCol w:w="1013"/>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.其他权益工具持有者投入资本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•股份支付计入所有者权益的金额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2,839,918.67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2,839,918.67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-67,200.00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597,353.12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-9,802,075.85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-9,137,522.73</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597,353.12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3"/>
                <w:szCs w:val="13"/>
              </w:rPr>
            </w:pPr>
            <w:r>
              <w:rPr>
                <w:rFonts w:ascii="Times New Roman" w:eastAsia="Times New Roman" w:hAnsi="Times New Roman" w:cs="Times New Roman"/>
                <w:color w:val="000000"/>
                <w:spacing w:val="0"/>
                <w:w w:val="100"/>
                <w:position w:val="0"/>
                <w:sz w:val="13"/>
                <w:szCs w:val="13"/>
              </w:rPr>
              <w:t>-597,353.12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w:t>
            </w:r>
            <w:r>
              <w:rPr>
                <w:color w:val="000000"/>
                <w:spacing w:val="0"/>
                <w:w w:val="100"/>
                <w:position w:val="0"/>
                <w:sz w:val="13"/>
                <w:szCs w:val="13"/>
              </w:rPr>
              <w:t>对所有者（或股东）的分配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-67,200.00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-9,204,722.73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-9,137,522.73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（四）所有者权益内部结转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.资本公积转增资本（或股本）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.盈余公积转增资本（或股本）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w:t>
            </w:r>
            <w:r>
              <w:rPr>
                <w:color w:val="000000"/>
                <w:spacing w:val="0"/>
                <w:w w:val="100"/>
                <w:position w:val="0"/>
                <w:sz w:val="13"/>
                <w:szCs w:val="13"/>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.设定受益计划变动额结转留存收益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13"/>
                <w:szCs w:val="13"/>
              </w:rPr>
              <w:t>.</w:t>
            </w:r>
            <w:r>
              <w:rPr>
                <w:color w:val="000000"/>
                <w:spacing w:val="0"/>
                <w:w w:val="100"/>
                <w:position w:val="0"/>
                <w:sz w:val="13"/>
                <w:szCs w:val="13"/>
              </w:rPr>
              <w:t>其他综合收益结转留存收益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w:t>
            </w: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四、本期期末余额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597,527,930.00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596,652,198.34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5,829,040.00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-17,483,098.86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32,459,369.45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198,056,652.74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1,401,384,011.67</w:t>
            </w:r>
          </w:p>
        </w:tc>
      </w:tr>
    </w:tbl>
    <w:p>
      <w:pPr>
        <w:widowControl w:val="0"/>
        <w:spacing w:after="79" w:line="1" w:lineRule="exact"/>
      </w:pPr>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上期金额</w:t>
      </w:r>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center"/>
        <w:tblLayout w:type="fixed"/>
      </w:tblPr>
      <w:tblGrid>
        <w:gridCol w:w="2650"/>
        <w:gridCol w:w="989"/>
        <w:gridCol w:w="523"/>
        <w:gridCol w:w="466"/>
        <w:gridCol w:w="466"/>
        <w:gridCol w:w="946"/>
        <w:gridCol w:w="787"/>
        <w:gridCol w:w="811"/>
        <w:gridCol w:w="389"/>
        <w:gridCol w:w="816"/>
        <w:gridCol w:w="922"/>
        <w:gridCol w:w="264"/>
        <w:gridCol w:w="1133"/>
      </w:tblGrid>
      <w:tr>
        <w:trPr>
          <w:trHeight w:val="336"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项目</w:t>
            </w:r>
          </w:p>
        </w:tc>
        <w:tc>
          <w:tcPr>
            <w:gridSpan w:val="1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2019</w:t>
            </w:r>
            <w:r>
              <w:rPr>
                <w:color w:val="000000"/>
                <w:spacing w:val="0"/>
                <w:w w:val="100"/>
                <w:position w:val="0"/>
                <w:sz w:val="13"/>
                <w:szCs w:val="13"/>
              </w:rPr>
              <w:t>年年度</w:t>
            </w:r>
          </w:p>
        </w:tc>
      </w:tr>
      <w:tr>
        <w:trPr>
          <w:trHeight w:val="331" w:hRule="exact"/>
        </w:trPr>
        <w:tc>
          <w:tcPr>
            <w:vMerge/>
            <w:tcBorders>
              <w:left w:val="single" w:sz="4"/>
            </w:tcBorders>
            <w:shd w:val="clear" w:color="auto" w:fill="D4D4D4"/>
            <w:vAlign w:val="center"/>
          </w:tcPr>
          <w:p>
            <w:pP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股本</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其他权益工具</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资本公积</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减：库存股</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30" w:lineRule="exact"/>
              <w:ind w:left="0" w:right="0" w:firstLine="0"/>
              <w:jc w:val="center"/>
              <w:rPr>
                <w:sz w:val="13"/>
                <w:szCs w:val="13"/>
              </w:rPr>
            </w:pPr>
            <w:r>
              <w:rPr>
                <w:color w:val="000000"/>
                <w:spacing w:val="0"/>
                <w:w w:val="100"/>
                <w:position w:val="0"/>
                <w:sz w:val="13"/>
                <w:szCs w:val="13"/>
              </w:rPr>
              <w:t>其他综合收 益</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80" w:line="240" w:lineRule="auto"/>
              <w:ind w:left="0" w:right="0" w:firstLine="0"/>
              <w:jc w:val="right"/>
              <w:rPr>
                <w:sz w:val="13"/>
                <w:szCs w:val="13"/>
              </w:rPr>
            </w:pPr>
            <w:r>
              <w:rPr>
                <w:color w:val="000000"/>
                <w:spacing w:val="0"/>
                <w:w w:val="100"/>
                <w:position w:val="0"/>
                <w:sz w:val="13"/>
                <w:szCs w:val="13"/>
              </w:rPr>
              <w:t>专项</w:t>
            </w:r>
          </w:p>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储备</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color w:val="000000"/>
                <w:spacing w:val="0"/>
                <w:w w:val="100"/>
                <w:position w:val="0"/>
                <w:sz w:val="13"/>
                <w:szCs w:val="13"/>
              </w:rPr>
              <w:t>盈余公积</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未分配利润</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35" w:lineRule="exact"/>
              <w:ind w:left="0" w:right="0" w:firstLine="0"/>
              <w:jc w:val="center"/>
              <w:rPr>
                <w:sz w:val="13"/>
                <w:szCs w:val="13"/>
              </w:rPr>
            </w:pPr>
            <w:r>
              <w:rPr>
                <w:color w:val="000000"/>
                <w:spacing w:val="0"/>
                <w:w w:val="100"/>
                <w:position w:val="0"/>
                <w:sz w:val="13"/>
                <w:szCs w:val="13"/>
              </w:rPr>
              <w:t>其 他</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所有者权益合计</w:t>
            </w:r>
          </w:p>
        </w:tc>
      </w:tr>
      <w:tr>
        <w:trPr>
          <w:trHeight w:val="667"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优先股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永续债</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其他</w:t>
            </w: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一、上年期末余额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338,572,507.00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441,219,525.12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31,545,868.40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203,469,919.76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both"/>
              <w:rPr>
                <w:sz w:val="13"/>
                <w:szCs w:val="13"/>
              </w:rPr>
            </w:pPr>
            <w:r>
              <w:rPr>
                <w:rFonts w:ascii="Times New Roman" w:eastAsia="Times New Roman" w:hAnsi="Times New Roman" w:cs="Times New Roman"/>
                <w:color w:val="000000"/>
                <w:spacing w:val="0"/>
                <w:w w:val="100"/>
                <w:position w:val="0"/>
                <w:sz w:val="13"/>
                <w:szCs w:val="13"/>
              </w:rPr>
              <w:t>1,014,807,820.28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80"/>
              <w:jc w:val="left"/>
              <w:rPr>
                <w:sz w:val="13"/>
                <w:szCs w:val="13"/>
              </w:rPr>
            </w:pPr>
            <w:r>
              <w:rPr>
                <w:color w:val="000000"/>
                <w:spacing w:val="0"/>
                <w:w w:val="100"/>
                <w:position w:val="0"/>
                <w:sz w:val="13"/>
                <w:szCs w:val="13"/>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1,903,089.14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-526,543.04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-4,738,887.36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-3,362,341.26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40"/>
              <w:jc w:val="left"/>
              <w:rPr>
                <w:sz w:val="13"/>
                <w:szCs w:val="13"/>
              </w:rPr>
            </w:pPr>
            <w:r>
              <w:rPr>
                <w:color w:val="000000"/>
                <w:spacing w:val="0"/>
                <w:w w:val="100"/>
                <w:position w:val="0"/>
                <w:sz w:val="13"/>
                <w:szCs w:val="13"/>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40"/>
              <w:jc w:val="left"/>
              <w:rPr>
                <w:sz w:val="13"/>
                <w:szCs w:val="13"/>
              </w:rPr>
            </w:pPr>
            <w:r>
              <w:rPr>
                <w:color w:val="000000"/>
                <w:spacing w:val="0"/>
                <w:w w:val="100"/>
                <w:position w:val="0"/>
                <w:sz w:val="13"/>
                <w:szCs w:val="13"/>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二、本年期初余额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338,572,507.00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441,219,525.12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1,903,089.14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31,019,325.36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198,731,032.40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1,011,445,479.02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三、本期增减变动金额（减少以</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13"/>
                <w:szCs w:val="13"/>
              </w:rPr>
              <w:t xml:space="preserve">一 </w:t>
            </w:r>
            <w:r>
              <w:rPr>
                <w:rFonts w:ascii="Times New Roman" w:eastAsia="Times New Roman" w:hAnsi="Times New Roman" w:cs="Times New Roman"/>
                <w:color w:val="000000"/>
                <w:spacing w:val="0"/>
                <w:w w:val="100"/>
                <w:position w:val="0"/>
                <w:sz w:val="13"/>
                <w:szCs w:val="13"/>
              </w:rPr>
              <w:t>”</w:t>
            </w:r>
            <w:r>
              <w:rPr>
                <w:color w:val="000000"/>
                <w:spacing w:val="0"/>
                <w:w w:val="100"/>
                <w:position w:val="0"/>
                <w:sz w:val="13"/>
                <w:szCs w:val="13"/>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215,184,204.00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-42,779,785.23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2,297,718.26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842,690.97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3,154,165.02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color w:val="000000"/>
                <w:spacing w:val="0"/>
                <w:w w:val="100"/>
                <w:position w:val="0"/>
                <w:sz w:val="13"/>
                <w:szCs w:val="13"/>
              </w:rPr>
              <w:t>170,304,593.02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2,297,718.26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8,426,909.68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10,724,627.94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（二）所有者投入和减少资本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30,598,634.00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141,805,784.77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color w:val="000000"/>
                <w:spacing w:val="0"/>
                <w:w w:val="100"/>
                <w:position w:val="0"/>
                <w:sz w:val="13"/>
                <w:szCs w:val="13"/>
              </w:rPr>
              <w:t>164,010,018.77</w:t>
            </w:r>
          </w:p>
        </w:tc>
      </w:tr>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•所有者投入的普通股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30,598,634.00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134,792,758.77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color w:val="000000"/>
                <w:spacing w:val="0"/>
                <w:w w:val="100"/>
                <w:position w:val="0"/>
                <w:sz w:val="13"/>
                <w:szCs w:val="13"/>
              </w:rPr>
              <w:t>156,996,992.77</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.其他权益工具持有者投入资本</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left"/>
        <w:tblLayout w:type="fixed"/>
      </w:tblPr>
      <w:tblGrid>
        <w:gridCol w:w="2650"/>
        <w:gridCol w:w="989"/>
        <w:gridCol w:w="523"/>
        <w:gridCol w:w="466"/>
        <w:gridCol w:w="466"/>
        <w:gridCol w:w="946"/>
        <w:gridCol w:w="787"/>
        <w:gridCol w:w="811"/>
        <w:gridCol w:w="389"/>
        <w:gridCol w:w="816"/>
        <w:gridCol w:w="922"/>
        <w:gridCol w:w="264"/>
        <w:gridCol w:w="1133"/>
      </w:tblGrid>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•股份支付计入所有者权益的金额</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7,013,026.00</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7,013,026.00</w:t>
            </w: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•其他</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（三）利润分配</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842,690.97</w:t>
            </w: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-5,272,744.66</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-4,430,053.69</w:t>
            </w: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•提取盈余公积</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842,690.97</w:t>
            </w: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-842,690.97</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•对所有者（或股东）的分配</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-4,430,053.69</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-4,430,053.69</w:t>
            </w: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•其他</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（四）所有者权益内部结转</w:t>
            </w: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.资本公积转增资本（或股本）</w:t>
            </w: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-184,585,570.00</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.盈余公积转增资本（或股本）</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w:t>
            </w:r>
            <w:r>
              <w:rPr>
                <w:color w:val="000000"/>
                <w:spacing w:val="0"/>
                <w:w w:val="100"/>
                <w:position w:val="0"/>
                <w:sz w:val="13"/>
                <w:szCs w:val="13"/>
              </w:rPr>
              <w:t>.盈余公积弥补亏损</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w:t>
            </w:r>
            <w:r>
              <w:rPr>
                <w:color w:val="000000"/>
                <w:spacing w:val="0"/>
                <w:w w:val="100"/>
                <w:position w:val="0"/>
                <w:sz w:val="13"/>
                <w:szCs w:val="13"/>
              </w:rPr>
              <w:t>.设定受益计划变动额结转留存收益</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w:t>
            </w:r>
            <w:r>
              <w:rPr>
                <w:color w:val="000000"/>
                <w:spacing w:val="0"/>
                <w:w w:val="100"/>
                <w:position w:val="0"/>
                <w:sz w:val="13"/>
                <w:szCs w:val="13"/>
              </w:rPr>
              <w:t>.其他综合收益结转留存收益</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w:t>
            </w:r>
            <w:r>
              <w:rPr>
                <w:color w:val="000000"/>
                <w:spacing w:val="0"/>
                <w:w w:val="100"/>
                <w:position w:val="0"/>
                <w:sz w:val="13"/>
                <w:szCs w:val="13"/>
              </w:rPr>
              <w:t>.其他</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（五）专项储备</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w:t>
            </w:r>
            <w:r>
              <w:rPr>
                <w:color w:val="000000"/>
                <w:spacing w:val="0"/>
                <w:w w:val="100"/>
                <w:position w:val="0"/>
                <w:sz w:val="13"/>
                <w:szCs w:val="13"/>
              </w:rPr>
              <w:t>•本期提取</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w:t>
            </w:r>
            <w:r>
              <w:rPr>
                <w:color w:val="000000"/>
                <w:spacing w:val="0"/>
                <w:w w:val="100"/>
                <w:position w:val="0"/>
                <w:sz w:val="13"/>
                <w:szCs w:val="13"/>
              </w:rPr>
              <w:t>•本期使用</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（六）其他</w:t>
            </w: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right w:val="single" w:sz="4"/>
            </w:tcBorders>
            <w:shd w:val="clear" w:color="auto" w:fill="FFFFFF"/>
            <w:vAlign w:val="top"/>
          </w:tcPr>
          <w:p>
            <w:pPr>
              <w:framePr w:w="11160" w:h="7248" w:vSpace="365" w:wrap="notBeside" w:vAnchor="text" w:hAnchor="text" w:x="111" w:y="366"/>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四、本期期末余额</w:t>
            </w:r>
          </w:p>
        </w:tc>
        <w:tc>
          <w:tcPr>
            <w:tcBorders>
              <w:top w:val="single" w:sz="4"/>
              <w:left w:val="single" w:sz="4"/>
              <w:bottom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color w:val="000000"/>
                <w:spacing w:val="0"/>
                <w:w w:val="100"/>
                <w:position w:val="0"/>
                <w:sz w:val="13"/>
                <w:szCs w:val="13"/>
              </w:rPr>
              <w:t>553,756,711.00</w:t>
            </w:r>
          </w:p>
        </w:tc>
        <w:tc>
          <w:tcPr>
            <w:tcBorders>
              <w:top w:val="single" w:sz="4"/>
              <w:left w:val="single" w:sz="4"/>
              <w:bottom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bottom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bottom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398,439,739.89</w:t>
            </w:r>
          </w:p>
        </w:tc>
        <w:tc>
          <w:tcPr>
            <w:tcBorders>
              <w:top w:val="single" w:sz="4"/>
              <w:left w:val="single" w:sz="4"/>
              <w:bottom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8,394,400.00</w:t>
            </w:r>
          </w:p>
        </w:tc>
        <w:tc>
          <w:tcPr>
            <w:tcBorders>
              <w:top w:val="single" w:sz="4"/>
              <w:left w:val="single" w:sz="4"/>
              <w:bottom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4,200,807.40</w:t>
            </w:r>
          </w:p>
        </w:tc>
        <w:tc>
          <w:tcPr>
            <w:tcBorders>
              <w:top w:val="single" w:sz="4"/>
              <w:left w:val="single" w:sz="4"/>
              <w:bottom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31,862,016.33</w:t>
            </w:r>
          </w:p>
        </w:tc>
        <w:tc>
          <w:tcPr>
            <w:tcBorders>
              <w:top w:val="single" w:sz="4"/>
              <w:left w:val="single" w:sz="4"/>
              <w:bottom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201,885,197.42</w:t>
            </w:r>
          </w:p>
        </w:tc>
        <w:tc>
          <w:tcPr>
            <w:tcBorders>
              <w:top w:val="single" w:sz="4"/>
              <w:left w:val="single" w:sz="4"/>
              <w:bottom w:val="single" w:sz="4"/>
            </w:tcBorders>
            <w:shd w:val="clear" w:color="auto" w:fill="FFFFFF"/>
            <w:vAlign w:val="top"/>
          </w:tcPr>
          <w:p>
            <w:pPr>
              <w:framePr w:w="11160" w:h="7248" w:vSpace="365" w:wrap="notBeside" w:vAnchor="text" w:hAnchor="text" w:x="111" w:y="366"/>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framePr w:w="11160" w:h="7248" w:vSpace="365" w:wrap="notBeside" w:vAnchor="text" w:hAnchor="text" w:x="111" w:y="366"/>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1,181,750,072.04</w:t>
            </w:r>
          </w:p>
        </w:tc>
      </w:tr>
    </w:tbl>
    <w:p>
      <w:pPr>
        <w:pStyle w:val="Style49"/>
        <w:keepNext w:val="0"/>
        <w:keepLines w:val="0"/>
        <w:framePr w:w="1296" w:h="365" w:hSpace="110" w:wrap="notBeside" w:vAnchor="text" w:hAnchor="text" w:x="1892" w:y="1"/>
        <w:widowControl w:val="0"/>
        <w:shd w:val="clear" w:color="auto" w:fill="auto"/>
        <w:bidi w:val="0"/>
        <w:spacing w:before="0" w:after="0" w:line="173"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47"/>
        <w:keepNext/>
        <w:keepLines/>
        <w:widowControl w:val="0"/>
        <w:shd w:val="clear" w:color="auto" w:fill="auto"/>
        <w:bidi w:val="0"/>
        <w:spacing w:before="0" w:after="240" w:line="240" w:lineRule="auto"/>
        <w:ind w:left="1460" w:right="0" w:firstLine="0"/>
        <w:jc w:val="left"/>
      </w:pPr>
      <w:r>
        <w:drawing>
          <wp:anchor distT="0" distB="0" distL="0" distR="0" simplePos="0" relativeHeight="125829558" behindDoc="0" locked="0" layoutInCell="1" allowOverlap="1">
            <wp:simplePos x="0" y="0"/>
            <wp:positionH relativeFrom="page">
              <wp:posOffset>743585</wp:posOffset>
            </wp:positionH>
            <wp:positionV relativeFrom="margin">
              <wp:posOffset>-60325</wp:posOffset>
            </wp:positionV>
            <wp:extent cx="487680" cy="237490"/>
            <wp:wrapTight wrapText="bothSides">
              <wp:wrapPolygon>
                <wp:start x="0" y="0"/>
                <wp:lineTo x="21600" y="0"/>
                <wp:lineTo x="21600" y="21600"/>
                <wp:lineTo x="0" y="21600"/>
                <wp:lineTo x="0" y="0"/>
              </wp:wrapPolygon>
            </wp:wrapTight>
            <wp:docPr id="661" name="Shape 661"/>
            <a:graphic xmlns:a="http://schemas.openxmlformats.org/drawingml/2006/main">
              <a:graphicData uri="http://schemas.openxmlformats.org/drawingml/2006/picture">
                <pic:pic xmlns:pic="http://schemas.openxmlformats.org/drawingml/2006/picture">
                  <pic:nvPicPr>
                    <pic:cNvPr id="662" name="Picture box 662"/>
                    <pic:cNvPicPr/>
                  </pic:nvPicPr>
                  <pic:blipFill>
                    <a:blip r:embed="rId271"/>
                    <a:stretch/>
                  </pic:blipFill>
                  <pic:spPr>
                    <a:xfrm>
                      <a:ext cx="487680" cy="237490"/>
                    </a:xfrm>
                    <a:prstGeom prst="rect"/>
                  </pic:spPr>
                </pic:pic>
              </a:graphicData>
            </a:graphic>
          </wp:anchor>
        </w:drawing>
      </w:r>
      <w:bookmarkStart w:id="739" w:name="bookmark739"/>
      <w:bookmarkStart w:id="740" w:name="bookmark740"/>
      <w:bookmarkStart w:id="741" w:name="bookmark741"/>
      <w:r>
        <w:rPr>
          <w:color w:val="000000"/>
          <w:spacing w:val="0"/>
          <w:w w:val="100"/>
          <w:position w:val="0"/>
          <w:sz w:val="24"/>
          <w:szCs w:val="24"/>
        </w:rPr>
        <w:t>公司基本情况</w:t>
      </w:r>
      <w:bookmarkEnd w:id="739"/>
      <w:bookmarkEnd w:id="740"/>
      <w:bookmarkEnd w:id="741"/>
    </w:p>
    <w:p>
      <w:pPr>
        <w:pStyle w:val="Style32"/>
        <w:keepNext w:val="0"/>
        <w:keepLines w:val="0"/>
        <w:widowControl w:val="0"/>
        <w:shd w:val="clear" w:color="auto" w:fill="auto"/>
        <w:bidi w:val="0"/>
        <w:spacing w:before="0" w:line="311" w:lineRule="exact"/>
        <w:ind w:left="980" w:right="0" w:firstLine="0"/>
        <w:jc w:val="left"/>
      </w:pPr>
      <w:r>
        <w:rPr>
          <w:color w:val="000000"/>
          <w:spacing w:val="0"/>
          <w:w w:val="100"/>
          <w:position w:val="0"/>
        </w:rPr>
        <w:t>（一）公司概况</w:t>
      </w:r>
    </w:p>
    <w:p>
      <w:pPr>
        <w:pStyle w:val="Style32"/>
        <w:keepNext w:val="0"/>
        <w:keepLines w:val="0"/>
        <w:widowControl w:val="0"/>
        <w:numPr>
          <w:ilvl w:val="0"/>
          <w:numId w:val="25"/>
        </w:numPr>
        <w:shd w:val="clear" w:color="auto" w:fill="auto"/>
        <w:bidi w:val="0"/>
        <w:spacing w:before="0" w:line="311" w:lineRule="exact"/>
        <w:ind w:left="980" w:right="0" w:firstLine="0"/>
        <w:jc w:val="left"/>
      </w:pPr>
      <w:bookmarkStart w:id="742" w:name="bookmark742"/>
      <w:bookmarkEnd w:id="742"/>
      <w:r>
        <w:rPr>
          <w:color w:val="000000"/>
          <w:spacing w:val="0"/>
          <w:w w:val="100"/>
          <w:position w:val="0"/>
        </w:rPr>
        <w:t>公司的历史沿革</w:t>
      </w:r>
    </w:p>
    <w:p>
      <w:pPr>
        <w:pStyle w:val="Style32"/>
        <w:keepNext w:val="0"/>
        <w:keepLines w:val="0"/>
        <w:widowControl w:val="0"/>
        <w:shd w:val="clear" w:color="auto" w:fill="auto"/>
        <w:bidi w:val="0"/>
        <w:spacing w:before="0" w:line="310" w:lineRule="exact"/>
        <w:ind w:left="980" w:right="0" w:firstLine="0"/>
        <w:jc w:val="left"/>
      </w:pPr>
      <w:r>
        <w:rPr>
          <w:color w:val="000000"/>
          <w:spacing w:val="0"/>
          <w:w w:val="100"/>
          <w:position w:val="0"/>
        </w:rPr>
        <w:t xml:space="preserve">荣科科技股份有限公司（以下简称公司或本公司）系由沈阳荣科科技工程有限公司（以下简称荣科工程公司或有限公司）于 </w:t>
      </w:r>
      <w:r>
        <w:rPr>
          <w:rFonts w:ascii="Times New Roman" w:eastAsia="Times New Roman" w:hAnsi="Times New Roman" w:cs="Times New Roman"/>
          <w:color w:val="000000"/>
          <w:spacing w:val="0"/>
          <w:w w:val="100"/>
          <w:position w:val="0"/>
        </w:rPr>
        <w:t>2010</w:t>
      </w:r>
      <w:r>
        <w:rPr>
          <w:color w:val="000000"/>
          <w:spacing w:val="0"/>
          <w:w w:val="100"/>
          <w:position w:val="0"/>
        </w:rPr>
        <w:t>年以整体变更方式设立的股份有限公司。荣科工程公司系由自然人崔万涛、付艳杰共同出资组建的有限责任公司，并 于</w:t>
      </w:r>
      <w:r>
        <w:rPr>
          <w:rFonts w:ascii="Times New Roman" w:eastAsia="Times New Roman" w:hAnsi="Times New Roman" w:cs="Times New Roman"/>
          <w:color w:val="000000"/>
          <w:spacing w:val="0"/>
          <w:w w:val="100"/>
          <w:position w:val="0"/>
        </w:rPr>
        <w:t>2005</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日取得沈阳市工商行政管理局核发的</w:t>
      </w:r>
      <w:r>
        <w:rPr>
          <w:rFonts w:ascii="Times New Roman" w:eastAsia="Times New Roman" w:hAnsi="Times New Roman" w:cs="Times New Roman"/>
          <w:color w:val="000000"/>
          <w:spacing w:val="0"/>
          <w:w w:val="100"/>
          <w:position w:val="0"/>
        </w:rPr>
        <w:t>2101052102543</w:t>
      </w:r>
      <w:r>
        <w:rPr>
          <w:color w:val="000000"/>
          <w:spacing w:val="0"/>
          <w:w w:val="100"/>
          <w:position w:val="0"/>
        </w:rPr>
        <w:t>号《企业法人营业执照》，有限公司设立时的注册资 本为人民币</w:t>
      </w:r>
      <w:r>
        <w:rPr>
          <w:rFonts w:ascii="Times New Roman" w:eastAsia="Times New Roman" w:hAnsi="Times New Roman" w:cs="Times New Roman"/>
          <w:color w:val="000000"/>
          <w:spacing w:val="0"/>
          <w:w w:val="100"/>
          <w:position w:val="0"/>
        </w:rPr>
        <w:t>50</w:t>
      </w:r>
      <w:r>
        <w:rPr>
          <w:color w:val="000000"/>
          <w:spacing w:val="0"/>
          <w:w w:val="100"/>
          <w:position w:val="0"/>
        </w:rPr>
        <w:t>万元，自然人崔万涛、付艳杰各自持有荣科工程公司</w:t>
      </w:r>
      <w:r>
        <w:rPr>
          <w:rFonts w:ascii="Times New Roman" w:eastAsia="Times New Roman" w:hAnsi="Times New Roman" w:cs="Times New Roman"/>
          <w:color w:val="000000"/>
          <w:spacing w:val="0"/>
          <w:w w:val="100"/>
          <w:position w:val="0"/>
        </w:rPr>
        <w:t>50%</w:t>
      </w:r>
      <w:r>
        <w:rPr>
          <w:color w:val="000000"/>
          <w:spacing w:val="0"/>
          <w:w w:val="100"/>
          <w:position w:val="0"/>
        </w:rPr>
        <w:t>股权。</w:t>
      </w:r>
    </w:p>
    <w:p>
      <w:pPr>
        <w:pStyle w:val="Style32"/>
        <w:keepNext w:val="0"/>
        <w:keepLines w:val="0"/>
        <w:widowControl w:val="0"/>
        <w:shd w:val="clear" w:color="auto" w:fill="auto"/>
        <w:bidi w:val="0"/>
        <w:spacing w:before="0" w:line="307" w:lineRule="exact"/>
        <w:ind w:left="980" w:right="0" w:firstLine="0"/>
        <w:jc w:val="left"/>
      </w:pPr>
      <w:r>
        <w:rPr>
          <w:rFonts w:ascii="Times New Roman" w:eastAsia="Times New Roman" w:hAnsi="Times New Roman" w:cs="Times New Roman"/>
          <w:color w:val="000000"/>
          <w:spacing w:val="0"/>
          <w:w w:val="100"/>
          <w:position w:val="0"/>
        </w:rPr>
        <w:t>2006</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日，根据有限公司股东会决议及修改后章程的规定，崔万涛、付艳杰各自以货币资金向有限公司增资</w:t>
      </w:r>
      <w:r>
        <w:rPr>
          <w:rFonts w:ascii="Times New Roman" w:eastAsia="Times New Roman" w:hAnsi="Times New Roman" w:cs="Times New Roman"/>
          <w:color w:val="000000"/>
          <w:spacing w:val="0"/>
          <w:w w:val="100"/>
          <w:position w:val="0"/>
        </w:rPr>
        <w:t>225</w:t>
      </w:r>
      <w:r>
        <w:rPr>
          <w:color w:val="000000"/>
          <w:spacing w:val="0"/>
          <w:w w:val="100"/>
          <w:position w:val="0"/>
        </w:rPr>
        <w:t>万 元（合计</w:t>
      </w:r>
      <w:r>
        <w:rPr>
          <w:rFonts w:ascii="Times New Roman" w:eastAsia="Times New Roman" w:hAnsi="Times New Roman" w:cs="Times New Roman"/>
          <w:color w:val="000000"/>
          <w:spacing w:val="0"/>
          <w:w w:val="100"/>
          <w:position w:val="0"/>
        </w:rPr>
        <w:t>450</w:t>
      </w:r>
      <w:r>
        <w:rPr>
          <w:color w:val="000000"/>
          <w:spacing w:val="0"/>
          <w:w w:val="100"/>
          <w:position w:val="0"/>
        </w:rPr>
        <w:t>万元）。</w:t>
      </w:r>
    </w:p>
    <w:p>
      <w:pPr>
        <w:pStyle w:val="Style32"/>
        <w:keepNext w:val="0"/>
        <w:keepLines w:val="0"/>
        <w:widowControl w:val="0"/>
        <w:shd w:val="clear" w:color="auto" w:fill="auto"/>
        <w:bidi w:val="0"/>
        <w:spacing w:before="0" w:line="312" w:lineRule="exact"/>
        <w:ind w:left="980" w:right="0" w:firstLine="0"/>
        <w:jc w:val="left"/>
      </w:pPr>
      <w:r>
        <w:rPr>
          <w:rFonts w:ascii="Times New Roman" w:eastAsia="Times New Roman" w:hAnsi="Times New Roman" w:cs="Times New Roman"/>
          <w:color w:val="000000"/>
          <w:spacing w:val="0"/>
          <w:w w:val="100"/>
          <w:position w:val="0"/>
        </w:rPr>
        <w:t>2006</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日，根据有限公司股东会决议及修改后章程的规定，崔万涛、付艳杰各自以货币资金向有限公司增资</w:t>
      </w:r>
      <w:r>
        <w:rPr>
          <w:rFonts w:ascii="Times New Roman" w:eastAsia="Times New Roman" w:hAnsi="Times New Roman" w:cs="Times New Roman"/>
          <w:color w:val="000000"/>
          <w:spacing w:val="0"/>
          <w:w w:val="100"/>
          <w:position w:val="0"/>
        </w:rPr>
        <w:t>5</w:t>
      </w:r>
      <w:r>
        <w:rPr>
          <w:color w:val="000000"/>
          <w:spacing w:val="0"/>
          <w:w w:val="100"/>
          <w:position w:val="0"/>
        </w:rPr>
        <w:t>万元 （合计</w:t>
      </w:r>
      <w:r>
        <w:rPr>
          <w:rFonts w:ascii="Times New Roman" w:eastAsia="Times New Roman" w:hAnsi="Times New Roman" w:cs="Times New Roman"/>
          <w:color w:val="000000"/>
          <w:spacing w:val="0"/>
          <w:w w:val="100"/>
          <w:position w:val="0"/>
        </w:rPr>
        <w:t>10</w:t>
      </w:r>
      <w:r>
        <w:rPr>
          <w:color w:val="000000"/>
          <w:spacing w:val="0"/>
          <w:w w:val="100"/>
          <w:position w:val="0"/>
        </w:rPr>
        <w:t>万元）。</w:t>
      </w:r>
    </w:p>
    <w:p>
      <w:pPr>
        <w:pStyle w:val="Style32"/>
        <w:keepNext w:val="0"/>
        <w:keepLines w:val="0"/>
        <w:widowControl w:val="0"/>
        <w:shd w:val="clear" w:color="auto" w:fill="auto"/>
        <w:bidi w:val="0"/>
        <w:spacing w:before="0" w:line="307" w:lineRule="exact"/>
        <w:ind w:left="980" w:right="0" w:firstLine="0"/>
        <w:jc w:val="left"/>
      </w:pPr>
      <w:r>
        <w:rPr>
          <w:rFonts w:ascii="Times New Roman" w:eastAsia="Times New Roman" w:hAnsi="Times New Roman" w:cs="Times New Roman"/>
          <w:color w:val="000000"/>
          <w:spacing w:val="0"/>
          <w:w w:val="100"/>
          <w:position w:val="0"/>
        </w:rPr>
        <w:t>2007</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日，根据有限公司股东会决议及修改后章程的规定，崔万涛、付艳杰各自以货币资金向有限公司增资</w:t>
      </w:r>
      <w:r>
        <w:rPr>
          <w:rFonts w:ascii="Times New Roman" w:eastAsia="Times New Roman" w:hAnsi="Times New Roman" w:cs="Times New Roman"/>
          <w:color w:val="000000"/>
          <w:spacing w:val="0"/>
          <w:w w:val="100"/>
          <w:position w:val="0"/>
        </w:rPr>
        <w:t>245</w:t>
      </w:r>
      <w:r>
        <w:rPr>
          <w:color w:val="000000"/>
          <w:spacing w:val="0"/>
          <w:w w:val="100"/>
          <w:position w:val="0"/>
        </w:rPr>
        <w:t>万 元（合计</w:t>
      </w:r>
      <w:r>
        <w:rPr>
          <w:rFonts w:ascii="Times New Roman" w:eastAsia="Times New Roman" w:hAnsi="Times New Roman" w:cs="Times New Roman"/>
          <w:color w:val="000000"/>
          <w:spacing w:val="0"/>
          <w:w w:val="100"/>
          <w:position w:val="0"/>
        </w:rPr>
        <w:t>490</w:t>
      </w:r>
      <w:r>
        <w:rPr>
          <w:color w:val="000000"/>
          <w:spacing w:val="0"/>
          <w:w w:val="100"/>
          <w:position w:val="0"/>
        </w:rPr>
        <w:t>万元）。</w:t>
      </w:r>
    </w:p>
    <w:p>
      <w:pPr>
        <w:pStyle w:val="Style32"/>
        <w:keepNext w:val="0"/>
        <w:keepLines w:val="0"/>
        <w:widowControl w:val="0"/>
        <w:shd w:val="clear" w:color="auto" w:fill="auto"/>
        <w:bidi w:val="0"/>
        <w:spacing w:before="0" w:line="312" w:lineRule="exact"/>
        <w:ind w:left="980" w:right="0" w:firstLine="0"/>
        <w:jc w:val="left"/>
      </w:pPr>
      <w:r>
        <w:rPr>
          <w:rFonts w:ascii="Times New Roman" w:eastAsia="Times New Roman" w:hAnsi="Times New Roman" w:cs="Times New Roman"/>
          <w:color w:val="000000"/>
          <w:spacing w:val="0"/>
          <w:w w:val="100"/>
          <w:position w:val="0"/>
        </w:rPr>
        <w:t>2010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日，根据有限公司股东会决议及修改后章程的规定，尹春福、杨皓等</w:t>
      </w:r>
      <w:r>
        <w:rPr>
          <w:rFonts w:ascii="Times New Roman" w:eastAsia="Times New Roman" w:hAnsi="Times New Roman" w:cs="Times New Roman"/>
          <w:color w:val="000000"/>
          <w:spacing w:val="0"/>
          <w:w w:val="100"/>
          <w:position w:val="0"/>
        </w:rPr>
        <w:t>10</w:t>
      </w:r>
      <w:r>
        <w:rPr>
          <w:color w:val="000000"/>
          <w:spacing w:val="0"/>
          <w:w w:val="100"/>
          <w:position w:val="0"/>
        </w:rPr>
        <w:t xml:space="preserve">名自然人以货币资金向有限公司增资 </w:t>
      </w:r>
      <w:r>
        <w:rPr>
          <w:rFonts w:ascii="Times New Roman" w:eastAsia="Times New Roman" w:hAnsi="Times New Roman" w:cs="Times New Roman"/>
          <w:color w:val="000000"/>
          <w:spacing w:val="0"/>
          <w:w w:val="100"/>
          <w:position w:val="0"/>
        </w:rPr>
        <w:t>20</w:t>
      </w:r>
      <w:r>
        <w:rPr>
          <w:color w:val="000000"/>
          <w:spacing w:val="0"/>
          <w:w w:val="100"/>
          <w:position w:val="0"/>
        </w:rPr>
        <w:t>万元。</w:t>
      </w:r>
    </w:p>
    <w:p>
      <w:pPr>
        <w:pStyle w:val="Style32"/>
        <w:keepNext w:val="0"/>
        <w:keepLines w:val="0"/>
        <w:widowControl w:val="0"/>
        <w:shd w:val="clear" w:color="auto" w:fill="auto"/>
        <w:bidi w:val="0"/>
        <w:spacing w:before="0" w:line="319" w:lineRule="exact"/>
        <w:ind w:left="980" w:right="0" w:firstLine="0"/>
        <w:jc w:val="left"/>
        <w:sectPr>
          <w:headerReference w:type="default" r:id="rId273"/>
          <w:footerReference w:type="default" r:id="rId274"/>
          <w:headerReference w:type="even" r:id="rId275"/>
          <w:footerReference w:type="even" r:id="rId276"/>
          <w:footnotePr>
            <w:pos w:val="pageBottom"/>
            <w:numFmt w:val="decimal"/>
            <w:numRestart w:val="continuous"/>
          </w:footnotePr>
          <w:pgSz w:w="11900" w:h="16840"/>
          <w:pgMar w:top="1141" w:right="471" w:bottom="1362" w:left="47" w:header="0" w:footer="3" w:gutter="0"/>
          <w:cols w:space="720"/>
          <w:noEndnote/>
          <w:rtlGutter w:val="0"/>
          <w:docGrid w:linePitch="360"/>
        </w:sectPr>
      </w:pPr>
      <w:r>
        <w:rPr>
          <w:rFonts w:ascii="Times New Roman" w:eastAsia="Times New Roman" w:hAnsi="Times New Roman" w:cs="Times New Roman"/>
          <w:color w:val="000000"/>
          <w:spacing w:val="0"/>
          <w:w w:val="100"/>
          <w:position w:val="0"/>
        </w:rPr>
        <w:t>2010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日，根据有限公司股东会决议及修改后章程的规定，平安财智投资管理有限公司、北京正达联合投资有限公 司、北京恒远恒信科技发展有限公司等三名法人股东向有限公司增资</w:t>
      </w:r>
      <w:r>
        <w:rPr>
          <w:rFonts w:ascii="Times New Roman" w:eastAsia="Times New Roman" w:hAnsi="Times New Roman" w:cs="Times New Roman"/>
          <w:color w:val="000000"/>
          <w:spacing w:val="0"/>
          <w:w w:val="100"/>
          <w:position w:val="0"/>
        </w:rPr>
        <w:t>278.81</w:t>
      </w:r>
      <w:r>
        <w:rPr>
          <w:color w:val="000000"/>
          <w:spacing w:val="0"/>
          <w:w w:val="100"/>
          <w:position w:val="0"/>
        </w:rPr>
        <w:t>万元，有限公司变更后的注册资本为</w:t>
      </w:r>
      <w:r>
        <w:rPr>
          <w:rFonts w:ascii="Times New Roman" w:eastAsia="Times New Roman" w:hAnsi="Times New Roman" w:cs="Times New Roman"/>
          <w:color w:val="000000"/>
          <w:spacing w:val="0"/>
          <w:w w:val="100"/>
          <w:position w:val="0"/>
        </w:rPr>
        <w:t xml:space="preserve">1,298.81 </w:t>
      </w:r>
      <w:r>
        <w:rPr>
          <w:color w:val="000000"/>
          <w:spacing w:val="0"/>
          <w:w w:val="100"/>
          <w:position w:val="0"/>
        </w:rPr>
        <w:t>万元。</w:t>
      </w:r>
    </w:p>
    <w:p>
      <w:pPr>
        <w:pStyle w:val="Style32"/>
        <w:keepNext w:val="0"/>
        <w:keepLines w:val="0"/>
        <w:widowControl w:val="0"/>
        <w:shd w:val="clear" w:color="auto" w:fill="auto"/>
        <w:bidi w:val="0"/>
        <w:spacing w:before="0" w:after="0" w:line="240" w:lineRule="auto"/>
        <w:ind w:left="980" w:right="0" w:firstLine="0"/>
        <w:jc w:val="both"/>
      </w:pPr>
      <w:r>
        <mc:AlternateContent>
          <mc:Choice Requires="wps">
            <w:drawing>
              <wp:anchor distT="0" distB="0" distL="114300" distR="114300" simplePos="0" relativeHeight="125829559" behindDoc="0" locked="0" layoutInCell="1" allowOverlap="1">
                <wp:simplePos x="0" y="0"/>
                <wp:positionH relativeFrom="page">
                  <wp:posOffset>813435</wp:posOffset>
                </wp:positionH>
                <wp:positionV relativeFrom="margin">
                  <wp:posOffset>-60325</wp:posOffset>
                </wp:positionV>
                <wp:extent cx="1243330" cy="283210"/>
                <wp:wrapTopAndBottom/>
                <wp:docPr id="673" name="Shape 673"/>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699" type="#_x0000_t202" style="position:absolute;margin-left:64.049999999999997pt;margin-top:-4.75pt;width:97.900000000000006pt;height:22.300000000000001pt;z-index:-125829194;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rFonts w:ascii="Times New Roman" w:eastAsia="Times New Roman" w:hAnsi="Times New Roman" w:cs="Times New Roman"/>
          <w:color w:val="000000"/>
          <w:spacing w:val="0"/>
          <w:w w:val="100"/>
          <w:position w:val="0"/>
        </w:rPr>
        <w:t>2010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日，根据有限公司《关于公司由有限公司变更设立股份公司的决议》、《沈阳荣科科技股份有限公司发起人协</w:t>
      </w:r>
    </w:p>
    <w:p>
      <w:pPr>
        <w:pStyle w:val="Style32"/>
        <w:keepNext w:val="0"/>
        <w:keepLines w:val="0"/>
        <w:widowControl w:val="0"/>
        <w:shd w:val="clear" w:color="auto" w:fill="auto"/>
        <w:bidi w:val="0"/>
        <w:spacing w:before="0" w:line="322" w:lineRule="exact"/>
        <w:ind w:left="980" w:right="0" w:firstLine="0"/>
        <w:jc w:val="both"/>
      </w:pPr>
      <w:r>
        <w:rPr>
          <w:color w:val="000000"/>
          <w:spacing w:val="0"/>
          <w:w w:val="100"/>
          <w:position w:val="0"/>
        </w:rPr>
        <w:t>议书》以及公司章程的规定，有限公司以</w:t>
      </w:r>
      <w:r>
        <w:rPr>
          <w:rFonts w:ascii="Times New Roman" w:eastAsia="Times New Roman" w:hAnsi="Times New Roman" w:cs="Times New Roman"/>
          <w:color w:val="000000"/>
          <w:spacing w:val="0"/>
          <w:w w:val="100"/>
          <w:position w:val="0"/>
        </w:rPr>
        <w:t>2010</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日为基准日，以经审计的净资产</w:t>
      </w:r>
      <w:r>
        <w:rPr>
          <w:rFonts w:ascii="Times New Roman" w:eastAsia="Times New Roman" w:hAnsi="Times New Roman" w:cs="Times New Roman"/>
          <w:color w:val="000000"/>
          <w:spacing w:val="0"/>
          <w:w w:val="100"/>
          <w:position w:val="0"/>
        </w:rPr>
        <w:t>7,040.36</w:t>
      </w:r>
      <w:r>
        <w:rPr>
          <w:color w:val="000000"/>
          <w:spacing w:val="0"/>
          <w:w w:val="100"/>
          <w:position w:val="0"/>
        </w:rPr>
        <w:t>万元折股</w:t>
      </w:r>
      <w:r>
        <w:rPr>
          <w:rFonts w:ascii="Times New Roman" w:eastAsia="Times New Roman" w:hAnsi="Times New Roman" w:cs="Times New Roman"/>
          <w:color w:val="000000"/>
          <w:spacing w:val="0"/>
          <w:w w:val="100"/>
          <w:position w:val="0"/>
        </w:rPr>
        <w:t>5,100</w:t>
      </w:r>
      <w:r>
        <w:rPr>
          <w:color w:val="000000"/>
          <w:spacing w:val="0"/>
          <w:w w:val="100"/>
          <w:position w:val="0"/>
        </w:rPr>
        <w:t>万股整体 改制变更为股份有限公司，公司变更后的名称为荣科科技股份有限公司，并于</w:t>
      </w:r>
      <w:r>
        <w:rPr>
          <w:rFonts w:ascii="Times New Roman" w:eastAsia="Times New Roman" w:hAnsi="Times New Roman" w:cs="Times New Roman"/>
          <w:color w:val="000000"/>
          <w:spacing w:val="0"/>
          <w:w w:val="100"/>
          <w:position w:val="0"/>
        </w:rPr>
        <w:t>2010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8</w:t>
      </w:r>
      <w:r>
        <w:rPr>
          <w:color w:val="000000"/>
          <w:spacing w:val="0"/>
          <w:w w:val="100"/>
          <w:position w:val="0"/>
        </w:rPr>
        <w:t xml:space="preserve">日取得沈阳市工商行政管理局 </w:t>
      </w:r>
      <w:r>
        <w:rPr>
          <w:color w:val="000000"/>
          <w:spacing w:val="0"/>
          <w:w w:val="100"/>
          <w:position w:val="0"/>
        </w:rPr>
        <w:t>核发的</w:t>
      </w:r>
      <w:r>
        <w:rPr>
          <w:rFonts w:ascii="Times New Roman" w:eastAsia="Times New Roman" w:hAnsi="Times New Roman" w:cs="Times New Roman"/>
          <w:color w:val="000000"/>
          <w:spacing w:val="0"/>
          <w:w w:val="100"/>
          <w:position w:val="0"/>
        </w:rPr>
        <w:t>210100000047160</w:t>
      </w:r>
      <w:r>
        <w:rPr>
          <w:color w:val="000000"/>
          <w:spacing w:val="0"/>
          <w:w w:val="100"/>
          <w:position w:val="0"/>
        </w:rPr>
        <w:t>号《企业法人营业执照》。</w:t>
      </w:r>
    </w:p>
    <w:p>
      <w:pPr>
        <w:pStyle w:val="Style32"/>
        <w:keepNext w:val="0"/>
        <w:keepLines w:val="0"/>
        <w:widowControl w:val="0"/>
        <w:shd w:val="clear" w:color="auto" w:fill="auto"/>
        <w:bidi w:val="0"/>
        <w:spacing w:before="0" w:line="312" w:lineRule="exact"/>
        <w:ind w:left="980" w:right="0" w:firstLine="0"/>
        <w:jc w:val="left"/>
      </w:pPr>
      <w:r>
        <w:rPr>
          <w:color w:val="000000"/>
          <w:spacing w:val="0"/>
          <w:w w:val="100"/>
          <w:position w:val="0"/>
        </w:rPr>
        <w:t>经中国证券监督管理委员会证监许可</w:t>
      </w:r>
      <w:r>
        <w:rPr>
          <w:rFonts w:ascii="Times New Roman" w:eastAsia="Times New Roman" w:hAnsi="Times New Roman" w:cs="Times New Roman"/>
          <w:color w:val="000000"/>
          <w:spacing w:val="0"/>
          <w:w w:val="100"/>
          <w:position w:val="0"/>
        </w:rPr>
        <w:t>［2011］2143</w:t>
      </w:r>
      <w:r>
        <w:rPr>
          <w:color w:val="000000"/>
          <w:spacing w:val="0"/>
          <w:w w:val="100"/>
          <w:position w:val="0"/>
        </w:rPr>
        <w:t>号文件核准，本公司向社会公众公开发行人民币普通股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股）股票</w:t>
      </w:r>
      <w:r>
        <w:rPr>
          <w:rFonts w:ascii="Times New Roman" w:eastAsia="Times New Roman" w:hAnsi="Times New Roman" w:cs="Times New Roman"/>
          <w:color w:val="000000"/>
          <w:spacing w:val="0"/>
          <w:w w:val="100"/>
          <w:position w:val="0"/>
        </w:rPr>
        <w:t xml:space="preserve">1,700 </w:t>
      </w:r>
      <w:r>
        <w:rPr>
          <w:color w:val="000000"/>
          <w:spacing w:val="0"/>
          <w:w w:val="100"/>
          <w:position w:val="0"/>
        </w:rPr>
        <w:t>万股，每股面值</w:t>
      </w:r>
      <w:r>
        <w:rPr>
          <w:rFonts w:ascii="Times New Roman" w:eastAsia="Times New Roman" w:hAnsi="Times New Roman" w:cs="Times New Roman"/>
          <w:color w:val="000000"/>
          <w:spacing w:val="0"/>
          <w:w w:val="100"/>
          <w:position w:val="0"/>
        </w:rPr>
        <w:t>1.00</w:t>
      </w:r>
      <w:r>
        <w:rPr>
          <w:color w:val="000000"/>
          <w:spacing w:val="0"/>
          <w:w w:val="100"/>
          <w:position w:val="0"/>
        </w:rPr>
        <w:t>元，公司股票已于</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日在深圳证券交易所挂牌交易。发行后公司股本变更为</w:t>
      </w:r>
      <w:r>
        <w:rPr>
          <w:rFonts w:ascii="Times New Roman" w:eastAsia="Times New Roman" w:hAnsi="Times New Roman" w:cs="Times New Roman"/>
          <w:color w:val="000000"/>
          <w:spacing w:val="0"/>
          <w:w w:val="100"/>
          <w:position w:val="0"/>
        </w:rPr>
        <w:t>6,800</w:t>
      </w:r>
      <w:r>
        <w:rPr>
          <w:color w:val="000000"/>
          <w:spacing w:val="0"/>
          <w:w w:val="100"/>
          <w:position w:val="0"/>
        </w:rPr>
        <w:t>万股。 公司已于</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日在沈阳市工商行政管理局办理工商变更登记手续。</w:t>
      </w:r>
    </w:p>
    <w:p>
      <w:pPr>
        <w:pStyle w:val="Style32"/>
        <w:keepNext w:val="0"/>
        <w:keepLines w:val="0"/>
        <w:widowControl w:val="0"/>
        <w:shd w:val="clear" w:color="auto" w:fill="auto"/>
        <w:bidi w:val="0"/>
        <w:spacing w:before="0" w:line="312" w:lineRule="exact"/>
        <w:ind w:left="980" w:right="0" w:firstLine="0"/>
        <w:jc w:val="left"/>
      </w:pP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日，根据公司</w:t>
      </w:r>
      <w:r>
        <w:rPr>
          <w:rFonts w:ascii="Times New Roman" w:eastAsia="Times New Roman" w:hAnsi="Times New Roman" w:cs="Times New Roman"/>
          <w:color w:val="000000"/>
          <w:spacing w:val="0"/>
          <w:w w:val="100"/>
          <w:position w:val="0"/>
        </w:rPr>
        <w:t>2012</w:t>
      </w:r>
      <w:r>
        <w:rPr>
          <w:color w:val="000000"/>
          <w:spacing w:val="0"/>
          <w:w w:val="100"/>
          <w:position w:val="0"/>
        </w:rPr>
        <w:t>年年度股东大会决议的相关规定，公司以总股本</w:t>
      </w:r>
      <w:r>
        <w:rPr>
          <w:rFonts w:ascii="Times New Roman" w:eastAsia="Times New Roman" w:hAnsi="Times New Roman" w:cs="Times New Roman"/>
          <w:color w:val="000000"/>
          <w:spacing w:val="0"/>
          <w:w w:val="100"/>
          <w:position w:val="0"/>
        </w:rPr>
        <w:t>6,800</w:t>
      </w:r>
      <w:r>
        <w:rPr>
          <w:color w:val="000000"/>
          <w:spacing w:val="0"/>
          <w:w w:val="100"/>
          <w:position w:val="0"/>
        </w:rPr>
        <w:t>万股为基数，以资本公积向全体股 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10</w:t>
      </w:r>
      <w:r>
        <w:rPr>
          <w:color w:val="000000"/>
          <w:spacing w:val="0"/>
          <w:w w:val="100"/>
          <w:position w:val="0"/>
        </w:rPr>
        <w:t>股，共计转增</w:t>
      </w:r>
      <w:r>
        <w:rPr>
          <w:rFonts w:ascii="Times New Roman" w:eastAsia="Times New Roman" w:hAnsi="Times New Roman" w:cs="Times New Roman"/>
          <w:color w:val="000000"/>
          <w:spacing w:val="0"/>
          <w:w w:val="100"/>
          <w:position w:val="0"/>
        </w:rPr>
        <w:t>6,800</w:t>
      </w:r>
      <w:r>
        <w:rPr>
          <w:color w:val="000000"/>
          <w:spacing w:val="0"/>
          <w:w w:val="100"/>
          <w:position w:val="0"/>
        </w:rPr>
        <w:t>万股。</w:t>
      </w:r>
    </w:p>
    <w:p>
      <w:pPr>
        <w:pStyle w:val="Style32"/>
        <w:keepNext w:val="0"/>
        <w:keepLines w:val="0"/>
        <w:widowControl w:val="0"/>
        <w:shd w:val="clear" w:color="auto" w:fill="auto"/>
        <w:bidi w:val="0"/>
        <w:spacing w:before="0" w:line="307" w:lineRule="exact"/>
        <w:ind w:left="980" w:right="0" w:firstLine="0"/>
        <w:jc w:val="left"/>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日，根据公司</w:t>
      </w:r>
      <w:r>
        <w:rPr>
          <w:rFonts w:ascii="Times New Roman" w:eastAsia="Times New Roman" w:hAnsi="Times New Roman" w:cs="Times New Roman"/>
          <w:color w:val="000000"/>
          <w:spacing w:val="0"/>
          <w:w w:val="100"/>
          <w:position w:val="0"/>
        </w:rPr>
        <w:t>2014</w:t>
      </w:r>
      <w:r>
        <w:rPr>
          <w:color w:val="000000"/>
          <w:spacing w:val="0"/>
          <w:w w:val="100"/>
          <w:position w:val="0"/>
        </w:rPr>
        <w:t>年度第二次临时股东大会决议，并经中国证券监督管理委员会《关于核准荣科科技股份 有限公司非公开发行股票的批复》（证监许可</w:t>
      </w:r>
      <w:r>
        <w:rPr>
          <w:color w:val="000000"/>
          <w:spacing w:val="0"/>
          <w:w w:val="100"/>
          <w:position w:val="0"/>
        </w:rPr>
        <w:t>［</w:t>
      </w:r>
      <w:r>
        <w:rPr>
          <w:rFonts w:ascii="Times New Roman" w:eastAsia="Times New Roman" w:hAnsi="Times New Roman" w:cs="Times New Roman"/>
          <w:color w:val="000000"/>
          <w:spacing w:val="0"/>
          <w:w w:val="100"/>
          <w:position w:val="0"/>
        </w:rPr>
        <w:t>2015</w:t>
      </w:r>
      <w:r>
        <w:rPr>
          <w:color w:val="000000"/>
          <w:spacing w:val="0"/>
          <w:w w:val="100"/>
          <w:position w:val="0"/>
          <w:sz w:val="18"/>
          <w:szCs w:val="18"/>
        </w:rPr>
        <w:t>1</w:t>
      </w:r>
      <w:r>
        <w:rPr>
          <w:rFonts w:ascii="Times New Roman" w:eastAsia="Times New Roman" w:hAnsi="Times New Roman" w:cs="Times New Roman"/>
          <w:color w:val="000000"/>
          <w:spacing w:val="0"/>
          <w:w w:val="100"/>
          <w:position w:val="0"/>
        </w:rPr>
        <w:t>996</w:t>
      </w:r>
      <w:r>
        <w:rPr>
          <w:color w:val="000000"/>
          <w:spacing w:val="0"/>
          <w:w w:val="100"/>
          <w:position w:val="0"/>
        </w:rPr>
        <w:t>号）的核准，公司向特定投资者非公开发行人民币普通股</w:t>
      </w:r>
      <w:r>
        <w:rPr>
          <w:rFonts w:ascii="Times New Roman" w:eastAsia="Times New Roman" w:hAnsi="Times New Roman" w:cs="Times New Roman"/>
          <w:color w:val="000000"/>
          <w:spacing w:val="0"/>
          <w:w w:val="100"/>
          <w:position w:val="0"/>
        </w:rPr>
        <w:t xml:space="preserve">24,714,826 </w:t>
      </w:r>
      <w:r>
        <w:rPr>
          <w:color w:val="000000"/>
          <w:spacing w:val="0"/>
          <w:w w:val="100"/>
          <w:position w:val="0"/>
        </w:rPr>
        <w:t>股，公司股本总额增加至</w:t>
      </w:r>
      <w:r>
        <w:rPr>
          <w:rFonts w:ascii="Times New Roman" w:eastAsia="Times New Roman" w:hAnsi="Times New Roman" w:cs="Times New Roman"/>
          <w:color w:val="000000"/>
          <w:spacing w:val="0"/>
          <w:w w:val="100"/>
          <w:position w:val="0"/>
        </w:rPr>
        <w:t>160,714,826.00</w:t>
      </w:r>
      <w:r>
        <w:rPr>
          <w:color w:val="000000"/>
          <w:spacing w:val="0"/>
          <w:w w:val="100"/>
          <w:position w:val="0"/>
        </w:rPr>
        <w:t>元。</w:t>
      </w:r>
    </w:p>
    <w:p>
      <w:pPr>
        <w:pStyle w:val="Style32"/>
        <w:keepNext w:val="0"/>
        <w:keepLines w:val="0"/>
        <w:widowControl w:val="0"/>
        <w:shd w:val="clear" w:color="auto" w:fill="auto"/>
        <w:bidi w:val="0"/>
        <w:spacing w:before="0" w:line="317" w:lineRule="exact"/>
        <w:ind w:left="980" w:right="0" w:firstLine="0"/>
        <w:jc w:val="left"/>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日，根据公司</w:t>
      </w:r>
      <w:r>
        <w:rPr>
          <w:rFonts w:ascii="Times New Roman" w:eastAsia="Times New Roman" w:hAnsi="Times New Roman" w:cs="Times New Roman"/>
          <w:color w:val="000000"/>
          <w:spacing w:val="0"/>
          <w:w w:val="100"/>
          <w:position w:val="0"/>
        </w:rPr>
        <w:t>2015</w:t>
      </w:r>
      <w:r>
        <w:rPr>
          <w:color w:val="000000"/>
          <w:spacing w:val="0"/>
          <w:w w:val="100"/>
          <w:position w:val="0"/>
        </w:rPr>
        <w:t>年度第一次临时股东大会决议，公司以截止</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日的总股本</w:t>
      </w:r>
      <w:r>
        <w:rPr>
          <w:rFonts w:ascii="Times New Roman" w:eastAsia="Times New Roman" w:hAnsi="Times New Roman" w:cs="Times New Roman"/>
          <w:color w:val="000000"/>
          <w:spacing w:val="0"/>
          <w:w w:val="100"/>
          <w:position w:val="0"/>
        </w:rPr>
        <w:t>16,071.4826</w:t>
      </w:r>
      <w:r>
        <w:rPr>
          <w:color w:val="000000"/>
          <w:spacing w:val="0"/>
          <w:w w:val="100"/>
          <w:position w:val="0"/>
        </w:rPr>
        <w:t>万股 为基数，以资本公积向全体股东每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10</w:t>
      </w:r>
      <w:r>
        <w:rPr>
          <w:color w:val="000000"/>
          <w:spacing w:val="0"/>
          <w:w w:val="100"/>
          <w:position w:val="0"/>
        </w:rPr>
        <w:t>股，共计转增</w:t>
      </w:r>
      <w:r>
        <w:rPr>
          <w:rFonts w:ascii="Times New Roman" w:eastAsia="Times New Roman" w:hAnsi="Times New Roman" w:cs="Times New Roman"/>
          <w:color w:val="000000"/>
          <w:spacing w:val="0"/>
          <w:w w:val="100"/>
          <w:position w:val="0"/>
        </w:rPr>
        <w:t>16,071.4826</w:t>
      </w:r>
      <w:r>
        <w:rPr>
          <w:color w:val="000000"/>
          <w:spacing w:val="0"/>
          <w:w w:val="100"/>
          <w:position w:val="0"/>
        </w:rPr>
        <w:t>万股。</w:t>
      </w:r>
    </w:p>
    <w:p>
      <w:pPr>
        <w:pStyle w:val="Style32"/>
        <w:keepNext w:val="0"/>
        <w:keepLines w:val="0"/>
        <w:widowControl w:val="0"/>
        <w:shd w:val="clear" w:color="auto" w:fill="auto"/>
        <w:bidi w:val="0"/>
        <w:spacing w:before="0" w:line="310" w:lineRule="exact"/>
        <w:ind w:left="98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日，根据公司</w:t>
      </w:r>
      <w:r>
        <w:rPr>
          <w:rFonts w:ascii="Times New Roman" w:eastAsia="Times New Roman" w:hAnsi="Times New Roman" w:cs="Times New Roman"/>
          <w:color w:val="000000"/>
          <w:spacing w:val="0"/>
          <w:w w:val="100"/>
          <w:position w:val="0"/>
        </w:rPr>
        <w:t>2017</w:t>
      </w:r>
      <w:r>
        <w:rPr>
          <w:color w:val="000000"/>
          <w:spacing w:val="0"/>
          <w:w w:val="100"/>
          <w:position w:val="0"/>
        </w:rPr>
        <w:t>年第三次临时股东大会决议，并经中国证券监督管理委员会《关于核准荣科科技股份有限 公司向秦毅等发行股份购买资产并募集配套资金的批复》（证监许可</w:t>
      </w:r>
      <w:r>
        <w:rPr>
          <w:color w:val="000000"/>
          <w:spacing w:val="0"/>
          <w:w w:val="100"/>
          <w:position w:val="0"/>
        </w:rPr>
        <w:t>［</w:t>
      </w:r>
      <w:r>
        <w:rPr>
          <w:rFonts w:ascii="Times New Roman" w:eastAsia="Times New Roman" w:hAnsi="Times New Roman" w:cs="Times New Roman"/>
          <w:color w:val="000000"/>
          <w:spacing w:val="0"/>
          <w:w w:val="100"/>
          <w:position w:val="0"/>
        </w:rPr>
        <w:t>2018</w:t>
      </w:r>
      <w:r>
        <w:rPr>
          <w:color w:val="000000"/>
          <w:spacing w:val="0"/>
          <w:w w:val="100"/>
          <w:position w:val="0"/>
          <w:sz w:val="18"/>
          <w:szCs w:val="18"/>
        </w:rPr>
        <w:t xml:space="preserve">1 </w:t>
      </w:r>
      <w:r>
        <w:rPr>
          <w:rFonts w:ascii="Times New Roman" w:eastAsia="Times New Roman" w:hAnsi="Times New Roman" w:cs="Times New Roman"/>
          <w:color w:val="000000"/>
          <w:spacing w:val="0"/>
          <w:w w:val="100"/>
          <w:position w:val="0"/>
        </w:rPr>
        <w:t>218</w:t>
      </w:r>
      <w:r>
        <w:rPr>
          <w:color w:val="000000"/>
          <w:spacing w:val="0"/>
          <w:w w:val="100"/>
          <w:position w:val="0"/>
        </w:rPr>
        <w:t>号）的核准，公司向特定投资者非公开发 行人民币普通股</w:t>
      </w:r>
      <w:r>
        <w:rPr>
          <w:rFonts w:ascii="Times New Roman" w:eastAsia="Times New Roman" w:hAnsi="Times New Roman" w:cs="Times New Roman"/>
          <w:color w:val="000000"/>
          <w:spacing w:val="0"/>
          <w:w w:val="100"/>
          <w:position w:val="0"/>
        </w:rPr>
        <w:t>17,142,855</w:t>
      </w:r>
      <w:r>
        <w:rPr>
          <w:color w:val="000000"/>
          <w:spacing w:val="0"/>
          <w:w w:val="100"/>
          <w:position w:val="0"/>
        </w:rPr>
        <w:t>股，公司股本总额增加至</w:t>
      </w:r>
      <w:r>
        <w:rPr>
          <w:rFonts w:ascii="Times New Roman" w:eastAsia="Times New Roman" w:hAnsi="Times New Roman" w:cs="Times New Roman"/>
          <w:color w:val="000000"/>
          <w:spacing w:val="0"/>
          <w:w w:val="100"/>
          <w:position w:val="0"/>
        </w:rPr>
        <w:t>338,572,507.00</w:t>
      </w:r>
      <w:r>
        <w:rPr>
          <w:color w:val="000000"/>
          <w:spacing w:val="0"/>
          <w:w w:val="100"/>
          <w:position w:val="0"/>
        </w:rPr>
        <w:t>元。</w:t>
      </w:r>
    </w:p>
    <w:p>
      <w:pPr>
        <w:pStyle w:val="Style32"/>
        <w:keepNext w:val="0"/>
        <w:keepLines w:val="0"/>
        <w:widowControl w:val="0"/>
        <w:shd w:val="clear" w:color="auto" w:fill="auto"/>
        <w:bidi w:val="0"/>
        <w:spacing w:before="0" w:line="312" w:lineRule="exact"/>
        <w:ind w:left="98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日，根据公司</w:t>
      </w:r>
      <w:r>
        <w:rPr>
          <w:rFonts w:ascii="Times New Roman" w:eastAsia="Times New Roman" w:hAnsi="Times New Roman" w:cs="Times New Roman"/>
          <w:color w:val="000000"/>
          <w:spacing w:val="0"/>
          <w:w w:val="100"/>
          <w:position w:val="0"/>
        </w:rPr>
        <w:t>2017</w:t>
      </w:r>
      <w:r>
        <w:rPr>
          <w:color w:val="000000"/>
          <w:spacing w:val="0"/>
          <w:w w:val="100"/>
          <w:position w:val="0"/>
        </w:rPr>
        <w:t>年第三次临时股东大会决议，并经中国证券监督管理委员会《关于核准荣科科技股份有 限公司向秦毅等发行股份购买资产并募集配套资金的批复》（证监许可</w:t>
      </w:r>
      <w:r>
        <w:rPr>
          <w:color w:val="000000"/>
          <w:spacing w:val="0"/>
          <w:w w:val="100"/>
          <w:position w:val="0"/>
        </w:rPr>
        <w:t>［</w:t>
      </w:r>
      <w:r>
        <w:rPr>
          <w:rFonts w:ascii="Times New Roman" w:eastAsia="Times New Roman" w:hAnsi="Times New Roman" w:cs="Times New Roman"/>
          <w:color w:val="000000"/>
          <w:spacing w:val="0"/>
          <w:w w:val="100"/>
          <w:position w:val="0"/>
        </w:rPr>
        <w:t>2018</w:t>
      </w:r>
      <w:r>
        <w:rPr>
          <w:color w:val="000000"/>
          <w:spacing w:val="0"/>
          <w:w w:val="100"/>
          <w:position w:val="0"/>
          <w:sz w:val="18"/>
          <w:szCs w:val="18"/>
        </w:rPr>
        <w:t xml:space="preserve">1 </w:t>
      </w:r>
      <w:r>
        <w:rPr>
          <w:rFonts w:ascii="Times New Roman" w:eastAsia="Times New Roman" w:hAnsi="Times New Roman" w:cs="Times New Roman"/>
          <w:color w:val="000000"/>
          <w:spacing w:val="0"/>
          <w:w w:val="100"/>
          <w:position w:val="0"/>
        </w:rPr>
        <w:t>218</w:t>
      </w:r>
      <w:r>
        <w:rPr>
          <w:color w:val="000000"/>
          <w:spacing w:val="0"/>
          <w:w w:val="100"/>
          <w:position w:val="0"/>
        </w:rPr>
        <w:t>号）的核准，公司向特定投资者非公开 发行人民币普通股</w:t>
      </w:r>
      <w:r>
        <w:rPr>
          <w:rFonts w:ascii="Times New Roman" w:eastAsia="Times New Roman" w:hAnsi="Times New Roman" w:cs="Times New Roman"/>
          <w:color w:val="000000"/>
          <w:spacing w:val="0"/>
          <w:w w:val="100"/>
          <w:position w:val="0"/>
        </w:rPr>
        <w:t>27,798,634</w:t>
      </w:r>
      <w:r>
        <w:rPr>
          <w:color w:val="000000"/>
          <w:spacing w:val="0"/>
          <w:w w:val="100"/>
          <w:position w:val="0"/>
        </w:rPr>
        <w:t>股，公司股本总额增加至</w:t>
      </w:r>
      <w:r>
        <w:rPr>
          <w:rFonts w:ascii="Times New Roman" w:eastAsia="Times New Roman" w:hAnsi="Times New Roman" w:cs="Times New Roman"/>
          <w:color w:val="000000"/>
          <w:spacing w:val="0"/>
          <w:w w:val="100"/>
          <w:position w:val="0"/>
        </w:rPr>
        <w:t>366,371,141.00</w:t>
      </w:r>
      <w:r>
        <w:rPr>
          <w:color w:val="000000"/>
          <w:spacing w:val="0"/>
          <w:w w:val="100"/>
          <w:position w:val="0"/>
        </w:rPr>
        <w:t>元。</w:t>
      </w:r>
    </w:p>
    <w:p>
      <w:pPr>
        <w:pStyle w:val="Style32"/>
        <w:keepNext w:val="0"/>
        <w:keepLines w:val="0"/>
        <w:widowControl w:val="0"/>
        <w:shd w:val="clear" w:color="auto" w:fill="auto"/>
        <w:bidi w:val="0"/>
        <w:spacing w:before="0" w:line="312" w:lineRule="exact"/>
        <w:ind w:left="98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日，根据公司</w:t>
      </w:r>
      <w:r>
        <w:rPr>
          <w:rFonts w:ascii="Times New Roman" w:eastAsia="Times New Roman" w:hAnsi="Times New Roman" w:cs="Times New Roman"/>
          <w:color w:val="000000"/>
          <w:spacing w:val="0"/>
          <w:w w:val="100"/>
          <w:position w:val="0"/>
        </w:rPr>
        <w:t>2018</w:t>
      </w:r>
      <w:r>
        <w:rPr>
          <w:color w:val="000000"/>
          <w:spacing w:val="0"/>
          <w:w w:val="100"/>
          <w:position w:val="0"/>
        </w:rPr>
        <w:t xml:space="preserve">年度第一次临时股东大会决议以及中国证监会《上市公司股权激励管理办法》、深圳证券 交易所、中国证券登记结算有限责任公司深圳分公司有关规则，公司完成了 </w:t>
      </w:r>
      <w:r>
        <w:rPr>
          <w:rFonts w:ascii="Times New Roman" w:eastAsia="Times New Roman" w:hAnsi="Times New Roman" w:cs="Times New Roman"/>
          <w:color w:val="000000"/>
          <w:spacing w:val="0"/>
          <w:w w:val="100"/>
          <w:position w:val="0"/>
        </w:rPr>
        <w:t>2018</w:t>
      </w:r>
      <w:r>
        <w:rPr>
          <w:color w:val="000000"/>
          <w:spacing w:val="0"/>
          <w:w w:val="100"/>
          <w:position w:val="0"/>
        </w:rPr>
        <w:t>年股权激励计划限制性股票的授予登记工 作，增加人民币普通股</w:t>
      </w:r>
      <w:r>
        <w:rPr>
          <w:rFonts w:ascii="Times New Roman" w:eastAsia="Times New Roman" w:hAnsi="Times New Roman" w:cs="Times New Roman"/>
          <w:color w:val="000000"/>
          <w:spacing w:val="0"/>
          <w:w w:val="100"/>
          <w:position w:val="0"/>
        </w:rPr>
        <w:t>2,800,000</w:t>
      </w:r>
      <w:r>
        <w:rPr>
          <w:color w:val="000000"/>
          <w:spacing w:val="0"/>
          <w:w w:val="100"/>
          <w:position w:val="0"/>
        </w:rPr>
        <w:t>股，公司股本总额增加至</w:t>
      </w:r>
      <w:r>
        <w:rPr>
          <w:rFonts w:ascii="Times New Roman" w:eastAsia="Times New Roman" w:hAnsi="Times New Roman" w:cs="Times New Roman"/>
          <w:color w:val="000000"/>
          <w:spacing w:val="0"/>
          <w:w w:val="100"/>
          <w:position w:val="0"/>
        </w:rPr>
        <w:t>369,171,141.00</w:t>
      </w:r>
      <w:r>
        <w:rPr>
          <w:color w:val="000000"/>
          <w:spacing w:val="0"/>
          <w:w w:val="100"/>
          <w:position w:val="0"/>
        </w:rPr>
        <w:t>元。</w:t>
      </w:r>
    </w:p>
    <w:p>
      <w:pPr>
        <w:pStyle w:val="Style32"/>
        <w:keepNext w:val="0"/>
        <w:keepLines w:val="0"/>
        <w:widowControl w:val="0"/>
        <w:shd w:val="clear" w:color="auto" w:fill="auto"/>
        <w:bidi w:val="0"/>
        <w:spacing w:before="0" w:line="312" w:lineRule="exact"/>
        <w:ind w:left="98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日，根据公司</w:t>
      </w:r>
      <w:r>
        <w:rPr>
          <w:rFonts w:ascii="Times New Roman" w:eastAsia="Times New Roman" w:hAnsi="Times New Roman" w:cs="Times New Roman"/>
          <w:color w:val="000000"/>
          <w:spacing w:val="0"/>
          <w:w w:val="100"/>
          <w:position w:val="0"/>
        </w:rPr>
        <w:t>2018</w:t>
      </w:r>
      <w:r>
        <w:rPr>
          <w:color w:val="000000"/>
          <w:spacing w:val="0"/>
          <w:w w:val="100"/>
          <w:position w:val="0"/>
        </w:rPr>
        <w:t>年年度股东大会决议的相关规定，公司以总股本</w:t>
      </w:r>
      <w:r>
        <w:rPr>
          <w:rFonts w:ascii="Times New Roman" w:eastAsia="Times New Roman" w:hAnsi="Times New Roman" w:cs="Times New Roman"/>
          <w:color w:val="000000"/>
          <w:spacing w:val="0"/>
          <w:w w:val="100"/>
          <w:position w:val="0"/>
        </w:rPr>
        <w:t>369,171,141</w:t>
      </w:r>
      <w:r>
        <w:rPr>
          <w:color w:val="000000"/>
          <w:spacing w:val="0"/>
          <w:w w:val="100"/>
          <w:position w:val="0"/>
        </w:rPr>
        <w:t>股为基数，以资本公积向全 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5</w:t>
      </w:r>
      <w:r>
        <w:rPr>
          <w:color w:val="000000"/>
          <w:spacing w:val="0"/>
          <w:w w:val="100"/>
          <w:position w:val="0"/>
        </w:rPr>
        <w:t>股，共计转增</w:t>
      </w:r>
      <w:r>
        <w:rPr>
          <w:rFonts w:ascii="Times New Roman" w:eastAsia="Times New Roman" w:hAnsi="Times New Roman" w:cs="Times New Roman"/>
          <w:color w:val="000000"/>
          <w:spacing w:val="0"/>
          <w:w w:val="100"/>
          <w:position w:val="0"/>
        </w:rPr>
        <w:t>184,585,570</w:t>
      </w:r>
      <w:r>
        <w:rPr>
          <w:color w:val="000000"/>
          <w:spacing w:val="0"/>
          <w:w w:val="100"/>
          <w:position w:val="0"/>
        </w:rPr>
        <w:t>股，公司股本总额增加至</w:t>
      </w:r>
      <w:r>
        <w:rPr>
          <w:rFonts w:ascii="Times New Roman" w:eastAsia="Times New Roman" w:hAnsi="Times New Roman" w:cs="Times New Roman"/>
          <w:color w:val="000000"/>
          <w:spacing w:val="0"/>
          <w:w w:val="100"/>
          <w:position w:val="0"/>
        </w:rPr>
        <w:t>553,756,711.00</w:t>
      </w:r>
      <w:r>
        <w:rPr>
          <w:color w:val="000000"/>
          <w:spacing w:val="0"/>
          <w:w w:val="100"/>
          <w:position w:val="0"/>
        </w:rPr>
        <w:t>元。</w:t>
      </w:r>
    </w:p>
    <w:p>
      <w:pPr>
        <w:pStyle w:val="Style32"/>
        <w:keepNext w:val="0"/>
        <w:keepLines w:val="0"/>
        <w:widowControl w:val="0"/>
        <w:shd w:val="clear" w:color="auto" w:fill="auto"/>
        <w:bidi w:val="0"/>
        <w:spacing w:before="0" w:line="312" w:lineRule="exact"/>
        <w:ind w:left="98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日，经中国证券监督管理委员会《关于核准荣科科技股份有限公司向徐州瀚举创业投资合伙企业（有限合伙） 等发行股份购买资产并募集配套资金的批复》（证监许可</w:t>
      </w:r>
      <w:r>
        <w:rPr>
          <w:rFonts w:ascii="Times New Roman" w:eastAsia="Times New Roman" w:hAnsi="Times New Roman" w:cs="Times New Roman"/>
          <w:color w:val="000000"/>
          <w:spacing w:val="0"/>
          <w:w w:val="100"/>
          <w:position w:val="0"/>
        </w:rPr>
        <w:t>［2020］115</w:t>
      </w:r>
      <w:r>
        <w:rPr>
          <w:color w:val="000000"/>
          <w:spacing w:val="0"/>
          <w:w w:val="100"/>
          <w:position w:val="0"/>
        </w:rPr>
        <w:t xml:space="preserve">号文）核准，公司向特定投资者发行人民币普通股股票 </w:t>
      </w:r>
      <w:r>
        <w:rPr>
          <w:rFonts w:ascii="Times New Roman" w:eastAsia="Times New Roman" w:hAnsi="Times New Roman" w:cs="Times New Roman"/>
          <w:color w:val="000000"/>
          <w:spacing w:val="0"/>
          <w:w w:val="100"/>
          <w:position w:val="0"/>
        </w:rPr>
        <w:t>41,606,719</w:t>
      </w:r>
      <w:r>
        <w:rPr>
          <w:color w:val="000000"/>
          <w:spacing w:val="0"/>
          <w:w w:val="100"/>
          <w:position w:val="0"/>
        </w:rPr>
        <w:t>股，每股面值</w:t>
      </w:r>
      <w:r>
        <w:rPr>
          <w:rFonts w:ascii="Times New Roman" w:eastAsia="Times New Roman" w:hAnsi="Times New Roman" w:cs="Times New Roman"/>
          <w:color w:val="000000"/>
          <w:spacing w:val="0"/>
          <w:w w:val="100"/>
          <w:position w:val="0"/>
        </w:rPr>
        <w:t>1</w:t>
      </w:r>
      <w:r>
        <w:rPr>
          <w:color w:val="000000"/>
          <w:spacing w:val="0"/>
          <w:w w:val="100"/>
          <w:position w:val="0"/>
        </w:rPr>
        <w:t>元，变更后的股本为人民币</w:t>
      </w:r>
      <w:r>
        <w:rPr>
          <w:rFonts w:ascii="Times New Roman" w:eastAsia="Times New Roman" w:hAnsi="Times New Roman" w:cs="Times New Roman"/>
          <w:color w:val="000000"/>
          <w:spacing w:val="0"/>
          <w:w w:val="100"/>
          <w:position w:val="0"/>
        </w:rPr>
        <w:t>595,363,430.00</w:t>
      </w:r>
      <w:r>
        <w:rPr>
          <w:color w:val="000000"/>
          <w:spacing w:val="0"/>
          <w:w w:val="100"/>
          <w:position w:val="0"/>
        </w:rPr>
        <w:t>元。</w:t>
      </w:r>
    </w:p>
    <w:p>
      <w:pPr>
        <w:pStyle w:val="Style32"/>
        <w:keepNext w:val="0"/>
        <w:keepLines w:val="0"/>
        <w:widowControl w:val="0"/>
        <w:shd w:val="clear" w:color="auto" w:fill="auto"/>
        <w:bidi w:val="0"/>
        <w:spacing w:before="0" w:after="120" w:line="312" w:lineRule="exact"/>
        <w:ind w:left="98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日，根据公司</w:t>
      </w:r>
      <w:r>
        <w:rPr>
          <w:rFonts w:ascii="Times New Roman" w:eastAsia="Times New Roman" w:hAnsi="Times New Roman" w:cs="Times New Roman"/>
          <w:color w:val="000000"/>
          <w:spacing w:val="0"/>
          <w:w w:val="100"/>
          <w:position w:val="0"/>
        </w:rPr>
        <w:t>2018</w:t>
      </w:r>
      <w:r>
        <w:rPr>
          <w:color w:val="000000"/>
          <w:spacing w:val="0"/>
          <w:w w:val="100"/>
          <w:position w:val="0"/>
        </w:rPr>
        <w:t>年度第一次临时股东大会通过的《</w:t>
      </w:r>
      <w:r>
        <w:rPr>
          <w:rFonts w:ascii="Times New Roman" w:eastAsia="Times New Roman" w:hAnsi="Times New Roman" w:cs="Times New Roman"/>
          <w:color w:val="000000"/>
          <w:spacing w:val="0"/>
          <w:w w:val="100"/>
          <w:position w:val="0"/>
        </w:rPr>
        <w:t>2018</w:t>
      </w:r>
      <w:r>
        <w:rPr>
          <w:color w:val="000000"/>
          <w:spacing w:val="0"/>
          <w:w w:val="100"/>
          <w:position w:val="0"/>
        </w:rPr>
        <w:t>年股票期权与限制性股票激励计划》，公司向股票 期权激励对象张喆、石龙、刘闻宇等</w:t>
      </w:r>
      <w:r>
        <w:rPr>
          <w:rFonts w:ascii="Times New Roman" w:eastAsia="Times New Roman" w:hAnsi="Times New Roman" w:cs="Times New Roman"/>
          <w:color w:val="000000"/>
          <w:spacing w:val="0"/>
          <w:w w:val="100"/>
          <w:position w:val="0"/>
        </w:rPr>
        <w:t>32</w:t>
      </w:r>
      <w:r>
        <w:rPr>
          <w:color w:val="000000"/>
          <w:spacing w:val="0"/>
          <w:w w:val="100"/>
          <w:position w:val="0"/>
        </w:rPr>
        <w:t>名员工定向增发普通股股票</w:t>
      </w:r>
      <w:r>
        <w:rPr>
          <w:rFonts w:ascii="Times New Roman" w:eastAsia="Times New Roman" w:hAnsi="Times New Roman" w:cs="Times New Roman"/>
          <w:color w:val="000000"/>
          <w:spacing w:val="0"/>
          <w:w w:val="100"/>
          <w:position w:val="0"/>
        </w:rPr>
        <w:t>2,164,500</w:t>
      </w:r>
      <w:r>
        <w:rPr>
          <w:color w:val="000000"/>
          <w:spacing w:val="0"/>
          <w:w w:val="100"/>
          <w:position w:val="0"/>
        </w:rPr>
        <w:t>股，每股面值</w:t>
      </w:r>
      <w:r>
        <w:rPr>
          <w:rFonts w:ascii="Times New Roman" w:eastAsia="Times New Roman" w:hAnsi="Times New Roman" w:cs="Times New Roman"/>
          <w:color w:val="000000"/>
          <w:spacing w:val="0"/>
          <w:w w:val="100"/>
          <w:position w:val="0"/>
        </w:rPr>
        <w:t>1</w:t>
      </w:r>
      <w:r>
        <w:rPr>
          <w:color w:val="000000"/>
          <w:spacing w:val="0"/>
          <w:w w:val="100"/>
          <w:position w:val="0"/>
        </w:rPr>
        <w:t xml:space="preserve">元，变更后的股本为人民币 </w:t>
      </w:r>
      <w:r>
        <w:rPr>
          <w:rFonts w:ascii="Times New Roman" w:eastAsia="Times New Roman" w:hAnsi="Times New Roman" w:cs="Times New Roman"/>
          <w:color w:val="000000"/>
          <w:spacing w:val="0"/>
          <w:w w:val="100"/>
          <w:position w:val="0"/>
        </w:rPr>
        <w:t xml:space="preserve">597,527,930.00 </w:t>
      </w:r>
      <w:r>
        <w:rPr>
          <w:color w:val="000000"/>
          <w:spacing w:val="0"/>
          <w:w w:val="100"/>
          <w:position w:val="0"/>
        </w:rPr>
        <w:t>元。</w:t>
      </w:r>
    </w:p>
    <w:p>
      <w:pPr>
        <w:pStyle w:val="Style32"/>
        <w:keepNext w:val="0"/>
        <w:keepLines w:val="0"/>
        <w:widowControl w:val="0"/>
        <w:numPr>
          <w:ilvl w:val="0"/>
          <w:numId w:val="25"/>
        </w:numPr>
        <w:shd w:val="clear" w:color="auto" w:fill="auto"/>
        <w:bidi w:val="0"/>
        <w:spacing w:before="0" w:after="0"/>
        <w:ind w:left="0" w:right="0" w:firstLine="980"/>
        <w:jc w:val="both"/>
      </w:pPr>
      <w:bookmarkStart w:id="743" w:name="bookmark743"/>
      <w:bookmarkEnd w:id="743"/>
      <w:r>
        <w:rPr>
          <w:color w:val="000000"/>
          <w:spacing w:val="0"/>
          <w:w w:val="100"/>
          <w:position w:val="0"/>
        </w:rPr>
        <w:t>行业性质</w:t>
      </w:r>
    </w:p>
    <w:p>
      <w:pPr>
        <w:pStyle w:val="Style32"/>
        <w:keepNext w:val="0"/>
        <w:keepLines w:val="0"/>
        <w:widowControl w:val="0"/>
        <w:shd w:val="clear" w:color="auto" w:fill="auto"/>
        <w:bidi w:val="0"/>
        <w:spacing w:before="0" w:after="120" w:line="312" w:lineRule="exact"/>
        <w:ind w:left="0" w:right="0" w:firstLine="980"/>
        <w:jc w:val="left"/>
      </w:pPr>
      <w:r>
        <w:rPr>
          <w:color w:val="000000"/>
          <w:spacing w:val="0"/>
          <w:w w:val="100"/>
          <w:position w:val="0"/>
        </w:rPr>
        <w:t>公司属软件和信息技术服务业。</w:t>
      </w:r>
    </w:p>
    <w:p>
      <w:pPr>
        <w:pStyle w:val="Style32"/>
        <w:keepNext w:val="0"/>
        <w:keepLines w:val="0"/>
        <w:widowControl w:val="0"/>
        <w:numPr>
          <w:ilvl w:val="0"/>
          <w:numId w:val="25"/>
        </w:numPr>
        <w:shd w:val="clear" w:color="auto" w:fill="auto"/>
        <w:tabs>
          <w:tab w:pos="1262" w:val="left"/>
        </w:tabs>
        <w:bidi w:val="0"/>
        <w:spacing w:before="0" w:after="120" w:line="240" w:lineRule="auto"/>
        <w:ind w:left="0" w:right="0" w:firstLine="980"/>
        <w:jc w:val="left"/>
      </w:pPr>
      <w:bookmarkStart w:id="744" w:name="bookmark744"/>
      <w:bookmarkEnd w:id="744"/>
      <w:r>
        <w:rPr>
          <w:color w:val="000000"/>
          <w:spacing w:val="0"/>
          <w:w w:val="100"/>
          <w:position w:val="0"/>
        </w:rPr>
        <w:t>主要业务</w:t>
      </w:r>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公司主要产品及业务：健康数据服务、智能融合云服务。</w:t>
      </w:r>
    </w:p>
    <w:p>
      <w:pPr>
        <w:pStyle w:val="Style32"/>
        <w:keepNext w:val="0"/>
        <w:keepLines w:val="0"/>
        <w:widowControl w:val="0"/>
        <w:numPr>
          <w:ilvl w:val="0"/>
          <w:numId w:val="25"/>
        </w:numPr>
        <w:shd w:val="clear" w:color="auto" w:fill="auto"/>
        <w:tabs>
          <w:tab w:pos="1272" w:val="left"/>
        </w:tabs>
        <w:bidi w:val="0"/>
        <w:spacing w:before="0" w:line="240" w:lineRule="auto"/>
        <w:ind w:left="0" w:right="0" w:firstLine="980"/>
        <w:jc w:val="left"/>
      </w:pPr>
      <w:bookmarkStart w:id="745" w:name="bookmark745"/>
      <w:bookmarkEnd w:id="745"/>
      <w:r>
        <w:rPr>
          <w:color w:val="000000"/>
          <w:spacing w:val="0"/>
          <w:w w:val="100"/>
          <w:position w:val="0"/>
        </w:rPr>
        <w:t>经营范围</w:t>
      </w:r>
    </w:p>
    <w:p>
      <w:pPr>
        <w:pStyle w:val="Style32"/>
        <w:keepNext w:val="0"/>
        <w:keepLines w:val="0"/>
        <w:widowControl w:val="0"/>
        <w:shd w:val="clear" w:color="auto" w:fill="auto"/>
        <w:bidi w:val="0"/>
        <w:spacing w:before="0" w:line="313" w:lineRule="exact"/>
        <w:ind w:left="0" w:right="0" w:firstLine="980"/>
        <w:jc w:val="left"/>
      </w:pPr>
      <w:r>
        <w:rPr>
          <w:color w:val="000000"/>
          <w:spacing w:val="0"/>
          <w:w w:val="100"/>
          <w:position w:val="0"/>
        </w:rPr>
        <w:t>公司的经营范围为：</w:t>
      </w:r>
    </w:p>
    <w:p>
      <w:pPr>
        <w:pStyle w:val="Style32"/>
        <w:keepNext w:val="0"/>
        <w:keepLines w:val="0"/>
        <w:widowControl w:val="0"/>
        <w:shd w:val="clear" w:color="auto" w:fill="auto"/>
        <w:bidi w:val="0"/>
        <w:spacing w:before="0" w:line="313" w:lineRule="exact"/>
        <w:ind w:left="980" w:right="0" w:firstLine="0"/>
        <w:jc w:val="both"/>
        <w:sectPr>
          <w:headerReference w:type="default" r:id="rId277"/>
          <w:footerReference w:type="default" r:id="rId278"/>
          <w:headerReference w:type="even" r:id="rId279"/>
          <w:footerReference w:type="even" r:id="rId280"/>
          <w:footnotePr>
            <w:pos w:val="pageBottom"/>
            <w:numFmt w:val="decimal"/>
            <w:numRestart w:val="continuous"/>
          </w:footnotePr>
          <w:pgSz w:w="11900" w:h="16840"/>
          <w:pgMar w:top="1141" w:right="471" w:bottom="1362" w:left="47" w:header="0" w:footer="3" w:gutter="0"/>
          <w:cols w:space="720"/>
          <w:noEndnote/>
          <w:rtlGutter w:val="0"/>
          <w:docGrid w:linePitch="360"/>
        </w:sectPr>
      </w:pPr>
      <w:r>
        <w:rPr>
          <w:color w:val="000000"/>
          <w:spacing w:val="0"/>
          <w:w w:val="100"/>
          <w:position w:val="0"/>
        </w:rPr>
        <w:t>许可经营项目：第二类增值电信业务中的信息服务业务（不含固定网电话信息服务和互联网信息服务）；一般经营项目：计 算机软硬件技术、电控工程技术开发；计算机系统集成（持资质证经营）及咨询服务，计算机及辅助设备、通讯器材、机械 电子设备销售，建筑智能化工程、防雷电工程、安全技术防范设施工程、弱电工程设计、施工，计算机房装修及综合布线（上 述项目持资质证经营），计算机系统维护，多媒体教学设备、特教仪器设备、教学器材、医疗器械销售；自营和代理各类商 品和技术的进出口，但国家限定公司经营或禁止进出口的商品和技术除外。（依法须经批准的项目，经相关部门批准后方可</w:t>
      </w:r>
    </w:p>
    <w:p>
      <w:pPr>
        <w:pStyle w:val="Style2"/>
        <w:keepNext/>
        <w:keepLines/>
        <w:widowControl w:val="0"/>
        <w:shd w:val="clear" w:color="auto" w:fill="auto"/>
        <w:bidi w:val="0"/>
        <w:spacing w:before="0" w:after="0" w:line="240" w:lineRule="auto"/>
        <w:ind w:left="0" w:right="0" w:firstLine="960"/>
        <w:jc w:val="left"/>
      </w:pPr>
      <w:bookmarkStart w:id="746" w:name="bookmark746"/>
      <w:bookmarkStart w:id="747" w:name="bookmark747"/>
      <w:bookmarkStart w:id="748" w:name="bookmark748"/>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746"/>
      <w:bookmarkEnd w:id="747"/>
      <w:bookmarkEnd w:id="748"/>
    </w:p>
    <w:p>
      <w:pPr>
        <w:pStyle w:val="Style5"/>
        <w:keepNext w:val="0"/>
        <w:keepLines w:val="0"/>
        <w:widowControl w:val="0"/>
        <w:shd w:val="clear" w:color="auto" w:fill="auto"/>
        <w:bidi w:val="0"/>
        <w:spacing w:before="0" w:after="60" w:line="240" w:lineRule="auto"/>
        <w:ind w:left="0" w:right="0" w:firstLine="96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tabs>
          <w:tab w:pos="1726" w:val="left"/>
        </w:tabs>
        <w:bidi w:val="0"/>
        <w:spacing w:before="0" w:after="0" w:line="240" w:lineRule="auto"/>
        <w:ind w:left="1140" w:right="0" w:firstLine="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32"/>
        <w:keepNext w:val="0"/>
        <w:keepLines w:val="0"/>
        <w:widowControl w:val="0"/>
        <w:shd w:val="clear" w:color="auto" w:fill="auto"/>
        <w:bidi w:val="0"/>
        <w:spacing w:before="0" w:after="140" w:line="240" w:lineRule="auto"/>
        <w:ind w:left="0" w:right="0" w:firstLine="960"/>
        <w:jc w:val="both"/>
      </w:pPr>
      <w:r>
        <w:rPr>
          <w:color w:val="000000"/>
          <w:spacing w:val="0"/>
          <w:w w:val="100"/>
          <w:position w:val="0"/>
        </w:rPr>
        <w:t>开展经营活动。）</w:t>
      </w:r>
    </w:p>
    <w:p>
      <w:pPr>
        <w:pStyle w:val="Style32"/>
        <w:keepNext w:val="0"/>
        <w:keepLines w:val="0"/>
        <w:widowControl w:val="0"/>
        <w:numPr>
          <w:ilvl w:val="0"/>
          <w:numId w:val="25"/>
        </w:numPr>
        <w:shd w:val="clear" w:color="auto" w:fill="auto"/>
        <w:tabs>
          <w:tab w:pos="1290" w:val="left"/>
        </w:tabs>
        <w:bidi w:val="0"/>
        <w:spacing w:before="0" w:after="140" w:line="240" w:lineRule="auto"/>
        <w:ind w:left="0" w:right="0" w:firstLine="960"/>
        <w:jc w:val="both"/>
      </w:pPr>
      <w:bookmarkStart w:id="749" w:name="bookmark749"/>
      <w:bookmarkEnd w:id="749"/>
      <w:r>
        <w:rPr>
          <w:color w:val="000000"/>
          <w:spacing w:val="0"/>
          <w:w w:val="100"/>
          <w:position w:val="0"/>
        </w:rPr>
        <w:t>公司总部的经营地址：辽宁省沈阳市沈阳经济技术开发区开发大路</w:t>
      </w:r>
      <w:r>
        <w:rPr>
          <w:rFonts w:ascii="Times New Roman" w:eastAsia="Times New Roman" w:hAnsi="Times New Roman" w:cs="Times New Roman"/>
          <w:color w:val="000000"/>
          <w:spacing w:val="0"/>
          <w:w w:val="100"/>
          <w:position w:val="0"/>
        </w:rPr>
        <w:t>7</w:t>
      </w:r>
      <w:r>
        <w:rPr>
          <w:color w:val="000000"/>
          <w:spacing w:val="0"/>
          <w:w w:val="100"/>
          <w:position w:val="0"/>
        </w:rPr>
        <w:t>甲</w:t>
      </w:r>
      <w:r>
        <w:rPr>
          <w:rFonts w:ascii="Times New Roman" w:eastAsia="Times New Roman" w:hAnsi="Times New Roman" w:cs="Times New Roman"/>
          <w:color w:val="000000"/>
          <w:spacing w:val="0"/>
          <w:w w:val="100"/>
          <w:position w:val="0"/>
        </w:rPr>
        <w:t>3</w:t>
      </w:r>
      <w:r>
        <w:rPr>
          <w:color w:val="000000"/>
          <w:spacing w:val="0"/>
          <w:w w:val="100"/>
          <w:position w:val="0"/>
        </w:rPr>
        <w:t>号。</w:t>
      </w:r>
    </w:p>
    <w:p>
      <w:pPr>
        <w:pStyle w:val="Style32"/>
        <w:keepNext w:val="0"/>
        <w:keepLines w:val="0"/>
        <w:widowControl w:val="0"/>
        <w:numPr>
          <w:ilvl w:val="0"/>
          <w:numId w:val="25"/>
        </w:numPr>
        <w:shd w:val="clear" w:color="auto" w:fill="auto"/>
        <w:tabs>
          <w:tab w:pos="1294" w:val="left"/>
        </w:tabs>
        <w:bidi w:val="0"/>
        <w:spacing w:before="0" w:after="140" w:line="240" w:lineRule="auto"/>
        <w:ind w:left="0" w:right="0" w:firstLine="960"/>
        <w:jc w:val="left"/>
      </w:pPr>
      <w:bookmarkStart w:id="750" w:name="bookmark750"/>
      <w:bookmarkEnd w:id="750"/>
      <w:r>
        <w:rPr>
          <w:color w:val="000000"/>
          <w:spacing w:val="0"/>
          <w:w w:val="100"/>
          <w:position w:val="0"/>
        </w:rPr>
        <w:t>公司法定代表人：何任晖。</w:t>
      </w:r>
    </w:p>
    <w:p>
      <w:pPr>
        <w:pStyle w:val="Style32"/>
        <w:keepNext w:val="0"/>
        <w:keepLines w:val="0"/>
        <w:widowControl w:val="0"/>
        <w:numPr>
          <w:ilvl w:val="0"/>
          <w:numId w:val="25"/>
        </w:numPr>
        <w:shd w:val="clear" w:color="auto" w:fill="auto"/>
        <w:tabs>
          <w:tab w:pos="1294" w:val="left"/>
        </w:tabs>
        <w:bidi w:val="0"/>
        <w:spacing w:before="0" w:after="140" w:line="240" w:lineRule="auto"/>
        <w:ind w:left="0" w:right="0" w:firstLine="960"/>
        <w:jc w:val="both"/>
      </w:pPr>
      <w:bookmarkStart w:id="751" w:name="bookmark751"/>
      <w:bookmarkEnd w:id="751"/>
      <w:r>
        <w:rPr>
          <w:color w:val="000000"/>
          <w:spacing w:val="0"/>
          <w:w w:val="100"/>
          <w:position w:val="0"/>
        </w:rPr>
        <w:t>财务报告批准报出日：本财务报告于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日由公司董事会通过并批准发布。</w:t>
      </w:r>
    </w:p>
    <w:p>
      <w:pPr>
        <w:pStyle w:val="Style32"/>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（二）合并财务报表范围及变化</w:t>
      </w:r>
    </w:p>
    <w:p>
      <w:pPr>
        <w:pStyle w:val="Style32"/>
        <w:keepNext w:val="0"/>
        <w:keepLines w:val="0"/>
        <w:widowControl w:val="0"/>
        <w:numPr>
          <w:ilvl w:val="0"/>
          <w:numId w:val="27"/>
        </w:numPr>
        <w:shd w:val="clear" w:color="auto" w:fill="auto"/>
        <w:bidi w:val="0"/>
        <w:spacing w:before="0" w:after="60" w:line="240" w:lineRule="auto"/>
        <w:ind w:left="0" w:right="0" w:firstLine="960"/>
        <w:jc w:val="left"/>
      </w:pPr>
      <w:bookmarkStart w:id="752" w:name="bookmark752"/>
      <w:bookmarkEnd w:id="752"/>
      <w:r>
        <w:rPr>
          <w:color w:val="000000"/>
          <w:spacing w:val="0"/>
          <w:w w:val="100"/>
          <w:position w:val="0"/>
        </w:rPr>
        <w:t>本报告期末纳入合并范围的子公司</w:t>
      </w:r>
    </w:p>
    <w:tbl>
      <w:tblPr>
        <w:tblOverlap w:val="never"/>
        <w:jc w:val="center"/>
        <w:tblLayout w:type="fixed"/>
      </w:tblPr>
      <w:tblGrid>
        <w:gridCol w:w="1003"/>
        <w:gridCol w:w="3542"/>
        <w:gridCol w:w="1843"/>
        <w:gridCol w:w="1133"/>
        <w:gridCol w:w="1248"/>
      </w:tblGrid>
      <w:tr>
        <w:trPr>
          <w:trHeight w:val="350"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子公司全称</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子公司简称</w:t>
            </w: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r>
              <w:rPr>
                <w:rFonts w:ascii="Times New Roman" w:eastAsia="Times New Roman" w:hAnsi="Times New Roman" w:cs="Times New Roman"/>
                <w:color w:val="000000"/>
                <w:spacing w:val="0"/>
                <w:w w:val="100"/>
                <w:position w:val="0"/>
              </w:rPr>
              <w:t>%</w:t>
            </w:r>
            <w:r>
              <w:rPr>
                <w:color w:val="000000"/>
                <w:spacing w:val="0"/>
                <w:w w:val="100"/>
                <w:position w:val="0"/>
              </w:rPr>
              <w:t>）</w:t>
            </w:r>
          </w:p>
        </w:tc>
      </w:tr>
      <w:tr>
        <w:trPr>
          <w:trHeight w:val="350"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间接</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辽宁荣科金融服务有限公司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荣科金融公司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北京荣科爱信科技有限公司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荣科爱信公司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米健公司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苏州易健医疗信息技术有限公司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易健公司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西藏米健信息技术有限公司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西藏米健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上海米健健康科技有限公司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米健健康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北京神州视翰科技有限公司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神州视翰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武汉视界物联科技有限公司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武汉视界</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东莞益视智能设备有限公司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东莞益视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广州市聚点电子科技有限公司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广州聚点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60.00</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上海今创信息技术有限公司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上海今创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70.00</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上海今创软件技术有限公司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今创软件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70.00</w:t>
            </w:r>
          </w:p>
        </w:tc>
      </w:tr>
      <w:tr>
        <w:trPr>
          <w:trHeight w:val="35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辽宁荣科智维云科技有限公司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辽宁智维云</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50.20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上述子公司具体情况详见本报告第十二节、九、在其他主体中的权益;</w:t>
      </w:r>
    </w:p>
    <w:p>
      <w:pPr>
        <w:widowControl w:val="0"/>
        <w:spacing w:after="199" w:line="1" w:lineRule="exact"/>
      </w:pPr>
    </w:p>
    <w:p>
      <w:pPr>
        <w:pStyle w:val="Style32"/>
        <w:keepNext w:val="0"/>
        <w:keepLines w:val="0"/>
        <w:widowControl w:val="0"/>
        <w:numPr>
          <w:ilvl w:val="0"/>
          <w:numId w:val="27"/>
        </w:numPr>
        <w:shd w:val="clear" w:color="auto" w:fill="auto"/>
        <w:bidi w:val="0"/>
        <w:spacing w:before="0" w:after="200" w:line="240" w:lineRule="auto"/>
        <w:ind w:left="0" w:right="0" w:firstLine="960"/>
        <w:jc w:val="left"/>
      </w:pPr>
      <w:bookmarkStart w:id="753" w:name="bookmark753"/>
      <w:bookmarkEnd w:id="753"/>
      <w:r>
        <w:rPr>
          <w:color w:val="000000"/>
          <w:spacing w:val="0"/>
          <w:w w:val="100"/>
          <w:position w:val="0"/>
        </w:rPr>
        <w:t>本报告期内合并财务报表范围变化</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本报告期内新增子公司:</w:t>
      </w:r>
    </w:p>
    <w:tbl>
      <w:tblPr>
        <w:tblOverlap w:val="never"/>
        <w:jc w:val="center"/>
        <w:tblLayout w:type="fixed"/>
      </w:tblPr>
      <w:tblGrid>
        <w:gridCol w:w="595"/>
        <w:gridCol w:w="2693"/>
        <w:gridCol w:w="1272"/>
        <w:gridCol w:w="1843"/>
        <w:gridCol w:w="2702"/>
      </w:tblGrid>
      <w:tr>
        <w:trPr>
          <w:trHeight w:val="36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序号</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子公司全称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子公司简称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报告期间</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纳入合并报表原因</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上海今创信息技术有限公司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上海今创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3-12 </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非同一控制下合并</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上海今创软件技术有限公司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今创软件</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3-12 </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非同一控制下合并</w:t>
            </w:r>
          </w:p>
        </w:tc>
      </w:tr>
      <w:tr>
        <w:trPr>
          <w:trHeight w:val="360"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南京今创信息技术有限公司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南京今创</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3-6</w:t>
            </w:r>
            <w:r>
              <w:rPr>
                <w:color w:val="000000"/>
                <w:spacing w:val="0"/>
                <w:w w:val="100"/>
                <w:position w:val="0"/>
              </w:rPr>
              <w:t>月</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非同一控制下合并</w:t>
            </w:r>
          </w:p>
        </w:tc>
      </w:tr>
    </w:tbl>
    <w:p>
      <w:pPr>
        <w:widowControl w:val="0"/>
        <w:spacing w:after="139" w:line="1" w:lineRule="exact"/>
      </w:pP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本报告期内减少子公司:</w:t>
      </w:r>
    </w:p>
    <w:tbl>
      <w:tblPr>
        <w:tblOverlap w:val="never"/>
        <w:jc w:val="center"/>
        <w:tblLayout w:type="fixed"/>
      </w:tblPr>
      <w:tblGrid>
        <w:gridCol w:w="595"/>
        <w:gridCol w:w="2693"/>
        <w:gridCol w:w="1560"/>
        <w:gridCol w:w="1555"/>
        <w:gridCol w:w="2702"/>
      </w:tblGrid>
      <w:tr>
        <w:trPr>
          <w:trHeight w:val="475" w:hRule="exact"/>
        </w:trPr>
        <w:tc>
          <w:tcPr>
            <w:tcBorders>
              <w:top w:val="single" w:sz="4"/>
              <w:left w:val="single" w:sz="4"/>
            </w:tcBorders>
            <w:shd w:val="clear" w:color="auto" w:fill="D4D4D4"/>
            <w:vAlign w:val="bottom"/>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序号</w:t>
            </w:r>
          </w:p>
        </w:tc>
        <w:tc>
          <w:tcPr>
            <w:tcBorders>
              <w:top w:val="single" w:sz="4"/>
              <w:left w:val="single" w:sz="4"/>
            </w:tcBorders>
            <w:shd w:val="clear" w:color="auto" w:fill="D4D4D4"/>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子公司全称</w:t>
            </w:r>
          </w:p>
        </w:tc>
        <w:tc>
          <w:tcPr>
            <w:tcBorders>
              <w:top w:val="single" w:sz="4"/>
              <w:left w:val="single" w:sz="4"/>
            </w:tcBorders>
            <w:shd w:val="clear" w:color="auto" w:fill="D4D4D4"/>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子公司简称</w:t>
            </w:r>
          </w:p>
        </w:tc>
        <w:tc>
          <w:tcPr>
            <w:tcBorders>
              <w:top w:val="single" w:sz="4"/>
              <w:left w:val="single" w:sz="4"/>
            </w:tcBorders>
            <w:shd w:val="clear" w:color="auto" w:fill="D4D4D4"/>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报告期间</w:t>
            </w:r>
          </w:p>
        </w:tc>
        <w:tc>
          <w:tcPr>
            <w:tcBorders>
              <w:top w:val="single" w:sz="4"/>
              <w:left w:val="single" w:sz="4"/>
              <w:right w:val="single" w:sz="4"/>
            </w:tcBorders>
            <w:shd w:val="clear" w:color="auto" w:fill="D4D4D4"/>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纳入合并报表原因</w:t>
            </w:r>
          </w:p>
        </w:tc>
      </w:tr>
      <w:tr>
        <w:trPr>
          <w:trHeight w:val="466" w:hRule="exact"/>
        </w:trPr>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南京今创信息技术有限公司</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南京今创</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3-6</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其他投资方增资，不再控制</w:t>
            </w:r>
          </w:p>
        </w:tc>
      </w:tr>
      <w:tr>
        <w:trPr>
          <w:trHeight w:val="466" w:hRule="exact"/>
        </w:trPr>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北京荣科智维云科技有限公司</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北京智维云</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1-5</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r>
      <w:tr>
        <w:trPr>
          <w:trHeight w:val="470" w:hRule="exact"/>
        </w:trPr>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神州视翰科技</w:t>
            </w:r>
            <w:r>
              <w:rPr>
                <w:rFonts w:ascii="Times New Roman" w:eastAsia="Times New Roman" w:hAnsi="Times New Roman" w:cs="Times New Roman"/>
                <w:color w:val="000000"/>
                <w:spacing w:val="0"/>
                <w:w w:val="100"/>
                <w:position w:val="0"/>
              </w:rPr>
              <w:t>（</w:t>
            </w:r>
            <w:r>
              <w:rPr>
                <w:color w:val="000000"/>
                <w:spacing w:val="0"/>
                <w:w w:val="100"/>
                <w:position w:val="0"/>
              </w:rPr>
              <w:t>深圳</w:t>
            </w:r>
            <w:r>
              <w:rPr>
                <w:rFonts w:ascii="Times New Roman" w:eastAsia="Times New Roman" w:hAnsi="Times New Roman" w:cs="Times New Roman"/>
                <w:color w:val="000000"/>
                <w:spacing w:val="0"/>
                <w:w w:val="100"/>
                <w:position w:val="0"/>
              </w:rPr>
              <w:t>）</w:t>
            </w:r>
            <w:r>
              <w:rPr>
                <w:color w:val="000000"/>
                <w:spacing w:val="0"/>
                <w:w w:val="100"/>
                <w:position w:val="0"/>
              </w:rPr>
              <w:t>有限公司</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深圳视翰</w:t>
            </w:r>
          </w:p>
        </w:tc>
        <w:tc>
          <w:tcPr>
            <w:tcBorders>
              <w:top w:val="single" w:sz="4"/>
              <w:lef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1-11</w:t>
            </w:r>
            <w:r>
              <w:rPr>
                <w:color w:val="000000"/>
                <w:spacing w:val="0"/>
                <w:w w:val="100"/>
                <w:position w:val="0"/>
              </w:rPr>
              <w:t>月</w:t>
            </w:r>
          </w:p>
        </w:tc>
        <w:tc>
          <w:tcPr>
            <w:tcBorders>
              <w:top w:val="single" w:sz="4"/>
              <w:left w:val="single" w:sz="4"/>
              <w:right w:val="single" w:sz="4"/>
            </w:tcBorders>
            <w:shd w:val="clear" w:color="auto" w:fill="FFFFFF"/>
            <w:vAlign w:val="bottom"/>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注销</w:t>
            </w:r>
          </w:p>
        </w:tc>
      </w:tr>
      <w:tr>
        <w:trPr>
          <w:trHeight w:val="47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享云科技有限责任公司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享云科技公司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1-12</w:t>
            </w:r>
            <w:r>
              <w:rPr>
                <w:color w:val="000000"/>
                <w:spacing w:val="0"/>
                <w:w w:val="100"/>
                <w:position w:val="0"/>
              </w:rPr>
              <w:t>月</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r>
    </w:tbl>
    <w:p>
      <w:pPr>
        <w:pStyle w:val="Style49"/>
        <w:keepNext w:val="0"/>
        <w:keepLines w:val="0"/>
        <w:widowControl w:val="0"/>
        <w:shd w:val="clear" w:color="auto" w:fill="auto"/>
        <w:bidi w:val="0"/>
        <w:spacing w:before="0" w:after="0" w:line="240" w:lineRule="auto"/>
        <w:ind w:left="0" w:right="0" w:firstLine="0"/>
        <w:jc w:val="left"/>
        <w:sectPr>
          <w:headerReference w:type="default" r:id="rId281"/>
          <w:footerReference w:type="default" r:id="rId282"/>
          <w:headerReference w:type="even" r:id="rId283"/>
          <w:footerReference w:type="even" r:id="rId284"/>
          <w:footnotePr>
            <w:pos w:val="pageBottom"/>
            <w:numFmt w:val="decimal"/>
            <w:numRestart w:val="continuous"/>
          </w:footnotePr>
          <w:pgSz w:w="11900" w:h="16840"/>
          <w:pgMar w:top="678" w:right="597" w:bottom="1163" w:left="142" w:header="0" w:footer="3" w:gutter="0"/>
          <w:cols w:space="720"/>
          <w:noEndnote/>
          <w:rtlGutter w:val="0"/>
          <w:docGrid w:linePitch="360"/>
        </w:sectPr>
      </w:pPr>
      <w:r>
        <w:rPr>
          <w:color w:val="000000"/>
          <w:spacing w:val="0"/>
          <w:w w:val="100"/>
          <w:position w:val="0"/>
        </w:rPr>
        <w:t>本报告期内新增及减少子公司的具体情况详见本报告第十二节、八、合并范围的变更。</w:t>
      </w:r>
    </w:p>
    <w:p>
      <w:pPr>
        <w:pStyle w:val="Style5"/>
        <w:keepNext w:val="0"/>
        <w:keepLines w:val="0"/>
        <w:widowControl w:val="0"/>
        <w:shd w:val="clear" w:color="auto" w:fill="auto"/>
        <w:bidi w:val="0"/>
        <w:spacing w:before="0" w:after="40" w:line="240" w:lineRule="auto"/>
        <w:ind w:left="0" w:right="0" w:firstLine="98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tabs>
          <w:tab w:pos="1726" w:val="left"/>
        </w:tabs>
        <w:bidi w:val="0"/>
        <w:spacing w:before="0" w:after="0" w:line="240" w:lineRule="auto"/>
        <w:ind w:left="1140" w:right="0" w:firstLine="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tabs>
          <w:tab w:pos="1478" w:val="left"/>
        </w:tabs>
        <w:bidi w:val="0"/>
        <w:spacing w:before="0" w:after="380" w:line="240" w:lineRule="auto"/>
        <w:ind w:left="0" w:right="0" w:firstLine="980"/>
        <w:jc w:val="left"/>
      </w:pPr>
      <w:bookmarkStart w:id="754" w:name="bookmark754"/>
      <w:bookmarkStart w:id="755" w:name="bookmark755"/>
      <w:bookmarkStart w:id="756" w:name="bookmark756"/>
      <w:bookmarkStart w:id="757" w:name="bookmark757"/>
      <w:r>
        <w:rPr>
          <w:color w:val="000000"/>
          <w:spacing w:val="0"/>
          <w:w w:val="100"/>
          <w:position w:val="0"/>
          <w:sz w:val="24"/>
          <w:szCs w:val="24"/>
        </w:rPr>
        <w:t>四</w:t>
      </w:r>
      <w:bookmarkEnd w:id="756"/>
      <w:r>
        <w:rPr>
          <w:color w:val="000000"/>
          <w:spacing w:val="0"/>
          <w:w w:val="100"/>
          <w:position w:val="0"/>
          <w:sz w:val="24"/>
          <w:szCs w:val="24"/>
        </w:rPr>
        <w:t>、</w:t>
        <w:tab/>
        <w:t>财务报表的编制基础</w:t>
      </w:r>
      <w:bookmarkEnd w:id="754"/>
      <w:bookmarkEnd w:id="755"/>
      <w:bookmarkEnd w:id="757"/>
    </w:p>
    <w:p>
      <w:pPr>
        <w:pStyle w:val="Style55"/>
        <w:keepNext/>
        <w:keepLines/>
        <w:widowControl w:val="0"/>
        <w:shd w:val="clear" w:color="auto" w:fill="auto"/>
        <w:tabs>
          <w:tab w:pos="1348" w:val="left"/>
        </w:tabs>
        <w:bidi w:val="0"/>
        <w:spacing w:before="0" w:after="260" w:line="240" w:lineRule="auto"/>
        <w:ind w:left="980" w:right="0" w:firstLine="0"/>
        <w:jc w:val="left"/>
      </w:pPr>
      <w:bookmarkStart w:id="758" w:name="bookmark758"/>
      <w:bookmarkStart w:id="759" w:name="bookmark759"/>
      <w:bookmarkStart w:id="760" w:name="bookmark760"/>
      <w:bookmarkStart w:id="761" w:name="bookmark761"/>
      <w:r>
        <w:rPr>
          <w:rFonts w:ascii="Times New Roman" w:eastAsia="Times New Roman" w:hAnsi="Times New Roman" w:cs="Times New Roman"/>
          <w:color w:val="000000"/>
          <w:spacing w:val="0"/>
          <w:w w:val="100"/>
          <w:position w:val="0"/>
        </w:rPr>
        <w:t>1</w:t>
      </w:r>
      <w:bookmarkEnd w:id="760"/>
      <w:r>
        <w:rPr>
          <w:color w:val="000000"/>
          <w:spacing w:val="0"/>
          <w:w w:val="100"/>
          <w:position w:val="0"/>
        </w:rPr>
        <w:t>、</w:t>
        <w:tab/>
        <w:t>编制基础</w:t>
      </w:r>
      <w:bookmarkEnd w:id="758"/>
      <w:bookmarkEnd w:id="759"/>
      <w:bookmarkEnd w:id="761"/>
    </w:p>
    <w:p>
      <w:pPr>
        <w:pStyle w:val="Style32"/>
        <w:keepNext w:val="0"/>
        <w:keepLines w:val="0"/>
        <w:widowControl w:val="0"/>
        <w:shd w:val="clear" w:color="auto" w:fill="auto"/>
        <w:bidi w:val="0"/>
        <w:spacing w:before="0" w:after="380" w:line="307" w:lineRule="exact"/>
        <w:ind w:left="980" w:right="0" w:firstLine="0"/>
        <w:jc w:val="left"/>
      </w:pPr>
      <w:r>
        <w:rPr>
          <w:color w:val="000000"/>
          <w:spacing w:val="0"/>
          <w:w w:val="100"/>
          <w:position w:val="0"/>
        </w:rPr>
        <w:t>本公司以持续经营为基础，根据实际发生的交易和事项，按照企业会计准则及其应用指南和准则解释的规定进行确认和计量， 在此基础上编制财务报表。此外，本公司还按照中国证监会《公开发行证券的公司信息披露编报规则第</w:t>
      </w:r>
      <w:r>
        <w:rPr>
          <w:rFonts w:ascii="Times New Roman" w:eastAsia="Times New Roman" w:hAnsi="Times New Roman" w:cs="Times New Roman"/>
          <w:color w:val="000000"/>
          <w:spacing w:val="0"/>
          <w:w w:val="100"/>
          <w:position w:val="0"/>
        </w:rPr>
        <w:t>15</w:t>
      </w:r>
      <w:r>
        <w:rPr>
          <w:color w:val="000000"/>
          <w:spacing w:val="0"/>
          <w:w w:val="100"/>
          <w:position w:val="0"/>
        </w:rPr>
        <w:t>号——财务报告的 一般规定》（</w:t>
      </w:r>
      <w:r>
        <w:rPr>
          <w:rFonts w:ascii="Times New Roman" w:eastAsia="Times New Roman" w:hAnsi="Times New Roman" w:cs="Times New Roman"/>
          <w:color w:val="000000"/>
          <w:spacing w:val="0"/>
          <w:w w:val="100"/>
          <w:position w:val="0"/>
        </w:rPr>
        <w:t>2014</w:t>
      </w:r>
      <w:r>
        <w:rPr>
          <w:color w:val="000000"/>
          <w:spacing w:val="0"/>
          <w:w w:val="100"/>
          <w:position w:val="0"/>
        </w:rPr>
        <w:t>年修订）披露有关财务信息。</w:t>
      </w:r>
    </w:p>
    <w:p>
      <w:pPr>
        <w:pStyle w:val="Style55"/>
        <w:keepNext/>
        <w:keepLines/>
        <w:widowControl w:val="0"/>
        <w:shd w:val="clear" w:color="auto" w:fill="auto"/>
        <w:tabs>
          <w:tab w:pos="1358" w:val="left"/>
        </w:tabs>
        <w:bidi w:val="0"/>
        <w:spacing w:before="0" w:after="260" w:line="240" w:lineRule="auto"/>
        <w:ind w:left="0" w:right="0" w:firstLine="980"/>
        <w:jc w:val="both"/>
      </w:pPr>
      <w:bookmarkStart w:id="762" w:name="bookmark762"/>
      <w:bookmarkStart w:id="763" w:name="bookmark763"/>
      <w:bookmarkStart w:id="764" w:name="bookmark764"/>
      <w:bookmarkStart w:id="765" w:name="bookmark765"/>
      <w:r>
        <w:rPr>
          <w:rFonts w:ascii="Times New Roman" w:eastAsia="Times New Roman" w:hAnsi="Times New Roman" w:cs="Times New Roman"/>
          <w:color w:val="000000"/>
          <w:spacing w:val="0"/>
          <w:w w:val="100"/>
          <w:position w:val="0"/>
        </w:rPr>
        <w:t>2</w:t>
      </w:r>
      <w:bookmarkEnd w:id="764"/>
      <w:r>
        <w:rPr>
          <w:color w:val="000000"/>
          <w:spacing w:val="0"/>
          <w:w w:val="100"/>
          <w:position w:val="0"/>
        </w:rPr>
        <w:t>、</w:t>
        <w:tab/>
        <w:t>持续经营</w:t>
      </w:r>
      <w:bookmarkEnd w:id="762"/>
      <w:bookmarkEnd w:id="763"/>
      <w:bookmarkEnd w:id="765"/>
    </w:p>
    <w:p>
      <w:pPr>
        <w:pStyle w:val="Style32"/>
        <w:keepNext w:val="0"/>
        <w:keepLines w:val="0"/>
        <w:widowControl w:val="0"/>
        <w:shd w:val="clear" w:color="auto" w:fill="auto"/>
        <w:bidi w:val="0"/>
        <w:spacing w:before="0" w:after="380" w:line="326" w:lineRule="exact"/>
        <w:ind w:left="980" w:right="0" w:firstLine="0"/>
        <w:jc w:val="left"/>
      </w:pPr>
      <w:r>
        <w:rPr>
          <w:color w:val="000000"/>
          <w:spacing w:val="0"/>
          <w:w w:val="100"/>
          <w:position w:val="0"/>
        </w:rPr>
        <w:t>本公司对自报告期末起</w:t>
      </w:r>
      <w:r>
        <w:rPr>
          <w:rFonts w:ascii="Times New Roman" w:eastAsia="Times New Roman" w:hAnsi="Times New Roman" w:cs="Times New Roman"/>
          <w:color w:val="000000"/>
          <w:spacing w:val="0"/>
          <w:w w:val="100"/>
          <w:position w:val="0"/>
        </w:rPr>
        <w:t>12</w:t>
      </w:r>
      <w:r>
        <w:rPr>
          <w:color w:val="000000"/>
          <w:spacing w:val="0"/>
          <w:w w:val="100"/>
          <w:position w:val="0"/>
        </w:rPr>
        <w:t>个月的持续经营能力进行了评估，未发现影响本公司持续经营能力的事项，本公司以持续经营为基 础编制财务报表是合理的。</w:t>
      </w:r>
    </w:p>
    <w:p>
      <w:pPr>
        <w:pStyle w:val="Style47"/>
        <w:keepNext/>
        <w:keepLines/>
        <w:widowControl w:val="0"/>
        <w:shd w:val="clear" w:color="auto" w:fill="auto"/>
        <w:tabs>
          <w:tab w:pos="1497" w:val="left"/>
        </w:tabs>
        <w:bidi w:val="0"/>
        <w:spacing w:before="0" w:after="260" w:line="240" w:lineRule="auto"/>
        <w:ind w:left="0" w:right="0" w:firstLine="980"/>
        <w:jc w:val="left"/>
      </w:pPr>
      <w:bookmarkStart w:id="766" w:name="bookmark766"/>
      <w:bookmarkStart w:id="767" w:name="bookmark767"/>
      <w:bookmarkStart w:id="768" w:name="bookmark768"/>
      <w:bookmarkStart w:id="769" w:name="bookmark769"/>
      <w:r>
        <w:rPr>
          <w:color w:val="000000"/>
          <w:spacing w:val="0"/>
          <w:w w:val="100"/>
          <w:position w:val="0"/>
          <w:sz w:val="24"/>
          <w:szCs w:val="24"/>
        </w:rPr>
        <w:t>五</w:t>
      </w:r>
      <w:bookmarkEnd w:id="768"/>
      <w:r>
        <w:rPr>
          <w:color w:val="000000"/>
          <w:spacing w:val="0"/>
          <w:w w:val="100"/>
          <w:position w:val="0"/>
          <w:sz w:val="24"/>
          <w:szCs w:val="24"/>
        </w:rPr>
        <w:t>、</w:t>
        <w:tab/>
        <w:t>重要会计政策及会计估计</w:t>
      </w:r>
      <w:bookmarkEnd w:id="766"/>
      <w:bookmarkEnd w:id="767"/>
      <w:bookmarkEnd w:id="769"/>
    </w:p>
    <w:p>
      <w:pPr>
        <w:pStyle w:val="Style32"/>
        <w:keepNext w:val="0"/>
        <w:keepLines w:val="0"/>
        <w:widowControl w:val="0"/>
        <w:shd w:val="clear" w:color="auto" w:fill="auto"/>
        <w:bidi w:val="0"/>
        <w:spacing w:before="0" w:after="100" w:line="316" w:lineRule="exact"/>
        <w:ind w:left="0" w:right="0" w:firstLine="980"/>
        <w:jc w:val="left"/>
      </w:pPr>
      <w:r>
        <w:rPr>
          <w:color w:val="000000"/>
          <w:spacing w:val="0"/>
          <w:w w:val="100"/>
          <w:position w:val="0"/>
        </w:rPr>
        <w:t>具体会计政策和会计估计提示：</w:t>
      </w:r>
    </w:p>
    <w:p>
      <w:pPr>
        <w:pStyle w:val="Style32"/>
        <w:keepNext w:val="0"/>
        <w:keepLines w:val="0"/>
        <w:widowControl w:val="0"/>
        <w:shd w:val="clear" w:color="auto" w:fill="auto"/>
        <w:bidi w:val="0"/>
        <w:spacing w:before="0" w:after="380" w:line="316" w:lineRule="exact"/>
        <w:ind w:left="0" w:right="0" w:firstLine="980"/>
        <w:jc w:val="left"/>
      </w:pPr>
      <w:r>
        <w:rPr>
          <w:color w:val="000000"/>
          <w:spacing w:val="0"/>
          <w:w w:val="100"/>
          <w:position w:val="0"/>
        </w:rPr>
        <w:t>本公司下列重要会计政策、会计估计根据企业会计准则制定。未提及的业务按企业会计准则中相关会计政策执行。</w:t>
      </w:r>
    </w:p>
    <w:p>
      <w:pPr>
        <w:pStyle w:val="Style55"/>
        <w:keepNext/>
        <w:keepLines/>
        <w:widowControl w:val="0"/>
        <w:shd w:val="clear" w:color="auto" w:fill="auto"/>
        <w:tabs>
          <w:tab w:pos="1348" w:val="left"/>
        </w:tabs>
        <w:bidi w:val="0"/>
        <w:spacing w:before="0" w:after="260" w:line="240" w:lineRule="auto"/>
        <w:ind w:left="0" w:right="0" w:firstLine="980"/>
        <w:jc w:val="left"/>
      </w:pPr>
      <w:bookmarkStart w:id="770" w:name="bookmark770"/>
      <w:bookmarkStart w:id="771" w:name="bookmark771"/>
      <w:bookmarkStart w:id="772" w:name="bookmark772"/>
      <w:bookmarkStart w:id="773" w:name="bookmark773"/>
      <w:r>
        <w:rPr>
          <w:rFonts w:ascii="Times New Roman" w:eastAsia="Times New Roman" w:hAnsi="Times New Roman" w:cs="Times New Roman"/>
          <w:color w:val="000000"/>
          <w:spacing w:val="0"/>
          <w:w w:val="100"/>
          <w:position w:val="0"/>
        </w:rPr>
        <w:t>1</w:t>
      </w:r>
      <w:bookmarkEnd w:id="772"/>
      <w:r>
        <w:rPr>
          <w:color w:val="000000"/>
          <w:spacing w:val="0"/>
          <w:w w:val="100"/>
          <w:position w:val="0"/>
        </w:rPr>
        <w:t>、</w:t>
        <w:tab/>
        <w:t>遵循企业会计准则的声明</w:t>
      </w:r>
      <w:bookmarkEnd w:id="770"/>
      <w:bookmarkEnd w:id="771"/>
      <w:bookmarkEnd w:id="773"/>
    </w:p>
    <w:p>
      <w:pPr>
        <w:pStyle w:val="Style32"/>
        <w:keepNext w:val="0"/>
        <w:keepLines w:val="0"/>
        <w:widowControl w:val="0"/>
        <w:shd w:val="clear" w:color="auto" w:fill="auto"/>
        <w:bidi w:val="0"/>
        <w:spacing w:before="0" w:after="380" w:line="312" w:lineRule="exact"/>
        <w:ind w:left="980" w:right="0" w:firstLine="0"/>
        <w:jc w:val="left"/>
      </w:pPr>
      <w:r>
        <w:rPr>
          <w:color w:val="000000"/>
          <w:spacing w:val="0"/>
          <w:w w:val="100"/>
          <w:position w:val="0"/>
        </w:rPr>
        <w:t>本公司所编制的财务报表符合企业会计准则的要求，真实、完整地反映了公司的财务状况、经营成果、所有者权益变动和现 金流量等有关信息。</w:t>
      </w:r>
    </w:p>
    <w:p>
      <w:pPr>
        <w:pStyle w:val="Style55"/>
        <w:keepNext/>
        <w:keepLines/>
        <w:widowControl w:val="0"/>
        <w:shd w:val="clear" w:color="auto" w:fill="auto"/>
        <w:tabs>
          <w:tab w:pos="1358" w:val="left"/>
        </w:tabs>
        <w:bidi w:val="0"/>
        <w:spacing w:before="0" w:after="260" w:line="240" w:lineRule="auto"/>
        <w:ind w:left="0" w:right="0" w:firstLine="980"/>
        <w:jc w:val="left"/>
      </w:pPr>
      <w:bookmarkStart w:id="774" w:name="bookmark774"/>
      <w:bookmarkStart w:id="775" w:name="bookmark775"/>
      <w:bookmarkStart w:id="776" w:name="bookmark776"/>
      <w:bookmarkStart w:id="777" w:name="bookmark777"/>
      <w:r>
        <w:rPr>
          <w:rFonts w:ascii="Times New Roman" w:eastAsia="Times New Roman" w:hAnsi="Times New Roman" w:cs="Times New Roman"/>
          <w:color w:val="000000"/>
          <w:spacing w:val="0"/>
          <w:w w:val="100"/>
          <w:position w:val="0"/>
        </w:rPr>
        <w:t>2</w:t>
      </w:r>
      <w:bookmarkEnd w:id="776"/>
      <w:r>
        <w:rPr>
          <w:color w:val="000000"/>
          <w:spacing w:val="0"/>
          <w:w w:val="100"/>
          <w:position w:val="0"/>
        </w:rPr>
        <w:t>、</w:t>
        <w:tab/>
        <w:t>会计期间</w:t>
      </w:r>
      <w:bookmarkEnd w:id="774"/>
      <w:bookmarkEnd w:id="775"/>
      <w:bookmarkEnd w:id="777"/>
    </w:p>
    <w:p>
      <w:pPr>
        <w:pStyle w:val="Style32"/>
        <w:keepNext w:val="0"/>
        <w:keepLines w:val="0"/>
        <w:widowControl w:val="0"/>
        <w:shd w:val="clear" w:color="auto" w:fill="auto"/>
        <w:bidi w:val="0"/>
        <w:spacing w:before="0" w:after="380" w:line="316" w:lineRule="exact"/>
        <w:ind w:left="0" w:right="0" w:firstLine="980"/>
        <w:jc w:val="left"/>
      </w:pPr>
      <w:r>
        <w:rPr>
          <w:color w:val="000000"/>
          <w:spacing w:val="0"/>
          <w:w w:val="100"/>
          <w:position w:val="0"/>
        </w:rPr>
        <w:t>本公司会计年度自公历</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日起至</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日止。</w:t>
      </w:r>
    </w:p>
    <w:p>
      <w:pPr>
        <w:pStyle w:val="Style55"/>
        <w:keepNext/>
        <w:keepLines/>
        <w:widowControl w:val="0"/>
        <w:shd w:val="clear" w:color="auto" w:fill="auto"/>
        <w:tabs>
          <w:tab w:pos="1358" w:val="left"/>
        </w:tabs>
        <w:bidi w:val="0"/>
        <w:spacing w:before="0" w:after="260" w:line="240" w:lineRule="auto"/>
        <w:ind w:left="0" w:right="0" w:firstLine="980"/>
        <w:jc w:val="left"/>
      </w:pPr>
      <w:bookmarkStart w:id="778" w:name="bookmark778"/>
      <w:bookmarkStart w:id="779" w:name="bookmark779"/>
      <w:bookmarkStart w:id="780" w:name="bookmark780"/>
      <w:bookmarkStart w:id="781" w:name="bookmark781"/>
      <w:r>
        <w:rPr>
          <w:rFonts w:ascii="Times New Roman" w:eastAsia="Times New Roman" w:hAnsi="Times New Roman" w:cs="Times New Roman"/>
          <w:color w:val="000000"/>
          <w:spacing w:val="0"/>
          <w:w w:val="100"/>
          <w:position w:val="0"/>
        </w:rPr>
        <w:t>3</w:t>
      </w:r>
      <w:bookmarkEnd w:id="780"/>
      <w:r>
        <w:rPr>
          <w:color w:val="000000"/>
          <w:spacing w:val="0"/>
          <w:w w:val="100"/>
          <w:position w:val="0"/>
        </w:rPr>
        <w:t>、</w:t>
        <w:tab/>
        <w:t>营业周期</w:t>
      </w:r>
      <w:bookmarkEnd w:id="778"/>
      <w:bookmarkEnd w:id="779"/>
      <w:bookmarkEnd w:id="781"/>
    </w:p>
    <w:p>
      <w:pPr>
        <w:pStyle w:val="Style32"/>
        <w:keepNext w:val="0"/>
        <w:keepLines w:val="0"/>
        <w:widowControl w:val="0"/>
        <w:shd w:val="clear" w:color="auto" w:fill="auto"/>
        <w:bidi w:val="0"/>
        <w:spacing w:before="0" w:after="380" w:line="316" w:lineRule="exact"/>
        <w:ind w:left="0" w:right="0" w:firstLine="980"/>
        <w:jc w:val="left"/>
      </w:pPr>
      <w:r>
        <w:rPr>
          <w:color w:val="000000"/>
          <w:spacing w:val="0"/>
          <w:w w:val="100"/>
          <w:position w:val="0"/>
        </w:rPr>
        <w:t>本公司正常营业周期为一年。</w:t>
      </w:r>
    </w:p>
    <w:p>
      <w:pPr>
        <w:pStyle w:val="Style55"/>
        <w:keepNext/>
        <w:keepLines/>
        <w:widowControl w:val="0"/>
        <w:shd w:val="clear" w:color="auto" w:fill="auto"/>
        <w:tabs>
          <w:tab w:pos="1358" w:val="left"/>
        </w:tabs>
        <w:bidi w:val="0"/>
        <w:spacing w:before="0" w:after="260" w:line="240" w:lineRule="auto"/>
        <w:ind w:left="0" w:right="0" w:firstLine="980"/>
        <w:jc w:val="both"/>
      </w:pPr>
      <w:bookmarkStart w:id="782" w:name="bookmark782"/>
      <w:bookmarkStart w:id="783" w:name="bookmark783"/>
      <w:bookmarkStart w:id="784" w:name="bookmark784"/>
      <w:bookmarkStart w:id="785" w:name="bookmark785"/>
      <w:r>
        <w:rPr>
          <w:rFonts w:ascii="Times New Roman" w:eastAsia="Times New Roman" w:hAnsi="Times New Roman" w:cs="Times New Roman"/>
          <w:color w:val="000000"/>
          <w:spacing w:val="0"/>
          <w:w w:val="100"/>
          <w:position w:val="0"/>
        </w:rPr>
        <w:t>4</w:t>
      </w:r>
      <w:bookmarkEnd w:id="784"/>
      <w:r>
        <w:rPr>
          <w:color w:val="000000"/>
          <w:spacing w:val="0"/>
          <w:w w:val="100"/>
          <w:position w:val="0"/>
        </w:rPr>
        <w:t>、</w:t>
        <w:tab/>
        <w:t>记账本位币</w:t>
      </w:r>
      <w:bookmarkEnd w:id="782"/>
      <w:bookmarkEnd w:id="783"/>
      <w:bookmarkEnd w:id="785"/>
    </w:p>
    <w:p>
      <w:pPr>
        <w:pStyle w:val="Style32"/>
        <w:keepNext w:val="0"/>
        <w:keepLines w:val="0"/>
        <w:widowControl w:val="0"/>
        <w:shd w:val="clear" w:color="auto" w:fill="auto"/>
        <w:bidi w:val="0"/>
        <w:spacing w:before="0" w:after="380" w:line="316" w:lineRule="exact"/>
        <w:ind w:left="0" w:right="0" w:firstLine="980"/>
        <w:jc w:val="left"/>
      </w:pPr>
      <w:r>
        <w:rPr>
          <w:color w:val="000000"/>
          <w:spacing w:val="0"/>
          <w:w w:val="100"/>
          <w:position w:val="0"/>
        </w:rPr>
        <w:t>本公司的记账本位币为人民币，境外</w:t>
      </w:r>
      <w:r>
        <w:rPr>
          <w:rFonts w:ascii="Times New Roman" w:eastAsia="Times New Roman" w:hAnsi="Times New Roman" w:cs="Times New Roman"/>
          <w:color w:val="000000"/>
          <w:spacing w:val="0"/>
          <w:w w:val="100"/>
          <w:position w:val="0"/>
        </w:rPr>
        <w:t>（</w:t>
      </w:r>
      <w:r>
        <w:rPr>
          <w:color w:val="000000"/>
          <w:spacing w:val="0"/>
          <w:w w:val="100"/>
          <w:position w:val="0"/>
        </w:rPr>
        <w:t>分</w:t>
      </w:r>
      <w:r>
        <w:rPr>
          <w:rFonts w:ascii="Times New Roman" w:eastAsia="Times New Roman" w:hAnsi="Times New Roman" w:cs="Times New Roman"/>
          <w:color w:val="000000"/>
          <w:spacing w:val="0"/>
          <w:w w:val="100"/>
          <w:position w:val="0"/>
        </w:rPr>
        <w:t>）</w:t>
      </w:r>
      <w:r>
        <w:rPr>
          <w:color w:val="000000"/>
          <w:spacing w:val="0"/>
          <w:w w:val="100"/>
          <w:position w:val="0"/>
        </w:rPr>
        <w:t>子公司按经营所处的主要经济环境中的货币为记账本位币。</w:t>
      </w:r>
    </w:p>
    <w:p>
      <w:pPr>
        <w:pStyle w:val="Style55"/>
        <w:keepNext/>
        <w:keepLines/>
        <w:widowControl w:val="0"/>
        <w:shd w:val="clear" w:color="auto" w:fill="auto"/>
        <w:tabs>
          <w:tab w:pos="1358" w:val="left"/>
        </w:tabs>
        <w:bidi w:val="0"/>
        <w:spacing w:before="0" w:after="260" w:line="240" w:lineRule="auto"/>
        <w:ind w:left="0" w:right="0" w:firstLine="980"/>
        <w:jc w:val="left"/>
      </w:pPr>
      <w:bookmarkStart w:id="786" w:name="bookmark786"/>
      <w:bookmarkStart w:id="787" w:name="bookmark787"/>
      <w:bookmarkStart w:id="788" w:name="bookmark788"/>
      <w:bookmarkStart w:id="789" w:name="bookmark789"/>
      <w:r>
        <w:rPr>
          <w:rFonts w:ascii="Times New Roman" w:eastAsia="Times New Roman" w:hAnsi="Times New Roman" w:cs="Times New Roman"/>
          <w:color w:val="000000"/>
          <w:spacing w:val="0"/>
          <w:w w:val="100"/>
          <w:position w:val="0"/>
        </w:rPr>
        <w:t>5</w:t>
      </w:r>
      <w:bookmarkEnd w:id="788"/>
      <w:r>
        <w:rPr>
          <w:color w:val="000000"/>
          <w:spacing w:val="0"/>
          <w:w w:val="100"/>
          <w:position w:val="0"/>
        </w:rPr>
        <w:t>、</w:t>
        <w:tab/>
        <w:t>同一控制下和非同一控制下企业合并的会计处理方法</w:t>
      </w:r>
      <w:bookmarkEnd w:id="786"/>
      <w:bookmarkEnd w:id="787"/>
      <w:bookmarkEnd w:id="789"/>
    </w:p>
    <w:p>
      <w:pPr>
        <w:pStyle w:val="Style32"/>
        <w:keepNext w:val="0"/>
        <w:keepLines w:val="0"/>
        <w:widowControl w:val="0"/>
        <w:shd w:val="clear" w:color="auto" w:fill="auto"/>
        <w:bidi w:val="0"/>
        <w:spacing w:before="0" w:line="316" w:lineRule="exact"/>
        <w:ind w:left="0" w:right="0" w:firstLine="980"/>
        <w:jc w:val="left"/>
      </w:pPr>
      <w:bookmarkStart w:id="790" w:name="bookmark790"/>
      <w:r>
        <w:rPr>
          <w:color w:val="000000"/>
          <w:spacing w:val="0"/>
          <w:w w:val="100"/>
          <w:position w:val="0"/>
        </w:rPr>
        <w:t>（</w:t>
      </w:r>
      <w:bookmarkEnd w:id="790"/>
      <w:r>
        <w:rPr>
          <w:rFonts w:ascii="Times New Roman" w:eastAsia="Times New Roman" w:hAnsi="Times New Roman" w:cs="Times New Roman"/>
          <w:color w:val="000000"/>
          <w:spacing w:val="0"/>
          <w:w w:val="100"/>
          <w:position w:val="0"/>
        </w:rPr>
        <w:t>1</w:t>
      </w:r>
      <w:r>
        <w:rPr>
          <w:color w:val="000000"/>
          <w:spacing w:val="0"/>
          <w:w w:val="100"/>
          <w:position w:val="0"/>
        </w:rPr>
        <w:t>）同一控制下的企业合并</w:t>
      </w:r>
    </w:p>
    <w:p>
      <w:pPr>
        <w:pStyle w:val="Style32"/>
        <w:keepNext w:val="0"/>
        <w:keepLines w:val="0"/>
        <w:widowControl w:val="0"/>
        <w:shd w:val="clear" w:color="auto" w:fill="auto"/>
        <w:bidi w:val="0"/>
        <w:spacing w:before="0" w:line="316" w:lineRule="exact"/>
        <w:ind w:left="980" w:right="0" w:firstLine="0"/>
        <w:jc w:val="both"/>
      </w:pPr>
      <w:r>
        <w:rPr>
          <w:color w:val="000000"/>
          <w:spacing w:val="0"/>
          <w:w w:val="100"/>
          <w:position w:val="0"/>
        </w:rPr>
        <w:t>本公司在企业合并中取得的资产和负债，在合并日按取得被合并方在最终控制方合并财务报表中的账面价值计量。其中，对 于被合并方与本公司在企业合并前采用的会计政策不同的，基于重要性原则统一会计政策，即按照本公司的会计政策对被合 并方资产、负债的账面价值进行调整。本公司在企业合并中取得的净资产账面价值与所支付对价的账面价值之间存在差额的， 首先调整资本公积（资本溢价或股本溢价），资本公积（资本溢价或股本溢价）的余额不足冲减的，依次冲减盈余公积和未 分配利润。</w:t>
      </w:r>
    </w:p>
    <w:p>
      <w:pPr>
        <w:pStyle w:val="Style32"/>
        <w:keepNext w:val="0"/>
        <w:keepLines w:val="0"/>
        <w:widowControl w:val="0"/>
        <w:shd w:val="clear" w:color="auto" w:fill="auto"/>
        <w:bidi w:val="0"/>
        <w:spacing w:before="0" w:after="260" w:line="316" w:lineRule="exact"/>
        <w:ind w:left="0" w:right="0" w:firstLine="980"/>
        <w:jc w:val="left"/>
      </w:pPr>
      <w:r>
        <w:rPr>
          <w:color w:val="000000"/>
          <w:spacing w:val="0"/>
          <w:w w:val="100"/>
          <w:position w:val="0"/>
        </w:rPr>
        <w:t>通过分步交易实现同一控制下企业合并的会计处理方法详见本报告第十二节、五、</w:t>
      </w:r>
      <w:r>
        <w:rPr>
          <w:rFonts w:ascii="Times New Roman" w:eastAsia="Times New Roman" w:hAnsi="Times New Roman" w:cs="Times New Roman"/>
          <w:color w:val="000000"/>
          <w:spacing w:val="0"/>
          <w:w w:val="100"/>
          <w:position w:val="0"/>
        </w:rPr>
        <w:t>6</w:t>
      </w:r>
      <w:r>
        <w:rPr>
          <w:color w:val="000000"/>
          <w:spacing w:val="0"/>
          <w:w w:val="100"/>
          <w:position w:val="0"/>
        </w:rPr>
        <w:t>、合并财务报告的编制方法。</w:t>
      </w:r>
      <w:r>
        <w:br w:type="page"/>
      </w:r>
    </w:p>
    <w:p>
      <w:pPr>
        <w:pStyle w:val="Style5"/>
        <w:keepNext w:val="0"/>
        <w:keepLines w:val="0"/>
        <w:widowControl w:val="0"/>
        <w:shd w:val="clear" w:color="auto" w:fill="auto"/>
        <w:tabs>
          <w:tab w:pos="1724" w:val="left"/>
        </w:tabs>
        <w:bidi w:val="0"/>
        <w:spacing w:before="0" w:after="0"/>
        <w:ind w:left="1100" w:right="0" w:firstLine="20"/>
        <w:jc w:val="left"/>
        <w:rPr>
          <w:sz w:val="18"/>
          <w:szCs w:val="18"/>
        </w:rPr>
      </w:pPr>
      <w:r>
        <mc:AlternateContent>
          <mc:Choice Requires="wps">
            <w:drawing>
              <wp:anchor distT="0" distB="0" distL="0" distR="0" simplePos="0" relativeHeight="125829561" behindDoc="0" locked="0" layoutInCell="1" allowOverlap="1">
                <wp:simplePos x="0" y="0"/>
                <wp:positionH relativeFrom="page">
                  <wp:posOffset>767080</wp:posOffset>
                </wp:positionH>
                <wp:positionV relativeFrom="paragraph">
                  <wp:posOffset>266700</wp:posOffset>
                </wp:positionV>
                <wp:extent cx="1508760" cy="152400"/>
                <wp:wrapTopAndBottom/>
                <wp:docPr id="693" name="Shape 693"/>
                <a:graphic xmlns:a="http://schemas.openxmlformats.org/drawingml/2006/main">
                  <a:graphicData uri="http://schemas.microsoft.com/office/word/2010/wordprocessingShape">
                    <wps:wsp>
                      <wps:cNvSpPr txBox="1"/>
                      <wps:spPr>
                        <a:xfrm>
                          <a:ext cx="150876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）非同一控制下的企业合并</w:t>
                            </w:r>
                          </w:p>
                        </w:txbxContent>
                      </wps:txbx>
                      <wps:bodyPr wrap="none" lIns="0" tIns="0" rIns="0" bIns="0">
                        <a:noAutoFit/>
                      </wps:bodyPr>
                    </wps:wsp>
                  </a:graphicData>
                </a:graphic>
              </wp:anchor>
            </w:drawing>
          </mc:Choice>
          <mc:Fallback>
            <w:pict>
              <v:shape id="_x0000_s1719" type="#_x0000_t202" style="position:absolute;margin-left:60.399999999999999pt;margin-top:21.pt;width:118.8pt;height:12.pt;z-index:-125829192;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）非同一控制下的企业合并</w:t>
                      </w:r>
                    </w:p>
                  </w:txbxContent>
                </v:textbox>
                <w10:wrap type="topAndBottom" anchorx="page"/>
              </v:shape>
            </w:pict>
          </mc:Fallback>
        </mc:AlternateContent>
      </w: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32"/>
        <w:keepNext w:val="0"/>
        <w:keepLines w:val="0"/>
        <w:widowControl w:val="0"/>
        <w:shd w:val="clear" w:color="auto" w:fill="auto"/>
        <w:bidi w:val="0"/>
        <w:spacing w:before="0" w:after="0" w:line="313" w:lineRule="exact"/>
        <w:ind w:left="980" w:right="0" w:firstLine="0"/>
        <w:jc w:val="left"/>
      </w:pPr>
      <w:r>
        <w:rPr>
          <w:color w:val="000000"/>
          <w:spacing w:val="0"/>
          <w:w w:val="100"/>
          <w:position w:val="0"/>
        </w:rPr>
        <w:t>本公司在企业合并中取得的被购买方各项可辨认资产和负债，在购买日按其公允价值计量。其中，对于被购买方与本公司在 企业合并前采用的会计政策不同的，基于重要性原则统一会计政策，即按照本公司的会计政策对被购买方资产、负债的账面 价值进行调整。本公司在购买日的合并成本大于企业合并中取得的被购买方可辨认资产、负债公允价值的差额，确认为商誉； 如果合并成本小于企业合并中取得的被购买方可辨认资产、负债公允价值的差额，首先对合并成本以及在企业合并中取得的 被购买方可辨认资产、负债的公允价值进行复核，经复核后合并成本仍小于取得的被购买方可辨认资产、负债公允价值的， 其差额确认为合并当期损益。</w:t>
      </w:r>
    </w:p>
    <w:p>
      <w:pPr>
        <w:pStyle w:val="Style32"/>
        <w:keepNext w:val="0"/>
        <w:keepLines w:val="0"/>
        <w:widowControl w:val="0"/>
        <w:shd w:val="clear" w:color="auto" w:fill="auto"/>
        <w:bidi w:val="0"/>
        <w:spacing w:before="0" w:after="0" w:line="313" w:lineRule="exact"/>
        <w:ind w:left="980" w:right="0" w:firstLine="0"/>
        <w:jc w:val="left"/>
      </w:pPr>
      <w:r>
        <w:rPr>
          <w:color w:val="000000"/>
          <w:spacing w:val="0"/>
          <w:w w:val="100"/>
          <w:position w:val="0"/>
        </w:rPr>
        <w:t>通过分步交易实现非同一控制下企业合并的会计处理方法详见本报告第十二节、五、</w:t>
      </w:r>
      <w:r>
        <w:rPr>
          <w:rFonts w:ascii="Times New Roman" w:eastAsia="Times New Roman" w:hAnsi="Times New Roman" w:cs="Times New Roman"/>
          <w:color w:val="000000"/>
          <w:spacing w:val="0"/>
          <w:w w:val="100"/>
          <w:position w:val="0"/>
        </w:rPr>
        <w:t>6</w:t>
      </w:r>
      <w:r>
        <w:rPr>
          <w:color w:val="000000"/>
          <w:spacing w:val="0"/>
          <w:w w:val="100"/>
          <w:position w:val="0"/>
        </w:rPr>
        <w:t>、合并财务报告的编制方法。</w:t>
      </w:r>
    </w:p>
    <w:p>
      <w:pPr>
        <w:pStyle w:val="Style32"/>
        <w:keepNext w:val="0"/>
        <w:keepLines w:val="0"/>
        <w:widowControl w:val="0"/>
        <w:shd w:val="clear" w:color="auto" w:fill="auto"/>
        <w:bidi w:val="0"/>
        <w:spacing w:before="0" w:after="0" w:line="313" w:lineRule="exact"/>
        <w:ind w:left="0" w:right="0" w:firstLine="98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）企业合并中有关交易费用的处理</w:t>
      </w:r>
    </w:p>
    <w:p>
      <w:pPr>
        <w:pStyle w:val="Style32"/>
        <w:keepNext w:val="0"/>
        <w:keepLines w:val="0"/>
        <w:widowControl w:val="0"/>
        <w:shd w:val="clear" w:color="auto" w:fill="auto"/>
        <w:bidi w:val="0"/>
        <w:spacing w:before="0" w:after="380" w:line="317" w:lineRule="exact"/>
        <w:ind w:left="980" w:right="0" w:firstLine="0"/>
        <w:jc w:val="left"/>
      </w:pPr>
      <w:r>
        <w:rPr>
          <w:color w:val="000000"/>
          <w:spacing w:val="0"/>
          <w:w w:val="100"/>
          <w:position w:val="0"/>
        </w:rPr>
        <w:t>为进行企业合并发生的审计、法律服务、评估咨询等中介费用以及其他相关管理费用，于发生时计入当期损益。作为合并对 价发行的权益性证券或债务性证券的交易费用，计入权益性证券或债务性证券的初始确认金额。</w:t>
      </w:r>
    </w:p>
    <w:p>
      <w:pPr>
        <w:pStyle w:val="Style55"/>
        <w:keepNext/>
        <w:keepLines/>
        <w:widowControl w:val="0"/>
        <w:shd w:val="clear" w:color="auto" w:fill="auto"/>
        <w:bidi w:val="0"/>
        <w:spacing w:before="0" w:after="280" w:line="240" w:lineRule="auto"/>
        <w:ind w:left="0" w:right="0" w:firstLine="980"/>
        <w:jc w:val="left"/>
      </w:pPr>
      <w:bookmarkStart w:id="791" w:name="bookmark791"/>
      <w:bookmarkStart w:id="792" w:name="bookmark792"/>
      <w:bookmarkStart w:id="793" w:name="bookmark793"/>
      <w:bookmarkStart w:id="794" w:name="bookmark794"/>
      <w:r>
        <w:rPr>
          <w:rFonts w:ascii="Times New Roman" w:eastAsia="Times New Roman" w:hAnsi="Times New Roman" w:cs="Times New Roman"/>
          <w:color w:val="000000"/>
          <w:spacing w:val="0"/>
          <w:w w:val="100"/>
          <w:position w:val="0"/>
        </w:rPr>
        <w:t>6</w:t>
      </w:r>
      <w:bookmarkEnd w:id="793"/>
      <w:r>
        <w:rPr>
          <w:color w:val="000000"/>
          <w:spacing w:val="0"/>
          <w:w w:val="100"/>
          <w:position w:val="0"/>
        </w:rPr>
        <w:t>、合并财务报表的编制方法</w:t>
      </w:r>
      <w:bookmarkEnd w:id="791"/>
      <w:bookmarkEnd w:id="792"/>
      <w:bookmarkEnd w:id="794"/>
    </w:p>
    <w:p>
      <w:pPr>
        <w:pStyle w:val="Style32"/>
        <w:keepNext w:val="0"/>
        <w:keepLines w:val="0"/>
        <w:widowControl w:val="0"/>
        <w:shd w:val="clear" w:color="auto" w:fill="auto"/>
        <w:tabs>
          <w:tab w:pos="1425" w:val="left"/>
        </w:tabs>
        <w:bidi w:val="0"/>
        <w:spacing w:before="0" w:after="0" w:line="312" w:lineRule="exact"/>
        <w:ind w:left="0" w:right="0" w:firstLine="980"/>
        <w:jc w:val="left"/>
      </w:pPr>
      <w:bookmarkStart w:id="795" w:name="bookmark795"/>
      <w:r>
        <w:rPr>
          <w:color w:val="000000"/>
          <w:spacing w:val="0"/>
          <w:w w:val="100"/>
          <w:position w:val="0"/>
        </w:rPr>
        <w:t>（</w:t>
      </w:r>
      <w:bookmarkEnd w:id="795"/>
      <w:r>
        <w:rPr>
          <w:rFonts w:ascii="Times New Roman" w:eastAsia="Times New Roman" w:hAnsi="Times New Roman" w:cs="Times New Roman"/>
          <w:color w:val="000000"/>
          <w:spacing w:val="0"/>
          <w:w w:val="100"/>
          <w:position w:val="0"/>
        </w:rPr>
        <w:t>1</w:t>
      </w:r>
      <w:r>
        <w:rPr>
          <w:color w:val="000000"/>
          <w:spacing w:val="0"/>
          <w:w w:val="100"/>
          <w:position w:val="0"/>
        </w:rPr>
        <w:t>）</w:t>
        <w:tab/>
        <w:t>合并范围的确定</w:t>
      </w:r>
    </w:p>
    <w:p>
      <w:pPr>
        <w:pStyle w:val="Style32"/>
        <w:keepNext w:val="0"/>
        <w:keepLines w:val="0"/>
        <w:widowControl w:val="0"/>
        <w:shd w:val="clear" w:color="auto" w:fill="auto"/>
        <w:bidi w:val="0"/>
        <w:spacing w:before="0" w:after="0" w:line="307" w:lineRule="exact"/>
        <w:ind w:left="980" w:right="0" w:firstLine="0"/>
        <w:jc w:val="both"/>
      </w:pPr>
      <w:r>
        <w:rPr>
          <w:color w:val="000000"/>
          <w:spacing w:val="0"/>
          <w:w w:val="100"/>
          <w:position w:val="0"/>
        </w:rPr>
        <w:t>合并财务报表的合并范围以控制为基础予以确定</w:t>
      </w:r>
      <w:r>
        <w:rPr>
          <w:color w:val="000000"/>
          <w:spacing w:val="0"/>
          <w:w w:val="100"/>
          <w:position w:val="0"/>
        </w:rPr>
        <w:t>，</w:t>
      </w:r>
      <w:r>
        <w:rPr>
          <w:color w:val="000000"/>
          <w:spacing w:val="0"/>
          <w:w w:val="100"/>
          <w:position w:val="0"/>
        </w:rPr>
        <w:t>不仅包括根据表决权（或类似表决权）本身或者结合其他安排确定的子公 司，也包括基于一项或多项合同安排决定的结构化主体。</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控制是指本公司拥有对被投资方的权力，通过参与被投资方的相关活动而享有可变回报，并且有能力运用对被投资方的权力 影响其回报金额。子公司是指被本公司控制的主体（含企业、被投资单位中可分割的部分，以及企业所控制的结构化主体等）， 结构化主体是指在确定其控制方时没有将表决权或类似权利作为决定性因素而设计的主体（注：有时也称为特殊目的主体）。</w:t>
      </w:r>
    </w:p>
    <w:p>
      <w:pPr>
        <w:pStyle w:val="Style32"/>
        <w:keepNext w:val="0"/>
        <w:keepLines w:val="0"/>
        <w:widowControl w:val="0"/>
        <w:shd w:val="clear" w:color="auto" w:fill="auto"/>
        <w:tabs>
          <w:tab w:pos="1425" w:val="left"/>
        </w:tabs>
        <w:bidi w:val="0"/>
        <w:spacing w:before="0" w:after="0" w:line="312" w:lineRule="exact"/>
        <w:ind w:left="0" w:right="0" w:firstLine="980"/>
        <w:jc w:val="left"/>
      </w:pPr>
      <w:bookmarkStart w:id="796" w:name="bookmark796"/>
      <w:r>
        <w:rPr>
          <w:color w:val="000000"/>
          <w:spacing w:val="0"/>
          <w:w w:val="100"/>
          <w:position w:val="0"/>
        </w:rPr>
        <w:t>（</w:t>
      </w:r>
      <w:bookmarkEnd w:id="796"/>
      <w:r>
        <w:rPr>
          <w:rFonts w:ascii="Times New Roman" w:eastAsia="Times New Roman" w:hAnsi="Times New Roman" w:cs="Times New Roman"/>
          <w:color w:val="000000"/>
          <w:spacing w:val="0"/>
          <w:w w:val="100"/>
          <w:position w:val="0"/>
        </w:rPr>
        <w:t>2</w:t>
      </w:r>
      <w:r>
        <w:rPr>
          <w:color w:val="000000"/>
          <w:spacing w:val="0"/>
          <w:w w:val="100"/>
          <w:position w:val="0"/>
        </w:rPr>
        <w:t>）</w:t>
        <w:tab/>
        <w:t>关于母公司是投资性主体的特殊规定</w:t>
      </w:r>
    </w:p>
    <w:p>
      <w:pPr>
        <w:pStyle w:val="Style32"/>
        <w:keepNext w:val="0"/>
        <w:keepLines w:val="0"/>
        <w:widowControl w:val="0"/>
        <w:shd w:val="clear" w:color="auto" w:fill="auto"/>
        <w:bidi w:val="0"/>
        <w:spacing w:before="0" w:after="0" w:line="307" w:lineRule="exact"/>
        <w:ind w:left="980" w:right="0" w:firstLine="0"/>
        <w:jc w:val="both"/>
      </w:pPr>
      <w:r>
        <w:rPr>
          <w:color w:val="000000"/>
          <w:spacing w:val="0"/>
          <w:w w:val="100"/>
          <w:position w:val="0"/>
        </w:rPr>
        <w:t>如果母公司是投资性主体，则只将那些为投资性主体的投资活动提供相关服务的子公司纳入合并范围，其他子公司不予以合 并，对不纳入合并范围的子公司的股权投资方确认为以公允价值计量且其变动计入当期损益的金融资产。</w:t>
      </w:r>
    </w:p>
    <w:p>
      <w:pPr>
        <w:pStyle w:val="Style32"/>
        <w:keepNext w:val="0"/>
        <w:keepLines w:val="0"/>
        <w:widowControl w:val="0"/>
        <w:shd w:val="clear" w:color="auto" w:fill="auto"/>
        <w:bidi w:val="0"/>
        <w:spacing w:before="0" w:after="0" w:line="312" w:lineRule="exact"/>
        <w:ind w:left="0" w:right="0" w:firstLine="980"/>
        <w:jc w:val="left"/>
      </w:pPr>
      <w:r>
        <w:rPr>
          <w:color w:val="000000"/>
          <w:spacing w:val="0"/>
          <w:w w:val="100"/>
          <w:position w:val="0"/>
        </w:rPr>
        <w:t>当母公司同时满足下列条件时，该母公司属于投资性主体：</w:t>
      </w:r>
    </w:p>
    <w:p>
      <w:pPr>
        <w:pStyle w:val="Style32"/>
        <w:keepNext w:val="0"/>
        <w:keepLines w:val="0"/>
        <w:widowControl w:val="0"/>
        <w:numPr>
          <w:ilvl w:val="0"/>
          <w:numId w:val="29"/>
        </w:numPr>
        <w:shd w:val="clear" w:color="auto" w:fill="auto"/>
        <w:tabs>
          <w:tab w:pos="1353" w:val="left"/>
        </w:tabs>
        <w:bidi w:val="0"/>
        <w:spacing w:before="0" w:after="0" w:line="312" w:lineRule="exact"/>
        <w:ind w:left="0" w:right="0" w:firstLine="980"/>
        <w:jc w:val="left"/>
      </w:pPr>
      <w:bookmarkStart w:id="797" w:name="bookmark797"/>
      <w:bookmarkEnd w:id="797"/>
      <w:r>
        <w:rPr>
          <w:color w:val="000000"/>
          <w:spacing w:val="0"/>
          <w:w w:val="100"/>
          <w:position w:val="0"/>
        </w:rPr>
        <w:t>该公司是以向投资方提供投资管理服务为目的，从一个或多个投资者处获取资金。</w:t>
      </w:r>
    </w:p>
    <w:p>
      <w:pPr>
        <w:pStyle w:val="Style32"/>
        <w:keepNext w:val="0"/>
        <w:keepLines w:val="0"/>
        <w:widowControl w:val="0"/>
        <w:numPr>
          <w:ilvl w:val="0"/>
          <w:numId w:val="29"/>
        </w:numPr>
        <w:shd w:val="clear" w:color="auto" w:fill="auto"/>
        <w:tabs>
          <w:tab w:pos="1353" w:val="left"/>
        </w:tabs>
        <w:bidi w:val="0"/>
        <w:spacing w:before="0" w:after="0" w:line="312" w:lineRule="exact"/>
        <w:ind w:left="0" w:right="0" w:firstLine="980"/>
        <w:jc w:val="left"/>
      </w:pPr>
      <w:bookmarkStart w:id="798" w:name="bookmark798"/>
      <w:bookmarkEnd w:id="798"/>
      <w:r>
        <w:rPr>
          <w:color w:val="000000"/>
          <w:spacing w:val="0"/>
          <w:w w:val="100"/>
          <w:position w:val="0"/>
        </w:rPr>
        <w:t>该公司的唯一经营目的，是通过资本增值、投资收益或两者兼有而让投资者获得回报。</w:t>
      </w:r>
    </w:p>
    <w:p>
      <w:pPr>
        <w:pStyle w:val="Style32"/>
        <w:keepNext w:val="0"/>
        <w:keepLines w:val="0"/>
        <w:widowControl w:val="0"/>
        <w:numPr>
          <w:ilvl w:val="0"/>
          <w:numId w:val="29"/>
        </w:numPr>
        <w:shd w:val="clear" w:color="auto" w:fill="auto"/>
        <w:tabs>
          <w:tab w:pos="1353" w:val="left"/>
        </w:tabs>
        <w:bidi w:val="0"/>
        <w:spacing w:before="0" w:after="0" w:line="312" w:lineRule="exact"/>
        <w:ind w:left="0" w:right="0" w:firstLine="980"/>
        <w:jc w:val="left"/>
      </w:pPr>
      <w:bookmarkStart w:id="799" w:name="bookmark799"/>
      <w:bookmarkEnd w:id="799"/>
      <w:r>
        <w:rPr>
          <w:color w:val="000000"/>
          <w:spacing w:val="0"/>
          <w:w w:val="100"/>
          <w:position w:val="0"/>
        </w:rPr>
        <w:t>该公司按照公允价值对几乎所有投资的业绩进行考量和评价。</w:t>
      </w:r>
    </w:p>
    <w:p>
      <w:pPr>
        <w:pStyle w:val="Style32"/>
        <w:keepNext w:val="0"/>
        <w:keepLines w:val="0"/>
        <w:widowControl w:val="0"/>
        <w:shd w:val="clear" w:color="auto" w:fill="auto"/>
        <w:bidi w:val="0"/>
        <w:spacing w:before="0" w:after="0" w:line="317" w:lineRule="exact"/>
        <w:ind w:left="980" w:right="0" w:firstLine="0"/>
        <w:jc w:val="left"/>
      </w:pPr>
      <w:r>
        <w:rPr>
          <w:color w:val="000000"/>
          <w:spacing w:val="0"/>
          <w:w w:val="100"/>
          <w:position w:val="0"/>
        </w:rPr>
        <w:t>当母公司由非投资性主体转变为投资性主体时，除仅将为其投资活动提供相关服务的子公司纳入合并财务报表范围编制合并 财务报表外，企业自转变日起对其他子公司不再予以合并，并参照部分处置子公司股权但未丧失控制权的原则处理。</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当母公司由投资性主体转变为非投资性主体时，应将原未纳入合并财务报表范围的子公司于转变日纳入合并财务报表范围， 原未纳入合并财务报表范围的子公司在转变日的公允价值视同为购买的交易对价，按照非同一控制下企业合并的会计处理方 法进行处理。</w:t>
      </w:r>
    </w:p>
    <w:p>
      <w:pPr>
        <w:pStyle w:val="Style32"/>
        <w:keepNext w:val="0"/>
        <w:keepLines w:val="0"/>
        <w:widowControl w:val="0"/>
        <w:shd w:val="clear" w:color="auto" w:fill="auto"/>
        <w:tabs>
          <w:tab w:pos="1425" w:val="left"/>
        </w:tabs>
        <w:bidi w:val="0"/>
        <w:spacing w:before="0" w:after="0" w:line="312" w:lineRule="exact"/>
        <w:ind w:left="0" w:right="0" w:firstLine="980"/>
        <w:jc w:val="left"/>
      </w:pPr>
      <w:bookmarkStart w:id="800" w:name="bookmark800"/>
      <w:r>
        <w:rPr>
          <w:color w:val="000000"/>
          <w:spacing w:val="0"/>
          <w:w w:val="100"/>
          <w:position w:val="0"/>
        </w:rPr>
        <w:t>（</w:t>
      </w:r>
      <w:bookmarkEnd w:id="800"/>
      <w:r>
        <w:rPr>
          <w:rFonts w:ascii="Times New Roman" w:eastAsia="Times New Roman" w:hAnsi="Times New Roman" w:cs="Times New Roman"/>
          <w:color w:val="000000"/>
          <w:spacing w:val="0"/>
          <w:w w:val="100"/>
          <w:position w:val="0"/>
        </w:rPr>
        <w:t>3</w:t>
      </w:r>
      <w:r>
        <w:rPr>
          <w:color w:val="000000"/>
          <w:spacing w:val="0"/>
          <w:w w:val="100"/>
          <w:position w:val="0"/>
        </w:rPr>
        <w:t>）</w:t>
        <w:tab/>
        <w:t>合并财务报表的编制方法</w:t>
      </w:r>
    </w:p>
    <w:p>
      <w:pPr>
        <w:pStyle w:val="Style32"/>
        <w:keepNext w:val="0"/>
        <w:keepLines w:val="0"/>
        <w:widowControl w:val="0"/>
        <w:shd w:val="clear" w:color="auto" w:fill="auto"/>
        <w:bidi w:val="0"/>
        <w:spacing w:before="0" w:after="0" w:line="312" w:lineRule="exact"/>
        <w:ind w:left="0" w:right="0" w:firstLine="980"/>
        <w:jc w:val="left"/>
      </w:pPr>
      <w:r>
        <w:rPr>
          <w:color w:val="000000"/>
          <w:spacing w:val="0"/>
          <w:w w:val="100"/>
          <w:position w:val="0"/>
        </w:rPr>
        <w:t>本公司以自身和子公司的财务报表为基础，根据其他有关资料，编制合并财务报表。</w:t>
      </w:r>
    </w:p>
    <w:p>
      <w:pPr>
        <w:pStyle w:val="Style32"/>
        <w:keepNext w:val="0"/>
        <w:keepLines w:val="0"/>
        <w:widowControl w:val="0"/>
        <w:shd w:val="clear" w:color="auto" w:fill="auto"/>
        <w:bidi w:val="0"/>
        <w:spacing w:before="0" w:after="0" w:line="317" w:lineRule="exact"/>
        <w:ind w:left="980" w:right="0" w:firstLine="0"/>
        <w:jc w:val="left"/>
      </w:pPr>
      <w:r>
        <w:rPr>
          <w:color w:val="000000"/>
          <w:spacing w:val="0"/>
          <w:w w:val="100"/>
          <w:position w:val="0"/>
        </w:rPr>
        <w:t>本公司编制合并财务报表，将整个企业集团视为一个会计主体，依据相关企业会计准则的确认、计量和列报要求，按照统一 的会计政策，反映企业集团整体财务状况、经营成果和现金流量。</w:t>
      </w:r>
    </w:p>
    <w:p>
      <w:pPr>
        <w:pStyle w:val="Style32"/>
        <w:keepNext w:val="0"/>
        <w:keepLines w:val="0"/>
        <w:widowControl w:val="0"/>
        <w:numPr>
          <w:ilvl w:val="0"/>
          <w:numId w:val="31"/>
        </w:numPr>
        <w:shd w:val="clear" w:color="auto" w:fill="auto"/>
        <w:tabs>
          <w:tab w:pos="1353" w:val="left"/>
        </w:tabs>
        <w:bidi w:val="0"/>
        <w:spacing w:before="0" w:after="0" w:line="312" w:lineRule="exact"/>
        <w:ind w:left="980" w:right="0" w:firstLine="0"/>
        <w:jc w:val="left"/>
      </w:pPr>
      <w:bookmarkStart w:id="801" w:name="bookmark801"/>
      <w:bookmarkEnd w:id="801"/>
      <w:r>
        <w:rPr>
          <w:color w:val="000000"/>
          <w:spacing w:val="0"/>
          <w:w w:val="100"/>
          <w:position w:val="0"/>
        </w:rPr>
        <w:t>合并母公司与子公司的资产、负债、所有者权益、收入、费用和现金流等项目。</w:t>
      </w:r>
    </w:p>
    <w:p>
      <w:pPr>
        <w:pStyle w:val="Style32"/>
        <w:keepNext w:val="0"/>
        <w:keepLines w:val="0"/>
        <w:widowControl w:val="0"/>
        <w:numPr>
          <w:ilvl w:val="0"/>
          <w:numId w:val="31"/>
        </w:numPr>
        <w:shd w:val="clear" w:color="auto" w:fill="auto"/>
        <w:tabs>
          <w:tab w:pos="1353" w:val="left"/>
        </w:tabs>
        <w:bidi w:val="0"/>
        <w:spacing w:before="0" w:after="0" w:line="312" w:lineRule="exact"/>
        <w:ind w:left="980" w:right="0" w:firstLine="0"/>
        <w:jc w:val="left"/>
      </w:pPr>
      <w:bookmarkStart w:id="802" w:name="bookmark802"/>
      <w:bookmarkEnd w:id="802"/>
      <w:r>
        <w:rPr>
          <w:color w:val="000000"/>
          <w:spacing w:val="0"/>
          <w:w w:val="100"/>
          <w:position w:val="0"/>
        </w:rPr>
        <w:t>抵销母公司对子公司的长期股权投资与母公司在子公司所有者权益中所享有的份额。</w:t>
      </w:r>
    </w:p>
    <w:p>
      <w:pPr>
        <w:pStyle w:val="Style32"/>
        <w:keepNext w:val="0"/>
        <w:keepLines w:val="0"/>
        <w:widowControl w:val="0"/>
        <w:numPr>
          <w:ilvl w:val="0"/>
          <w:numId w:val="31"/>
        </w:numPr>
        <w:shd w:val="clear" w:color="auto" w:fill="auto"/>
        <w:tabs>
          <w:tab w:pos="1353" w:val="left"/>
        </w:tabs>
        <w:bidi w:val="0"/>
        <w:spacing w:before="0" w:after="0" w:line="322" w:lineRule="exact"/>
        <w:ind w:left="980" w:right="0" w:firstLine="0"/>
        <w:jc w:val="left"/>
      </w:pPr>
      <w:bookmarkStart w:id="803" w:name="bookmark803"/>
      <w:bookmarkEnd w:id="803"/>
      <w:r>
        <w:rPr>
          <w:color w:val="000000"/>
          <w:spacing w:val="0"/>
          <w:w w:val="100"/>
          <w:position w:val="0"/>
        </w:rPr>
        <w:t>抵销母公司与子公司、子公司相互之间发生的内部交易的影响。内部交易表明相关资产发生减值损失的，应当全额确认该 部分损失。</w:t>
      </w:r>
    </w:p>
    <w:p>
      <w:pPr>
        <w:pStyle w:val="Style32"/>
        <w:keepNext w:val="0"/>
        <w:keepLines w:val="0"/>
        <w:widowControl w:val="0"/>
        <w:numPr>
          <w:ilvl w:val="0"/>
          <w:numId w:val="31"/>
        </w:numPr>
        <w:shd w:val="clear" w:color="auto" w:fill="auto"/>
        <w:tabs>
          <w:tab w:pos="1353" w:val="left"/>
        </w:tabs>
        <w:bidi w:val="0"/>
        <w:spacing w:before="0" w:after="0" w:line="322" w:lineRule="exact"/>
        <w:ind w:left="0" w:right="0" w:firstLine="980"/>
        <w:jc w:val="left"/>
      </w:pPr>
      <w:bookmarkStart w:id="804" w:name="bookmark804"/>
      <w:bookmarkEnd w:id="804"/>
      <w:r>
        <w:rPr>
          <w:color w:val="000000"/>
          <w:spacing w:val="0"/>
          <w:w w:val="100"/>
          <w:position w:val="0"/>
        </w:rPr>
        <w:t>站在企业集团角度对特殊交易事项予以调整。</w:t>
      </w:r>
    </w:p>
    <w:p>
      <w:pPr>
        <w:pStyle w:val="Style32"/>
        <w:keepNext w:val="0"/>
        <w:keepLines w:val="0"/>
        <w:widowControl w:val="0"/>
        <w:shd w:val="clear" w:color="auto" w:fill="auto"/>
        <w:tabs>
          <w:tab w:pos="1425" w:val="left"/>
        </w:tabs>
        <w:bidi w:val="0"/>
        <w:spacing w:before="0" w:after="0" w:line="312" w:lineRule="exact"/>
        <w:ind w:left="0" w:right="0" w:firstLine="980"/>
        <w:jc w:val="left"/>
      </w:pPr>
      <w:bookmarkStart w:id="805" w:name="bookmark805"/>
      <w:r>
        <w:rPr>
          <w:color w:val="000000"/>
          <w:spacing w:val="0"/>
          <w:w w:val="100"/>
          <w:position w:val="0"/>
        </w:rPr>
        <w:t>（</w:t>
      </w:r>
      <w:bookmarkEnd w:id="805"/>
      <w:r>
        <w:rPr>
          <w:rFonts w:ascii="Times New Roman" w:eastAsia="Times New Roman" w:hAnsi="Times New Roman" w:cs="Times New Roman"/>
          <w:color w:val="000000"/>
          <w:spacing w:val="0"/>
          <w:w w:val="100"/>
          <w:position w:val="0"/>
        </w:rPr>
        <w:t>4</w:t>
      </w:r>
      <w:r>
        <w:rPr>
          <w:color w:val="000000"/>
          <w:spacing w:val="0"/>
          <w:w w:val="100"/>
          <w:position w:val="0"/>
        </w:rPr>
        <w:t>）</w:t>
        <w:tab/>
        <w:t>报告期内增减子公司的处理</w:t>
      </w:r>
      <w:r>
        <w:br w:type="page"/>
      </w:r>
    </w:p>
    <w:p>
      <w:pPr>
        <w:pStyle w:val="Style5"/>
        <w:keepNext w:val="0"/>
        <w:keepLines w:val="0"/>
        <w:widowControl w:val="0"/>
        <w:shd w:val="clear" w:color="auto" w:fill="auto"/>
        <w:tabs>
          <w:tab w:pos="1684" w:val="left"/>
        </w:tabs>
        <w:bidi w:val="0"/>
        <w:spacing w:before="0" w:after="0"/>
        <w:ind w:left="1060" w:right="8080" w:firstLine="0"/>
        <w:jc w:val="right"/>
        <w:rPr>
          <w:sz w:val="18"/>
          <w:szCs w:val="18"/>
        </w:rPr>
      </w:pPr>
      <w:r>
        <mc:AlternateContent>
          <mc:Choice Requires="wps">
            <w:drawing>
              <wp:anchor distT="0" distB="0" distL="114300" distR="114300" simplePos="0" relativeHeight="125829563" behindDoc="0" locked="0" layoutInCell="1" allowOverlap="1">
                <wp:simplePos x="0" y="0"/>
                <wp:positionH relativeFrom="page">
                  <wp:posOffset>712470</wp:posOffset>
                </wp:positionH>
                <wp:positionV relativeFrom="paragraph">
                  <wp:posOffset>279400</wp:posOffset>
                </wp:positionV>
                <wp:extent cx="1106170" cy="152400"/>
                <wp:wrapTopAndBottom/>
                <wp:docPr id="695" name="Shape 695"/>
                <a:graphic xmlns:a="http://schemas.openxmlformats.org/drawingml/2006/main">
                  <a:graphicData uri="http://schemas.microsoft.com/office/word/2010/wordprocessingShape">
                    <wps:wsp>
                      <wps:cNvSpPr txBox="1"/>
                      <wps:spPr>
                        <a:xfrm>
                          <a:ext cx="110617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)增加子公司或业务</w:t>
                            </w:r>
                          </w:p>
                        </w:txbxContent>
                      </wps:txbx>
                      <wps:bodyPr wrap="none" lIns="0" tIns="0" rIns="0" bIns="0">
                        <a:noAutoFit/>
                      </wps:bodyPr>
                    </wps:wsp>
                  </a:graphicData>
                </a:graphic>
              </wp:anchor>
            </w:drawing>
          </mc:Choice>
          <mc:Fallback>
            <w:pict>
              <v:shape id="_x0000_s1721" type="#_x0000_t202" style="position:absolute;margin-left:56.100000000000001pt;margin-top:22.pt;width:87.100000000000009pt;height:12.pt;z-index:-125829190;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)增加子公司或业务</w:t>
                      </w:r>
                    </w:p>
                  </w:txbxContent>
                </v:textbox>
                <w10:wrap type="topAndBottom" anchorx="page"/>
              </v:shape>
            </w:pict>
          </mc:Fallback>
        </mc:AlternateContent>
      </w: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32"/>
        <w:keepNext w:val="0"/>
        <w:keepLines w:val="0"/>
        <w:widowControl w:val="0"/>
        <w:numPr>
          <w:ilvl w:val="0"/>
          <w:numId w:val="33"/>
        </w:numPr>
        <w:shd w:val="clear" w:color="auto" w:fill="auto"/>
        <w:bidi w:val="0"/>
        <w:spacing w:before="0" w:after="0" w:line="324" w:lineRule="exact"/>
        <w:ind w:left="0" w:right="0" w:firstLine="980"/>
        <w:jc w:val="left"/>
      </w:pPr>
      <w:bookmarkStart w:id="806" w:name="bookmark806"/>
      <w:bookmarkEnd w:id="806"/>
      <w:r>
        <w:rPr>
          <w:color w:val="000000"/>
          <w:spacing w:val="0"/>
          <w:w w:val="100"/>
          <w:position w:val="0"/>
        </w:rPr>
        <w:t>同一控制下企业合并增加的子公司或业务</w:t>
      </w:r>
    </w:p>
    <w:p>
      <w:pPr>
        <w:pStyle w:val="Style32"/>
        <w:keepNext w:val="0"/>
        <w:keepLines w:val="0"/>
        <w:widowControl w:val="0"/>
        <w:numPr>
          <w:ilvl w:val="0"/>
          <w:numId w:val="35"/>
        </w:numPr>
        <w:shd w:val="clear" w:color="auto" w:fill="auto"/>
        <w:tabs>
          <w:tab w:pos="1506" w:val="left"/>
        </w:tabs>
        <w:bidi w:val="0"/>
        <w:spacing w:before="0" w:after="0" w:line="324" w:lineRule="exact"/>
        <w:ind w:left="980" w:right="0" w:firstLine="0"/>
        <w:jc w:val="both"/>
      </w:pPr>
      <w:bookmarkStart w:id="807" w:name="bookmark807"/>
      <w:bookmarkEnd w:id="807"/>
      <w:r>
        <w:rPr>
          <w:color w:val="000000"/>
          <w:spacing w:val="0"/>
          <w:w w:val="100"/>
          <w:position w:val="0"/>
        </w:rPr>
        <w:t>编制合并资产负债表时，调整合并资产负债表的期初数，同时对比较报表的相关项目进行调整，视同合并后的报告主 体自最终控制方开始控制时点起一直存在。</w:t>
      </w:r>
    </w:p>
    <w:p>
      <w:pPr>
        <w:pStyle w:val="Style32"/>
        <w:keepNext w:val="0"/>
        <w:keepLines w:val="0"/>
        <w:widowControl w:val="0"/>
        <w:numPr>
          <w:ilvl w:val="0"/>
          <w:numId w:val="35"/>
        </w:numPr>
        <w:shd w:val="clear" w:color="auto" w:fill="auto"/>
        <w:tabs>
          <w:tab w:pos="1521" w:val="left"/>
        </w:tabs>
        <w:bidi w:val="0"/>
        <w:spacing w:before="0" w:after="0" w:line="324" w:lineRule="exact"/>
        <w:ind w:left="980" w:right="0" w:firstLine="0"/>
        <w:jc w:val="both"/>
      </w:pPr>
      <w:bookmarkStart w:id="808" w:name="bookmark808"/>
      <w:bookmarkEnd w:id="808"/>
      <w:r>
        <w:rPr>
          <w:color w:val="000000"/>
          <w:spacing w:val="0"/>
          <w:w w:val="100"/>
          <w:position w:val="0"/>
        </w:rPr>
        <w:t>编制合并利润表时，将该子公司以及业务合并当期期初至报告期末的收入、费用、利润纳入合并利润表，同时对比较 报表的相关项目进行调整，视同合并后的报告主体自最终控制方开始控制时点起一直存在。</w:t>
      </w:r>
    </w:p>
    <w:p>
      <w:pPr>
        <w:pStyle w:val="Style32"/>
        <w:keepNext w:val="0"/>
        <w:keepLines w:val="0"/>
        <w:widowControl w:val="0"/>
        <w:numPr>
          <w:ilvl w:val="0"/>
          <w:numId w:val="35"/>
        </w:numPr>
        <w:shd w:val="clear" w:color="auto" w:fill="auto"/>
        <w:bidi w:val="0"/>
        <w:spacing w:before="0" w:after="0" w:line="326" w:lineRule="exact"/>
        <w:ind w:left="980" w:right="0" w:firstLine="0"/>
        <w:jc w:val="both"/>
      </w:pPr>
      <w:bookmarkStart w:id="809" w:name="bookmark809"/>
      <w:bookmarkEnd w:id="809"/>
      <w:r>
        <w:rPr>
          <w:color w:val="000000"/>
          <w:spacing w:val="0"/>
          <w:w w:val="100"/>
          <w:position w:val="0"/>
        </w:rPr>
        <w:t>编制合并现金流量表时，将该子公司以及业务合并当期期初至报告期末的现金流量纳入合并现金流量表，同时对比较 报表的相关项目进行调整，视同合并后的报告主体自最终控制方开始控制时点起一直存在。</w:t>
      </w:r>
    </w:p>
    <w:p>
      <w:pPr>
        <w:pStyle w:val="Style32"/>
        <w:keepNext w:val="0"/>
        <w:keepLines w:val="0"/>
        <w:widowControl w:val="0"/>
        <w:numPr>
          <w:ilvl w:val="0"/>
          <w:numId w:val="33"/>
        </w:numPr>
        <w:shd w:val="clear" w:color="auto" w:fill="auto"/>
        <w:bidi w:val="0"/>
        <w:spacing w:before="0" w:after="0" w:line="326" w:lineRule="exact"/>
        <w:ind w:left="0" w:right="0" w:firstLine="980"/>
        <w:jc w:val="left"/>
      </w:pPr>
      <w:bookmarkStart w:id="810" w:name="bookmark810"/>
      <w:bookmarkEnd w:id="810"/>
      <w:r>
        <w:rPr>
          <w:color w:val="000000"/>
          <w:spacing w:val="0"/>
          <w:w w:val="100"/>
          <w:position w:val="0"/>
        </w:rPr>
        <w:t>非同一控制下企业合并增加的子公司或业务</w:t>
      </w:r>
    </w:p>
    <w:p>
      <w:pPr>
        <w:pStyle w:val="Style32"/>
        <w:keepNext w:val="0"/>
        <w:keepLines w:val="0"/>
        <w:widowControl w:val="0"/>
        <w:numPr>
          <w:ilvl w:val="0"/>
          <w:numId w:val="37"/>
        </w:numPr>
        <w:shd w:val="clear" w:color="auto" w:fill="auto"/>
        <w:bidi w:val="0"/>
        <w:spacing w:before="0" w:after="140" w:line="326" w:lineRule="exact"/>
        <w:ind w:left="0" w:right="0" w:firstLine="980"/>
        <w:jc w:val="left"/>
      </w:pPr>
      <w:bookmarkStart w:id="811" w:name="bookmark811"/>
      <w:bookmarkEnd w:id="811"/>
      <w:r>
        <w:rPr>
          <w:color w:val="000000"/>
          <w:spacing w:val="0"/>
          <w:w w:val="100"/>
          <w:position w:val="0"/>
        </w:rPr>
        <w:t>编制合并资产负债表时，不调整合并资产负债表的期初数。</w:t>
      </w:r>
    </w:p>
    <w:p>
      <w:pPr>
        <w:pStyle w:val="Style32"/>
        <w:keepNext w:val="0"/>
        <w:keepLines w:val="0"/>
        <w:widowControl w:val="0"/>
        <w:numPr>
          <w:ilvl w:val="0"/>
          <w:numId w:val="37"/>
        </w:numPr>
        <w:shd w:val="clear" w:color="auto" w:fill="auto"/>
        <w:tabs>
          <w:tab w:pos="1425" w:val="left"/>
        </w:tabs>
        <w:bidi w:val="0"/>
        <w:spacing w:before="0" w:after="140" w:line="240" w:lineRule="auto"/>
        <w:ind w:left="0" w:right="0" w:firstLine="980"/>
        <w:jc w:val="left"/>
      </w:pPr>
      <w:bookmarkStart w:id="812" w:name="bookmark812"/>
      <w:bookmarkEnd w:id="812"/>
      <w:r>
        <w:rPr>
          <w:color w:val="000000"/>
          <w:spacing w:val="0"/>
          <w:w w:val="100"/>
          <w:position w:val="0"/>
        </w:rPr>
        <w:t>编制合并利润表时，将该子公司以及业务购买日至报告期末的收入、费用、利润纳入合并利润表。</w:t>
      </w:r>
    </w:p>
    <w:p>
      <w:pPr>
        <w:pStyle w:val="Style32"/>
        <w:keepNext w:val="0"/>
        <w:keepLines w:val="0"/>
        <w:widowControl w:val="0"/>
        <w:numPr>
          <w:ilvl w:val="0"/>
          <w:numId w:val="37"/>
        </w:numPr>
        <w:shd w:val="clear" w:color="auto" w:fill="auto"/>
        <w:tabs>
          <w:tab w:pos="1425" w:val="left"/>
        </w:tabs>
        <w:bidi w:val="0"/>
        <w:spacing w:before="0" w:after="140" w:line="240" w:lineRule="auto"/>
        <w:ind w:left="0" w:right="0" w:firstLine="980"/>
        <w:jc w:val="left"/>
      </w:pPr>
      <w:bookmarkStart w:id="813" w:name="bookmark813"/>
      <w:bookmarkEnd w:id="813"/>
      <w:r>
        <w:rPr>
          <w:color w:val="000000"/>
          <w:spacing w:val="0"/>
          <w:w w:val="100"/>
          <w:position w:val="0"/>
        </w:rPr>
        <w:t>编制合并现金流量表时，将该子公司购买日至报告期末的现金流量纳入合并现金流量表。</w:t>
      </w:r>
    </w:p>
    <w:p>
      <w:pPr>
        <w:pStyle w:val="Style32"/>
        <w:keepNext w:val="0"/>
        <w:keepLines w:val="0"/>
        <w:widowControl w:val="0"/>
        <w:numPr>
          <w:ilvl w:val="0"/>
          <w:numId w:val="39"/>
        </w:numPr>
        <w:shd w:val="clear" w:color="auto" w:fill="auto"/>
        <w:bidi w:val="0"/>
        <w:spacing w:before="0" w:after="140" w:line="240" w:lineRule="auto"/>
        <w:ind w:left="0" w:right="0" w:firstLine="980"/>
        <w:jc w:val="left"/>
      </w:pPr>
      <w:bookmarkStart w:id="814" w:name="bookmark814"/>
      <w:bookmarkEnd w:id="814"/>
      <w:r>
        <w:rPr>
          <w:color w:val="000000"/>
          <w:spacing w:val="0"/>
          <w:w w:val="100"/>
          <w:position w:val="0"/>
        </w:rPr>
        <w:t>处置子公司或业务</w:t>
      </w:r>
    </w:p>
    <w:p>
      <w:pPr>
        <w:pStyle w:val="Style32"/>
        <w:keepNext w:val="0"/>
        <w:keepLines w:val="0"/>
        <w:widowControl w:val="0"/>
        <w:numPr>
          <w:ilvl w:val="0"/>
          <w:numId w:val="41"/>
        </w:numPr>
        <w:shd w:val="clear" w:color="auto" w:fill="auto"/>
        <w:tabs>
          <w:tab w:pos="1353" w:val="left"/>
        </w:tabs>
        <w:bidi w:val="0"/>
        <w:spacing w:before="0" w:after="140" w:line="240" w:lineRule="auto"/>
        <w:ind w:left="0" w:right="0" w:firstLine="980"/>
        <w:jc w:val="left"/>
      </w:pPr>
      <w:bookmarkStart w:id="815" w:name="bookmark815"/>
      <w:bookmarkEnd w:id="815"/>
      <w:r>
        <w:rPr>
          <w:color w:val="000000"/>
          <w:spacing w:val="0"/>
          <w:w w:val="100"/>
          <w:position w:val="0"/>
        </w:rPr>
        <w:t>编制合并资产负债表时，不调整合并资产负债表的期初数。</w:t>
      </w:r>
    </w:p>
    <w:p>
      <w:pPr>
        <w:pStyle w:val="Style32"/>
        <w:keepNext w:val="0"/>
        <w:keepLines w:val="0"/>
        <w:widowControl w:val="0"/>
        <w:numPr>
          <w:ilvl w:val="0"/>
          <w:numId w:val="41"/>
        </w:numPr>
        <w:shd w:val="clear" w:color="auto" w:fill="auto"/>
        <w:tabs>
          <w:tab w:pos="1353" w:val="left"/>
        </w:tabs>
        <w:bidi w:val="0"/>
        <w:spacing w:before="0" w:after="140" w:line="240" w:lineRule="auto"/>
        <w:ind w:left="0" w:right="0" w:firstLine="980"/>
        <w:jc w:val="left"/>
      </w:pPr>
      <w:bookmarkStart w:id="816" w:name="bookmark816"/>
      <w:bookmarkEnd w:id="816"/>
      <w:r>
        <w:rPr>
          <w:color w:val="000000"/>
          <w:spacing w:val="0"/>
          <w:w w:val="100"/>
          <w:position w:val="0"/>
        </w:rPr>
        <w:t>编制合并利润表时，将该子公司以及业务期初至处置日的收入、费用、利润纳入合并利润表。</w:t>
      </w:r>
    </w:p>
    <w:p>
      <w:pPr>
        <w:pStyle w:val="Style32"/>
        <w:keepNext w:val="0"/>
        <w:keepLines w:val="0"/>
        <w:widowControl w:val="0"/>
        <w:numPr>
          <w:ilvl w:val="0"/>
          <w:numId w:val="41"/>
        </w:numPr>
        <w:shd w:val="clear" w:color="auto" w:fill="auto"/>
        <w:tabs>
          <w:tab w:pos="1353" w:val="left"/>
        </w:tabs>
        <w:bidi w:val="0"/>
        <w:spacing w:before="0" w:after="0" w:line="240" w:lineRule="auto"/>
        <w:ind w:left="0" w:right="0" w:firstLine="980"/>
        <w:jc w:val="left"/>
      </w:pPr>
      <w:bookmarkStart w:id="817" w:name="bookmark817"/>
      <w:bookmarkEnd w:id="817"/>
      <w:r>
        <w:rPr>
          <w:color w:val="000000"/>
          <w:spacing w:val="0"/>
          <w:w w:val="100"/>
          <w:position w:val="0"/>
        </w:rPr>
        <w:t>编制合并现金流量表时将该子公司以及业务期初至处置日的现金流量纳入合并现金流量表。</w:t>
      </w:r>
    </w:p>
    <w:p>
      <w:pPr>
        <w:pStyle w:val="Style32"/>
        <w:keepNext w:val="0"/>
        <w:keepLines w:val="0"/>
        <w:widowControl w:val="0"/>
        <w:numPr>
          <w:ilvl w:val="0"/>
          <w:numId w:val="43"/>
        </w:numPr>
        <w:shd w:val="clear" w:color="auto" w:fill="auto"/>
        <w:bidi w:val="0"/>
        <w:spacing w:before="0" w:after="0" w:line="317" w:lineRule="exact"/>
        <w:ind w:left="0" w:right="0" w:firstLine="980"/>
        <w:jc w:val="left"/>
      </w:pPr>
      <w:bookmarkStart w:id="818" w:name="bookmark818"/>
      <w:bookmarkEnd w:id="818"/>
      <w:r>
        <w:rPr>
          <w:color w:val="000000"/>
          <w:spacing w:val="0"/>
          <w:w w:val="100"/>
          <w:position w:val="0"/>
        </w:rPr>
        <w:t>合并抵销中的特殊考虑</w:t>
      </w:r>
    </w:p>
    <w:p>
      <w:pPr>
        <w:pStyle w:val="Style32"/>
        <w:keepNext w:val="0"/>
        <w:keepLines w:val="0"/>
        <w:widowControl w:val="0"/>
        <w:numPr>
          <w:ilvl w:val="0"/>
          <w:numId w:val="45"/>
        </w:numPr>
        <w:shd w:val="clear" w:color="auto" w:fill="auto"/>
        <w:bidi w:val="0"/>
        <w:spacing w:before="0" w:after="0" w:line="317" w:lineRule="exact"/>
        <w:ind w:left="980" w:right="0" w:firstLine="0"/>
        <w:jc w:val="both"/>
      </w:pPr>
      <w:bookmarkStart w:id="819" w:name="bookmark819"/>
      <w:bookmarkEnd w:id="819"/>
      <w:r>
        <w:rPr>
          <w:color w:val="000000"/>
          <w:spacing w:val="0"/>
          <w:w w:val="100"/>
          <w:position w:val="0"/>
        </w:rPr>
        <w:t>子公司持有本公司的长期股权投资，应当视为本公司的库存股，作为所有者权益的减项，在合并资产负债表中所有者权益 项目下以</w:t>
      </w:r>
      <w:r>
        <w:rPr>
          <w:rFonts w:ascii="Times New Roman" w:eastAsia="Times New Roman" w:hAnsi="Times New Roman" w:cs="Times New Roman"/>
          <w:color w:val="000000"/>
          <w:spacing w:val="0"/>
          <w:w w:val="100"/>
          <w:position w:val="0"/>
        </w:rPr>
        <w:t>“</w:t>
      </w:r>
      <w:r>
        <w:rPr>
          <w:color w:val="000000"/>
          <w:spacing w:val="0"/>
          <w:w w:val="100"/>
          <w:position w:val="0"/>
        </w:rPr>
        <w:t>减：库存股</w:t>
      </w:r>
      <w:r>
        <w:rPr>
          <w:rFonts w:ascii="Times New Roman" w:eastAsia="Times New Roman" w:hAnsi="Times New Roman" w:cs="Times New Roman"/>
          <w:color w:val="000000"/>
          <w:spacing w:val="0"/>
          <w:w w:val="100"/>
          <w:position w:val="0"/>
        </w:rPr>
        <w:t>”</w:t>
      </w:r>
      <w:r>
        <w:rPr>
          <w:color w:val="000000"/>
          <w:spacing w:val="0"/>
          <w:w w:val="100"/>
          <w:position w:val="0"/>
        </w:rPr>
        <w:t>项目列示。</w:t>
      </w:r>
    </w:p>
    <w:p>
      <w:pPr>
        <w:pStyle w:val="Style32"/>
        <w:keepNext w:val="0"/>
        <w:keepLines w:val="0"/>
        <w:widowControl w:val="0"/>
        <w:shd w:val="clear" w:color="auto" w:fill="auto"/>
        <w:bidi w:val="0"/>
        <w:spacing w:before="0" w:after="0" w:line="317" w:lineRule="exact"/>
        <w:ind w:left="980" w:right="0" w:firstLine="0"/>
        <w:jc w:val="both"/>
      </w:pPr>
      <w:r>
        <w:rPr>
          <w:color w:val="000000"/>
          <w:spacing w:val="0"/>
          <w:w w:val="100"/>
          <w:position w:val="0"/>
        </w:rPr>
        <w:t>子公司相互之间持有的长期股权投资，比照本公司对子公司的股权投资的抵销方法，将长期股权投资与其对应的子公司所有 者权益中所享有的份额相互抵销。</w:t>
      </w:r>
    </w:p>
    <w:p>
      <w:pPr>
        <w:pStyle w:val="Style32"/>
        <w:keepNext w:val="0"/>
        <w:keepLines w:val="0"/>
        <w:widowControl w:val="0"/>
        <w:numPr>
          <w:ilvl w:val="0"/>
          <w:numId w:val="45"/>
        </w:numPr>
        <w:shd w:val="clear" w:color="auto" w:fill="auto"/>
        <w:tabs>
          <w:tab w:pos="1353" w:val="left"/>
        </w:tabs>
        <w:bidi w:val="0"/>
        <w:spacing w:before="0" w:after="0" w:line="312" w:lineRule="exact"/>
        <w:ind w:left="980" w:right="0" w:firstLine="0"/>
        <w:jc w:val="both"/>
      </w:pPr>
      <w:bookmarkStart w:id="820" w:name="bookmark820"/>
      <w:bookmarkEnd w:id="820"/>
      <w:r>
        <w:rPr>
          <w:rFonts w:ascii="Times New Roman" w:eastAsia="Times New Roman" w:hAnsi="Times New Roman" w:cs="Times New Roman"/>
          <w:color w:val="000000"/>
          <w:spacing w:val="0"/>
          <w:w w:val="100"/>
          <w:position w:val="0"/>
        </w:rPr>
        <w:t>“</w:t>
      </w:r>
      <w:r>
        <w:rPr>
          <w:color w:val="000000"/>
          <w:spacing w:val="0"/>
          <w:w w:val="100"/>
          <w:position w:val="0"/>
        </w:rPr>
        <w:t>专项储备</w:t>
      </w:r>
      <w:r>
        <w:rPr>
          <w:rFonts w:ascii="Times New Roman" w:eastAsia="Times New Roman" w:hAnsi="Times New Roman" w:cs="Times New Roman"/>
          <w:color w:val="000000"/>
          <w:spacing w:val="0"/>
          <w:w w:val="100"/>
          <w:position w:val="0"/>
        </w:rPr>
        <w:t>”</w:t>
      </w:r>
      <w:r>
        <w:rPr>
          <w:color w:val="000000"/>
          <w:spacing w:val="0"/>
          <w:w w:val="100"/>
          <w:position w:val="0"/>
        </w:rPr>
        <w:t>和</w:t>
      </w:r>
      <w:r>
        <w:rPr>
          <w:rFonts w:ascii="Times New Roman" w:eastAsia="Times New Roman" w:hAnsi="Times New Roman" w:cs="Times New Roman"/>
          <w:color w:val="000000"/>
          <w:spacing w:val="0"/>
          <w:w w:val="100"/>
          <w:position w:val="0"/>
        </w:rPr>
        <w:t>“</w:t>
      </w:r>
      <w:r>
        <w:rPr>
          <w:color w:val="000000"/>
          <w:spacing w:val="0"/>
          <w:w w:val="100"/>
          <w:position w:val="0"/>
        </w:rPr>
        <w:t>一般风险准备</w:t>
      </w:r>
      <w:r>
        <w:rPr>
          <w:rFonts w:ascii="Times New Roman" w:eastAsia="Times New Roman" w:hAnsi="Times New Roman" w:cs="Times New Roman"/>
          <w:color w:val="000000"/>
          <w:spacing w:val="0"/>
          <w:w w:val="100"/>
          <w:position w:val="0"/>
        </w:rPr>
        <w:t>”</w:t>
      </w:r>
      <w:r>
        <w:rPr>
          <w:color w:val="000000"/>
          <w:spacing w:val="0"/>
          <w:w w:val="100"/>
          <w:position w:val="0"/>
        </w:rPr>
        <w:t>项目由于既不属于实收资本(或股本)、资本公积，也与留存收益、未分配利润不同，在长 期股权投资与子公司所有者权益相互抵销后，按归属于母公司所有者的份额予以恢复。</w:t>
      </w:r>
    </w:p>
    <w:p>
      <w:pPr>
        <w:pStyle w:val="Style32"/>
        <w:keepNext w:val="0"/>
        <w:keepLines w:val="0"/>
        <w:widowControl w:val="0"/>
        <w:numPr>
          <w:ilvl w:val="0"/>
          <w:numId w:val="45"/>
        </w:numPr>
        <w:shd w:val="clear" w:color="auto" w:fill="auto"/>
        <w:tabs>
          <w:tab w:pos="1353" w:val="left"/>
        </w:tabs>
        <w:bidi w:val="0"/>
        <w:spacing w:before="0" w:after="0" w:line="318" w:lineRule="exact"/>
        <w:ind w:left="980" w:right="0" w:firstLine="0"/>
        <w:jc w:val="both"/>
      </w:pPr>
      <w:bookmarkStart w:id="821" w:name="bookmark821"/>
      <w:bookmarkEnd w:id="821"/>
      <w:r>
        <w:rPr>
          <w:color w:val="000000"/>
          <w:spacing w:val="0"/>
          <w:w w:val="100"/>
          <w:position w:val="0"/>
        </w:rPr>
        <w:t>因抵销未实现内部销售损益导致合并资产负债表中资产、负债的账面价值与其在所属纳税主体的计税基础之间产生暂时性 差异的，在合并资产负债表中确认递延所得税资产或递延所得税负债，同时调整合并利润表中的所得税费用，但与直接计入 所有者权益的交易或事项及企业合并相关的递延所得税除外。</w:t>
      </w:r>
    </w:p>
    <w:p>
      <w:pPr>
        <w:pStyle w:val="Style32"/>
        <w:keepNext w:val="0"/>
        <w:keepLines w:val="0"/>
        <w:widowControl w:val="0"/>
        <w:numPr>
          <w:ilvl w:val="0"/>
          <w:numId w:val="45"/>
        </w:numPr>
        <w:shd w:val="clear" w:color="auto" w:fill="auto"/>
        <w:tabs>
          <w:tab w:pos="1353" w:val="left"/>
        </w:tabs>
        <w:bidi w:val="0"/>
        <w:spacing w:before="0" w:after="0" w:line="318" w:lineRule="exact"/>
        <w:ind w:left="980" w:right="0" w:firstLine="0"/>
        <w:jc w:val="both"/>
      </w:pPr>
      <w:bookmarkStart w:id="822" w:name="bookmark822"/>
      <w:bookmarkEnd w:id="822"/>
      <w:r>
        <w:rPr>
          <w:color w:val="000000"/>
          <w:spacing w:val="0"/>
          <w:w w:val="100"/>
          <w:position w:val="0"/>
        </w:rPr>
        <w:t>本公司向子公司出售资产所发生的未实现内部交易损益，应当全额抵销</w:t>
      </w:r>
      <w:r>
        <w:rPr>
          <w:rFonts w:ascii="Times New Roman" w:eastAsia="Times New Roman" w:hAnsi="Times New Roman" w:cs="Times New Roman"/>
          <w:color w:val="000000"/>
          <w:spacing w:val="0"/>
          <w:w w:val="100"/>
          <w:position w:val="0"/>
        </w:rPr>
        <w:t>“</w:t>
      </w:r>
      <w:r>
        <w:rPr>
          <w:color w:val="000000"/>
          <w:spacing w:val="0"/>
          <w:w w:val="100"/>
          <w:position w:val="0"/>
        </w:rPr>
        <w:t>归属于母公司所有者的净利润</w:t>
      </w:r>
      <w:r>
        <w:rPr>
          <w:rFonts w:ascii="Times New Roman" w:eastAsia="Times New Roman" w:hAnsi="Times New Roman" w:cs="Times New Roman"/>
          <w:color w:val="000000"/>
          <w:spacing w:val="0"/>
          <w:w w:val="100"/>
          <w:position w:val="0"/>
        </w:rPr>
        <w:t>”</w:t>
      </w:r>
      <w:r>
        <w:rPr>
          <w:color w:val="000000"/>
          <w:spacing w:val="0"/>
          <w:w w:val="100"/>
          <w:position w:val="0"/>
        </w:rPr>
        <w:t>。子公司向本公司 出售资产所发生的未实现内部交易损益，应当按照本公司对该子公司的分配比例在</w:t>
      </w:r>
      <w:r>
        <w:rPr>
          <w:rFonts w:ascii="Times New Roman" w:eastAsia="Times New Roman" w:hAnsi="Times New Roman" w:cs="Times New Roman"/>
          <w:color w:val="000000"/>
          <w:spacing w:val="0"/>
          <w:w w:val="100"/>
          <w:position w:val="0"/>
        </w:rPr>
        <w:t>“</w:t>
      </w:r>
      <w:r>
        <w:rPr>
          <w:color w:val="000000"/>
          <w:spacing w:val="0"/>
          <w:w w:val="100"/>
          <w:position w:val="0"/>
        </w:rPr>
        <w:t>归属于母公司所有者的净利润</w:t>
      </w:r>
      <w:r>
        <w:rPr>
          <w:rFonts w:ascii="Times New Roman" w:eastAsia="Times New Roman" w:hAnsi="Times New Roman" w:cs="Times New Roman"/>
          <w:color w:val="000000"/>
          <w:spacing w:val="0"/>
          <w:w w:val="100"/>
          <w:position w:val="0"/>
        </w:rPr>
        <w:t>'</w:t>
      </w:r>
      <w:r>
        <w:rPr>
          <w:color w:val="000000"/>
          <w:spacing w:val="0"/>
          <w:w w:val="100"/>
          <w:position w:val="0"/>
        </w:rPr>
        <w:t>'和</w:t>
      </w:r>
      <w:r>
        <w:rPr>
          <w:rFonts w:ascii="Times New Roman" w:eastAsia="Times New Roman" w:hAnsi="Times New Roman" w:cs="Times New Roman"/>
          <w:color w:val="000000"/>
          <w:spacing w:val="0"/>
          <w:w w:val="100"/>
          <w:position w:val="0"/>
        </w:rPr>
        <w:t>“</w:t>
      </w:r>
      <w:r>
        <w:rPr>
          <w:color w:val="000000"/>
          <w:spacing w:val="0"/>
          <w:w w:val="100"/>
          <w:position w:val="0"/>
        </w:rPr>
        <w:t>少数 股东损益</w:t>
      </w:r>
      <w:r>
        <w:rPr>
          <w:color w:val="000000"/>
          <w:spacing w:val="0"/>
          <w:w w:val="100"/>
          <w:position w:val="0"/>
        </w:rPr>
        <w:t>''</w:t>
      </w:r>
      <w:r>
        <w:rPr>
          <w:color w:val="000000"/>
          <w:spacing w:val="0"/>
          <w:w w:val="100"/>
          <w:position w:val="0"/>
        </w:rPr>
        <w:t>之间分配抵销。子公司之间出售资产所发生的未实现内部交易损益，应当按照本公司对出售方子公司的分配比例 在</w:t>
      </w:r>
      <w:r>
        <w:rPr>
          <w:rFonts w:ascii="Times New Roman" w:eastAsia="Times New Roman" w:hAnsi="Times New Roman" w:cs="Times New Roman"/>
          <w:color w:val="000000"/>
          <w:spacing w:val="0"/>
          <w:w w:val="100"/>
          <w:position w:val="0"/>
        </w:rPr>
        <w:t>“</w:t>
      </w:r>
      <w:r>
        <w:rPr>
          <w:color w:val="000000"/>
          <w:spacing w:val="0"/>
          <w:w w:val="100"/>
          <w:position w:val="0"/>
        </w:rPr>
        <w:t>归属于母公司所有者的净利润</w:t>
      </w:r>
      <w:r>
        <w:rPr>
          <w:rFonts w:ascii="Times New Roman" w:eastAsia="Times New Roman" w:hAnsi="Times New Roman" w:cs="Times New Roman"/>
          <w:color w:val="000000"/>
          <w:spacing w:val="0"/>
          <w:w w:val="100"/>
          <w:position w:val="0"/>
        </w:rPr>
        <w:t>”</w:t>
      </w:r>
      <w:r>
        <w:rPr>
          <w:color w:val="000000"/>
          <w:spacing w:val="0"/>
          <w:w w:val="100"/>
          <w:position w:val="0"/>
        </w:rPr>
        <w:t>和</w:t>
      </w:r>
      <w:r>
        <w:rPr>
          <w:rFonts w:ascii="Times New Roman" w:eastAsia="Times New Roman" w:hAnsi="Times New Roman" w:cs="Times New Roman"/>
          <w:color w:val="000000"/>
          <w:spacing w:val="0"/>
          <w:w w:val="100"/>
          <w:position w:val="0"/>
        </w:rPr>
        <w:t>“</w:t>
      </w:r>
      <w:r>
        <w:rPr>
          <w:color w:val="000000"/>
          <w:spacing w:val="0"/>
          <w:w w:val="100"/>
          <w:position w:val="0"/>
        </w:rPr>
        <w:t>少数股东损益</w:t>
      </w:r>
      <w:r>
        <w:rPr>
          <w:rFonts w:ascii="Times New Roman" w:eastAsia="Times New Roman" w:hAnsi="Times New Roman" w:cs="Times New Roman"/>
          <w:color w:val="000000"/>
          <w:spacing w:val="0"/>
          <w:w w:val="100"/>
          <w:position w:val="0"/>
        </w:rPr>
        <w:t>”</w:t>
      </w:r>
      <w:r>
        <w:rPr>
          <w:color w:val="000000"/>
          <w:spacing w:val="0"/>
          <w:w w:val="100"/>
          <w:position w:val="0"/>
        </w:rPr>
        <w:t>之间分配抵销。</w:t>
      </w:r>
    </w:p>
    <w:p>
      <w:pPr>
        <w:pStyle w:val="Style32"/>
        <w:keepNext w:val="0"/>
        <w:keepLines w:val="0"/>
        <w:widowControl w:val="0"/>
        <w:numPr>
          <w:ilvl w:val="0"/>
          <w:numId w:val="45"/>
        </w:numPr>
        <w:shd w:val="clear" w:color="auto" w:fill="auto"/>
        <w:bidi w:val="0"/>
        <w:spacing w:before="0" w:after="0" w:line="307" w:lineRule="exact"/>
        <w:ind w:left="980" w:right="0" w:firstLine="0"/>
        <w:jc w:val="both"/>
      </w:pPr>
      <w:bookmarkStart w:id="823" w:name="bookmark823"/>
      <w:bookmarkEnd w:id="823"/>
      <w:r>
        <w:rPr>
          <w:color w:val="000000"/>
          <w:spacing w:val="0"/>
          <w:w w:val="100"/>
          <w:position w:val="0"/>
        </w:rPr>
        <w:t>子公司少数股东分担的当期亏损超过了少数股东在该子公司期初所有者权益中所享有的份额的，其余额仍应当冲减少数股 东权益。</w:t>
      </w:r>
    </w:p>
    <w:p>
      <w:pPr>
        <w:pStyle w:val="Style32"/>
        <w:keepNext w:val="0"/>
        <w:keepLines w:val="0"/>
        <w:widowControl w:val="0"/>
        <w:numPr>
          <w:ilvl w:val="0"/>
          <w:numId w:val="43"/>
        </w:numPr>
        <w:shd w:val="clear" w:color="auto" w:fill="auto"/>
        <w:bidi w:val="0"/>
        <w:spacing w:before="0" w:after="140" w:line="307" w:lineRule="exact"/>
        <w:ind w:left="980" w:right="0" w:firstLine="0"/>
        <w:jc w:val="both"/>
      </w:pPr>
      <w:bookmarkStart w:id="824" w:name="bookmark824"/>
      <w:bookmarkEnd w:id="824"/>
      <w:r>
        <w:rPr>
          <w:color w:val="000000"/>
          <w:spacing w:val="0"/>
          <w:w w:val="100"/>
          <w:position w:val="0"/>
        </w:rPr>
        <w:t>特殊交易的会计处理</w:t>
      </w:r>
    </w:p>
    <w:p>
      <w:pPr>
        <w:pStyle w:val="Style32"/>
        <w:keepNext w:val="0"/>
        <w:keepLines w:val="0"/>
        <w:widowControl w:val="0"/>
        <w:shd w:val="clear" w:color="auto" w:fill="auto"/>
        <w:bidi w:val="0"/>
        <w:spacing w:before="0" w:after="0"/>
        <w:ind w:left="98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)购买少数股东股权</w:t>
      </w:r>
    </w:p>
    <w:p>
      <w:pPr>
        <w:pStyle w:val="Style32"/>
        <w:keepNext w:val="0"/>
        <w:keepLines w:val="0"/>
        <w:widowControl w:val="0"/>
        <w:shd w:val="clear" w:color="auto" w:fill="auto"/>
        <w:bidi w:val="0"/>
        <w:spacing w:before="0" w:after="140" w:line="312" w:lineRule="exact"/>
        <w:ind w:left="980" w:right="0" w:firstLine="0"/>
        <w:jc w:val="both"/>
      </w:pPr>
      <w:r>
        <w:rPr>
          <w:color w:val="000000"/>
          <w:spacing w:val="0"/>
          <w:w w:val="100"/>
          <w:position w:val="0"/>
        </w:rPr>
        <w:t>本公司购买子公司少数股东拥有的子公司股权，在个别财务报表中，购买少数股权新取得的长期股权投资的投资成本按照所 支付对价的公允价值计量。在合并财务报表中，因购买少数股权新取得的长期股权投资与按照新增持股比例计算应享有子公 司自购买日或合并日开始持续计算的净资产份额之间的差额，应当调整资本公积(资本溢价或股本溢价)，资本公积不足冲 减的，依次冲减盈余公积和未分配利润。</w:t>
      </w:r>
    </w:p>
    <w:p>
      <w:pPr>
        <w:pStyle w:val="Style32"/>
        <w:keepNext w:val="0"/>
        <w:keepLines w:val="0"/>
        <w:widowControl w:val="0"/>
        <w:shd w:val="clear" w:color="auto" w:fill="auto"/>
        <w:bidi w:val="0"/>
        <w:spacing w:before="0" w:after="0"/>
        <w:ind w:left="0" w:right="0" w:firstLine="980"/>
        <w:jc w:val="left"/>
      </w:pPr>
      <w:r>
        <w:rPr>
          <w:rFonts w:ascii="Times New Roman" w:eastAsia="Times New Roman" w:hAnsi="Times New Roman" w:cs="Times New Roman"/>
          <w:color w:val="000000"/>
          <w:spacing w:val="0"/>
          <w:w w:val="100"/>
          <w:position w:val="0"/>
        </w:rPr>
        <w:t>2</w:t>
      </w:r>
      <w:r>
        <w:rPr>
          <w:color w:val="000000"/>
          <w:spacing w:val="0"/>
          <w:w w:val="100"/>
          <w:position w:val="0"/>
        </w:rPr>
        <w:t>)通过多次交易分步取得子公司控制权的</w:t>
      </w:r>
    </w:p>
    <w:p>
      <w:pPr>
        <w:pStyle w:val="Style32"/>
        <w:keepNext w:val="0"/>
        <w:keepLines w:val="0"/>
        <w:widowControl w:val="0"/>
        <w:numPr>
          <w:ilvl w:val="0"/>
          <w:numId w:val="47"/>
        </w:numPr>
        <w:shd w:val="clear" w:color="auto" w:fill="auto"/>
        <w:bidi w:val="0"/>
        <w:spacing w:before="0" w:after="140" w:line="240" w:lineRule="auto"/>
        <w:ind w:left="0" w:right="0" w:firstLine="980"/>
        <w:jc w:val="left"/>
      </w:pPr>
      <w:bookmarkStart w:id="825" w:name="bookmark825"/>
      <w:bookmarkEnd w:id="825"/>
      <w:r>
        <w:rPr>
          <w:color w:val="000000"/>
          <w:spacing w:val="0"/>
          <w:w w:val="100"/>
          <w:position w:val="0"/>
        </w:rPr>
        <w:t>通过多次交易分步实现同一控制下企业合并</w:t>
      </w:r>
    </w:p>
    <w:p>
      <w:pPr>
        <w:pStyle w:val="Style32"/>
        <w:keepNext w:val="0"/>
        <w:keepLines w:val="0"/>
        <w:widowControl w:val="0"/>
        <w:shd w:val="clear" w:color="auto" w:fill="auto"/>
        <w:bidi w:val="0"/>
        <w:spacing w:before="0" w:after="0" w:line="240" w:lineRule="auto"/>
        <w:ind w:left="0" w:right="0" w:firstLine="980"/>
        <w:jc w:val="left"/>
      </w:pPr>
      <w:r>
        <w:rPr>
          <w:color w:val="000000"/>
          <w:spacing w:val="0"/>
          <w:w w:val="100"/>
          <w:position w:val="0"/>
        </w:rPr>
        <w:t>在合并日，本公司在个别财务报表中，根据合并后应享有的子公司净资产在最终控制方合并财务报表中的账面价值的份额,</w:t>
      </w:r>
      <w:r>
        <w:br w:type="page"/>
      </w:r>
    </w:p>
    <w:p>
      <w:pPr>
        <w:pStyle w:val="Style32"/>
        <w:keepNext w:val="0"/>
        <w:keepLines w:val="0"/>
        <w:widowControl w:val="0"/>
        <w:shd w:val="clear" w:color="auto" w:fill="auto"/>
        <w:bidi w:val="0"/>
        <w:spacing w:before="0" w:after="120" w:line="240" w:lineRule="auto"/>
        <w:ind w:left="0" w:right="0" w:firstLine="980"/>
        <w:jc w:val="both"/>
      </w:pPr>
      <w:r>
        <mc:AlternateContent>
          <mc:Choice Requires="wps">
            <w:drawing>
              <wp:anchor distT="0" distB="0" distL="114300" distR="114300" simplePos="0" relativeHeight="125829565" behindDoc="0" locked="0" layoutInCell="1" allowOverlap="1">
                <wp:simplePos x="0" y="0"/>
                <wp:positionH relativeFrom="page">
                  <wp:posOffset>803910</wp:posOffset>
                </wp:positionH>
                <wp:positionV relativeFrom="margin">
                  <wp:posOffset>-60325</wp:posOffset>
                </wp:positionV>
                <wp:extent cx="1243330" cy="283210"/>
                <wp:wrapTopAndBottom/>
                <wp:docPr id="697" name="Shape 697"/>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723" type="#_x0000_t202" style="position:absolute;margin-left:63.300000000000004pt;margin-top:-4.75pt;width:97.900000000000006pt;height:22.300000000000001pt;z-index:-125829188;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确定长期股权投资的初始投资成本;初始投资成本与达到合并前的长期股权投资账面价值加上合并日取得进一步股份新支付</w:t>
      </w:r>
    </w:p>
    <w:p>
      <w:pPr>
        <w:pStyle w:val="Style32"/>
        <w:keepNext w:val="0"/>
        <w:keepLines w:val="0"/>
        <w:widowControl w:val="0"/>
        <w:shd w:val="clear" w:color="auto" w:fill="auto"/>
        <w:bidi w:val="0"/>
        <w:spacing w:before="0" w:after="120" w:line="240" w:lineRule="auto"/>
        <w:ind w:left="0" w:right="0" w:firstLine="980"/>
        <w:jc w:val="both"/>
      </w:pPr>
      <w:r>
        <w:rPr>
          <w:color w:val="000000"/>
          <w:spacing w:val="0"/>
          <w:w w:val="100"/>
          <w:position w:val="0"/>
        </w:rPr>
        <w:t>对价的账面价值之和的差额，调整资本公积（资本溢价或股本溢价），资本公积（资本溢价或股本溢价）不足冲减的，依次</w:t>
      </w:r>
    </w:p>
    <w:p>
      <w:pPr>
        <w:pStyle w:val="Style32"/>
        <w:keepNext w:val="0"/>
        <w:keepLines w:val="0"/>
        <w:widowControl w:val="0"/>
        <w:shd w:val="clear" w:color="auto" w:fill="auto"/>
        <w:bidi w:val="0"/>
        <w:spacing w:before="0" w:after="0" w:line="240" w:lineRule="auto"/>
        <w:ind w:left="980" w:right="0" w:firstLine="0"/>
        <w:jc w:val="both"/>
      </w:pPr>
      <w:r>
        <w:rPr>
          <w:color w:val="000000"/>
          <w:spacing w:val="0"/>
          <w:w w:val="100"/>
          <w:position w:val="0"/>
        </w:rPr>
        <w:t>冲减盈余公积和未分配利润。</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在合并财务报表中，合并方在合并中取得的被合并方的资产、负债，除因会计政策不同而进行的调整以外，按合并日在最终 控制方合并财务报表中的账面价值计量；合并前持有投资的账面价值加上合并日新支付对价的账面价值之和，与合并中取得 的净资产账面价值的差额，调整资本公积（股本溢价</w:t>
      </w:r>
      <w:r>
        <w:rPr>
          <w:rFonts w:ascii="Times New Roman" w:eastAsia="Times New Roman" w:hAnsi="Times New Roman" w:cs="Times New Roman"/>
          <w:color w:val="000000"/>
          <w:spacing w:val="0"/>
          <w:w w:val="100"/>
          <w:position w:val="0"/>
        </w:rPr>
        <w:t>/</w:t>
      </w:r>
      <w:r>
        <w:rPr>
          <w:color w:val="000000"/>
          <w:spacing w:val="0"/>
          <w:w w:val="100"/>
          <w:position w:val="0"/>
        </w:rPr>
        <w:t>资本溢价），资本公积不足冲减的，调整留存收益。</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合并方在取得被合并方控制权之前持有的股权投资且按权益法核算的，在取得原股权之日与合并方和被合并方同处于同一方 最终控制之日孰晚日起至合并日之间已确认有关损益、其他综合收益以及其他所有者权益变动，应分别冲减比较报表期间的 期初留存收益。</w:t>
      </w:r>
    </w:p>
    <w:p>
      <w:pPr>
        <w:pStyle w:val="Style32"/>
        <w:keepNext w:val="0"/>
        <w:keepLines w:val="0"/>
        <w:widowControl w:val="0"/>
        <w:numPr>
          <w:ilvl w:val="0"/>
          <w:numId w:val="47"/>
        </w:numPr>
        <w:shd w:val="clear" w:color="auto" w:fill="auto"/>
        <w:bidi w:val="0"/>
        <w:spacing w:before="0" w:after="0" w:line="312" w:lineRule="exact"/>
        <w:ind w:left="0" w:right="0" w:firstLine="980"/>
        <w:jc w:val="left"/>
      </w:pPr>
      <w:bookmarkStart w:id="826" w:name="bookmark826"/>
      <w:bookmarkEnd w:id="826"/>
      <w:r>
        <w:rPr>
          <w:color w:val="000000"/>
          <w:spacing w:val="0"/>
          <w:w w:val="100"/>
          <w:position w:val="0"/>
        </w:rPr>
        <w:t>通过多次交易分步实现非同一控制下企业合并</w:t>
      </w:r>
    </w:p>
    <w:p>
      <w:pPr>
        <w:pStyle w:val="Style32"/>
        <w:keepNext w:val="0"/>
        <w:keepLines w:val="0"/>
        <w:widowControl w:val="0"/>
        <w:shd w:val="clear" w:color="auto" w:fill="auto"/>
        <w:bidi w:val="0"/>
        <w:spacing w:before="0" w:after="0" w:line="322" w:lineRule="exact"/>
        <w:ind w:left="980" w:right="0" w:firstLine="0"/>
        <w:jc w:val="both"/>
      </w:pPr>
      <w:r>
        <w:rPr>
          <w:color w:val="000000"/>
          <w:spacing w:val="0"/>
          <w:w w:val="100"/>
          <w:position w:val="0"/>
        </w:rPr>
        <w:t>在合并日，在个别财务报表中，按照原持有的长期股权投资的账面价值加上合并日新增投资成本之和，作为合并日长期股权 投资的初始投资成本。</w:t>
      </w:r>
    </w:p>
    <w:p>
      <w:pPr>
        <w:pStyle w:val="Style32"/>
        <w:keepNext w:val="0"/>
        <w:keepLines w:val="0"/>
        <w:widowControl w:val="0"/>
        <w:shd w:val="clear" w:color="auto" w:fill="auto"/>
        <w:bidi w:val="0"/>
        <w:spacing w:before="0" w:after="120" w:line="312" w:lineRule="exact"/>
        <w:ind w:left="980" w:right="0" w:firstLine="0"/>
        <w:jc w:val="both"/>
      </w:pPr>
      <w:r>
        <w:rPr>
          <w:color w:val="000000"/>
          <w:spacing w:val="0"/>
          <w:w w:val="100"/>
          <w:position w:val="0"/>
        </w:rPr>
        <w:t>在合并财务报表中，对于购买日之前持有的被购买方的股权，按照该股权在购买日的公允价值进行重新计量，公允价值与其 账面价值的差额计入当期投资收益；购买日之前持有的被购买方的股权涉及权益法核算下的其他综合收益等的，与其相关的 其他综合收益等转为购买日所属当期收益，但由于被合并方重新计量设定受益计划净资产或净负债变动而产生的其他综合收 益除外。本公司在附注中披露其在购买日之前持有的被购买方的股权在购买日的公允价值、按照公允价值重新计量产生的相 关利得或损失的金额。</w:t>
      </w:r>
    </w:p>
    <w:p>
      <w:pPr>
        <w:pStyle w:val="Style32"/>
        <w:keepNext w:val="0"/>
        <w:keepLines w:val="0"/>
        <w:widowControl w:val="0"/>
        <w:shd w:val="clear" w:color="auto" w:fill="auto"/>
        <w:bidi w:val="0"/>
        <w:spacing w:before="0" w:after="0"/>
        <w:ind w:left="980" w:right="0" w:firstLine="0"/>
        <w:jc w:val="both"/>
      </w:pPr>
      <w:bookmarkStart w:id="827" w:name="bookmark827"/>
      <w:r>
        <w:rPr>
          <w:rFonts w:ascii="Times New Roman" w:eastAsia="Times New Roman" w:hAnsi="Times New Roman" w:cs="Times New Roman"/>
          <w:color w:val="000000"/>
          <w:spacing w:val="0"/>
          <w:w w:val="100"/>
          <w:position w:val="0"/>
        </w:rPr>
        <w:t>3</w:t>
      </w:r>
      <w:bookmarkEnd w:id="827"/>
      <w:r>
        <w:rPr>
          <w:color w:val="000000"/>
          <w:spacing w:val="0"/>
          <w:w w:val="100"/>
          <w:position w:val="0"/>
        </w:rPr>
        <w:t>）本公司处置对子公司长期股权投资但未丧失控制权</w:t>
      </w:r>
    </w:p>
    <w:p>
      <w:pPr>
        <w:pStyle w:val="Style32"/>
        <w:keepNext w:val="0"/>
        <w:keepLines w:val="0"/>
        <w:widowControl w:val="0"/>
        <w:shd w:val="clear" w:color="auto" w:fill="auto"/>
        <w:bidi w:val="0"/>
        <w:spacing w:before="0" w:after="120" w:line="314" w:lineRule="exact"/>
        <w:ind w:left="980" w:right="0" w:firstLine="0"/>
        <w:jc w:val="both"/>
      </w:pPr>
      <w:r>
        <w:rPr>
          <w:color w:val="000000"/>
          <w:spacing w:val="0"/>
          <w:w w:val="100"/>
          <w:position w:val="0"/>
        </w:rPr>
        <w:t>母公司在不丧失控制权的情况下部分处置对子公司的长期股权投资，在合并财务报表中，处置价款与处置长期股权投资相对 应享有子公司自购买日或合并日开始持续计算的净资产份额之间的差额，调整资本公积（资本溢价或股本溢价），资本公积 不足冲减的，调整留存收益。</w:t>
      </w:r>
    </w:p>
    <w:p>
      <w:pPr>
        <w:pStyle w:val="Style32"/>
        <w:keepNext w:val="0"/>
        <w:keepLines w:val="0"/>
        <w:widowControl w:val="0"/>
        <w:shd w:val="clear" w:color="auto" w:fill="auto"/>
        <w:bidi w:val="0"/>
        <w:spacing w:before="0" w:after="0"/>
        <w:ind w:left="0" w:right="0" w:firstLine="980"/>
        <w:jc w:val="left"/>
      </w:pPr>
      <w:bookmarkStart w:id="828" w:name="bookmark828"/>
      <w:r>
        <w:rPr>
          <w:rFonts w:ascii="Times New Roman" w:eastAsia="Times New Roman" w:hAnsi="Times New Roman" w:cs="Times New Roman"/>
          <w:color w:val="000000"/>
          <w:spacing w:val="0"/>
          <w:w w:val="100"/>
          <w:position w:val="0"/>
        </w:rPr>
        <w:t>4</w:t>
      </w:r>
      <w:bookmarkEnd w:id="828"/>
      <w:r>
        <w:rPr>
          <w:color w:val="000000"/>
          <w:spacing w:val="0"/>
          <w:w w:val="100"/>
          <w:position w:val="0"/>
        </w:rPr>
        <w:t>）本公司处置对子公司长期股权投资且丧失控制权</w:t>
      </w:r>
    </w:p>
    <w:p>
      <w:pPr>
        <w:pStyle w:val="Style32"/>
        <w:keepNext w:val="0"/>
        <w:keepLines w:val="0"/>
        <w:widowControl w:val="0"/>
        <w:numPr>
          <w:ilvl w:val="0"/>
          <w:numId w:val="49"/>
        </w:numPr>
        <w:shd w:val="clear" w:color="auto" w:fill="auto"/>
        <w:bidi w:val="0"/>
        <w:spacing w:before="0" w:after="0" w:line="314" w:lineRule="exact"/>
        <w:ind w:left="980" w:right="0" w:firstLine="0"/>
        <w:jc w:val="both"/>
      </w:pPr>
      <w:bookmarkStart w:id="829" w:name="bookmark829"/>
      <w:bookmarkEnd w:id="829"/>
      <w:r>
        <w:rPr>
          <w:color w:val="000000"/>
          <w:spacing w:val="0"/>
          <w:w w:val="100"/>
          <w:position w:val="0"/>
        </w:rPr>
        <w:t xml:space="preserve">一次交易处置 </w:t>
      </w:r>
      <w:r>
        <w:rPr>
          <w:color w:val="000000"/>
          <w:spacing w:val="0"/>
          <w:w w:val="100"/>
          <w:position w:val="0"/>
        </w:rPr>
        <w:t>本公司因处置部分股权投资等原因丧失了对被投资方的控制权的，在编制合并财务报表时，对于剩余股权，按照其在丧失控 制权日的公允价值进行重新计量。处置股权取得的对价与剩余股权公允价值之和，减去按原持股比例计算应享有原有子公司 自购买日或合并日开始持续计算的净资产的份额之间的差额，计入丧失控制权当期的投资收益。</w:t>
      </w:r>
    </w:p>
    <w:p>
      <w:pPr>
        <w:pStyle w:val="Style32"/>
        <w:keepNext w:val="0"/>
        <w:keepLines w:val="0"/>
        <w:widowControl w:val="0"/>
        <w:shd w:val="clear" w:color="auto" w:fill="auto"/>
        <w:bidi w:val="0"/>
        <w:spacing w:before="0" w:after="0" w:line="318" w:lineRule="exact"/>
        <w:ind w:left="980" w:right="0" w:firstLine="0"/>
        <w:jc w:val="both"/>
      </w:pPr>
      <w:r>
        <w:rPr>
          <w:color w:val="000000"/>
          <w:spacing w:val="0"/>
          <w:w w:val="100"/>
          <w:position w:val="0"/>
        </w:rPr>
        <w:t>与原子公司的股权投资相关的其他综合收益、其他所有者权益变动，在丧失控制权时转入当期损益，由于被投资方重新计量 设定受益计划净负债或净资产变动而产生的其他综合收益除外。</w:t>
      </w:r>
    </w:p>
    <w:p>
      <w:pPr>
        <w:pStyle w:val="Style32"/>
        <w:keepNext w:val="0"/>
        <w:keepLines w:val="0"/>
        <w:widowControl w:val="0"/>
        <w:numPr>
          <w:ilvl w:val="0"/>
          <w:numId w:val="49"/>
        </w:numPr>
        <w:shd w:val="clear" w:color="auto" w:fill="auto"/>
        <w:bidi w:val="0"/>
        <w:spacing w:before="0" w:after="0" w:line="318" w:lineRule="exact"/>
        <w:ind w:left="980" w:right="0" w:firstLine="0"/>
        <w:jc w:val="both"/>
      </w:pPr>
      <w:bookmarkStart w:id="830" w:name="bookmark830"/>
      <w:bookmarkEnd w:id="830"/>
      <w:r>
        <w:rPr>
          <w:color w:val="000000"/>
          <w:spacing w:val="0"/>
          <w:w w:val="100"/>
          <w:position w:val="0"/>
        </w:rPr>
        <w:t xml:space="preserve">多次交易分步处置 </w:t>
      </w:r>
      <w:r>
        <w:rPr>
          <w:color w:val="000000"/>
          <w:spacing w:val="0"/>
          <w:w w:val="100"/>
          <w:position w:val="0"/>
        </w:rPr>
        <w:t>在合并财务报表中，应首先判断分步交易是否属于</w:t>
      </w:r>
      <w:r>
        <w:rPr>
          <w:rFonts w:ascii="Times New Roman" w:eastAsia="Times New Roman" w:hAnsi="Times New Roman" w:cs="Times New Roman"/>
          <w:color w:val="000000"/>
          <w:spacing w:val="0"/>
          <w:w w:val="100"/>
          <w:position w:val="0"/>
        </w:rPr>
        <w:t>“</w:t>
      </w:r>
      <w:r>
        <w:rPr>
          <w:color w:val="000000"/>
          <w:spacing w:val="0"/>
          <w:w w:val="100"/>
          <w:position w:val="0"/>
        </w:rPr>
        <w:t>一揽子交易</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32"/>
        <w:keepNext w:val="0"/>
        <w:keepLines w:val="0"/>
        <w:widowControl w:val="0"/>
        <w:shd w:val="clear" w:color="auto" w:fill="auto"/>
        <w:bidi w:val="0"/>
        <w:spacing w:before="0" w:after="0" w:line="310" w:lineRule="exact"/>
        <w:ind w:left="980" w:right="0" w:firstLine="0"/>
        <w:jc w:val="both"/>
      </w:pPr>
      <w:r>
        <w:rPr>
          <w:color w:val="000000"/>
          <w:spacing w:val="0"/>
          <w:w w:val="100"/>
          <w:position w:val="0"/>
        </w:rPr>
        <w:t>如果分步交易不属于</w:t>
      </w:r>
      <w:r>
        <w:rPr>
          <w:rFonts w:ascii="Times New Roman" w:eastAsia="Times New Roman" w:hAnsi="Times New Roman" w:cs="Times New Roman"/>
          <w:color w:val="000000"/>
          <w:spacing w:val="0"/>
          <w:w w:val="100"/>
          <w:position w:val="0"/>
        </w:rPr>
        <w:t>“</w:t>
      </w:r>
      <w:r>
        <w:rPr>
          <w:color w:val="000000"/>
          <w:spacing w:val="0"/>
          <w:w w:val="100"/>
          <w:position w:val="0"/>
        </w:rPr>
        <w:t>一揽子交易</w:t>
      </w:r>
      <w:r>
        <w:rPr>
          <w:rFonts w:ascii="Times New Roman" w:eastAsia="Times New Roman" w:hAnsi="Times New Roman" w:cs="Times New Roman"/>
          <w:color w:val="000000"/>
          <w:spacing w:val="0"/>
          <w:w w:val="100"/>
          <w:position w:val="0"/>
        </w:rPr>
        <w:t>”</w:t>
      </w:r>
      <w:r>
        <w:rPr>
          <w:color w:val="000000"/>
          <w:spacing w:val="0"/>
          <w:w w:val="100"/>
          <w:position w:val="0"/>
        </w:rPr>
        <w:t>的，在个别财务报表中，对丧失子公司控制权之前的各项交易，结转每一次处置股权相对 应的长期股权投资的账面价值，所得价款与处置长期股权投资账面价值之间的差额计入当期投资收益；在合并财务报表中， 应按照</w:t>
      </w:r>
      <w:r>
        <w:rPr>
          <w:rFonts w:ascii="Times New Roman" w:eastAsia="Times New Roman" w:hAnsi="Times New Roman" w:cs="Times New Roman"/>
          <w:color w:val="000000"/>
          <w:spacing w:val="0"/>
          <w:w w:val="100"/>
          <w:position w:val="0"/>
        </w:rPr>
        <w:t>“</w:t>
      </w:r>
      <w:r>
        <w:rPr>
          <w:color w:val="000000"/>
          <w:spacing w:val="0"/>
          <w:w w:val="100"/>
          <w:position w:val="0"/>
        </w:rPr>
        <w:t>母公司处置对子公司长期股权投资但未丧失控制权</w:t>
      </w:r>
      <w:r>
        <w:rPr>
          <w:rFonts w:ascii="Times New Roman" w:eastAsia="Times New Roman" w:hAnsi="Times New Roman" w:cs="Times New Roman"/>
          <w:color w:val="000000"/>
          <w:spacing w:val="0"/>
          <w:w w:val="100"/>
          <w:position w:val="0"/>
        </w:rPr>
        <w:t>”</w:t>
      </w:r>
      <w:r>
        <w:rPr>
          <w:color w:val="000000"/>
          <w:spacing w:val="0"/>
          <w:w w:val="100"/>
          <w:position w:val="0"/>
        </w:rPr>
        <w:t>的有关规定处理。</w:t>
      </w:r>
    </w:p>
    <w:p>
      <w:pPr>
        <w:pStyle w:val="Style32"/>
        <w:keepNext w:val="0"/>
        <w:keepLines w:val="0"/>
        <w:widowControl w:val="0"/>
        <w:shd w:val="clear" w:color="auto" w:fill="auto"/>
        <w:bidi w:val="0"/>
        <w:spacing w:before="0" w:after="120" w:line="308" w:lineRule="exact"/>
        <w:ind w:left="980" w:right="0" w:firstLine="0"/>
        <w:jc w:val="both"/>
      </w:pPr>
      <w:r>
        <w:rPr>
          <w:color w:val="000000"/>
          <w:spacing w:val="0"/>
          <w:w w:val="100"/>
          <w:position w:val="0"/>
        </w:rPr>
        <w:t>如果分步交易属于</w:t>
      </w:r>
      <w:r>
        <w:rPr>
          <w:rFonts w:ascii="Times New Roman" w:eastAsia="Times New Roman" w:hAnsi="Times New Roman" w:cs="Times New Roman"/>
          <w:color w:val="000000"/>
          <w:spacing w:val="0"/>
          <w:w w:val="100"/>
          <w:position w:val="0"/>
        </w:rPr>
        <w:t>“</w:t>
      </w:r>
      <w:r>
        <w:rPr>
          <w:color w:val="000000"/>
          <w:spacing w:val="0"/>
          <w:w w:val="100"/>
          <w:position w:val="0"/>
        </w:rPr>
        <w:t>一揽子交易</w:t>
      </w:r>
      <w:r>
        <w:rPr>
          <w:rFonts w:ascii="Times New Roman" w:eastAsia="Times New Roman" w:hAnsi="Times New Roman" w:cs="Times New Roman"/>
          <w:color w:val="000000"/>
          <w:spacing w:val="0"/>
          <w:w w:val="100"/>
          <w:position w:val="0"/>
        </w:rPr>
        <w:t>”</w:t>
      </w:r>
      <w:r>
        <w:rPr>
          <w:color w:val="000000"/>
          <w:spacing w:val="0"/>
          <w:w w:val="100"/>
          <w:position w:val="0"/>
        </w:rPr>
        <w:t xml:space="preserve">的，应当将各项交易作为一项处置子公司并丧失控制权的交易进行会计处理；在个别财务报 表中，在丧失控制权之前的每一次处置价款与所处置的股权对应的长期股权投资账面价值之间的差额，先确认为其他综合收 益，到丧失控制权时再一并转入丧失控制权的当期损益；在合并财务报表中，对于丧失控制权之前的每一次交易，处置价款 与处置投资对应的享有该子公司净资产份额的差额应当确认为其他综合收益，在丧失控制权时一并转入丧失控制权当期的损 </w:t>
      </w:r>
      <w:r>
        <w:rPr>
          <w:color w:val="000000"/>
          <w:spacing w:val="0"/>
          <w:w w:val="100"/>
          <w:position w:val="0"/>
          <w:u w:val="single"/>
        </w:rPr>
        <w:t>益</w:t>
      </w:r>
      <w:r>
        <w:rPr>
          <w:color w:val="000000"/>
          <w:spacing w:val="0"/>
          <w:w w:val="100"/>
          <w:position w:val="0"/>
        </w:rPr>
        <w:t>。</w:t>
      </w:r>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各项交易的条款、条件以及经济影响符合下列一种或多种情况的，通常将多次交易作为</w:t>
      </w:r>
      <w:r>
        <w:rPr>
          <w:rFonts w:ascii="Times New Roman" w:eastAsia="Times New Roman" w:hAnsi="Times New Roman" w:cs="Times New Roman"/>
          <w:color w:val="000000"/>
          <w:spacing w:val="0"/>
          <w:w w:val="100"/>
          <w:position w:val="0"/>
        </w:rPr>
        <w:t>“</w:t>
      </w:r>
      <w:r>
        <w:rPr>
          <w:color w:val="000000"/>
          <w:spacing w:val="0"/>
          <w:w w:val="100"/>
          <w:position w:val="0"/>
        </w:rPr>
        <w:t>一揽子交易</w:t>
      </w:r>
      <w:r>
        <w:rPr>
          <w:rFonts w:ascii="Times New Roman" w:eastAsia="Times New Roman" w:hAnsi="Times New Roman" w:cs="Times New Roman"/>
          <w:color w:val="000000"/>
          <w:spacing w:val="0"/>
          <w:w w:val="100"/>
          <w:position w:val="0"/>
        </w:rPr>
        <w:t>”</w:t>
      </w:r>
      <w:r>
        <w:rPr>
          <w:color w:val="000000"/>
          <w:spacing w:val="0"/>
          <w:w w:val="100"/>
          <w:position w:val="0"/>
        </w:rPr>
        <w:t>进行会计处理:</w:t>
      </w:r>
    </w:p>
    <w:p>
      <w:pPr>
        <w:pStyle w:val="Style32"/>
        <w:keepNext w:val="0"/>
        <w:keepLines w:val="0"/>
        <w:widowControl w:val="0"/>
        <w:numPr>
          <w:ilvl w:val="0"/>
          <w:numId w:val="51"/>
        </w:numPr>
        <w:shd w:val="clear" w:color="auto" w:fill="auto"/>
        <w:tabs>
          <w:tab w:pos="1311" w:val="left"/>
        </w:tabs>
        <w:bidi w:val="0"/>
        <w:spacing w:before="0" w:after="120" w:line="240" w:lineRule="auto"/>
        <w:ind w:left="0" w:right="0" w:firstLine="980"/>
        <w:jc w:val="left"/>
      </w:pPr>
      <w:bookmarkStart w:id="831" w:name="bookmark831"/>
      <w:bookmarkEnd w:id="831"/>
      <w:r>
        <w:rPr>
          <w:color w:val="000000"/>
          <w:spacing w:val="0"/>
          <w:w w:val="100"/>
          <w:position w:val="0"/>
        </w:rPr>
        <w:t>这些交易是同时或者在考虑了彼此影响的情况下订立的。</w:t>
      </w:r>
    </w:p>
    <w:p>
      <w:pPr>
        <w:pStyle w:val="Style32"/>
        <w:keepNext w:val="0"/>
        <w:keepLines w:val="0"/>
        <w:widowControl w:val="0"/>
        <w:numPr>
          <w:ilvl w:val="0"/>
          <w:numId w:val="51"/>
        </w:numPr>
        <w:shd w:val="clear" w:color="auto" w:fill="auto"/>
        <w:tabs>
          <w:tab w:pos="1311" w:val="left"/>
        </w:tabs>
        <w:bidi w:val="0"/>
        <w:spacing w:before="0" w:after="120" w:line="240" w:lineRule="auto"/>
        <w:ind w:left="0" w:right="0" w:firstLine="980"/>
        <w:jc w:val="left"/>
      </w:pPr>
      <w:bookmarkStart w:id="832" w:name="bookmark832"/>
      <w:bookmarkEnd w:id="832"/>
      <w:r>
        <w:rPr>
          <w:color w:val="000000"/>
          <w:spacing w:val="0"/>
          <w:w w:val="100"/>
          <w:position w:val="0"/>
        </w:rPr>
        <w:t>这些交易整体才能达成一项完整的商业结果。</w:t>
      </w:r>
    </w:p>
    <w:p>
      <w:pPr>
        <w:pStyle w:val="Style32"/>
        <w:keepNext w:val="0"/>
        <w:keepLines w:val="0"/>
        <w:widowControl w:val="0"/>
        <w:numPr>
          <w:ilvl w:val="0"/>
          <w:numId w:val="51"/>
        </w:numPr>
        <w:shd w:val="clear" w:color="auto" w:fill="auto"/>
        <w:tabs>
          <w:tab w:pos="1311" w:val="left"/>
        </w:tabs>
        <w:bidi w:val="0"/>
        <w:spacing w:before="0" w:after="80" w:line="240" w:lineRule="auto"/>
        <w:ind w:left="0" w:right="0" w:firstLine="980"/>
        <w:jc w:val="left"/>
      </w:pPr>
      <w:bookmarkStart w:id="833" w:name="bookmark833"/>
      <w:bookmarkEnd w:id="833"/>
      <w:r>
        <w:rPr>
          <w:color w:val="000000"/>
          <w:spacing w:val="0"/>
          <w:w w:val="100"/>
          <w:position w:val="0"/>
        </w:rPr>
        <w:t>一项交易的发生取决于其他至少一项交易的发生。</w:t>
      </w:r>
      <w:r>
        <w:br w:type="page"/>
      </w:r>
    </w:p>
    <w:p>
      <w:pPr>
        <w:pStyle w:val="Style32"/>
        <w:keepNext w:val="0"/>
        <w:keepLines w:val="0"/>
        <w:widowControl w:val="0"/>
        <w:numPr>
          <w:ilvl w:val="0"/>
          <w:numId w:val="51"/>
        </w:numPr>
        <w:shd w:val="clear" w:color="auto" w:fill="auto"/>
        <w:bidi w:val="0"/>
        <w:spacing w:before="0" w:after="0" w:line="240" w:lineRule="auto"/>
        <w:ind w:left="980" w:right="0" w:firstLine="0"/>
        <w:jc w:val="both"/>
      </w:pPr>
      <w:r>
        <mc:AlternateContent>
          <mc:Choice Requires="wps">
            <w:drawing>
              <wp:anchor distT="0" distB="0" distL="114300" distR="114300" simplePos="0" relativeHeight="125829567" behindDoc="0" locked="0" layoutInCell="1" allowOverlap="1">
                <wp:simplePos x="0" y="0"/>
                <wp:positionH relativeFrom="page">
                  <wp:posOffset>803910</wp:posOffset>
                </wp:positionH>
                <wp:positionV relativeFrom="margin">
                  <wp:posOffset>-60325</wp:posOffset>
                </wp:positionV>
                <wp:extent cx="1243330" cy="283210"/>
                <wp:wrapTopAndBottom/>
                <wp:docPr id="699" name="Shape 699"/>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725" type="#_x0000_t202" style="position:absolute;margin-left:63.300000000000004pt;margin-top:-4.75pt;width:97.900000000000006pt;height:22.300000000000001pt;z-index:-125829186;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bookmarkStart w:id="834" w:name="bookmark834"/>
      <w:bookmarkEnd w:id="834"/>
      <w:r>
        <w:rPr>
          <w:color w:val="000000"/>
          <w:spacing w:val="0"/>
          <w:w w:val="100"/>
          <w:position w:val="0"/>
        </w:rPr>
        <w:t>一项交易单独考虑时是不经济的，但是和其他交易一并考虑时是经济的。</w:t>
      </w:r>
    </w:p>
    <w:p>
      <w:pPr>
        <w:pStyle w:val="Style32"/>
        <w:keepNext w:val="0"/>
        <w:keepLines w:val="0"/>
        <w:widowControl w:val="0"/>
        <w:shd w:val="clear" w:color="auto" w:fill="auto"/>
        <w:bidi w:val="0"/>
        <w:spacing w:before="0" w:after="0" w:line="312" w:lineRule="exact"/>
        <w:ind w:left="980" w:right="0" w:firstLine="0"/>
        <w:jc w:val="both"/>
      </w:pPr>
      <w:bookmarkStart w:id="835" w:name="bookmark835"/>
      <w:r>
        <w:rPr>
          <w:rFonts w:ascii="Times New Roman" w:eastAsia="Times New Roman" w:hAnsi="Times New Roman" w:cs="Times New Roman"/>
          <w:color w:val="000000"/>
          <w:spacing w:val="0"/>
          <w:w w:val="100"/>
          <w:position w:val="0"/>
        </w:rPr>
        <w:t>5</w:t>
      </w:r>
      <w:bookmarkEnd w:id="835"/>
      <w:r>
        <w:rPr>
          <w:color w:val="000000"/>
          <w:spacing w:val="0"/>
          <w:w w:val="100"/>
          <w:position w:val="0"/>
        </w:rPr>
        <w:t>）因子公司的少数股东增资而稀释母公司拥有的股权比例</w:t>
      </w:r>
    </w:p>
    <w:p>
      <w:pPr>
        <w:pStyle w:val="Style32"/>
        <w:keepNext w:val="0"/>
        <w:keepLines w:val="0"/>
        <w:widowControl w:val="0"/>
        <w:shd w:val="clear" w:color="auto" w:fill="auto"/>
        <w:bidi w:val="0"/>
        <w:spacing w:before="0" w:after="380" w:line="312" w:lineRule="exact"/>
        <w:ind w:left="980" w:right="0" w:firstLine="0"/>
        <w:jc w:val="both"/>
      </w:pPr>
      <w:r>
        <w:rPr>
          <w:color w:val="000000"/>
          <w:spacing w:val="0"/>
          <w:w w:val="100"/>
          <w:position w:val="0"/>
        </w:rPr>
        <w:t>子公司的其他股东（少数股东）对子公司进行增资，由此稀释了母公司对子公司的股权比例。在合并财务报表中，按照增资 前的母公司股权比例计算其在增资前子公司账面净资产中的份额，该份额与增资后按照母公司持股比例计算的在增资后子公 司账面净资产份额之间的差额调整资本公积（资本溢价或股本溢价），资本公积（资本溢价或股本溢价）不足冲减的，调整 留存收益。</w:t>
      </w:r>
    </w:p>
    <w:p>
      <w:pPr>
        <w:pStyle w:val="Style55"/>
        <w:keepNext/>
        <w:keepLines/>
        <w:widowControl w:val="0"/>
        <w:shd w:val="clear" w:color="auto" w:fill="auto"/>
        <w:bidi w:val="0"/>
        <w:spacing w:before="0" w:after="380" w:line="240" w:lineRule="auto"/>
        <w:ind w:left="0" w:right="0" w:firstLine="980"/>
        <w:jc w:val="left"/>
      </w:pPr>
      <w:bookmarkStart w:id="836" w:name="bookmark836"/>
      <w:bookmarkStart w:id="837" w:name="bookmark837"/>
      <w:bookmarkStart w:id="838" w:name="bookmark838"/>
      <w:bookmarkStart w:id="839" w:name="bookmark839"/>
      <w:r>
        <w:rPr>
          <w:rFonts w:ascii="Times New Roman" w:eastAsia="Times New Roman" w:hAnsi="Times New Roman" w:cs="Times New Roman"/>
          <w:color w:val="000000"/>
          <w:spacing w:val="0"/>
          <w:w w:val="100"/>
          <w:position w:val="0"/>
        </w:rPr>
        <w:t>7</w:t>
      </w:r>
      <w:bookmarkEnd w:id="838"/>
      <w:r>
        <w:rPr>
          <w:color w:val="000000"/>
          <w:spacing w:val="0"/>
          <w:w w:val="100"/>
          <w:position w:val="0"/>
        </w:rPr>
        <w:t>、合营安排分类及共同经营会计处理方法</w:t>
      </w:r>
      <w:bookmarkEnd w:id="836"/>
      <w:bookmarkEnd w:id="837"/>
      <w:bookmarkEnd w:id="839"/>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合营安排，是指一项由两个或两个以上的参与方共同控制的安排。本公司合营安排分为共同经营和合营企业。</w:t>
      </w:r>
    </w:p>
    <w:p>
      <w:pPr>
        <w:pStyle w:val="Style32"/>
        <w:keepNext w:val="0"/>
        <w:keepLines w:val="0"/>
        <w:widowControl w:val="0"/>
        <w:shd w:val="clear" w:color="auto" w:fill="auto"/>
        <w:tabs>
          <w:tab w:pos="1425" w:val="left"/>
        </w:tabs>
        <w:bidi w:val="0"/>
        <w:spacing w:before="0" w:after="140" w:line="240" w:lineRule="auto"/>
        <w:ind w:left="0" w:right="0" w:firstLine="980"/>
        <w:jc w:val="left"/>
      </w:pPr>
      <w:bookmarkStart w:id="840" w:name="bookmark840"/>
      <w:r>
        <w:rPr>
          <w:color w:val="000000"/>
          <w:spacing w:val="0"/>
          <w:w w:val="100"/>
          <w:position w:val="0"/>
        </w:rPr>
        <w:t>（</w:t>
      </w:r>
      <w:bookmarkEnd w:id="840"/>
      <w:r>
        <w:rPr>
          <w:rFonts w:ascii="Times New Roman" w:eastAsia="Times New Roman" w:hAnsi="Times New Roman" w:cs="Times New Roman"/>
          <w:color w:val="000000"/>
          <w:spacing w:val="0"/>
          <w:w w:val="100"/>
          <w:position w:val="0"/>
        </w:rPr>
        <w:t>1</w:t>
      </w:r>
      <w:r>
        <w:rPr>
          <w:color w:val="000000"/>
          <w:spacing w:val="0"/>
          <w:w w:val="100"/>
          <w:position w:val="0"/>
        </w:rPr>
        <w:t>）</w:t>
        <w:tab/>
        <w:t>共同经营</w:t>
      </w: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共同经营是指本公司享有该安排相关资产且承担该安排相关负债的合营安排。</w:t>
      </w: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本公司确认其与共同经营中利益份额相关的下列项目，并按照相关企业会计准则的规定进行会计处理：</w:t>
      </w:r>
    </w:p>
    <w:p>
      <w:pPr>
        <w:pStyle w:val="Style32"/>
        <w:keepNext w:val="0"/>
        <w:keepLines w:val="0"/>
        <w:widowControl w:val="0"/>
        <w:numPr>
          <w:ilvl w:val="0"/>
          <w:numId w:val="53"/>
        </w:numPr>
        <w:shd w:val="clear" w:color="auto" w:fill="auto"/>
        <w:tabs>
          <w:tab w:pos="1353" w:val="left"/>
        </w:tabs>
        <w:bidi w:val="0"/>
        <w:spacing w:before="0" w:after="140" w:line="240" w:lineRule="auto"/>
        <w:ind w:left="0" w:right="0" w:firstLine="980"/>
        <w:jc w:val="left"/>
      </w:pPr>
      <w:bookmarkStart w:id="841" w:name="bookmark841"/>
      <w:bookmarkEnd w:id="841"/>
      <w:r>
        <w:rPr>
          <w:color w:val="000000"/>
          <w:spacing w:val="0"/>
          <w:w w:val="100"/>
          <w:position w:val="0"/>
        </w:rPr>
        <w:t>确认单独所持有的资产，以及按其份额确认共同持有的资产；</w:t>
      </w:r>
    </w:p>
    <w:p>
      <w:pPr>
        <w:pStyle w:val="Style32"/>
        <w:keepNext w:val="0"/>
        <w:keepLines w:val="0"/>
        <w:widowControl w:val="0"/>
        <w:numPr>
          <w:ilvl w:val="0"/>
          <w:numId w:val="53"/>
        </w:numPr>
        <w:shd w:val="clear" w:color="auto" w:fill="auto"/>
        <w:tabs>
          <w:tab w:pos="1353" w:val="left"/>
        </w:tabs>
        <w:bidi w:val="0"/>
        <w:spacing w:before="0" w:after="140" w:line="240" w:lineRule="auto"/>
        <w:ind w:left="0" w:right="0" w:firstLine="980"/>
        <w:jc w:val="left"/>
      </w:pPr>
      <w:bookmarkStart w:id="842" w:name="bookmark842"/>
      <w:bookmarkEnd w:id="842"/>
      <w:r>
        <w:rPr>
          <w:color w:val="000000"/>
          <w:spacing w:val="0"/>
          <w:w w:val="100"/>
          <w:position w:val="0"/>
        </w:rPr>
        <w:t>确认单独所承担的负债，以及按其份额确认共同承担的负债；</w:t>
      </w:r>
    </w:p>
    <w:p>
      <w:pPr>
        <w:pStyle w:val="Style32"/>
        <w:keepNext w:val="0"/>
        <w:keepLines w:val="0"/>
        <w:widowControl w:val="0"/>
        <w:numPr>
          <w:ilvl w:val="0"/>
          <w:numId w:val="53"/>
        </w:numPr>
        <w:shd w:val="clear" w:color="auto" w:fill="auto"/>
        <w:tabs>
          <w:tab w:pos="1353" w:val="left"/>
        </w:tabs>
        <w:bidi w:val="0"/>
        <w:spacing w:before="0" w:after="140" w:line="240" w:lineRule="auto"/>
        <w:ind w:left="0" w:right="0" w:firstLine="980"/>
        <w:jc w:val="left"/>
      </w:pPr>
      <w:bookmarkStart w:id="843" w:name="bookmark843"/>
      <w:bookmarkEnd w:id="843"/>
      <w:r>
        <w:rPr>
          <w:color w:val="000000"/>
          <w:spacing w:val="0"/>
          <w:w w:val="100"/>
          <w:position w:val="0"/>
        </w:rPr>
        <w:t>确认出售其享有的共同经营产出份额所产生的收入；</w:t>
      </w:r>
    </w:p>
    <w:p>
      <w:pPr>
        <w:pStyle w:val="Style32"/>
        <w:keepNext w:val="0"/>
        <w:keepLines w:val="0"/>
        <w:widowControl w:val="0"/>
        <w:numPr>
          <w:ilvl w:val="0"/>
          <w:numId w:val="53"/>
        </w:numPr>
        <w:shd w:val="clear" w:color="auto" w:fill="auto"/>
        <w:tabs>
          <w:tab w:pos="1353" w:val="left"/>
        </w:tabs>
        <w:bidi w:val="0"/>
        <w:spacing w:before="0" w:after="140" w:line="240" w:lineRule="auto"/>
        <w:ind w:left="0" w:right="0" w:firstLine="980"/>
        <w:jc w:val="left"/>
      </w:pPr>
      <w:bookmarkStart w:id="844" w:name="bookmark844"/>
      <w:bookmarkEnd w:id="844"/>
      <w:r>
        <w:rPr>
          <w:color w:val="000000"/>
          <w:spacing w:val="0"/>
          <w:w w:val="100"/>
          <w:position w:val="0"/>
        </w:rPr>
        <w:t>按其份额确认共同经营因出售产出所产生的收入；</w:t>
      </w:r>
    </w:p>
    <w:p>
      <w:pPr>
        <w:pStyle w:val="Style32"/>
        <w:keepNext w:val="0"/>
        <w:keepLines w:val="0"/>
        <w:widowControl w:val="0"/>
        <w:numPr>
          <w:ilvl w:val="0"/>
          <w:numId w:val="53"/>
        </w:numPr>
        <w:shd w:val="clear" w:color="auto" w:fill="auto"/>
        <w:tabs>
          <w:tab w:pos="1353" w:val="left"/>
        </w:tabs>
        <w:bidi w:val="0"/>
        <w:spacing w:before="0" w:after="140" w:line="240" w:lineRule="auto"/>
        <w:ind w:left="0" w:right="0" w:firstLine="980"/>
        <w:jc w:val="left"/>
      </w:pPr>
      <w:bookmarkStart w:id="845" w:name="bookmark845"/>
      <w:bookmarkEnd w:id="845"/>
      <w:r>
        <w:rPr>
          <w:color w:val="000000"/>
          <w:spacing w:val="0"/>
          <w:w w:val="100"/>
          <w:position w:val="0"/>
        </w:rPr>
        <w:t>确认单独所发生的费用，以及按其份额确认共同经营发生的费用。</w:t>
      </w:r>
    </w:p>
    <w:p>
      <w:pPr>
        <w:pStyle w:val="Style32"/>
        <w:keepNext w:val="0"/>
        <w:keepLines w:val="0"/>
        <w:widowControl w:val="0"/>
        <w:shd w:val="clear" w:color="auto" w:fill="auto"/>
        <w:tabs>
          <w:tab w:pos="1430" w:val="left"/>
        </w:tabs>
        <w:bidi w:val="0"/>
        <w:spacing w:before="0" w:after="140" w:line="240" w:lineRule="auto"/>
        <w:ind w:left="0" w:right="0" w:firstLine="980"/>
        <w:jc w:val="left"/>
      </w:pPr>
      <w:bookmarkStart w:id="846" w:name="bookmark846"/>
      <w:r>
        <w:rPr>
          <w:color w:val="000000"/>
          <w:spacing w:val="0"/>
          <w:w w:val="100"/>
          <w:position w:val="0"/>
        </w:rPr>
        <w:t>（</w:t>
      </w:r>
      <w:bookmarkEnd w:id="846"/>
      <w:r>
        <w:rPr>
          <w:rFonts w:ascii="Times New Roman" w:eastAsia="Times New Roman" w:hAnsi="Times New Roman" w:cs="Times New Roman"/>
          <w:color w:val="000000"/>
          <w:spacing w:val="0"/>
          <w:w w:val="100"/>
          <w:position w:val="0"/>
        </w:rPr>
        <w:t>2</w:t>
      </w:r>
      <w:r>
        <w:rPr>
          <w:color w:val="000000"/>
          <w:spacing w:val="0"/>
          <w:w w:val="100"/>
          <w:position w:val="0"/>
        </w:rPr>
        <w:t>）</w:t>
        <w:tab/>
        <w:t>合营企业</w:t>
      </w: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合营企业是指本公司仅对该安排的净资产享有权利的合营安排。</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本公司按照长期股权投资有关权益法核算的规定对合营企业的投资进行会计处理。</w:t>
      </w:r>
    </w:p>
    <w:p>
      <w:pPr>
        <w:pStyle w:val="Style55"/>
        <w:keepNext/>
        <w:keepLines/>
        <w:widowControl w:val="0"/>
        <w:shd w:val="clear" w:color="auto" w:fill="auto"/>
        <w:bidi w:val="0"/>
        <w:spacing w:before="0" w:after="280" w:line="240" w:lineRule="auto"/>
        <w:ind w:left="0" w:right="0" w:firstLine="980"/>
        <w:jc w:val="left"/>
      </w:pPr>
      <w:bookmarkStart w:id="847" w:name="bookmark847"/>
      <w:bookmarkStart w:id="848" w:name="bookmark848"/>
      <w:bookmarkStart w:id="849" w:name="bookmark849"/>
      <w:bookmarkStart w:id="850" w:name="bookmark850"/>
      <w:r>
        <w:rPr>
          <w:rFonts w:ascii="Times New Roman" w:eastAsia="Times New Roman" w:hAnsi="Times New Roman" w:cs="Times New Roman"/>
          <w:color w:val="000000"/>
          <w:spacing w:val="0"/>
          <w:w w:val="100"/>
          <w:position w:val="0"/>
        </w:rPr>
        <w:t>8</w:t>
      </w:r>
      <w:bookmarkEnd w:id="849"/>
      <w:r>
        <w:rPr>
          <w:color w:val="000000"/>
          <w:spacing w:val="0"/>
          <w:w w:val="100"/>
          <w:position w:val="0"/>
        </w:rPr>
        <w:t>、现金及现金等价物的确定标准</w:t>
      </w:r>
      <w:bookmarkEnd w:id="847"/>
      <w:bookmarkEnd w:id="848"/>
      <w:bookmarkEnd w:id="850"/>
    </w:p>
    <w:p>
      <w:pPr>
        <w:pStyle w:val="Style32"/>
        <w:keepNext w:val="0"/>
        <w:keepLines w:val="0"/>
        <w:widowControl w:val="0"/>
        <w:shd w:val="clear" w:color="auto" w:fill="auto"/>
        <w:bidi w:val="0"/>
        <w:spacing w:before="0" w:after="380" w:line="312" w:lineRule="exact"/>
        <w:ind w:left="980" w:right="0" w:firstLine="0"/>
        <w:jc w:val="left"/>
      </w:pPr>
      <w:r>
        <w:rPr>
          <w:color w:val="000000"/>
          <w:spacing w:val="0"/>
          <w:w w:val="100"/>
          <w:position w:val="0"/>
        </w:rPr>
        <w:t>现金指企业库存现金及可以随时用于支付的存款。现金等价物指持有的期限短（一般是指从购买日起三个月内到期）、流动 性强、易于转换为已知金额现金、价值变动风险很小的投资。</w:t>
      </w:r>
    </w:p>
    <w:p>
      <w:pPr>
        <w:pStyle w:val="Style55"/>
        <w:keepNext/>
        <w:keepLines/>
        <w:widowControl w:val="0"/>
        <w:shd w:val="clear" w:color="auto" w:fill="auto"/>
        <w:bidi w:val="0"/>
        <w:spacing w:before="0" w:after="280" w:line="240" w:lineRule="auto"/>
        <w:ind w:left="0" w:right="0" w:firstLine="980"/>
        <w:jc w:val="left"/>
      </w:pPr>
      <w:bookmarkStart w:id="851" w:name="bookmark851"/>
      <w:bookmarkStart w:id="852" w:name="bookmark852"/>
      <w:bookmarkStart w:id="853" w:name="bookmark853"/>
      <w:bookmarkStart w:id="854" w:name="bookmark854"/>
      <w:r>
        <w:rPr>
          <w:rFonts w:ascii="Times New Roman" w:eastAsia="Times New Roman" w:hAnsi="Times New Roman" w:cs="Times New Roman"/>
          <w:color w:val="000000"/>
          <w:spacing w:val="0"/>
          <w:w w:val="100"/>
          <w:position w:val="0"/>
        </w:rPr>
        <w:t>9</w:t>
      </w:r>
      <w:bookmarkEnd w:id="853"/>
      <w:r>
        <w:rPr>
          <w:color w:val="000000"/>
          <w:spacing w:val="0"/>
          <w:w w:val="100"/>
          <w:position w:val="0"/>
        </w:rPr>
        <w:t>、外币业务和外币报表折算</w:t>
      </w:r>
      <w:bookmarkEnd w:id="851"/>
      <w:bookmarkEnd w:id="852"/>
      <w:bookmarkEnd w:id="854"/>
    </w:p>
    <w:p>
      <w:pPr>
        <w:pStyle w:val="Style32"/>
        <w:keepNext w:val="0"/>
        <w:keepLines w:val="0"/>
        <w:widowControl w:val="0"/>
        <w:shd w:val="clear" w:color="auto" w:fill="auto"/>
        <w:tabs>
          <w:tab w:pos="1425" w:val="left"/>
        </w:tabs>
        <w:bidi w:val="0"/>
        <w:spacing w:before="0" w:after="0" w:line="314" w:lineRule="exact"/>
        <w:ind w:left="0" w:right="0" w:firstLine="980"/>
        <w:jc w:val="left"/>
      </w:pPr>
      <w:bookmarkStart w:id="855" w:name="bookmark855"/>
      <w:r>
        <w:rPr>
          <w:color w:val="000000"/>
          <w:spacing w:val="0"/>
          <w:w w:val="100"/>
          <w:position w:val="0"/>
        </w:rPr>
        <w:t>（</w:t>
      </w:r>
      <w:bookmarkEnd w:id="855"/>
      <w:r>
        <w:rPr>
          <w:rFonts w:ascii="Times New Roman" w:eastAsia="Times New Roman" w:hAnsi="Times New Roman" w:cs="Times New Roman"/>
          <w:color w:val="000000"/>
          <w:spacing w:val="0"/>
          <w:w w:val="100"/>
          <w:position w:val="0"/>
        </w:rPr>
        <w:t>1</w:t>
      </w:r>
      <w:r>
        <w:rPr>
          <w:color w:val="000000"/>
          <w:spacing w:val="0"/>
          <w:w w:val="100"/>
          <w:position w:val="0"/>
        </w:rPr>
        <w:t>）</w:t>
        <w:tab/>
        <w:t>外币交易时折算汇率的确定方法</w:t>
      </w:r>
    </w:p>
    <w:p>
      <w:pPr>
        <w:pStyle w:val="Style32"/>
        <w:keepNext w:val="0"/>
        <w:keepLines w:val="0"/>
        <w:widowControl w:val="0"/>
        <w:shd w:val="clear" w:color="auto" w:fill="auto"/>
        <w:bidi w:val="0"/>
        <w:spacing w:before="0" w:after="0" w:line="314" w:lineRule="exact"/>
        <w:ind w:left="0" w:right="0" w:firstLine="980"/>
        <w:jc w:val="left"/>
      </w:pPr>
      <w:r>
        <w:rPr>
          <w:color w:val="000000"/>
          <w:spacing w:val="0"/>
          <w:w w:val="100"/>
          <w:position w:val="0"/>
        </w:rPr>
        <w:t>本公司外币交易初始确认时采用交易发生日的即期汇率或即期汇率的近似汇率折算为记账本位币。</w:t>
      </w:r>
    </w:p>
    <w:p>
      <w:pPr>
        <w:pStyle w:val="Style32"/>
        <w:keepNext w:val="0"/>
        <w:keepLines w:val="0"/>
        <w:widowControl w:val="0"/>
        <w:shd w:val="clear" w:color="auto" w:fill="auto"/>
        <w:tabs>
          <w:tab w:pos="1425" w:val="left"/>
        </w:tabs>
        <w:bidi w:val="0"/>
        <w:spacing w:before="0" w:after="0" w:line="314" w:lineRule="exact"/>
        <w:ind w:left="0" w:right="0" w:firstLine="980"/>
        <w:jc w:val="left"/>
      </w:pPr>
      <w:bookmarkStart w:id="856" w:name="bookmark856"/>
      <w:r>
        <w:rPr>
          <w:color w:val="000000"/>
          <w:spacing w:val="0"/>
          <w:w w:val="100"/>
          <w:position w:val="0"/>
        </w:rPr>
        <w:t>（</w:t>
      </w:r>
      <w:bookmarkEnd w:id="856"/>
      <w:r>
        <w:rPr>
          <w:rFonts w:ascii="Times New Roman" w:eastAsia="Times New Roman" w:hAnsi="Times New Roman" w:cs="Times New Roman"/>
          <w:color w:val="000000"/>
          <w:spacing w:val="0"/>
          <w:w w:val="100"/>
          <w:position w:val="0"/>
        </w:rPr>
        <w:t>2</w:t>
      </w:r>
      <w:r>
        <w:rPr>
          <w:color w:val="000000"/>
          <w:spacing w:val="0"/>
          <w:w w:val="100"/>
          <w:position w:val="0"/>
        </w:rPr>
        <w:t>）</w:t>
        <w:tab/>
        <w:t>资产负债表日外币货币性项目的折算方法</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在资产负债表日，对于外币货币性项目，采用资产负债表日的即期汇率折算。因资产负债表日即期汇率与初始确认时或前一 资产负债表日即期汇率不同而产生的汇兑差额，计入当期损益。</w:t>
      </w:r>
    </w:p>
    <w:p>
      <w:pPr>
        <w:pStyle w:val="Style32"/>
        <w:keepNext w:val="0"/>
        <w:keepLines w:val="0"/>
        <w:widowControl w:val="0"/>
        <w:shd w:val="clear" w:color="auto" w:fill="auto"/>
        <w:tabs>
          <w:tab w:pos="1425" w:val="left"/>
        </w:tabs>
        <w:bidi w:val="0"/>
        <w:spacing w:before="0" w:after="0" w:line="314" w:lineRule="exact"/>
        <w:ind w:left="980" w:right="0" w:firstLine="0"/>
        <w:jc w:val="left"/>
      </w:pPr>
      <w:bookmarkStart w:id="857" w:name="bookmark857"/>
      <w:r>
        <w:rPr>
          <w:color w:val="000000"/>
          <w:spacing w:val="0"/>
          <w:w w:val="100"/>
          <w:position w:val="0"/>
        </w:rPr>
        <w:t>（</w:t>
      </w:r>
      <w:bookmarkEnd w:id="857"/>
      <w:r>
        <w:rPr>
          <w:rFonts w:ascii="Times New Roman" w:eastAsia="Times New Roman" w:hAnsi="Times New Roman" w:cs="Times New Roman"/>
          <w:color w:val="000000"/>
          <w:spacing w:val="0"/>
          <w:w w:val="100"/>
          <w:position w:val="0"/>
        </w:rPr>
        <w:t>3</w:t>
      </w:r>
      <w:r>
        <w:rPr>
          <w:color w:val="000000"/>
          <w:spacing w:val="0"/>
          <w:w w:val="100"/>
          <w:position w:val="0"/>
        </w:rPr>
        <w:t>）</w:t>
        <w:tab/>
        <w:t>外币报表折算方法</w:t>
      </w:r>
    </w:p>
    <w:p>
      <w:pPr>
        <w:pStyle w:val="Style32"/>
        <w:keepNext w:val="0"/>
        <w:keepLines w:val="0"/>
        <w:widowControl w:val="0"/>
        <w:shd w:val="clear" w:color="auto" w:fill="auto"/>
        <w:bidi w:val="0"/>
        <w:spacing w:before="0" w:after="0" w:line="317" w:lineRule="exact"/>
        <w:ind w:left="980" w:right="0" w:firstLine="0"/>
        <w:jc w:val="left"/>
      </w:pPr>
      <w:r>
        <w:rPr>
          <w:color w:val="000000"/>
          <w:spacing w:val="0"/>
          <w:w w:val="100"/>
          <w:position w:val="0"/>
        </w:rPr>
        <w:t>对企业境外经营财务报表进行折算前先调整境外经营的会计期间和会计政策，使之与企业会计期间和会计政策相一致，再根 据调整后会计政策及会计期间编制相应货币（记账本位币以外的货币）的财务报表，再按照以下方法对境外经营财务报表进 行折算：</w:t>
      </w:r>
    </w:p>
    <w:p>
      <w:pPr>
        <w:pStyle w:val="Style32"/>
        <w:keepNext w:val="0"/>
        <w:keepLines w:val="0"/>
        <w:widowControl w:val="0"/>
        <w:numPr>
          <w:ilvl w:val="0"/>
          <w:numId w:val="55"/>
        </w:numPr>
        <w:shd w:val="clear" w:color="auto" w:fill="auto"/>
        <w:tabs>
          <w:tab w:pos="1353" w:val="left"/>
        </w:tabs>
        <w:bidi w:val="0"/>
        <w:spacing w:before="0" w:after="0" w:line="312" w:lineRule="exact"/>
        <w:ind w:left="980" w:right="0" w:firstLine="0"/>
        <w:jc w:val="left"/>
      </w:pPr>
      <w:bookmarkStart w:id="858" w:name="bookmark858"/>
      <w:bookmarkEnd w:id="858"/>
      <w:r>
        <w:rPr>
          <w:color w:val="000000"/>
          <w:spacing w:val="0"/>
          <w:w w:val="100"/>
          <w:position w:val="0"/>
        </w:rPr>
        <w:t>资产负债表中的资产和负债项目，采用资产负债表日的即期汇率折算，所有者权益项目除</w:t>
      </w:r>
      <w:r>
        <w:rPr>
          <w:rFonts w:ascii="Times New Roman" w:eastAsia="Times New Roman" w:hAnsi="Times New Roman" w:cs="Times New Roman"/>
          <w:color w:val="000000"/>
          <w:spacing w:val="0"/>
          <w:w w:val="100"/>
          <w:position w:val="0"/>
        </w:rPr>
        <w:t>“</w:t>
      </w:r>
      <w:r>
        <w:rPr>
          <w:color w:val="000000"/>
          <w:spacing w:val="0"/>
          <w:w w:val="100"/>
          <w:position w:val="0"/>
        </w:rPr>
        <w:t>未分配利润</w:t>
      </w:r>
      <w:r>
        <w:rPr>
          <w:rFonts w:ascii="Times New Roman" w:eastAsia="Times New Roman" w:hAnsi="Times New Roman" w:cs="Times New Roman"/>
          <w:color w:val="000000"/>
          <w:spacing w:val="0"/>
          <w:w w:val="100"/>
          <w:position w:val="0"/>
        </w:rPr>
        <w:t>”</w:t>
      </w:r>
      <w:r>
        <w:rPr>
          <w:color w:val="000000"/>
          <w:spacing w:val="0"/>
          <w:w w:val="100"/>
          <w:position w:val="0"/>
        </w:rPr>
        <w:t>项目外，其他项目 采用发生时的即期汇率折算。</w:t>
      </w:r>
    </w:p>
    <w:p>
      <w:pPr>
        <w:pStyle w:val="Style32"/>
        <w:keepNext w:val="0"/>
        <w:keepLines w:val="0"/>
        <w:widowControl w:val="0"/>
        <w:numPr>
          <w:ilvl w:val="0"/>
          <w:numId w:val="55"/>
        </w:numPr>
        <w:shd w:val="clear" w:color="auto" w:fill="auto"/>
        <w:tabs>
          <w:tab w:pos="1353" w:val="left"/>
        </w:tabs>
        <w:bidi w:val="0"/>
        <w:spacing w:before="0" w:after="0" w:line="314" w:lineRule="exact"/>
        <w:ind w:left="980" w:right="0" w:firstLine="0"/>
        <w:jc w:val="left"/>
      </w:pPr>
      <w:bookmarkStart w:id="859" w:name="bookmark859"/>
      <w:bookmarkEnd w:id="859"/>
      <w:r>
        <w:rPr>
          <w:color w:val="000000"/>
          <w:spacing w:val="0"/>
          <w:w w:val="100"/>
          <w:position w:val="0"/>
        </w:rPr>
        <w:t>利润表中的收入和费用项目，采用交易发生日的即期汇率或即期汇率的近似汇率折算。</w:t>
      </w:r>
    </w:p>
    <w:p>
      <w:pPr>
        <w:pStyle w:val="Style32"/>
        <w:keepNext w:val="0"/>
        <w:keepLines w:val="0"/>
        <w:widowControl w:val="0"/>
        <w:numPr>
          <w:ilvl w:val="0"/>
          <w:numId w:val="55"/>
        </w:numPr>
        <w:shd w:val="clear" w:color="auto" w:fill="auto"/>
        <w:tabs>
          <w:tab w:pos="1353" w:val="left"/>
        </w:tabs>
        <w:bidi w:val="0"/>
        <w:spacing w:before="0" w:after="140" w:line="314" w:lineRule="exact"/>
        <w:ind w:left="980" w:right="0" w:firstLine="0"/>
        <w:jc w:val="left"/>
      </w:pPr>
      <w:bookmarkStart w:id="860" w:name="bookmark860"/>
      <w:bookmarkEnd w:id="860"/>
      <w:r>
        <w:rPr>
          <w:color w:val="000000"/>
          <w:spacing w:val="0"/>
          <w:w w:val="100"/>
          <w:position w:val="0"/>
        </w:rPr>
        <w:t>产生的外币财务报表折算差额，在编制合并财务报表时,在合并资产负债表中所有者权益项目下单独列示</w:t>
      </w:r>
      <w:r>
        <w:rPr>
          <w:rFonts w:ascii="Times New Roman" w:eastAsia="Times New Roman" w:hAnsi="Times New Roman" w:cs="Times New Roman"/>
          <w:color w:val="000000"/>
          <w:spacing w:val="0"/>
          <w:w w:val="100"/>
          <w:position w:val="0"/>
        </w:rPr>
        <w:t>“</w:t>
      </w:r>
      <w:r>
        <w:rPr>
          <w:color w:val="000000"/>
          <w:spacing w:val="0"/>
          <w:w w:val="100"/>
          <w:position w:val="0"/>
        </w:rPr>
        <w:t>其他综合收益</w:t>
      </w:r>
      <w:r>
        <w:rPr>
          <w:rFonts w:ascii="Times New Roman" w:eastAsia="Times New Roman" w:hAnsi="Times New Roman" w:cs="Times New Roman"/>
          <w:color w:val="000000"/>
          <w:spacing w:val="0"/>
          <w:w w:val="100"/>
          <w:position w:val="0"/>
        </w:rPr>
        <w:t>”</w:t>
      </w:r>
      <w:r>
        <w:rPr>
          <w:color w:val="000000"/>
          <w:spacing w:val="0"/>
          <w:w w:val="100"/>
          <w:position w:val="0"/>
        </w:rPr>
        <w:t>。</w:t>
      </w:r>
    </w:p>
    <w:p>
      <w:pPr>
        <w:framePr w:w="768" w:h="437" w:hSpace="1296" w:wrap="notBeside" w:vAnchor="text" w:hAnchor="text" w:x="1014" w:y="1"/>
        <w:widowControl w:val="0"/>
        <w:rPr>
          <w:sz w:val="2"/>
          <w:szCs w:val="2"/>
        </w:rPr>
      </w:pPr>
      <w:r>
        <w:drawing>
          <wp:inline>
            <wp:extent cx="487680" cy="280670"/>
            <wp:docPr id="701" name="Picutre 701"/>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285"/>
                    <a:stretch/>
                  </pic:blipFill>
                  <pic:spPr>
                    <a:xfrm>
                      <a:ext cx="487680" cy="280670"/>
                    </a:xfrm>
                    <a:prstGeom prst="rect"/>
                  </pic:spPr>
                </pic:pic>
              </a:graphicData>
            </a:graphic>
          </wp:inline>
        </w:drawing>
      </w:r>
    </w:p>
    <w:p>
      <w:pPr>
        <w:widowControl w:val="0"/>
        <w:spacing w:line="1" w:lineRule="exact"/>
      </w:pPr>
      <w:r>
        <mc:AlternateContent>
          <mc:Choice Requires="wps">
            <w:drawing>
              <wp:anchor distT="0" distB="0" distL="643255" distR="5132705" simplePos="0" relativeHeight="125829569" behindDoc="0" locked="0" layoutInCell="1" allowOverlap="1">
                <wp:simplePos x="0" y="0"/>
                <wp:positionH relativeFrom="column">
                  <wp:posOffset>1130935</wp:posOffset>
                </wp:positionH>
                <wp:positionV relativeFrom="paragraph">
                  <wp:posOffset>6350</wp:posOffset>
                </wp:positionV>
                <wp:extent cx="822960" cy="250190"/>
                <wp:wrapTopAndBottom/>
                <wp:docPr id="702" name="Shape 702"/>
                <a:graphic xmlns:a="http://schemas.openxmlformats.org/drawingml/2006/main">
                  <a:graphicData uri="http://schemas.microsoft.com/office/word/2010/wordprocessingShape">
                    <wps:wsp>
                      <wps:cNvSpPr txBox="1"/>
                      <wps:spPr>
                        <a:xfrm>
                          <a:ext cx="822960"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728" type="#_x0000_t202" style="position:absolute;margin-left:89.049999999999997pt;margin-top:0.5pt;width:64.799999999999997pt;height:19.699999999999999pt;z-index:-125829184;mso-wrap-distance-left:50.649999999999999pt;mso-wrap-distance-right:404.15000000000003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32"/>
        <w:keepNext w:val="0"/>
        <w:keepLines w:val="0"/>
        <w:widowControl w:val="0"/>
        <w:numPr>
          <w:ilvl w:val="0"/>
          <w:numId w:val="55"/>
        </w:numPr>
        <w:shd w:val="clear" w:color="auto" w:fill="auto"/>
        <w:bidi w:val="0"/>
        <w:spacing w:before="0" w:after="400" w:line="240" w:lineRule="auto"/>
        <w:ind w:left="980" w:right="0" w:firstLine="0"/>
        <w:jc w:val="both"/>
      </w:pPr>
      <w:bookmarkStart w:id="861" w:name="bookmark861"/>
      <w:bookmarkEnd w:id="861"/>
      <w:r>
        <w:rPr>
          <w:color w:val="000000"/>
          <w:spacing w:val="0"/>
          <w:w w:val="100"/>
          <w:position w:val="0"/>
        </w:rPr>
        <w:t xml:space="preserve">外币现金流量以及境外子公司的现金流量，采用现金流量发生日的即期汇率或即期汇率的近似汇率折算。汇率变动对现金 </w:t>
      </w:r>
      <w:r>
        <w:rPr>
          <w:color w:val="000000"/>
          <w:spacing w:val="0"/>
          <w:w w:val="100"/>
          <w:position w:val="0"/>
        </w:rPr>
        <w:t>的影响额应当作为调节项目，在现金流量表中单独列报。</w:t>
      </w:r>
    </w:p>
    <w:p>
      <w:pPr>
        <w:pStyle w:val="Style55"/>
        <w:keepNext/>
        <w:keepLines/>
        <w:widowControl w:val="0"/>
        <w:shd w:val="clear" w:color="auto" w:fill="auto"/>
        <w:bidi w:val="0"/>
        <w:spacing w:before="0" w:after="260" w:line="240" w:lineRule="auto"/>
        <w:ind w:left="980" w:right="0" w:firstLine="0"/>
        <w:jc w:val="both"/>
      </w:pPr>
      <w:bookmarkStart w:id="862" w:name="bookmark862"/>
      <w:bookmarkStart w:id="863" w:name="bookmark863"/>
      <w:bookmarkStart w:id="864" w:name="bookmark864"/>
      <w:bookmarkStart w:id="865" w:name="bookmark865"/>
      <w:r>
        <w:rPr>
          <w:rFonts w:ascii="Times New Roman" w:eastAsia="Times New Roman" w:hAnsi="Times New Roman" w:cs="Times New Roman"/>
          <w:color w:val="000000"/>
          <w:spacing w:val="0"/>
          <w:w w:val="100"/>
          <w:position w:val="0"/>
        </w:rPr>
        <w:t>1</w:t>
      </w:r>
      <w:bookmarkEnd w:id="864"/>
      <w:r>
        <w:rPr>
          <w:rFonts w:ascii="Times New Roman" w:eastAsia="Times New Roman" w:hAnsi="Times New Roman" w:cs="Times New Roman"/>
          <w:color w:val="000000"/>
          <w:spacing w:val="0"/>
          <w:w w:val="100"/>
          <w:position w:val="0"/>
        </w:rPr>
        <w:t>0</w:t>
      </w:r>
      <w:r>
        <w:rPr>
          <w:color w:val="000000"/>
          <w:spacing w:val="0"/>
          <w:w w:val="100"/>
          <w:position w:val="0"/>
        </w:rPr>
        <w:t>、金融工具</w:t>
      </w:r>
      <w:bookmarkEnd w:id="862"/>
      <w:bookmarkEnd w:id="863"/>
      <w:bookmarkEnd w:id="865"/>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金融工具，是指形成一方的金融资产并形成其他方的金融负债或权益工具的合同。</w:t>
      </w:r>
    </w:p>
    <w:p>
      <w:pPr>
        <w:pStyle w:val="Style32"/>
        <w:keepNext w:val="0"/>
        <w:keepLines w:val="0"/>
        <w:widowControl w:val="0"/>
        <w:shd w:val="clear" w:color="auto" w:fill="auto"/>
        <w:tabs>
          <w:tab w:pos="1410" w:val="left"/>
        </w:tabs>
        <w:bidi w:val="0"/>
        <w:spacing w:before="0" w:after="0" w:line="312" w:lineRule="exact"/>
        <w:ind w:left="980" w:right="0" w:firstLine="0"/>
        <w:jc w:val="both"/>
      </w:pPr>
      <w:bookmarkStart w:id="866" w:name="bookmark866"/>
      <w:r>
        <w:rPr>
          <w:color w:val="000000"/>
          <w:spacing w:val="0"/>
          <w:w w:val="100"/>
          <w:position w:val="0"/>
        </w:rPr>
        <w:t>（</w:t>
      </w:r>
      <w:bookmarkEnd w:id="866"/>
      <w:r>
        <w:rPr>
          <w:rFonts w:ascii="Times New Roman" w:eastAsia="Times New Roman" w:hAnsi="Times New Roman" w:cs="Times New Roman"/>
          <w:color w:val="000000"/>
          <w:spacing w:val="0"/>
          <w:w w:val="100"/>
          <w:position w:val="0"/>
        </w:rPr>
        <w:t>1</w:t>
      </w:r>
      <w:r>
        <w:rPr>
          <w:color w:val="000000"/>
          <w:spacing w:val="0"/>
          <w:w w:val="100"/>
          <w:position w:val="0"/>
        </w:rPr>
        <w:t>）</w:t>
        <w:tab/>
        <w:t>金融工具的确认和终止确认</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当本公司成为金融工具合同的一方时，确认相关的金融资产或金融负债。</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金融资产满足下列条件之一的，终止确认：</w:t>
      </w:r>
    </w:p>
    <w:p>
      <w:pPr>
        <w:pStyle w:val="Style32"/>
        <w:keepNext w:val="0"/>
        <w:keepLines w:val="0"/>
        <w:widowControl w:val="0"/>
        <w:numPr>
          <w:ilvl w:val="0"/>
          <w:numId w:val="57"/>
        </w:numPr>
        <w:shd w:val="clear" w:color="auto" w:fill="auto"/>
        <w:tabs>
          <w:tab w:pos="1338" w:val="left"/>
        </w:tabs>
        <w:bidi w:val="0"/>
        <w:spacing w:before="0" w:after="0" w:line="312" w:lineRule="exact"/>
        <w:ind w:left="980" w:right="0" w:firstLine="0"/>
        <w:jc w:val="both"/>
      </w:pPr>
      <w:bookmarkStart w:id="867" w:name="bookmark867"/>
      <w:bookmarkEnd w:id="867"/>
      <w:r>
        <w:rPr>
          <w:color w:val="000000"/>
          <w:spacing w:val="0"/>
          <w:w w:val="100"/>
          <w:position w:val="0"/>
        </w:rPr>
        <w:t>收取该金融资产现金流量的合同权利终止；</w:t>
      </w:r>
    </w:p>
    <w:p>
      <w:pPr>
        <w:pStyle w:val="Style32"/>
        <w:keepNext w:val="0"/>
        <w:keepLines w:val="0"/>
        <w:widowControl w:val="0"/>
        <w:numPr>
          <w:ilvl w:val="0"/>
          <w:numId w:val="57"/>
        </w:numPr>
        <w:shd w:val="clear" w:color="auto" w:fill="auto"/>
        <w:tabs>
          <w:tab w:pos="1338" w:val="left"/>
        </w:tabs>
        <w:bidi w:val="0"/>
        <w:spacing w:before="0" w:after="0" w:line="312" w:lineRule="exact"/>
        <w:ind w:left="980" w:right="0" w:firstLine="0"/>
        <w:jc w:val="both"/>
      </w:pPr>
      <w:bookmarkStart w:id="868" w:name="bookmark868"/>
      <w:bookmarkEnd w:id="868"/>
      <w:r>
        <w:rPr>
          <w:color w:val="000000"/>
          <w:spacing w:val="0"/>
          <w:w w:val="100"/>
          <w:position w:val="0"/>
        </w:rPr>
        <w:t>该金融资产已转移，且符合下述金融资产转移的终止确认条件。</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金融负债（或其一部分）的现时义务已经解除的，终止确认该金融负债（或该部分金融负债）。本公司（借入方）与借出方 之间签订协议，以承担新金融负债方式替换原金融负债，且新金融负债与原金融负债的合同条款实质上不同的，终止确认原 金融负债，并同时确认新金融负债。本公司对原金融负债（或其一部分）的合同条款作出实质性修改的，应当终止原金融负 债，同时按照修改后的条款确认一项新的金融负债。</w:t>
      </w:r>
    </w:p>
    <w:p>
      <w:pPr>
        <w:pStyle w:val="Style32"/>
        <w:keepNext w:val="0"/>
        <w:keepLines w:val="0"/>
        <w:widowControl w:val="0"/>
        <w:shd w:val="clear" w:color="auto" w:fill="auto"/>
        <w:bidi w:val="0"/>
        <w:spacing w:before="0" w:after="0" w:line="317" w:lineRule="exact"/>
        <w:ind w:left="980" w:right="0" w:firstLine="0"/>
        <w:jc w:val="both"/>
      </w:pPr>
      <w:r>
        <w:rPr>
          <w:color w:val="000000"/>
          <w:spacing w:val="0"/>
          <w:w w:val="100"/>
          <w:position w:val="0"/>
        </w:rPr>
        <w:t>以常规方式买卖金融资产，按交易日进行会计确认和终止确认。常规方式买卖金融资产，是指按照合同条款规定，在法规或 市场惯例所确定的时间安排来交付金融资产。交易日，是指本公司承诺买入或卖出金融资产的日期。</w:t>
      </w:r>
    </w:p>
    <w:p>
      <w:pPr>
        <w:pStyle w:val="Style32"/>
        <w:keepNext w:val="0"/>
        <w:keepLines w:val="0"/>
        <w:widowControl w:val="0"/>
        <w:shd w:val="clear" w:color="auto" w:fill="auto"/>
        <w:tabs>
          <w:tab w:pos="1410" w:val="left"/>
        </w:tabs>
        <w:bidi w:val="0"/>
        <w:spacing w:before="0" w:after="0" w:line="312" w:lineRule="exact"/>
        <w:ind w:left="980" w:right="0" w:firstLine="0"/>
        <w:jc w:val="both"/>
      </w:pPr>
      <w:bookmarkStart w:id="869" w:name="bookmark869"/>
      <w:r>
        <w:rPr>
          <w:color w:val="000000"/>
          <w:spacing w:val="0"/>
          <w:w w:val="100"/>
          <w:position w:val="0"/>
        </w:rPr>
        <w:t>（</w:t>
      </w:r>
      <w:bookmarkEnd w:id="869"/>
      <w:r>
        <w:rPr>
          <w:rFonts w:ascii="Times New Roman" w:eastAsia="Times New Roman" w:hAnsi="Times New Roman" w:cs="Times New Roman"/>
          <w:color w:val="000000"/>
          <w:spacing w:val="0"/>
          <w:w w:val="100"/>
          <w:position w:val="0"/>
        </w:rPr>
        <w:t>2</w:t>
      </w:r>
      <w:r>
        <w:rPr>
          <w:color w:val="000000"/>
          <w:spacing w:val="0"/>
          <w:w w:val="100"/>
          <w:position w:val="0"/>
        </w:rPr>
        <w:t>）</w:t>
        <w:tab/>
        <w:t>金融资产的分类与计量</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本公司在初始确认时根据管理金融资产的业务模式和金融资产的合同现金流量特征，将金融资产分类为：以摊余成本计量的 金融资产、以公允价值计量且其变动计入当期损益的金融资产、以公允价值计量且其变动计入其他综合收益的金融资产。除 非本公司改变管理金融资产的业务模式，在此情形下，所有受影响的相关金融资产在业务模式发生变更后的首个报告期间的 第一天进行重分类，否则金融资产在初始确认后不得进行重分类。</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金融资产在初始确认时以公允价值计量。对于以公允价值计量且其变动计入当期损益的金融资产，相关交易费用直接计入当 期损益，其他类别的金融资产相关交易费用计入其初始确认金额。因销售商品或提供劳务而产生的、未包含或不考虑重大融 资成分的应收票据及应收账款，本公司则按照收入准则定义的交易价格进行初始计量。</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金融资产的后续计量取决于其分类：</w:t>
      </w:r>
    </w:p>
    <w:p>
      <w:pPr>
        <w:pStyle w:val="Style32"/>
        <w:keepNext w:val="0"/>
        <w:keepLines w:val="0"/>
        <w:widowControl w:val="0"/>
        <w:numPr>
          <w:ilvl w:val="0"/>
          <w:numId w:val="59"/>
        </w:numPr>
        <w:shd w:val="clear" w:color="auto" w:fill="auto"/>
        <w:tabs>
          <w:tab w:pos="1338" w:val="left"/>
        </w:tabs>
        <w:bidi w:val="0"/>
        <w:spacing w:before="0" w:after="0" w:line="312" w:lineRule="exact"/>
        <w:ind w:left="980" w:right="0" w:firstLine="0"/>
        <w:jc w:val="left"/>
      </w:pPr>
      <w:bookmarkStart w:id="870" w:name="bookmark870"/>
      <w:bookmarkEnd w:id="870"/>
      <w:r>
        <w:rPr>
          <w:color w:val="000000"/>
          <w:spacing w:val="0"/>
          <w:w w:val="100"/>
          <w:position w:val="0"/>
        </w:rPr>
        <w:t>以摊余成本计量的金融资产</w:t>
      </w:r>
    </w:p>
    <w:p>
      <w:pPr>
        <w:pStyle w:val="Style32"/>
        <w:keepNext w:val="0"/>
        <w:keepLines w:val="0"/>
        <w:widowControl w:val="0"/>
        <w:shd w:val="clear" w:color="auto" w:fill="auto"/>
        <w:bidi w:val="0"/>
        <w:spacing w:before="0" w:after="0" w:line="310" w:lineRule="exact"/>
        <w:ind w:left="980" w:right="0" w:firstLine="0"/>
        <w:jc w:val="left"/>
      </w:pPr>
      <w:r>
        <w:rPr>
          <w:color w:val="000000"/>
          <w:spacing w:val="0"/>
          <w:w w:val="100"/>
          <w:position w:val="0"/>
        </w:rPr>
        <w:t>金融资产同时符合下列条件的，分类为以摊余成本计量的金融资产：本公司管理该金融资产的业务模式是以收取合同现金流 量为目标；该金融资产的合同条款规定，在特定日期产生的现金流量，仅为对本金和以未偿付本金金额为基础的利息的支付。 对于此类金融资产，采用实际利率法，按照摊余成本进行后续计量，其终止确认、按实际利率法摊销或减值产生的利得或损 失，均计入当期损益。</w:t>
      </w:r>
    </w:p>
    <w:p>
      <w:pPr>
        <w:pStyle w:val="Style32"/>
        <w:keepNext w:val="0"/>
        <w:keepLines w:val="0"/>
        <w:widowControl w:val="0"/>
        <w:numPr>
          <w:ilvl w:val="0"/>
          <w:numId w:val="59"/>
        </w:numPr>
        <w:shd w:val="clear" w:color="auto" w:fill="auto"/>
        <w:tabs>
          <w:tab w:pos="1338" w:val="left"/>
        </w:tabs>
        <w:bidi w:val="0"/>
        <w:spacing w:before="0" w:after="0" w:line="312" w:lineRule="exact"/>
        <w:ind w:left="980" w:right="0" w:firstLine="0"/>
        <w:jc w:val="both"/>
      </w:pPr>
      <w:bookmarkStart w:id="871" w:name="bookmark871"/>
      <w:bookmarkEnd w:id="871"/>
      <w:r>
        <w:rPr>
          <w:color w:val="000000"/>
          <w:spacing w:val="0"/>
          <w:w w:val="100"/>
          <w:position w:val="0"/>
        </w:rPr>
        <w:t>以公允价值计量且其变动计入其他综合收益的金融资产</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金融资产同时符合下列条件的，分类为以公允价值计量且其变动计入其他综合收益的金融资产：本公司管理该金融资产的业 务模式是既以收取合同现金流量为目标又以出售金融资产为目标;该金融资产的合同条款规定，在特定日期产生的现金流量, 仅为对本金和以未偿付本金金额为基础的利息的支付。对于此类金融资产，采用公允价值进行后续计量。除减值损失或利得 及汇兑损益确认为当期损益外，此类金融资产的公允价值变动作为其他综合收益确认，直到该金融资产终止确认时，其累计 利得或损失转入当期损益。但是采用实际利率法计算的该金融资产的相关利息收入计入当期损益。</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本公司不可撤销地选择将部分非交易性权益工具投资指定为以公允价值计量且其变动计入其他综合收益的金融资产，仅将相 关股利收入计入当期损益，公允价值变动作为其他综合收益确认，直到该金融资产终止确认时，其累计利得或损失转入留存 收益。</w:t>
      </w:r>
    </w:p>
    <w:p>
      <w:pPr>
        <w:pStyle w:val="Style32"/>
        <w:keepNext w:val="0"/>
        <w:keepLines w:val="0"/>
        <w:widowControl w:val="0"/>
        <w:numPr>
          <w:ilvl w:val="0"/>
          <w:numId w:val="59"/>
        </w:numPr>
        <w:shd w:val="clear" w:color="auto" w:fill="auto"/>
        <w:tabs>
          <w:tab w:pos="1338" w:val="left"/>
        </w:tabs>
        <w:bidi w:val="0"/>
        <w:spacing w:before="0" w:after="0" w:line="312" w:lineRule="exact"/>
        <w:ind w:left="0" w:right="0" w:firstLine="980"/>
        <w:jc w:val="both"/>
      </w:pPr>
      <w:bookmarkStart w:id="872" w:name="bookmark872"/>
      <w:bookmarkEnd w:id="872"/>
      <w:r>
        <w:rPr>
          <w:color w:val="000000"/>
          <w:spacing w:val="0"/>
          <w:w w:val="100"/>
          <w:position w:val="0"/>
        </w:rPr>
        <w:t>以公允价值计量且其变动计入当期损益的金融资产</w:t>
      </w:r>
    </w:p>
    <w:p>
      <w:pPr>
        <w:pStyle w:val="Style32"/>
        <w:keepNext w:val="0"/>
        <w:keepLines w:val="0"/>
        <w:widowControl w:val="0"/>
        <w:shd w:val="clear" w:color="auto" w:fill="auto"/>
        <w:bidi w:val="0"/>
        <w:spacing w:before="0" w:after="0" w:line="312" w:lineRule="exact"/>
        <w:ind w:left="0" w:right="0" w:firstLine="980"/>
        <w:jc w:val="both"/>
      </w:pPr>
      <w:r>
        <w:rPr>
          <w:color w:val="000000"/>
          <w:spacing w:val="0"/>
          <w:w w:val="100"/>
          <w:position w:val="0"/>
        </w:rPr>
        <w:t>上述以摊余成本计量的金融资产和以公允价值计量且其变动计入其他综合收益的金融资产之外的金融资产，分类为以公允价</w:t>
      </w:r>
      <w:r>
        <w:br w:type="page"/>
      </w:r>
    </w:p>
    <w:p>
      <w:pPr>
        <w:pStyle w:val="Style32"/>
        <w:keepNext w:val="0"/>
        <w:keepLines w:val="0"/>
        <w:widowControl w:val="0"/>
        <w:shd w:val="clear" w:color="auto" w:fill="auto"/>
        <w:bidi w:val="0"/>
        <w:spacing w:before="0" w:after="120" w:line="240" w:lineRule="auto"/>
        <w:ind w:left="0" w:right="0" w:firstLine="980"/>
        <w:jc w:val="left"/>
      </w:pPr>
      <w:r>
        <w:drawing>
          <wp:anchor distT="0" distB="0" distL="114300" distR="925195" simplePos="0" relativeHeight="125829571" behindDoc="0" locked="0" layoutInCell="1" allowOverlap="1">
            <wp:simplePos x="0" y="0"/>
            <wp:positionH relativeFrom="page">
              <wp:posOffset>709295</wp:posOffset>
            </wp:positionH>
            <wp:positionV relativeFrom="margin">
              <wp:posOffset>-60325</wp:posOffset>
            </wp:positionV>
            <wp:extent cx="524510" cy="286385"/>
            <wp:wrapTopAndBottom/>
            <wp:docPr id="704" name="Shape 704"/>
            <a:graphic xmlns:a="http://schemas.openxmlformats.org/drawingml/2006/main">
              <a:graphicData uri="http://schemas.openxmlformats.org/drawingml/2006/picture">
                <pic:pic xmlns:pic="http://schemas.openxmlformats.org/drawingml/2006/picture">
                  <pic:nvPicPr>
                    <pic:cNvPr id="705" name="Picture box 705"/>
                    <pic:cNvPicPr/>
                  </pic:nvPicPr>
                  <pic:blipFill>
                    <a:blip r:embed="rId287"/>
                    <a:stretch/>
                  </pic:blipFill>
                  <pic:spPr>
                    <a:xfrm>
                      <a:ext cx="524510" cy="286385"/>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1221105</wp:posOffset>
                </wp:positionH>
                <wp:positionV relativeFrom="margin">
                  <wp:posOffset>-53975</wp:posOffset>
                </wp:positionV>
                <wp:extent cx="819785" cy="250190"/>
                <wp:wrapNone/>
                <wp:docPr id="706" name="Shape 706"/>
                <a:graphic xmlns:a="http://schemas.openxmlformats.org/drawingml/2006/main">
                  <a:graphicData uri="http://schemas.microsoft.com/office/word/2010/wordprocessingShape">
                    <wps:wsp>
                      <wps:cNvSpPr txBox="1"/>
                      <wps:spPr>
                        <a:xfrm>
                          <a:ext cx="819785"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732" type="#_x0000_t202" style="position:absolute;margin-left:96.150000000000006pt;margin-top:-4.25pt;width:64.549999999999997pt;height:19.699999999999999pt;z-index:251657737;mso-wrap-distance-left:0;mso-wrap-distance-right:0;mso-position-horizontal-relative:page;mso-position-vertical-relative:margin"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anchorx="page" anchory="margin"/>
              </v:shape>
            </w:pict>
          </mc:Fallback>
        </mc:AlternateContent>
      </w:r>
      <w:r>
        <w:rPr>
          <w:color w:val="000000"/>
          <w:spacing w:val="0"/>
          <w:w w:val="100"/>
          <w:position w:val="0"/>
        </w:rPr>
        <w:t>值计量且其变动计入当期损益的金融资产。对于此类金融资产，采用公允价值进行后续计量，所有公允价值变动计入当期损</w:t>
      </w:r>
    </w:p>
    <w:p>
      <w:pPr>
        <w:pStyle w:val="Style32"/>
        <w:keepNext w:val="0"/>
        <w:keepLines w:val="0"/>
        <w:widowControl w:val="0"/>
        <w:shd w:val="clear" w:color="auto" w:fill="auto"/>
        <w:bidi w:val="0"/>
        <w:spacing w:before="0" w:after="80" w:line="240" w:lineRule="auto"/>
        <w:ind w:left="0" w:right="0" w:firstLine="980"/>
        <w:jc w:val="left"/>
      </w:pPr>
      <w:r>
        <w:rPr>
          <w:color w:val="000000"/>
          <w:spacing w:val="0"/>
          <w:w w:val="100"/>
          <w:position w:val="0"/>
          <w:u w:val="single"/>
        </w:rPr>
        <w:t>益</w:t>
      </w:r>
      <w:r>
        <w:rPr>
          <w:color w:val="000000"/>
          <w:spacing w:val="0"/>
          <w:w w:val="100"/>
          <w:position w:val="0"/>
        </w:rPr>
        <w:t>。</w:t>
      </w:r>
    </w:p>
    <w:p>
      <w:pPr>
        <w:pStyle w:val="Style32"/>
        <w:keepNext w:val="0"/>
        <w:keepLines w:val="0"/>
        <w:widowControl w:val="0"/>
        <w:shd w:val="clear" w:color="auto" w:fill="auto"/>
        <w:tabs>
          <w:tab w:pos="1391" w:val="left"/>
        </w:tabs>
        <w:bidi w:val="0"/>
        <w:spacing w:before="0" w:after="0" w:line="312" w:lineRule="exact"/>
        <w:ind w:left="0" w:right="0" w:firstLine="980"/>
        <w:jc w:val="left"/>
      </w:pPr>
      <w:bookmarkStart w:id="873" w:name="bookmark873"/>
      <w:r>
        <w:rPr>
          <w:color w:val="000000"/>
          <w:spacing w:val="0"/>
          <w:w w:val="100"/>
          <w:position w:val="0"/>
        </w:rPr>
        <w:t>（</w:t>
      </w:r>
      <w:bookmarkEnd w:id="873"/>
      <w:r>
        <w:rPr>
          <w:rFonts w:ascii="Times New Roman" w:eastAsia="Times New Roman" w:hAnsi="Times New Roman" w:cs="Times New Roman"/>
          <w:color w:val="000000"/>
          <w:spacing w:val="0"/>
          <w:w w:val="100"/>
          <w:position w:val="0"/>
        </w:rPr>
        <w:t>3</w:t>
      </w:r>
      <w:r>
        <w:rPr>
          <w:color w:val="000000"/>
          <w:spacing w:val="0"/>
          <w:w w:val="100"/>
          <w:position w:val="0"/>
        </w:rPr>
        <w:t>）</w:t>
        <w:tab/>
        <w:t>金融负债的分类与计量</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本公司将金融负债分类为以公允价值计量且其变动计入当期损益的金融负债、低于市场利率贷款的贷款承诺及财务担保合同 负债及以摊余成本计量的金融负债。</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金融负债的后续计量取决于其分类：</w:t>
      </w:r>
    </w:p>
    <w:p>
      <w:pPr>
        <w:pStyle w:val="Style32"/>
        <w:keepNext w:val="0"/>
        <w:keepLines w:val="0"/>
        <w:widowControl w:val="0"/>
        <w:numPr>
          <w:ilvl w:val="0"/>
          <w:numId w:val="61"/>
        </w:numPr>
        <w:shd w:val="clear" w:color="auto" w:fill="auto"/>
        <w:tabs>
          <w:tab w:pos="1319" w:val="left"/>
        </w:tabs>
        <w:bidi w:val="0"/>
        <w:spacing w:before="0" w:after="0" w:line="312" w:lineRule="exact"/>
        <w:ind w:left="980" w:right="0" w:firstLine="0"/>
        <w:jc w:val="both"/>
      </w:pPr>
      <w:bookmarkStart w:id="874" w:name="bookmark874"/>
      <w:bookmarkEnd w:id="874"/>
      <w:r>
        <w:rPr>
          <w:color w:val="000000"/>
          <w:spacing w:val="0"/>
          <w:w w:val="100"/>
          <w:position w:val="0"/>
        </w:rPr>
        <w:t>以公允价值计量且其变动计入当期损益的金融负债</w:t>
      </w:r>
    </w:p>
    <w:p>
      <w:pPr>
        <w:pStyle w:val="Style32"/>
        <w:keepNext w:val="0"/>
        <w:keepLines w:val="0"/>
        <w:widowControl w:val="0"/>
        <w:shd w:val="clear" w:color="auto" w:fill="auto"/>
        <w:bidi w:val="0"/>
        <w:spacing w:before="0" w:after="0" w:line="311" w:lineRule="exact"/>
        <w:ind w:left="980" w:right="0" w:firstLine="0"/>
        <w:jc w:val="both"/>
      </w:pPr>
      <w:r>
        <w:rPr>
          <w:color w:val="000000"/>
          <w:spacing w:val="0"/>
          <w:w w:val="100"/>
          <w:position w:val="0"/>
        </w:rPr>
        <w:t>该类金融负债包括交易性金融负债（含属于金融负债的衍生工具）和指定为以公允价值计量且其变动计入当期损益的金融负 债。初始确认后，对于该类金融负债以公允价值进行后续计量，除与套期会计有关外，产生的利得或损失（包括利息费用） 计入当期损益。但本公司对指定为以公允价值计量且其变动计入当期损益的金融负债，由其自身信用风险变动引起的该金融 负债公允价值的变动金额计入其他综合收益，当该金融负债终止确认时，之前计入其他综合收益的累计利得和损失应当从其 他综合收益中转出，计入留存收益。</w:t>
      </w:r>
    </w:p>
    <w:p>
      <w:pPr>
        <w:pStyle w:val="Style32"/>
        <w:keepNext w:val="0"/>
        <w:keepLines w:val="0"/>
        <w:widowControl w:val="0"/>
        <w:numPr>
          <w:ilvl w:val="0"/>
          <w:numId w:val="61"/>
        </w:numPr>
        <w:shd w:val="clear" w:color="auto" w:fill="auto"/>
        <w:tabs>
          <w:tab w:pos="1319" w:val="left"/>
        </w:tabs>
        <w:bidi w:val="0"/>
        <w:spacing w:before="0" w:after="0" w:line="312" w:lineRule="exact"/>
        <w:ind w:left="0" w:right="0" w:firstLine="980"/>
        <w:jc w:val="left"/>
      </w:pPr>
      <w:bookmarkStart w:id="875" w:name="bookmark875"/>
      <w:bookmarkEnd w:id="875"/>
      <w:r>
        <w:rPr>
          <w:color w:val="000000"/>
          <w:spacing w:val="0"/>
          <w:w w:val="100"/>
          <w:position w:val="0"/>
        </w:rPr>
        <w:t>贷款承诺及财务担保合同负债</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贷款承诺是本公司向客户提供的一项在承诺期间内以既定的合同条款向客户发放贷款的承诺。贷款承诺按照预期信用损失模 型计提减值损失。</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财务担保合同指，当特定债务人到期不能按照最初或修改后的债务工具条款偿付债务时，要求本公司向蒙受损失的合同持有 人赔付特定金额的合同。财务担保合同负债以按照依据金融工具的减值原则所确定的损失准备金额以及初始确认金额扣除按 收入确认原则确定的累计摊销额后的余额孰高进行后续计量。</w:t>
      </w:r>
    </w:p>
    <w:p>
      <w:pPr>
        <w:pStyle w:val="Style32"/>
        <w:keepNext w:val="0"/>
        <w:keepLines w:val="0"/>
        <w:widowControl w:val="0"/>
        <w:numPr>
          <w:ilvl w:val="0"/>
          <w:numId w:val="61"/>
        </w:numPr>
        <w:shd w:val="clear" w:color="auto" w:fill="auto"/>
        <w:tabs>
          <w:tab w:pos="1319" w:val="left"/>
        </w:tabs>
        <w:bidi w:val="0"/>
        <w:spacing w:before="0" w:after="0" w:line="312" w:lineRule="exact"/>
        <w:ind w:left="980" w:right="0" w:firstLine="0"/>
        <w:jc w:val="both"/>
      </w:pPr>
      <w:bookmarkStart w:id="876" w:name="bookmark876"/>
      <w:bookmarkEnd w:id="876"/>
      <w:r>
        <w:rPr>
          <w:color w:val="000000"/>
          <w:spacing w:val="0"/>
          <w:w w:val="100"/>
          <w:position w:val="0"/>
        </w:rPr>
        <w:t>以摊余成本计量的金融负债</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初始确认后，对其他金融负债采用实际利率法以摊余成本计量。</w:t>
      </w:r>
    </w:p>
    <w:p>
      <w:pPr>
        <w:pStyle w:val="Style32"/>
        <w:keepNext w:val="0"/>
        <w:keepLines w:val="0"/>
        <w:widowControl w:val="0"/>
        <w:shd w:val="clear" w:color="auto" w:fill="auto"/>
        <w:bidi w:val="0"/>
        <w:spacing w:before="0" w:after="0" w:line="322" w:lineRule="exact"/>
        <w:ind w:left="980" w:right="0" w:firstLine="0"/>
        <w:jc w:val="both"/>
      </w:pPr>
      <w:r>
        <w:rPr>
          <w:color w:val="000000"/>
          <w:spacing w:val="0"/>
          <w:w w:val="100"/>
          <w:position w:val="0"/>
        </w:rPr>
        <w:t>除特殊情况外，金融负债与权益工具按照下列原则进行区分：</w:t>
      </w:r>
    </w:p>
    <w:p>
      <w:pPr>
        <w:pStyle w:val="Style32"/>
        <w:keepNext w:val="0"/>
        <w:keepLines w:val="0"/>
        <w:widowControl w:val="0"/>
        <w:numPr>
          <w:ilvl w:val="0"/>
          <w:numId w:val="63"/>
        </w:numPr>
        <w:shd w:val="clear" w:color="auto" w:fill="auto"/>
        <w:tabs>
          <w:tab w:pos="1252" w:val="left"/>
        </w:tabs>
        <w:bidi w:val="0"/>
        <w:spacing w:before="0" w:after="0" w:line="322" w:lineRule="exact"/>
        <w:ind w:left="980" w:right="0" w:firstLine="0"/>
        <w:jc w:val="both"/>
      </w:pPr>
      <w:bookmarkStart w:id="877" w:name="bookmark877"/>
      <w:bookmarkEnd w:id="877"/>
      <w:r>
        <w:rPr>
          <w:color w:val="000000"/>
          <w:spacing w:val="0"/>
          <w:w w:val="100"/>
          <w:position w:val="0"/>
        </w:rPr>
        <w:t>如果本公司不能无条件地避免以交付现金或其他金融资产来履行一项合同义务，则该合同义务符合金融负债的定义。有些 金融工具虽然没有明确地包含交付现金或其他金融资产义务的条款和条件,但有可能通过其他条款和条件间接地形成合同义 务。</w:t>
      </w:r>
    </w:p>
    <w:p>
      <w:pPr>
        <w:pStyle w:val="Style32"/>
        <w:keepNext w:val="0"/>
        <w:keepLines w:val="0"/>
        <w:widowControl w:val="0"/>
        <w:numPr>
          <w:ilvl w:val="0"/>
          <w:numId w:val="63"/>
        </w:numPr>
        <w:shd w:val="clear" w:color="auto" w:fill="auto"/>
        <w:tabs>
          <w:tab w:pos="1266" w:val="left"/>
        </w:tabs>
        <w:bidi w:val="0"/>
        <w:spacing w:before="0" w:after="0" w:line="314" w:lineRule="exact"/>
        <w:ind w:left="980" w:right="0" w:firstLine="0"/>
        <w:jc w:val="both"/>
      </w:pPr>
      <w:bookmarkStart w:id="878" w:name="bookmark878"/>
      <w:bookmarkEnd w:id="878"/>
      <w:r>
        <w:rPr>
          <w:color w:val="000000"/>
          <w:spacing w:val="0"/>
          <w:w w:val="100"/>
          <w:position w:val="0"/>
        </w:rPr>
        <w:t>如果一项金融工具须用或可用本公司自身权益工具进行结算，需要考虑用于结算该工具的本公司自身权益工具，是作为现 金或其他金融资产的替代品，还是为了使该工具持有方享有在发行方扣除所有负债后的资产中的剩余权益。如果是前者，该 工具是发行方的金融负债；如果是后者，该工具是发行方的权益工具。在某些情况下，一项金融工具合同规定本公司须用或 可用自身权益工具结算该金融工具，其中合同权利或合同义务的金额等于可获取或需交付的自身权益工具的数量乘以其结算 时的公允价值，则无论该合同权利或合同义务的金额是固定的，还是完全或部分地基于除本公司自身权益工具的市场价格以 外变量（例如利率、某种商品的价格或某项金融工具的价格）的变动而变动，该合同分类为金融负债。</w:t>
      </w:r>
    </w:p>
    <w:p>
      <w:pPr>
        <w:pStyle w:val="Style32"/>
        <w:keepNext w:val="0"/>
        <w:keepLines w:val="0"/>
        <w:widowControl w:val="0"/>
        <w:shd w:val="clear" w:color="auto" w:fill="auto"/>
        <w:tabs>
          <w:tab w:pos="1391" w:val="left"/>
        </w:tabs>
        <w:bidi w:val="0"/>
        <w:spacing w:before="0" w:after="0" w:line="314" w:lineRule="exact"/>
        <w:ind w:left="0" w:right="0" w:firstLine="980"/>
        <w:jc w:val="left"/>
      </w:pPr>
      <w:bookmarkStart w:id="879" w:name="bookmark879"/>
      <w:r>
        <w:rPr>
          <w:color w:val="000000"/>
          <w:spacing w:val="0"/>
          <w:w w:val="100"/>
          <w:position w:val="0"/>
        </w:rPr>
        <w:t>（</w:t>
      </w:r>
      <w:bookmarkEnd w:id="879"/>
      <w:r>
        <w:rPr>
          <w:rFonts w:ascii="Times New Roman" w:eastAsia="Times New Roman" w:hAnsi="Times New Roman" w:cs="Times New Roman"/>
          <w:color w:val="000000"/>
          <w:spacing w:val="0"/>
          <w:w w:val="100"/>
          <w:position w:val="0"/>
        </w:rPr>
        <w:t>4</w:t>
      </w:r>
      <w:r>
        <w:rPr>
          <w:color w:val="000000"/>
          <w:spacing w:val="0"/>
          <w:w w:val="100"/>
          <w:position w:val="0"/>
        </w:rPr>
        <w:t>）</w:t>
        <w:tab/>
        <w:t>衍生金融工具及嵌入衍生工具</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衍生金融工具以衍生交易合同签订当日的公允价值进行初始计量，并以其公允价值进行后续计量。公允价值为正数的衍生金 融工具确认为一项资产，公允价值为负数的确认为一项负债。</w:t>
      </w:r>
    </w:p>
    <w:p>
      <w:pPr>
        <w:pStyle w:val="Style32"/>
        <w:keepNext w:val="0"/>
        <w:keepLines w:val="0"/>
        <w:widowControl w:val="0"/>
        <w:shd w:val="clear" w:color="auto" w:fill="auto"/>
        <w:bidi w:val="0"/>
        <w:spacing w:before="0" w:after="0" w:line="317" w:lineRule="exact"/>
        <w:ind w:left="980" w:right="0" w:firstLine="0"/>
        <w:jc w:val="both"/>
      </w:pPr>
      <w:r>
        <w:rPr>
          <w:color w:val="000000"/>
          <w:spacing w:val="0"/>
          <w:w w:val="100"/>
          <w:position w:val="0"/>
        </w:rPr>
        <w:t>除现金流量套期中属于套期有效的部分计入其他综合收益并于被套期项目影响损益时转出计入当期损益之外，衍生工具公允 价值变动而产生的利得或损失，直接计入当期损益。</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对包含嵌入衍生工具的混合工具，如主合同为金融资产的，混合工具作为一个整体适用金融资产分类的相关规定。如主合同 并非金融资产，且该混合工具不是以公允价值计量且其变动计入当期损益进行会计处理，嵌入衍生工具与该主合同在经济特 征及风险方面不存在紧密关系，且与嵌入衍生工具条件相同、单独存在的工具符合衍生工具定义的，嵌入衍生工具从混合工 具中分拆，作为单独的衍生金融工具处理。如果该嵌入衍生工具在取得日或后续资产负债表日的公允价值无法单独计量，则 将混合工具整体指定为以公允价值计量且其变动计入当期损益的金融资产或金融负债。</w:t>
      </w:r>
    </w:p>
    <w:p>
      <w:pPr>
        <w:pStyle w:val="Style32"/>
        <w:keepNext w:val="0"/>
        <w:keepLines w:val="0"/>
        <w:widowControl w:val="0"/>
        <w:shd w:val="clear" w:color="auto" w:fill="auto"/>
        <w:tabs>
          <w:tab w:pos="1391" w:val="left"/>
        </w:tabs>
        <w:bidi w:val="0"/>
        <w:spacing w:before="0" w:after="0" w:line="312" w:lineRule="exact"/>
        <w:ind w:left="0" w:right="0" w:firstLine="980"/>
        <w:jc w:val="left"/>
      </w:pPr>
      <w:bookmarkStart w:id="880" w:name="bookmark880"/>
      <w:r>
        <w:rPr>
          <w:color w:val="000000"/>
          <w:spacing w:val="0"/>
          <w:w w:val="100"/>
          <w:position w:val="0"/>
        </w:rPr>
        <w:t>（</w:t>
      </w:r>
      <w:bookmarkEnd w:id="880"/>
      <w:r>
        <w:rPr>
          <w:rFonts w:ascii="Times New Roman" w:eastAsia="Times New Roman" w:hAnsi="Times New Roman" w:cs="Times New Roman"/>
          <w:color w:val="000000"/>
          <w:spacing w:val="0"/>
          <w:w w:val="100"/>
          <w:position w:val="0"/>
        </w:rPr>
        <w:t>5</w:t>
      </w:r>
      <w:r>
        <w:rPr>
          <w:color w:val="000000"/>
          <w:spacing w:val="0"/>
          <w:w w:val="100"/>
          <w:position w:val="0"/>
        </w:rPr>
        <w:t>）</w:t>
        <w:tab/>
        <w:t>金融工具减值</w:t>
      </w:r>
    </w:p>
    <w:p>
      <w:pPr>
        <w:pStyle w:val="Style32"/>
        <w:keepNext w:val="0"/>
        <w:keepLines w:val="0"/>
        <w:widowControl w:val="0"/>
        <w:shd w:val="clear" w:color="auto" w:fill="auto"/>
        <w:bidi w:val="0"/>
        <w:spacing w:before="0" w:after="0" w:line="312" w:lineRule="exact"/>
        <w:ind w:left="0" w:right="0" w:firstLine="980"/>
        <w:jc w:val="left"/>
        <w:sectPr>
          <w:headerReference w:type="default" r:id="rId289"/>
          <w:footerReference w:type="default" r:id="rId290"/>
          <w:headerReference w:type="even" r:id="rId291"/>
          <w:footerReference w:type="even" r:id="rId292"/>
          <w:headerReference w:type="first" r:id="rId293"/>
          <w:footerReference w:type="first" r:id="rId294"/>
          <w:footnotePr>
            <w:pos w:val="pageBottom"/>
            <w:numFmt w:val="decimal"/>
            <w:numRestart w:val="continuous"/>
          </w:footnotePr>
          <w:pgSz w:w="11900" w:h="16840"/>
          <w:pgMar w:top="1154" w:right="597" w:bottom="1377" w:left="142" w:header="0" w:footer="3" w:gutter="0"/>
          <w:cols w:space="720"/>
          <w:noEndnote/>
          <w:titlePg/>
          <w:rtlGutter w:val="0"/>
          <w:docGrid w:linePitch="360"/>
        </w:sectPr>
      </w:pPr>
      <w:r>
        <w:rPr>
          <w:color w:val="000000"/>
          <w:spacing w:val="0"/>
          <w:w w:val="100"/>
          <w:position w:val="0"/>
        </w:rPr>
        <w:t>本公司对于以摊余成本计量的金融资产、以公允价值计量且其变动计入其他综合收益的债权投资、合同资产、租赁应收款、</w:t>
      </w:r>
    </w:p>
    <w:p>
      <w:pPr>
        <w:pStyle w:val="Style2"/>
        <w:keepNext/>
        <w:keepLines/>
        <w:widowControl w:val="0"/>
        <w:shd w:val="clear" w:color="auto" w:fill="auto"/>
        <w:bidi w:val="0"/>
        <w:spacing w:before="0" w:after="0" w:line="240" w:lineRule="auto"/>
        <w:ind w:left="0" w:right="0" w:firstLine="960"/>
        <w:jc w:val="left"/>
      </w:pPr>
      <w:bookmarkStart w:id="881" w:name="bookmark881"/>
      <w:bookmarkStart w:id="882" w:name="bookmark882"/>
      <w:bookmarkStart w:id="883" w:name="bookmark883"/>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881"/>
      <w:bookmarkEnd w:id="882"/>
      <w:bookmarkEnd w:id="883"/>
    </w:p>
    <w:p>
      <w:pPr>
        <w:pStyle w:val="Style5"/>
        <w:keepNext w:val="0"/>
        <w:keepLines w:val="0"/>
        <w:widowControl w:val="0"/>
        <w:shd w:val="clear" w:color="auto" w:fill="auto"/>
        <w:bidi w:val="0"/>
        <w:spacing w:before="0" w:after="80" w:line="240" w:lineRule="auto"/>
        <w:ind w:left="0" w:right="0" w:firstLine="96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tabs>
          <w:tab w:pos="1730" w:val="left"/>
        </w:tabs>
        <w:bidi w:val="0"/>
        <w:spacing w:before="0" w:after="0" w:line="240" w:lineRule="auto"/>
        <w:ind w:left="1140" w:right="0" w:firstLine="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32"/>
        <w:keepNext w:val="0"/>
        <w:keepLines w:val="0"/>
        <w:widowControl w:val="0"/>
        <w:shd w:val="clear" w:color="auto" w:fill="auto"/>
        <w:bidi w:val="0"/>
        <w:spacing w:before="0" w:after="0" w:line="240" w:lineRule="auto"/>
        <w:ind w:left="960" w:right="0" w:firstLine="20"/>
        <w:jc w:val="both"/>
      </w:pPr>
      <w:r>
        <w:rPr>
          <w:color w:val="000000"/>
          <w:spacing w:val="0"/>
          <w:w w:val="100"/>
          <w:position w:val="0"/>
        </w:rPr>
        <w:t>贷款承诺及财务担保合同等，以预期信用损失为基础确认损失准备。</w:t>
      </w:r>
    </w:p>
    <w:p>
      <w:pPr>
        <w:pStyle w:val="Style32"/>
        <w:keepNext w:val="0"/>
        <w:keepLines w:val="0"/>
        <w:widowControl w:val="0"/>
        <w:numPr>
          <w:ilvl w:val="0"/>
          <w:numId w:val="65"/>
        </w:numPr>
        <w:shd w:val="clear" w:color="auto" w:fill="auto"/>
        <w:bidi w:val="0"/>
        <w:spacing w:before="0" w:after="0" w:line="312" w:lineRule="exact"/>
        <w:ind w:left="960" w:right="0" w:firstLine="20"/>
        <w:jc w:val="both"/>
      </w:pPr>
      <w:bookmarkStart w:id="884" w:name="bookmark884"/>
      <w:bookmarkEnd w:id="884"/>
      <w:r>
        <w:rPr>
          <w:color w:val="000000"/>
          <w:spacing w:val="0"/>
          <w:w w:val="100"/>
          <w:position w:val="0"/>
        </w:rPr>
        <w:t>预期信用损失的计量</w:t>
      </w:r>
    </w:p>
    <w:p>
      <w:pPr>
        <w:pStyle w:val="Style32"/>
        <w:keepNext w:val="0"/>
        <w:keepLines w:val="0"/>
        <w:widowControl w:val="0"/>
        <w:shd w:val="clear" w:color="auto" w:fill="auto"/>
        <w:bidi w:val="0"/>
        <w:spacing w:before="0" w:after="140" w:line="312" w:lineRule="exact"/>
        <w:ind w:left="960" w:right="0" w:firstLine="20"/>
        <w:jc w:val="both"/>
      </w:pPr>
      <w:r>
        <w:rPr>
          <w:color w:val="000000"/>
          <w:spacing w:val="0"/>
          <w:w w:val="100"/>
          <w:position w:val="0"/>
        </w:rPr>
        <w:t>预期信用损失，是指以发生违约的风险为权重的金融工具信用损失的加权平均值。信用损失，是指本公司按照原实际利率折 现的、根据合同应收的所有合同现金流量与预期收取的所有现金流量之间的差额，即全部现金短缺的现值。其中，对于本公 司购买或源生的已发生信用减值的金融资产，应按照该金融资产经信用调整的实际利率折现。</w:t>
      </w:r>
    </w:p>
    <w:p>
      <w:pPr>
        <w:pStyle w:val="Style32"/>
        <w:keepNext w:val="0"/>
        <w:keepLines w:val="0"/>
        <w:widowControl w:val="0"/>
        <w:shd w:val="clear" w:color="auto" w:fill="auto"/>
        <w:bidi w:val="0"/>
        <w:spacing w:before="0" w:after="0" w:line="240" w:lineRule="auto"/>
        <w:ind w:left="0" w:right="0" w:firstLine="960"/>
        <w:jc w:val="left"/>
      </w:pPr>
      <w:r>
        <w:rPr>
          <w:color w:val="000000"/>
          <w:spacing w:val="0"/>
          <w:w w:val="100"/>
          <w:position w:val="0"/>
        </w:rPr>
        <w:t>整个存续期预期信用损失，是指因金融工具整个预计存续期内所有可能发生的违约事件而导致的预期信用损失。</w:t>
      </w:r>
    </w:p>
    <w:p>
      <w:pPr>
        <w:pStyle w:val="Style32"/>
        <w:keepNext w:val="0"/>
        <w:keepLines w:val="0"/>
        <w:widowControl w:val="0"/>
        <w:shd w:val="clear" w:color="auto" w:fill="auto"/>
        <w:bidi w:val="0"/>
        <w:spacing w:before="0" w:after="0" w:line="317" w:lineRule="exact"/>
        <w:ind w:left="960" w:right="0" w:firstLine="20"/>
        <w:jc w:val="both"/>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个月内预期信用损失，是指因资产负债表日后</w:t>
      </w:r>
      <w:r>
        <w:rPr>
          <w:rFonts w:ascii="Times New Roman" w:eastAsia="Times New Roman" w:hAnsi="Times New Roman" w:cs="Times New Roman"/>
          <w:color w:val="000000"/>
          <w:spacing w:val="0"/>
          <w:w w:val="100"/>
          <w:position w:val="0"/>
        </w:rPr>
        <w:t>12</w:t>
      </w:r>
      <w:r>
        <w:rPr>
          <w:color w:val="000000"/>
          <w:spacing w:val="0"/>
          <w:w w:val="100"/>
          <w:position w:val="0"/>
        </w:rPr>
        <w:t>个月内（若金融工具的预计存续期少于</w:t>
      </w:r>
      <w:r>
        <w:rPr>
          <w:rFonts w:ascii="Times New Roman" w:eastAsia="Times New Roman" w:hAnsi="Times New Roman" w:cs="Times New Roman"/>
          <w:color w:val="000000"/>
          <w:spacing w:val="0"/>
          <w:w w:val="100"/>
          <w:position w:val="0"/>
        </w:rPr>
        <w:t>12</w:t>
      </w:r>
      <w:r>
        <w:rPr>
          <w:color w:val="000000"/>
          <w:spacing w:val="0"/>
          <w:w w:val="100"/>
          <w:position w:val="0"/>
        </w:rPr>
        <w:t>个月，则为预计存续期） 可能发生的金融工具违约事件而导致的预期信用损失，是整个存续期预期信用损失的一部分。</w:t>
      </w:r>
    </w:p>
    <w:p>
      <w:pPr>
        <w:pStyle w:val="Style32"/>
        <w:keepNext w:val="0"/>
        <w:keepLines w:val="0"/>
        <w:widowControl w:val="0"/>
        <w:shd w:val="clear" w:color="auto" w:fill="auto"/>
        <w:bidi w:val="0"/>
        <w:spacing w:before="0" w:after="0" w:line="312" w:lineRule="exact"/>
        <w:ind w:left="960" w:right="0" w:firstLine="20"/>
        <w:jc w:val="both"/>
      </w:pPr>
      <w:r>
        <w:rPr>
          <w:color w:val="000000"/>
          <w:spacing w:val="0"/>
          <w:w w:val="100"/>
          <w:position w:val="0"/>
        </w:rPr>
        <w:t>于每个资产负债表日，本公司对于处于不同阶段的金融工具的预期信用损失分别进行计量。金融工具自初始确认后信用风险 未显著增加的，处于第一阶段，本公司按照未来</w:t>
      </w:r>
      <w:r>
        <w:rPr>
          <w:rFonts w:ascii="Times New Roman" w:eastAsia="Times New Roman" w:hAnsi="Times New Roman" w:cs="Times New Roman"/>
          <w:color w:val="000000"/>
          <w:spacing w:val="0"/>
          <w:w w:val="100"/>
          <w:position w:val="0"/>
        </w:rPr>
        <w:t>12</w:t>
      </w:r>
      <w:r>
        <w:rPr>
          <w:color w:val="000000"/>
          <w:spacing w:val="0"/>
          <w:w w:val="100"/>
          <w:position w:val="0"/>
        </w:rPr>
        <w:t>个月内的预期信用损失计量损失准备；金融工具自初始确认后信用风险 已显著增加但尚未发生信用减值的，处于第二阶段，本公司按照该工具整个存续期的预期信用损失计量损失准备；金融工具 自初始确认后已经发生信用减值的，处于第三阶段，本公司按照该工具整个存续期的预期信用损失计量损失准备。</w:t>
      </w:r>
    </w:p>
    <w:p>
      <w:pPr>
        <w:pStyle w:val="Style32"/>
        <w:keepNext w:val="0"/>
        <w:keepLines w:val="0"/>
        <w:widowControl w:val="0"/>
        <w:shd w:val="clear" w:color="auto" w:fill="auto"/>
        <w:bidi w:val="0"/>
        <w:spacing w:before="0" w:after="0" w:line="317" w:lineRule="exact"/>
        <w:ind w:left="960" w:right="0" w:firstLine="20"/>
        <w:jc w:val="both"/>
      </w:pPr>
      <w:r>
        <w:rPr>
          <w:color w:val="000000"/>
          <w:spacing w:val="0"/>
          <w:w w:val="100"/>
          <w:position w:val="0"/>
        </w:rPr>
        <w:t>对于在资产负债表日具有较低信用风险的金融工具，本公司假设其信用风险自初始确认后并未显著增加，按照未来</w:t>
      </w:r>
      <w:r>
        <w:rPr>
          <w:rFonts w:ascii="Times New Roman" w:eastAsia="Times New Roman" w:hAnsi="Times New Roman" w:cs="Times New Roman"/>
          <w:color w:val="000000"/>
          <w:spacing w:val="0"/>
          <w:w w:val="100"/>
          <w:position w:val="0"/>
        </w:rPr>
        <w:t>12</w:t>
      </w:r>
      <w:r>
        <w:rPr>
          <w:color w:val="000000"/>
          <w:spacing w:val="0"/>
          <w:w w:val="100"/>
          <w:position w:val="0"/>
        </w:rPr>
        <w:t>个月 内的预期信用损失计量损失准备。</w:t>
      </w:r>
    </w:p>
    <w:p>
      <w:pPr>
        <w:pStyle w:val="Style32"/>
        <w:keepNext w:val="0"/>
        <w:keepLines w:val="0"/>
        <w:widowControl w:val="0"/>
        <w:shd w:val="clear" w:color="auto" w:fill="auto"/>
        <w:bidi w:val="0"/>
        <w:spacing w:before="0" w:after="0" w:line="312" w:lineRule="exact"/>
        <w:ind w:left="960" w:right="0" w:firstLine="20"/>
        <w:jc w:val="both"/>
      </w:pPr>
      <w:r>
        <w:rPr>
          <w:color w:val="000000"/>
          <w:spacing w:val="0"/>
          <w:w w:val="100"/>
          <w:position w:val="0"/>
        </w:rPr>
        <w:t>本公司对于处于第一阶段和第二阶段、以及较低信用风险的金融工具，按照其未扣除减值准备的账面余额和实际利率计算利 息收入。对于处于第三阶段的金融工具，按照其账面余额减已计提减值准备后的摊余成本和实际利率计算利息收入。</w:t>
      </w:r>
    </w:p>
    <w:p>
      <w:pPr>
        <w:pStyle w:val="Style32"/>
        <w:keepNext w:val="0"/>
        <w:keepLines w:val="0"/>
        <w:widowControl w:val="0"/>
        <w:shd w:val="clear" w:color="auto" w:fill="auto"/>
        <w:bidi w:val="0"/>
        <w:spacing w:before="0" w:after="140" w:line="312" w:lineRule="exact"/>
        <w:ind w:left="960" w:right="0" w:firstLine="20"/>
        <w:jc w:val="both"/>
      </w:pPr>
      <w:r>
        <w:rPr>
          <w:color w:val="000000"/>
          <w:spacing w:val="0"/>
          <w:w w:val="100"/>
          <w:position w:val="0"/>
        </w:rPr>
        <w:t>对于应收票据、应收账款、应收款项融资及合同资产，无论是否存在重大融资成分，本公司均按照整个存续期的预期信用损 失计量损失准备。</w:t>
      </w:r>
    </w:p>
    <w:p>
      <w:pPr>
        <w:pStyle w:val="Style32"/>
        <w:keepNext w:val="0"/>
        <w:keepLines w:val="0"/>
        <w:widowControl w:val="0"/>
        <w:numPr>
          <w:ilvl w:val="0"/>
          <w:numId w:val="67"/>
        </w:numPr>
        <w:shd w:val="clear" w:color="auto" w:fill="auto"/>
        <w:bidi w:val="0"/>
        <w:spacing w:before="0" w:after="0"/>
        <w:ind w:left="0" w:right="0" w:firstLine="960"/>
        <w:jc w:val="left"/>
      </w:pPr>
      <w:bookmarkStart w:id="885" w:name="bookmark885"/>
      <w:bookmarkEnd w:id="885"/>
      <w:r>
        <w:rPr>
          <w:color w:val="000000"/>
          <w:spacing w:val="0"/>
          <w:w w:val="100"/>
          <w:position w:val="0"/>
        </w:rPr>
        <w:t>应收款项</w:t>
      </w:r>
      <w:r>
        <w:rPr>
          <w:rFonts w:ascii="Times New Roman" w:eastAsia="Times New Roman" w:hAnsi="Times New Roman" w:cs="Times New Roman"/>
          <w:color w:val="000000"/>
          <w:spacing w:val="0"/>
          <w:w w:val="100"/>
          <w:position w:val="0"/>
        </w:rPr>
        <w:t>/</w:t>
      </w:r>
      <w:r>
        <w:rPr>
          <w:color w:val="000000"/>
          <w:spacing w:val="0"/>
          <w:w w:val="100"/>
          <w:position w:val="0"/>
        </w:rPr>
        <w:t>合同资产</w:t>
      </w:r>
    </w:p>
    <w:p>
      <w:pPr>
        <w:pStyle w:val="Style32"/>
        <w:keepNext w:val="0"/>
        <w:keepLines w:val="0"/>
        <w:widowControl w:val="0"/>
        <w:shd w:val="clear" w:color="auto" w:fill="auto"/>
        <w:bidi w:val="0"/>
        <w:spacing w:before="0" w:after="140" w:line="310" w:lineRule="exact"/>
        <w:ind w:left="960" w:right="0" w:firstLine="20"/>
        <w:jc w:val="both"/>
      </w:pPr>
      <w:r>
        <w:rPr>
          <w:color w:val="000000"/>
          <w:spacing w:val="0"/>
          <w:w w:val="100"/>
          <w:position w:val="0"/>
        </w:rPr>
        <w:t>对于存在客观证据表明存在减值，以及其他适用于单项评估的应收票据、应收账款，其他应收款、应收款项融资、合同资产 及长期应收款等单独进行减值测试，确认预期信用损失，计提单项减值准备。对于不存在减值客观证据的应收票据、应收账 款、其他应收款、应收款项融资、合同资产及长期应收款或当单项金融资产无法以合理成本评估预期信用损失的信息时，本 公司依据信用风险特征将应收票据、应收账款、其他应收款、应收款项融资、合同资产及长期应收款等划分为若干组合，在 组合基础上计算预期信用损失，确定组合的依据如下：</w:t>
      </w:r>
    </w:p>
    <w:p>
      <w:pPr>
        <w:pStyle w:val="Style32"/>
        <w:keepNext w:val="0"/>
        <w:keepLines w:val="0"/>
        <w:widowControl w:val="0"/>
        <w:shd w:val="clear" w:color="auto" w:fill="auto"/>
        <w:bidi w:val="0"/>
        <w:spacing w:before="0" w:after="0"/>
        <w:ind w:left="0" w:right="0" w:firstLine="960"/>
        <w:jc w:val="left"/>
      </w:pPr>
      <w:r>
        <w:rPr>
          <w:rFonts w:ascii="Times New Roman" w:eastAsia="Times New Roman" w:hAnsi="Times New Roman" w:cs="Times New Roman"/>
          <w:color w:val="000000"/>
          <w:spacing w:val="0"/>
          <w:w w:val="100"/>
          <w:position w:val="0"/>
        </w:rPr>
        <w:t>a.</w:t>
      </w:r>
      <w:r>
        <w:rPr>
          <w:color w:val="000000"/>
          <w:spacing w:val="0"/>
          <w:w w:val="100"/>
          <w:position w:val="0"/>
        </w:rPr>
        <w:t>应收票据确定组合的依据如下：</w:t>
      </w:r>
    </w:p>
    <w:p>
      <w:pPr>
        <w:pStyle w:val="Style32"/>
        <w:keepNext w:val="0"/>
        <w:keepLines w:val="0"/>
        <w:widowControl w:val="0"/>
        <w:shd w:val="clear" w:color="auto" w:fill="auto"/>
        <w:bidi w:val="0"/>
        <w:spacing w:before="0" w:after="0" w:line="312" w:lineRule="exact"/>
        <w:ind w:left="960" w:right="0" w:firstLine="20"/>
        <w:jc w:val="left"/>
      </w:pPr>
      <w:r>
        <w:rPr>
          <w:color w:val="000000"/>
          <w:spacing w:val="0"/>
          <w:w w:val="100"/>
          <w:position w:val="0"/>
        </w:rPr>
        <w:t>对于存在客观证据表明存在减值</w:t>
      </w:r>
      <w:r>
        <w:rPr>
          <w:rFonts w:ascii="Times New Roman" w:eastAsia="Times New Roman" w:hAnsi="Times New Roman" w:cs="Times New Roman"/>
          <w:color w:val="000000"/>
          <w:spacing w:val="0"/>
          <w:w w:val="100"/>
          <w:position w:val="0"/>
        </w:rPr>
        <w:t>,</w:t>
      </w:r>
      <w:r>
        <w:rPr>
          <w:color w:val="000000"/>
          <w:spacing w:val="0"/>
          <w:w w:val="100"/>
          <w:position w:val="0"/>
        </w:rPr>
        <w:t>以及其他适用于单项评估的应收票据单独进行减值测试</w:t>
      </w:r>
      <w:r>
        <w:rPr>
          <w:color w:val="000000"/>
          <w:spacing w:val="0"/>
          <w:w w:val="100"/>
          <w:position w:val="0"/>
        </w:rPr>
        <w:t>，</w:t>
      </w:r>
      <w:r>
        <w:rPr>
          <w:color w:val="000000"/>
          <w:spacing w:val="0"/>
          <w:w w:val="100"/>
          <w:position w:val="0"/>
        </w:rPr>
        <w:t>确认预期信用损失</w:t>
      </w:r>
      <w:r>
        <w:rPr>
          <w:color w:val="000000"/>
          <w:spacing w:val="0"/>
          <w:w w:val="100"/>
          <w:position w:val="0"/>
        </w:rPr>
        <w:t>，</w:t>
      </w:r>
      <w:r>
        <w:rPr>
          <w:color w:val="000000"/>
          <w:spacing w:val="0"/>
          <w:w w:val="100"/>
          <w:position w:val="0"/>
        </w:rPr>
        <w:t>计提单项减值 准备。</w:t>
      </w:r>
    </w:p>
    <w:p>
      <w:pPr>
        <w:pStyle w:val="Style32"/>
        <w:keepNext w:val="0"/>
        <w:keepLines w:val="0"/>
        <w:widowControl w:val="0"/>
        <w:shd w:val="clear" w:color="auto" w:fill="auto"/>
        <w:bidi w:val="0"/>
        <w:spacing w:before="0" w:after="0" w:line="312" w:lineRule="exact"/>
        <w:ind w:left="960" w:right="0" w:firstLine="20"/>
        <w:jc w:val="left"/>
      </w:pPr>
      <w:r>
        <w:rPr>
          <w:color w:val="000000"/>
          <w:spacing w:val="0"/>
          <w:w w:val="100"/>
          <w:position w:val="0"/>
        </w:rPr>
        <w:t>对于划分为组合的应收票据，本公司参考历史信用损失经验，结合当前状况以及对未来经济状况的预测，通过违约风险敞口 和整个存续期预期信用损失率，计算预期信用损失。</w:t>
      </w:r>
    </w:p>
    <w:p>
      <w:pPr>
        <w:pStyle w:val="Style32"/>
        <w:keepNext w:val="0"/>
        <w:keepLines w:val="0"/>
        <w:widowControl w:val="0"/>
        <w:shd w:val="clear" w:color="auto" w:fill="auto"/>
        <w:bidi w:val="0"/>
        <w:spacing w:before="0" w:after="80" w:line="312" w:lineRule="exact"/>
        <w:ind w:left="0" w:right="0" w:firstLine="960"/>
        <w:jc w:val="left"/>
      </w:pPr>
      <w:r>
        <w:rPr>
          <w:color w:val="000000"/>
          <w:spacing w:val="0"/>
          <w:w w:val="100"/>
          <w:position w:val="0"/>
        </w:rPr>
        <w:t>除了单项评估信用风险的应收票据外，基于应收票据的信用风险特征，将其划分为不同组合：</w:t>
      </w:r>
    </w:p>
    <w:tbl>
      <w:tblPr>
        <w:tblOverlap w:val="never"/>
        <w:jc w:val="center"/>
        <w:tblLayout w:type="fixed"/>
      </w:tblPr>
      <w:tblGrid>
        <w:gridCol w:w="2813"/>
        <w:gridCol w:w="6422"/>
      </w:tblGrid>
      <w:tr>
        <w:trPr>
          <w:trHeight w:val="35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确定组合的依据</w:t>
            </w:r>
          </w:p>
        </w:tc>
      </w:tr>
      <w:tr>
        <w:trPr>
          <w:trHeight w:val="65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1</w:t>
            </w:r>
            <w:r>
              <w:rPr>
                <w:color w:val="000000"/>
                <w:spacing w:val="0"/>
                <w:w w:val="100"/>
                <w:position w:val="0"/>
              </w:rPr>
              <w:t>:商业承兑汇票</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结合承兑人、背书人、出票人以及其他债务人的信用风险，本组合以账龄作为信用 风险特征</w:t>
            </w:r>
          </w:p>
        </w:tc>
      </w:tr>
      <w:tr>
        <w:trPr>
          <w:trHeight w:val="360"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2</w:t>
            </w:r>
            <w:r>
              <w:rPr>
                <w:color w:val="000000"/>
                <w:spacing w:val="0"/>
                <w:w w:val="100"/>
                <w:position w:val="0"/>
              </w:rPr>
              <w:t>：银行承兑汇票</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结合承兑人、背书人、出票人以及其他债务人的信用风险，本组合不计提坏账准备</w:t>
            </w:r>
          </w:p>
        </w:tc>
      </w:tr>
    </w:tbl>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b.</w:t>
      </w:r>
      <w:r>
        <w:rPr>
          <w:color w:val="000000"/>
          <w:spacing w:val="0"/>
          <w:w w:val="100"/>
          <w:position w:val="0"/>
        </w:rPr>
        <w:t>应收账款确定组合的依据如下:</w:t>
      </w:r>
    </w:p>
    <w:p>
      <w:pPr>
        <w:pStyle w:val="Style32"/>
        <w:keepNext w:val="0"/>
        <w:keepLines w:val="0"/>
        <w:widowControl w:val="0"/>
        <w:shd w:val="clear" w:color="auto" w:fill="auto"/>
        <w:bidi w:val="0"/>
        <w:spacing w:before="0" w:after="0" w:line="312" w:lineRule="exact"/>
        <w:ind w:left="960" w:right="0" w:firstLine="20"/>
        <w:jc w:val="left"/>
      </w:pPr>
      <w:r>
        <w:rPr>
          <w:color w:val="000000"/>
          <w:spacing w:val="0"/>
          <w:w w:val="100"/>
          <w:position w:val="0"/>
        </w:rPr>
        <w:t>对于存在客观证据表明存在减值</w:t>
      </w:r>
      <w:r>
        <w:rPr>
          <w:rFonts w:ascii="Times New Roman" w:eastAsia="Times New Roman" w:hAnsi="Times New Roman" w:cs="Times New Roman"/>
          <w:color w:val="000000"/>
          <w:spacing w:val="0"/>
          <w:w w:val="100"/>
          <w:position w:val="0"/>
        </w:rPr>
        <w:t>,</w:t>
      </w:r>
      <w:r>
        <w:rPr>
          <w:color w:val="000000"/>
          <w:spacing w:val="0"/>
          <w:w w:val="100"/>
          <w:position w:val="0"/>
        </w:rPr>
        <w:t>以及其他适用于单项评估的应收账款单独进行减值测试</w:t>
      </w:r>
      <w:r>
        <w:rPr>
          <w:color w:val="000000"/>
          <w:spacing w:val="0"/>
          <w:w w:val="100"/>
          <w:position w:val="0"/>
        </w:rPr>
        <w:t>，</w:t>
      </w:r>
      <w:r>
        <w:rPr>
          <w:color w:val="000000"/>
          <w:spacing w:val="0"/>
          <w:w w:val="100"/>
          <w:position w:val="0"/>
        </w:rPr>
        <w:t>确认预期信用损失</w:t>
      </w:r>
      <w:r>
        <w:rPr>
          <w:color w:val="000000"/>
          <w:spacing w:val="0"/>
          <w:w w:val="100"/>
          <w:position w:val="0"/>
        </w:rPr>
        <w:t>，</w:t>
      </w:r>
      <w:r>
        <w:rPr>
          <w:color w:val="000000"/>
          <w:spacing w:val="0"/>
          <w:w w:val="100"/>
          <w:position w:val="0"/>
        </w:rPr>
        <w:t>计提单项减值 准备。</w:t>
      </w:r>
    </w:p>
    <w:p>
      <w:pPr>
        <w:pStyle w:val="Style32"/>
        <w:keepNext w:val="0"/>
        <w:keepLines w:val="0"/>
        <w:widowControl w:val="0"/>
        <w:shd w:val="clear" w:color="auto" w:fill="auto"/>
        <w:bidi w:val="0"/>
        <w:spacing w:before="0" w:after="140" w:line="317" w:lineRule="exact"/>
        <w:ind w:left="960" w:right="0" w:firstLine="20"/>
        <w:jc w:val="left"/>
      </w:pPr>
      <w:r>
        <w:rPr>
          <w:color w:val="000000"/>
          <w:spacing w:val="0"/>
          <w:w w:val="100"/>
          <w:position w:val="0"/>
        </w:rPr>
        <w:t>对于划分为组合的应收账款，本公司参考历史信用损失经验，结合当前状况以及对未来经济状况的预测，编制应收账款账龄 与整个存续期预期信用损失率对照表，计算预期信用损失。</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除了单项评估信用风险的应收账款外，基于其信用风险特征，将其划分为以下组合:</w:t>
      </w:r>
    </w:p>
    <w:tbl>
      <w:tblPr>
        <w:tblOverlap w:val="never"/>
        <w:jc w:val="center"/>
        <w:tblLayout w:type="fixed"/>
      </w:tblPr>
      <w:tblGrid>
        <w:gridCol w:w="3379"/>
        <w:gridCol w:w="5760"/>
      </w:tblGrid>
      <w:tr>
        <w:trPr>
          <w:trHeight w:val="36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确定组合的依据</w:t>
            </w:r>
          </w:p>
        </w:tc>
      </w:tr>
    </w:tbl>
    <w:p>
      <w:pPr>
        <w:sectPr>
          <w:headerReference w:type="default" r:id="rId295"/>
          <w:footerReference w:type="default" r:id="rId296"/>
          <w:headerReference w:type="even" r:id="rId297"/>
          <w:footerReference w:type="even" r:id="rId298"/>
          <w:footnotePr>
            <w:pos w:val="pageBottom"/>
            <w:numFmt w:val="decimal"/>
            <w:numRestart w:val="continuous"/>
          </w:footnotePr>
          <w:pgSz w:w="11900" w:h="16840"/>
          <w:pgMar w:top="678" w:right="597" w:bottom="1158" w:left="142" w:header="0" w:footer="3" w:gutter="0"/>
          <w:cols w:space="720"/>
          <w:noEndnote/>
          <w:rtlGutter w:val="0"/>
          <w:docGrid w:linePitch="360"/>
        </w:sectPr>
      </w:pPr>
    </w:p>
    <w:p>
      <w:pPr>
        <w:widowControl w:val="0"/>
        <w:jc w:val="center"/>
        <w:rPr>
          <w:sz w:val="2"/>
          <w:szCs w:val="2"/>
        </w:rPr>
      </w:pPr>
      <w:r>
        <w:drawing>
          <wp:inline>
            <wp:extent cx="1298575" cy="481330"/>
            <wp:docPr id="731" name="Picutre 731"/>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99"/>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3379"/>
        <w:gridCol w:w="5760"/>
      </w:tblGrid>
      <w:tr>
        <w:trPr>
          <w:trHeight w:val="35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1</w:t>
            </w:r>
            <w:r>
              <w:rPr>
                <w:color w:val="000000"/>
                <w:spacing w:val="0"/>
                <w:w w:val="100"/>
                <w:position w:val="0"/>
              </w:rPr>
              <w:t>：应收客户款</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本组合以应收款项的账龄作为信用风险特征</w:t>
            </w:r>
          </w:p>
        </w:tc>
      </w:tr>
      <w:tr>
        <w:trPr>
          <w:trHeight w:val="667"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2</w:t>
            </w:r>
            <w:r>
              <w:rPr>
                <w:color w:val="000000"/>
                <w:spacing w:val="0"/>
                <w:w w:val="100"/>
                <w:position w:val="0"/>
              </w:rPr>
              <w:t>：风险低组合</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应收合并范围内关联方款项等确信完全可以收回的款项组合不计提坏账 准备</w:t>
            </w:r>
          </w:p>
        </w:tc>
      </w:tr>
    </w:tbl>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C.</w:t>
      </w:r>
      <w:r>
        <w:rPr>
          <w:color w:val="000000"/>
          <w:spacing w:val="0"/>
          <w:w w:val="100"/>
          <w:position w:val="0"/>
        </w:rPr>
        <w:t>其他应收款确定组合的依据如下:</w:t>
      </w:r>
    </w:p>
    <w:p>
      <w:pPr>
        <w:pStyle w:val="Style32"/>
        <w:keepNext w:val="0"/>
        <w:keepLines w:val="0"/>
        <w:widowControl w:val="0"/>
        <w:shd w:val="clear" w:color="auto" w:fill="auto"/>
        <w:bidi w:val="0"/>
        <w:spacing w:before="0" w:after="0" w:line="312" w:lineRule="exact"/>
        <w:ind w:left="960" w:right="0" w:firstLine="20"/>
        <w:jc w:val="left"/>
      </w:pPr>
      <w:r>
        <w:rPr>
          <w:color w:val="000000"/>
          <w:spacing w:val="0"/>
          <w:w w:val="100"/>
          <w:position w:val="0"/>
        </w:rPr>
        <w:t>对于存在客观证据表明存在减值</w:t>
      </w:r>
      <w:r>
        <w:rPr>
          <w:color w:val="000000"/>
          <w:spacing w:val="0"/>
          <w:w w:val="100"/>
          <w:position w:val="0"/>
        </w:rPr>
        <w:t>，</w:t>
      </w:r>
      <w:r>
        <w:rPr>
          <w:color w:val="000000"/>
          <w:spacing w:val="0"/>
          <w:w w:val="100"/>
          <w:position w:val="0"/>
        </w:rPr>
        <w:t>以及其他适用于单项评估的其他应收款单独进行减值测试</w:t>
      </w:r>
      <w:r>
        <w:rPr>
          <w:color w:val="000000"/>
          <w:spacing w:val="0"/>
          <w:w w:val="100"/>
          <w:position w:val="0"/>
        </w:rPr>
        <w:t>，</w:t>
      </w:r>
      <w:r>
        <w:rPr>
          <w:color w:val="000000"/>
          <w:spacing w:val="0"/>
          <w:w w:val="100"/>
          <w:position w:val="0"/>
        </w:rPr>
        <w:t>确认预期信用损失</w:t>
      </w:r>
      <w:r>
        <w:rPr>
          <w:color w:val="000000"/>
          <w:spacing w:val="0"/>
          <w:w w:val="100"/>
          <w:position w:val="0"/>
        </w:rPr>
        <w:t>，</w:t>
      </w:r>
      <w:r>
        <w:rPr>
          <w:color w:val="000000"/>
          <w:spacing w:val="0"/>
          <w:w w:val="100"/>
          <w:position w:val="0"/>
        </w:rPr>
        <w:t>计提单项减 值准备。</w:t>
      </w:r>
    </w:p>
    <w:p>
      <w:pPr>
        <w:pStyle w:val="Style32"/>
        <w:keepNext w:val="0"/>
        <w:keepLines w:val="0"/>
        <w:widowControl w:val="0"/>
        <w:shd w:val="clear" w:color="auto" w:fill="auto"/>
        <w:bidi w:val="0"/>
        <w:spacing w:before="0" w:after="80" w:line="302" w:lineRule="exact"/>
        <w:ind w:left="960" w:right="0" w:firstLine="20"/>
        <w:jc w:val="left"/>
      </w:pPr>
      <w:r>
        <w:rPr>
          <w:color w:val="000000"/>
          <w:spacing w:val="0"/>
          <w:w w:val="100"/>
          <w:position w:val="0"/>
        </w:rPr>
        <w:t>对于划分为组合的其他应收款，本公司参考历史信用损失经验，结合当前状况以及对未来经济状况的预测，通过违约风险敞 口和未来</w:t>
      </w:r>
      <w:r>
        <w:rPr>
          <w:rFonts w:ascii="Times New Roman" w:eastAsia="Times New Roman" w:hAnsi="Times New Roman" w:cs="Times New Roman"/>
          <w:color w:val="000000"/>
          <w:spacing w:val="0"/>
          <w:w w:val="100"/>
          <w:position w:val="0"/>
        </w:rPr>
        <w:t>12</w:t>
      </w:r>
      <w:r>
        <w:rPr>
          <w:color w:val="000000"/>
          <w:spacing w:val="0"/>
          <w:w w:val="100"/>
          <w:position w:val="0"/>
        </w:rPr>
        <w:t>个月内或整个存续期预期信用损失率，计算预期信用损失。</w:t>
      </w:r>
    </w:p>
    <w:p>
      <w:pPr>
        <w:pStyle w:val="Style32"/>
        <w:keepNext w:val="0"/>
        <w:keepLines w:val="0"/>
        <w:widowControl w:val="0"/>
        <w:shd w:val="clear" w:color="auto" w:fill="auto"/>
        <w:bidi w:val="0"/>
        <w:spacing w:before="0" w:after="80" w:line="307" w:lineRule="exact"/>
        <w:ind w:left="960" w:right="0" w:firstLine="20"/>
        <w:jc w:val="left"/>
      </w:pPr>
      <w:r>
        <w:rPr>
          <w:color w:val="000000"/>
          <w:spacing w:val="0"/>
          <w:w w:val="100"/>
          <w:position w:val="0"/>
        </w:rPr>
        <w:t>除了单项评估信用风险的其他应收款外，基于其信用风险特征，将其划分为不同组合：</w:t>
      </w:r>
    </w:p>
    <w:tbl>
      <w:tblPr>
        <w:tblOverlap w:val="never"/>
        <w:jc w:val="center"/>
        <w:tblLayout w:type="fixed"/>
      </w:tblPr>
      <w:tblGrid>
        <w:gridCol w:w="3240"/>
        <w:gridCol w:w="5899"/>
      </w:tblGrid>
      <w:tr>
        <w:trPr>
          <w:trHeight w:val="35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确定组合的依据</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1</w:t>
            </w:r>
            <w:r>
              <w:rPr>
                <w:color w:val="000000"/>
                <w:spacing w:val="0"/>
                <w:w w:val="100"/>
                <w:position w:val="0"/>
              </w:rPr>
              <w:t>：应收利息</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本组合为应收金融机构的利息、银行理财收益</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2</w:t>
            </w:r>
            <w:r>
              <w:rPr>
                <w:color w:val="000000"/>
                <w:spacing w:val="0"/>
                <w:w w:val="100"/>
                <w:position w:val="0"/>
              </w:rPr>
              <w:t>：应收股利</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本组合为应收股利</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3</w:t>
            </w:r>
            <w:r>
              <w:rPr>
                <w:color w:val="000000"/>
                <w:spacing w:val="0"/>
                <w:w w:val="100"/>
                <w:position w:val="0"/>
              </w:rPr>
              <w:t>：应收其他款项</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本组合以应收款项的账龄作为信用风险特征</w:t>
            </w:r>
          </w:p>
        </w:tc>
      </w:tr>
      <w:tr>
        <w:trPr>
          <w:trHeight w:val="672"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4</w:t>
            </w:r>
            <w:r>
              <w:rPr>
                <w:color w:val="000000"/>
                <w:spacing w:val="0"/>
                <w:w w:val="100"/>
                <w:position w:val="0"/>
              </w:rPr>
              <w:t>：风险低组合</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26" w:lineRule="exact"/>
              <w:ind w:left="0" w:right="0" w:firstLine="0"/>
              <w:jc w:val="left"/>
            </w:pPr>
            <w:r>
              <w:rPr>
                <w:color w:val="000000"/>
                <w:spacing w:val="0"/>
                <w:w w:val="100"/>
                <w:position w:val="0"/>
              </w:rPr>
              <w:t>应收合并范围内关联方款项等确信完全可以收回的款项组合不计提坏账准 备</w:t>
            </w:r>
          </w:p>
        </w:tc>
      </w:tr>
    </w:tbl>
    <w:p>
      <w:pPr>
        <w:pStyle w:val="Style4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d.</w:t>
      </w:r>
      <w:r>
        <w:rPr>
          <w:color w:val="000000"/>
          <w:spacing w:val="0"/>
          <w:w w:val="100"/>
          <w:position w:val="0"/>
        </w:rPr>
        <w:t>长期应收款确定组合的依据如下:</w:t>
      </w:r>
    </w:p>
    <w:p>
      <w:pPr>
        <w:pStyle w:val="Style32"/>
        <w:keepNext w:val="0"/>
        <w:keepLines w:val="0"/>
        <w:widowControl w:val="0"/>
        <w:shd w:val="clear" w:color="auto" w:fill="auto"/>
        <w:bidi w:val="0"/>
        <w:spacing w:before="0" w:after="0" w:line="312" w:lineRule="exact"/>
        <w:ind w:left="960" w:right="0" w:firstLine="20"/>
        <w:jc w:val="left"/>
      </w:pPr>
      <w:r>
        <w:rPr>
          <w:color w:val="000000"/>
          <w:spacing w:val="0"/>
          <w:w w:val="100"/>
          <w:position w:val="0"/>
        </w:rPr>
        <w:t>对于存在客观证据表明存在减值</w:t>
      </w:r>
      <w:r>
        <w:rPr>
          <w:color w:val="000000"/>
          <w:spacing w:val="0"/>
          <w:w w:val="100"/>
          <w:position w:val="0"/>
        </w:rPr>
        <w:t>，</w:t>
      </w:r>
      <w:r>
        <w:rPr>
          <w:color w:val="000000"/>
          <w:spacing w:val="0"/>
          <w:w w:val="100"/>
          <w:position w:val="0"/>
        </w:rPr>
        <w:t>以及其他适用于单项评估的长期应收款单独进行减值测试</w:t>
      </w:r>
      <w:r>
        <w:rPr>
          <w:color w:val="000000"/>
          <w:spacing w:val="0"/>
          <w:w w:val="100"/>
          <w:position w:val="0"/>
        </w:rPr>
        <w:t>，</w:t>
      </w:r>
      <w:r>
        <w:rPr>
          <w:color w:val="000000"/>
          <w:spacing w:val="0"/>
          <w:w w:val="100"/>
          <w:position w:val="0"/>
        </w:rPr>
        <w:t>确认预期信用损失</w:t>
      </w:r>
      <w:r>
        <w:rPr>
          <w:color w:val="000000"/>
          <w:spacing w:val="0"/>
          <w:w w:val="100"/>
          <w:position w:val="0"/>
        </w:rPr>
        <w:t>，</w:t>
      </w:r>
      <w:r>
        <w:rPr>
          <w:color w:val="000000"/>
          <w:spacing w:val="0"/>
          <w:w w:val="100"/>
          <w:position w:val="0"/>
        </w:rPr>
        <w:t>计提单项减 值准备。</w:t>
      </w:r>
    </w:p>
    <w:p>
      <w:pPr>
        <w:pStyle w:val="Style32"/>
        <w:keepNext w:val="0"/>
        <w:keepLines w:val="0"/>
        <w:widowControl w:val="0"/>
        <w:shd w:val="clear" w:color="auto" w:fill="auto"/>
        <w:bidi w:val="0"/>
        <w:spacing w:before="0" w:after="140" w:line="302" w:lineRule="exact"/>
        <w:ind w:left="960" w:right="0" w:firstLine="20"/>
        <w:jc w:val="left"/>
      </w:pPr>
      <w:r>
        <w:rPr>
          <w:color w:val="000000"/>
          <w:spacing w:val="0"/>
          <w:w w:val="100"/>
          <w:position w:val="0"/>
        </w:rPr>
        <w:t>对于划分为组合的长期应收款，本公司参考历史信用损失经验，结合当前状况以及对未来经济状况的预测，编制长期应收款 账龄与整个存续期预期信用损失率对照表，计算预期信用损失。</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除了单项评估信用风险的长期应收款外，基于其信用风险特征，将其划分为以下组合:</w:t>
      </w:r>
    </w:p>
    <w:tbl>
      <w:tblPr>
        <w:tblOverlap w:val="never"/>
        <w:jc w:val="center"/>
        <w:tblLayout w:type="fixed"/>
      </w:tblPr>
      <w:tblGrid>
        <w:gridCol w:w="2813"/>
        <w:gridCol w:w="6326"/>
      </w:tblGrid>
      <w:tr>
        <w:trPr>
          <w:trHeight w:val="36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确定组合的依据</w:t>
            </w:r>
          </w:p>
        </w:tc>
      </w:tr>
      <w:tr>
        <w:trPr>
          <w:trHeight w:val="35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1</w:t>
            </w:r>
            <w:r>
              <w:rPr>
                <w:color w:val="000000"/>
                <w:spacing w:val="0"/>
                <w:w w:val="100"/>
                <w:position w:val="0"/>
              </w:rPr>
              <w:t>：应收分期销售款项</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本组合以长期应收款的账龄作为信用风险特征</w:t>
            </w:r>
          </w:p>
        </w:tc>
      </w:tr>
    </w:tbl>
    <w:p>
      <w:pPr>
        <w:widowControl w:val="0"/>
        <w:spacing w:after="79" w:line="1" w:lineRule="exact"/>
      </w:pPr>
    </w:p>
    <w:p>
      <w:pPr>
        <w:pStyle w:val="Style32"/>
        <w:keepNext w:val="0"/>
        <w:keepLines w:val="0"/>
        <w:widowControl w:val="0"/>
        <w:numPr>
          <w:ilvl w:val="0"/>
          <w:numId w:val="67"/>
        </w:numPr>
        <w:shd w:val="clear" w:color="auto" w:fill="auto"/>
        <w:bidi w:val="0"/>
        <w:spacing w:before="0" w:after="140" w:line="240" w:lineRule="auto"/>
        <w:ind w:left="960" w:right="0" w:firstLine="20"/>
        <w:jc w:val="left"/>
      </w:pPr>
      <w:bookmarkStart w:id="886" w:name="bookmark886"/>
      <w:bookmarkEnd w:id="886"/>
      <w:r>
        <w:rPr>
          <w:color w:val="000000"/>
          <w:spacing w:val="0"/>
          <w:w w:val="100"/>
          <w:position w:val="0"/>
        </w:rPr>
        <w:t>债权投资、其他债权投资</w:t>
      </w:r>
    </w:p>
    <w:p>
      <w:pPr>
        <w:pStyle w:val="Style32"/>
        <w:keepNext w:val="0"/>
        <w:keepLines w:val="0"/>
        <w:widowControl w:val="0"/>
        <w:shd w:val="clear" w:color="auto" w:fill="auto"/>
        <w:bidi w:val="0"/>
        <w:spacing w:before="0" w:after="80" w:line="240" w:lineRule="auto"/>
        <w:ind w:left="960" w:right="0" w:firstLine="20"/>
        <w:jc w:val="left"/>
      </w:pPr>
      <w:r>
        <w:rPr>
          <w:color w:val="000000"/>
          <w:spacing w:val="0"/>
          <w:w w:val="100"/>
          <w:position w:val="0"/>
        </w:rPr>
        <w:t>对于债权投资和其他债权投资，本公司按照投资的性质，根据交易对手和风险敞口的各种类型，通过违约风险敞口和未来</w:t>
      </w:r>
    </w:p>
    <w:p>
      <w:pPr>
        <w:pStyle w:val="Style32"/>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rPr>
        <w:t>12</w:t>
      </w:r>
      <w:r>
        <w:rPr>
          <w:color w:val="000000"/>
          <w:spacing w:val="0"/>
          <w:w w:val="100"/>
          <w:position w:val="0"/>
        </w:rPr>
        <w:t>个月内或整个存续期预期信用损失率，计算预期信用损失。</w:t>
      </w:r>
    </w:p>
    <w:p>
      <w:pPr>
        <w:pStyle w:val="Style32"/>
        <w:keepNext w:val="0"/>
        <w:keepLines w:val="0"/>
        <w:widowControl w:val="0"/>
        <w:numPr>
          <w:ilvl w:val="0"/>
          <w:numId w:val="65"/>
        </w:numPr>
        <w:shd w:val="clear" w:color="auto" w:fill="auto"/>
        <w:tabs>
          <w:tab w:pos="1333" w:val="left"/>
        </w:tabs>
        <w:bidi w:val="0"/>
        <w:spacing w:before="0" w:after="0" w:line="317" w:lineRule="exact"/>
        <w:ind w:left="0" w:right="0" w:firstLine="960"/>
        <w:jc w:val="left"/>
      </w:pPr>
      <w:bookmarkStart w:id="887" w:name="bookmark887"/>
      <w:bookmarkEnd w:id="887"/>
      <w:r>
        <w:rPr>
          <w:color w:val="000000"/>
          <w:spacing w:val="0"/>
          <w:w w:val="100"/>
          <w:position w:val="0"/>
        </w:rPr>
        <w:t>具有较低的信用风险</w:t>
      </w:r>
    </w:p>
    <w:p>
      <w:pPr>
        <w:pStyle w:val="Style32"/>
        <w:keepNext w:val="0"/>
        <w:keepLines w:val="0"/>
        <w:widowControl w:val="0"/>
        <w:shd w:val="clear" w:color="auto" w:fill="auto"/>
        <w:bidi w:val="0"/>
        <w:spacing w:before="0" w:after="0" w:line="317" w:lineRule="exact"/>
        <w:ind w:left="960" w:right="0" w:firstLine="20"/>
        <w:jc w:val="left"/>
      </w:pPr>
      <w:r>
        <w:rPr>
          <w:color w:val="000000"/>
          <w:spacing w:val="0"/>
          <w:w w:val="100"/>
          <w:position w:val="0"/>
        </w:rPr>
        <w:t>如果金融工具的违约风险较低，借款人在短期内履行其合同现金流量义务的能力很强，并且即便较长时期内经济形势和经营 环境存在不利变化但未必一定降低借款人履行其合同现金流量义务的能力，该金融工具被视为具有较低的信用风险。</w:t>
      </w:r>
    </w:p>
    <w:p>
      <w:pPr>
        <w:pStyle w:val="Style32"/>
        <w:keepNext w:val="0"/>
        <w:keepLines w:val="0"/>
        <w:widowControl w:val="0"/>
        <w:numPr>
          <w:ilvl w:val="0"/>
          <w:numId w:val="65"/>
        </w:numPr>
        <w:shd w:val="clear" w:color="auto" w:fill="auto"/>
        <w:tabs>
          <w:tab w:pos="1353" w:val="left"/>
        </w:tabs>
        <w:bidi w:val="0"/>
        <w:spacing w:before="0" w:after="0" w:line="317" w:lineRule="exact"/>
        <w:ind w:left="960" w:right="0" w:firstLine="20"/>
        <w:jc w:val="left"/>
      </w:pPr>
      <w:bookmarkStart w:id="888" w:name="bookmark888"/>
      <w:bookmarkEnd w:id="888"/>
      <w:r>
        <w:rPr>
          <w:color w:val="000000"/>
          <w:spacing w:val="0"/>
          <w:w w:val="100"/>
          <w:position w:val="0"/>
        </w:rPr>
        <w:t>信用风险显著增加</w:t>
      </w:r>
    </w:p>
    <w:p>
      <w:pPr>
        <w:pStyle w:val="Style32"/>
        <w:keepNext w:val="0"/>
        <w:keepLines w:val="0"/>
        <w:widowControl w:val="0"/>
        <w:shd w:val="clear" w:color="auto" w:fill="auto"/>
        <w:bidi w:val="0"/>
        <w:spacing w:before="0" w:after="140" w:line="325" w:lineRule="exact"/>
        <w:ind w:left="960" w:right="0" w:firstLine="20"/>
        <w:jc w:val="left"/>
      </w:pPr>
      <w:r>
        <w:rPr>
          <w:color w:val="000000"/>
          <w:spacing w:val="0"/>
          <w:w w:val="100"/>
          <w:position w:val="0"/>
        </w:rPr>
        <w:t>本公司通过比较金融工具在资产负债表日所确定的预计存续期内的违约概率与在初始确认时所确定的预计存续期内的违约 概率，以确定金融工具预计存续期内发生违约概率的相对变化，以评估金融工具的信用风险自初始确认后是否已显著增加。 在确定信用风险自初始确认后是否显著增加时,本公司考虑无须付出不必要的额外成本或努力即可获得的合理且有依据的信 息，包括前瞻性信息。本公司考虑的信息包括：</w:t>
      </w:r>
    </w:p>
    <w:p>
      <w:pPr>
        <w:pStyle w:val="Style32"/>
        <w:keepNext w:val="0"/>
        <w:keepLines w:val="0"/>
        <w:widowControl w:val="0"/>
        <w:shd w:val="clear" w:color="auto" w:fill="auto"/>
        <w:bidi w:val="0"/>
        <w:spacing w:before="0" w:after="0" w:line="377" w:lineRule="auto"/>
        <w:ind w:left="0" w:right="0" w:firstLine="960"/>
        <w:jc w:val="left"/>
      </w:pPr>
      <w:r>
        <w:rPr>
          <w:rFonts w:ascii="Times New Roman" w:eastAsia="Times New Roman" w:hAnsi="Times New Roman" w:cs="Times New Roman"/>
          <w:color w:val="000000"/>
          <w:spacing w:val="0"/>
          <w:w w:val="100"/>
          <w:position w:val="0"/>
        </w:rPr>
        <w:t>A.</w:t>
      </w:r>
      <w:r>
        <w:rPr>
          <w:color w:val="000000"/>
          <w:spacing w:val="0"/>
          <w:w w:val="100"/>
          <w:position w:val="0"/>
        </w:rPr>
        <w:t>信用风险变化所导致的内部价格指标是否发生显著变化；</w:t>
      </w:r>
    </w:p>
    <w:p>
      <w:pPr>
        <w:pStyle w:val="Style32"/>
        <w:keepNext w:val="0"/>
        <w:keepLines w:val="0"/>
        <w:widowControl w:val="0"/>
        <w:numPr>
          <w:ilvl w:val="0"/>
          <w:numId w:val="69"/>
        </w:numPr>
        <w:shd w:val="clear" w:color="auto" w:fill="auto"/>
        <w:tabs>
          <w:tab w:pos="1309" w:val="left"/>
        </w:tabs>
        <w:bidi w:val="0"/>
        <w:spacing w:before="0" w:after="0" w:line="326" w:lineRule="exact"/>
        <w:ind w:left="0" w:right="0" w:firstLine="960"/>
        <w:jc w:val="left"/>
      </w:pPr>
      <w:bookmarkStart w:id="889" w:name="bookmark889"/>
      <w:bookmarkEnd w:id="889"/>
      <w:r>
        <w:rPr>
          <w:color w:val="000000"/>
          <w:spacing w:val="0"/>
          <w:w w:val="100"/>
          <w:position w:val="0"/>
        </w:rPr>
        <w:t>预期将导致债务人履行其偿债义务的能力是否发生显著变化的业务、财务或经济状况的不利变化；</w:t>
      </w:r>
    </w:p>
    <w:p>
      <w:pPr>
        <w:pStyle w:val="Style32"/>
        <w:keepNext w:val="0"/>
        <w:keepLines w:val="0"/>
        <w:widowControl w:val="0"/>
        <w:numPr>
          <w:ilvl w:val="0"/>
          <w:numId w:val="69"/>
        </w:numPr>
        <w:shd w:val="clear" w:color="auto" w:fill="auto"/>
        <w:tabs>
          <w:tab w:pos="1309" w:val="left"/>
        </w:tabs>
        <w:bidi w:val="0"/>
        <w:spacing w:before="0" w:after="0" w:line="326" w:lineRule="exact"/>
        <w:ind w:left="0" w:right="0" w:firstLine="960"/>
        <w:jc w:val="left"/>
      </w:pPr>
      <w:bookmarkStart w:id="890" w:name="bookmark890"/>
      <w:bookmarkEnd w:id="890"/>
      <w:r>
        <w:rPr>
          <w:color w:val="000000"/>
          <w:spacing w:val="0"/>
          <w:w w:val="100"/>
          <w:position w:val="0"/>
        </w:rPr>
        <w:t>债务人经营成果实际或预期是否发生显著变化；债务人所处的监管、经济或技术环境是否发生显著不利变化；</w:t>
      </w:r>
    </w:p>
    <w:p>
      <w:pPr>
        <w:pStyle w:val="Style32"/>
        <w:keepNext w:val="0"/>
        <w:keepLines w:val="0"/>
        <w:widowControl w:val="0"/>
        <w:numPr>
          <w:ilvl w:val="0"/>
          <w:numId w:val="69"/>
        </w:numPr>
        <w:shd w:val="clear" w:color="auto" w:fill="auto"/>
        <w:tabs>
          <w:tab w:pos="1318" w:val="left"/>
        </w:tabs>
        <w:bidi w:val="0"/>
        <w:spacing w:before="0" w:after="0" w:line="326" w:lineRule="exact"/>
        <w:ind w:left="960" w:right="0" w:firstLine="20"/>
        <w:jc w:val="left"/>
      </w:pPr>
      <w:bookmarkStart w:id="891" w:name="bookmark891"/>
      <w:bookmarkEnd w:id="891"/>
      <w:r>
        <w:rPr>
          <w:color w:val="000000"/>
          <w:spacing w:val="0"/>
          <w:w w:val="100"/>
          <w:position w:val="0"/>
        </w:rPr>
        <w:t>作为债务抵押的担保物价值或第三方提供的担保或信用增级质量是否发生显著变化。这些变化预期将降低债务人按合同规 定期限还款的经济动机或者影响违约概率；</w:t>
      </w:r>
    </w:p>
    <w:p>
      <w:pPr>
        <w:pStyle w:val="Style32"/>
        <w:keepNext w:val="0"/>
        <w:keepLines w:val="0"/>
        <w:widowControl w:val="0"/>
        <w:numPr>
          <w:ilvl w:val="0"/>
          <w:numId w:val="69"/>
        </w:numPr>
        <w:shd w:val="clear" w:color="auto" w:fill="auto"/>
        <w:tabs>
          <w:tab w:pos="1318" w:val="left"/>
        </w:tabs>
        <w:bidi w:val="0"/>
        <w:spacing w:before="0" w:after="0" w:line="326" w:lineRule="exact"/>
        <w:ind w:left="0" w:right="0" w:firstLine="960"/>
        <w:jc w:val="left"/>
        <w:sectPr>
          <w:footnotePr>
            <w:pos w:val="pageBottom"/>
            <w:numFmt w:val="decimal"/>
            <w:numRestart w:val="continuous"/>
          </w:footnotePr>
          <w:pgSz w:w="11900" w:h="16840"/>
          <w:pgMar w:top="692" w:right="597" w:bottom="1158" w:left="142" w:header="0" w:footer="3" w:gutter="0"/>
          <w:cols w:space="720"/>
          <w:noEndnote/>
          <w:rtlGutter w:val="0"/>
          <w:docGrid w:linePitch="360"/>
        </w:sectPr>
      </w:pPr>
      <w:bookmarkStart w:id="892" w:name="bookmark892"/>
      <w:bookmarkEnd w:id="892"/>
      <w:r>
        <w:rPr>
          <w:color w:val="000000"/>
          <w:spacing w:val="0"/>
          <w:w w:val="100"/>
          <w:position w:val="0"/>
        </w:rPr>
        <w:t>预期将降低债务人按合同约定期限还款的经济动机是否发生显著变化；</w:t>
      </w:r>
    </w:p>
    <w:p>
      <w:pPr>
        <w:pStyle w:val="Style2"/>
        <w:keepNext/>
        <w:keepLines/>
        <w:widowControl w:val="0"/>
        <w:shd w:val="clear" w:color="auto" w:fill="auto"/>
        <w:bidi w:val="0"/>
        <w:spacing w:before="0" w:after="0" w:line="240" w:lineRule="auto"/>
        <w:ind w:left="0" w:right="0" w:firstLine="980"/>
        <w:jc w:val="left"/>
      </w:pPr>
      <w:bookmarkStart w:id="893" w:name="bookmark893"/>
      <w:bookmarkStart w:id="894" w:name="bookmark894"/>
      <w:bookmarkStart w:id="895" w:name="bookmark895"/>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某超和技</w:t>
      </w:r>
      <w:bookmarkEnd w:id="893"/>
      <w:bookmarkEnd w:id="894"/>
      <w:bookmarkEnd w:id="895"/>
    </w:p>
    <w:p>
      <w:pPr>
        <w:pStyle w:val="Style5"/>
        <w:keepNext w:val="0"/>
        <w:keepLines w:val="0"/>
        <w:widowControl w:val="0"/>
        <w:shd w:val="clear" w:color="auto" w:fill="auto"/>
        <w:bidi w:val="0"/>
        <w:spacing w:before="0" w:after="0" w:line="240" w:lineRule="auto"/>
        <w:ind w:left="0" w:right="0" w:firstLine="980"/>
        <w:jc w:val="left"/>
      </w:pPr>
      <w:r>
        <w:rPr>
          <w:rFonts w:ascii="SimSun" w:eastAsia="SimSun" w:hAnsi="SimSun" w:cs="SimSun"/>
          <w:i/>
          <w:iCs/>
          <w:color w:val="245994"/>
          <w:spacing w:val="0"/>
          <w:w w:val="100"/>
          <w:position w:val="0"/>
          <w:sz w:val="24"/>
          <w:szCs w:val="24"/>
        </w:rPr>
        <w:t>，</w:t>
      </w:r>
      <w:r>
        <w:rPr>
          <w:color w:val="2D4562"/>
          <w:spacing w:val="0"/>
          <w:w w:val="100"/>
          <w:position w:val="0"/>
        </w:rPr>
        <w:t>广</w:t>
      </w:r>
      <w:r>
        <w:rPr>
          <w:color w:val="2D2B2E"/>
          <w:spacing w:val="0"/>
          <w:w w:val="100"/>
          <w:position w:val="0"/>
        </w:rPr>
        <w:t>i</w:t>
      </w:r>
      <w:r>
        <w:rPr>
          <w:spacing w:val="0"/>
          <w:w w:val="100"/>
          <w:position w:val="0"/>
        </w:rPr>
        <w:t>国家高新技术企业</w:t>
      </w:r>
    </w:p>
    <w:p>
      <w:pPr>
        <w:pStyle w:val="Style32"/>
        <w:keepNext w:val="0"/>
        <w:keepLines w:val="0"/>
        <w:widowControl w:val="0"/>
        <w:shd w:val="clear" w:color="auto" w:fill="auto"/>
        <w:tabs>
          <w:tab w:pos="1642" w:val="left"/>
        </w:tabs>
        <w:bidi w:val="0"/>
        <w:spacing w:before="0" w:after="0" w:line="240" w:lineRule="auto"/>
        <w:ind w:left="1080"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32"/>
        <w:keepNext w:val="0"/>
        <w:keepLines w:val="0"/>
        <w:widowControl w:val="0"/>
        <w:numPr>
          <w:ilvl w:val="0"/>
          <w:numId w:val="69"/>
        </w:numPr>
        <w:shd w:val="clear" w:color="auto" w:fill="auto"/>
        <w:bidi w:val="0"/>
        <w:spacing w:before="0" w:after="120" w:line="240" w:lineRule="auto"/>
        <w:ind w:left="0" w:right="0" w:firstLine="980"/>
        <w:jc w:val="left"/>
      </w:pPr>
      <w:bookmarkStart w:id="896" w:name="bookmark896"/>
      <w:bookmarkEnd w:id="896"/>
      <w:r>
        <w:rPr>
          <w:color w:val="000000"/>
          <w:spacing w:val="0"/>
          <w:w w:val="100"/>
          <w:position w:val="0"/>
        </w:rPr>
        <w:t>借款合同的预期变更，包括预计违反合同的行为是否可能导致的合同义务的免除或修订、给予免息期、利率跳升、要求追</w:t>
      </w:r>
    </w:p>
    <w:p>
      <w:pPr>
        <w:pStyle w:val="Style32"/>
        <w:keepNext w:val="0"/>
        <w:keepLines w:val="0"/>
        <w:widowControl w:val="0"/>
        <w:shd w:val="clear" w:color="auto" w:fill="auto"/>
        <w:bidi w:val="0"/>
        <w:spacing w:before="0" w:after="0" w:line="240" w:lineRule="auto"/>
        <w:ind w:left="0" w:right="0" w:firstLine="980"/>
        <w:jc w:val="left"/>
      </w:pPr>
      <w:r>
        <w:rPr>
          <w:color w:val="000000"/>
          <w:spacing w:val="0"/>
          <w:w w:val="100"/>
          <w:position w:val="0"/>
        </w:rPr>
        <w:t>加抵押品或担保或者对金融工具的合同框架做出其他变更;</w:t>
      </w:r>
    </w:p>
    <w:p>
      <w:pPr>
        <w:pStyle w:val="Style32"/>
        <w:keepNext w:val="0"/>
        <w:keepLines w:val="0"/>
        <w:widowControl w:val="0"/>
        <w:shd w:val="clear" w:color="auto" w:fill="auto"/>
        <w:bidi w:val="0"/>
        <w:spacing w:before="0" w:after="120" w:line="317" w:lineRule="exact"/>
        <w:ind w:left="0" w:right="0" w:firstLine="980"/>
        <w:jc w:val="left"/>
      </w:pPr>
      <w:r>
        <w:rPr>
          <w:rFonts w:ascii="Times New Roman" w:eastAsia="Times New Roman" w:hAnsi="Times New Roman" w:cs="Times New Roman"/>
          <w:color w:val="000000"/>
          <w:spacing w:val="0"/>
          <w:w w:val="100"/>
          <w:position w:val="0"/>
        </w:rPr>
        <w:t>G</w:t>
      </w:r>
      <w:r>
        <w:rPr>
          <w:color w:val="000000"/>
          <w:spacing w:val="0"/>
          <w:w w:val="100"/>
          <w:position w:val="0"/>
        </w:rPr>
        <w:t>债务人预期表现和还款行为是否发生显著变化；</w:t>
      </w:r>
    </w:p>
    <w:p>
      <w:pPr>
        <w:pStyle w:val="Style32"/>
        <w:keepNext w:val="0"/>
        <w:keepLines w:val="0"/>
        <w:widowControl w:val="0"/>
        <w:shd w:val="clear" w:color="auto" w:fill="auto"/>
        <w:bidi w:val="0"/>
        <w:spacing w:before="0" w:after="0"/>
        <w:ind w:left="0" w:right="0" w:firstLine="980"/>
        <w:jc w:val="left"/>
      </w:pPr>
      <w:r>
        <w:rPr>
          <w:rFonts w:ascii="Times New Roman" w:eastAsia="Times New Roman" w:hAnsi="Times New Roman" w:cs="Times New Roman"/>
          <w:color w:val="000000"/>
          <w:spacing w:val="0"/>
          <w:w w:val="100"/>
          <w:position w:val="0"/>
        </w:rPr>
        <w:t>H.</w:t>
      </w:r>
      <w:r>
        <w:rPr>
          <w:color w:val="000000"/>
          <w:spacing w:val="0"/>
          <w:w w:val="100"/>
          <w:position w:val="0"/>
        </w:rPr>
        <w:t>合同付款是否发生逾期超过（含）</w:t>
      </w:r>
      <w:r>
        <w:rPr>
          <w:rFonts w:ascii="Times New Roman" w:eastAsia="Times New Roman" w:hAnsi="Times New Roman" w:cs="Times New Roman"/>
          <w:color w:val="000000"/>
          <w:spacing w:val="0"/>
          <w:w w:val="100"/>
          <w:position w:val="0"/>
        </w:rPr>
        <w:t>30</w:t>
      </w:r>
      <w:r>
        <w:rPr>
          <w:color w:val="000000"/>
          <w:spacing w:val="0"/>
          <w:w w:val="100"/>
          <w:position w:val="0"/>
        </w:rPr>
        <w:t>日。</w:t>
      </w:r>
    </w:p>
    <w:p>
      <w:pPr>
        <w:pStyle w:val="Style32"/>
        <w:keepNext w:val="0"/>
        <w:keepLines w:val="0"/>
        <w:widowControl w:val="0"/>
        <w:shd w:val="clear" w:color="auto" w:fill="auto"/>
        <w:bidi w:val="0"/>
        <w:spacing w:before="0" w:after="0" w:line="317" w:lineRule="exact"/>
        <w:ind w:left="980" w:right="0" w:firstLine="0"/>
        <w:jc w:val="both"/>
      </w:pPr>
      <w:r>
        <w:rPr>
          <w:color w:val="000000"/>
          <w:spacing w:val="0"/>
          <w:w w:val="100"/>
          <w:position w:val="0"/>
        </w:rPr>
        <w:t>根据金融工具的性质，本公司以单项金融工具或金融工具组合为基础评估信用风险是否显著增加。以金融工具组合为基础进 行评估时，本公司可基于共同信用风险特征对金融工具进行分类，例如逾期信息和信用风险评级。</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通常情况下，如果逾期超过</w:t>
      </w:r>
      <w:r>
        <w:rPr>
          <w:rFonts w:ascii="Times New Roman" w:eastAsia="Times New Roman" w:hAnsi="Times New Roman" w:cs="Times New Roman"/>
          <w:color w:val="000000"/>
          <w:spacing w:val="0"/>
          <w:w w:val="100"/>
          <w:position w:val="0"/>
        </w:rPr>
        <w:t>30</w:t>
      </w:r>
      <w:r>
        <w:rPr>
          <w:color w:val="000000"/>
          <w:spacing w:val="0"/>
          <w:w w:val="100"/>
          <w:position w:val="0"/>
        </w:rPr>
        <w:t>日，本公司确定金融工具的信用风险已经显著增加。除非本公司无需付出过多成本或努力即 可获得合理且有依据的信息，证明虽然超过合同约定的付款期限</w:t>
      </w:r>
      <w:r>
        <w:rPr>
          <w:rFonts w:ascii="Times New Roman" w:eastAsia="Times New Roman" w:hAnsi="Times New Roman" w:cs="Times New Roman"/>
          <w:color w:val="000000"/>
          <w:spacing w:val="0"/>
          <w:w w:val="100"/>
          <w:position w:val="0"/>
        </w:rPr>
        <w:t>30</w:t>
      </w:r>
      <w:r>
        <w:rPr>
          <w:color w:val="000000"/>
          <w:spacing w:val="0"/>
          <w:w w:val="100"/>
          <w:position w:val="0"/>
        </w:rPr>
        <w:t>天，但信用风险自初始确认以来并未显著增加。</w:t>
      </w:r>
    </w:p>
    <w:p>
      <w:pPr>
        <w:pStyle w:val="Style32"/>
        <w:keepNext w:val="0"/>
        <w:keepLines w:val="0"/>
        <w:widowControl w:val="0"/>
        <w:numPr>
          <w:ilvl w:val="0"/>
          <w:numId w:val="65"/>
        </w:numPr>
        <w:shd w:val="clear" w:color="auto" w:fill="auto"/>
        <w:bidi w:val="0"/>
        <w:spacing w:before="0" w:after="0" w:line="312" w:lineRule="exact"/>
        <w:ind w:left="980" w:right="0" w:firstLine="0"/>
        <w:jc w:val="both"/>
      </w:pPr>
      <w:bookmarkStart w:id="897" w:name="bookmark897"/>
      <w:bookmarkEnd w:id="897"/>
      <w:r>
        <w:rPr>
          <w:color w:val="000000"/>
          <w:spacing w:val="0"/>
          <w:w w:val="100"/>
          <w:position w:val="0"/>
        </w:rPr>
        <w:t>已发生信用减值的金融资产</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 xml:space="preserve">本公司在资产负债表日评估以摊余成本计量的金融资产和以公允价值计量且其变动计入其他综合收益的债权投资是否已发 生信用减值。当对金融资产预期未来现金流量具有不利影响的一项或多项事件发生时，该金融资产成为已发生信用减值的金 融资产。金融资产已发生信用减值的证据包括下列可观察信息： </w:t>
      </w:r>
      <w:r>
        <w:rPr>
          <w:color w:val="000000"/>
          <w:spacing w:val="0"/>
          <w:w w:val="100"/>
          <w:position w:val="0"/>
        </w:rPr>
        <w:t>发行方或债务人发生重大财务困难；债务人违反合同，如偿付利息或本金违约或逾期等；债权人出于与债务人财务困难有关 的经济或合同考虑，给予债务人在任何其他情况下都不会做出的让步；债务人很可能破产或进行其他财务重组；发行方或债 务人财务困难导致该金融资产的活跃市场消失；以大幅折扣购买或源生一项金融资产，该折扣反映了发生信用损失的事实。 ⑤预期信用损失准备的列报</w:t>
      </w:r>
    </w:p>
    <w:p>
      <w:pPr>
        <w:pStyle w:val="Style32"/>
        <w:keepNext w:val="0"/>
        <w:keepLines w:val="0"/>
        <w:widowControl w:val="0"/>
        <w:shd w:val="clear" w:color="auto" w:fill="auto"/>
        <w:bidi w:val="0"/>
        <w:spacing w:before="0" w:after="120" w:line="312" w:lineRule="exact"/>
        <w:ind w:left="980" w:right="0" w:firstLine="0"/>
        <w:jc w:val="both"/>
      </w:pPr>
      <w:r>
        <w:rPr>
          <w:color w:val="000000"/>
          <w:spacing w:val="0"/>
          <w:w w:val="100"/>
          <w:position w:val="0"/>
        </w:rPr>
        <w:t>为反映金融工具的信用风险自初始确认后的变化，本公司在每个资产负债表日重新计量预期信用损失，由此形成的损失准备 的增加或转回金额，应当作为减值损失或利得计入当期损益。对于以摊余成本计量的金融资产，损失准备抵减该金融资产在 资产负债表中列示的账面价值；对于以公允价值计量且其变动计入其他综合收益的债权投资，本公司在其他综合收益中确认 其损失准备，不抵减该金融资产的账面价值。</w:t>
      </w:r>
    </w:p>
    <w:p>
      <w:pPr>
        <w:pStyle w:val="Style32"/>
        <w:keepNext w:val="0"/>
        <w:keepLines w:val="0"/>
        <w:widowControl w:val="0"/>
        <w:shd w:val="clear" w:color="auto" w:fill="auto"/>
        <w:bidi w:val="0"/>
        <w:spacing w:before="0" w:after="0" w:line="240" w:lineRule="auto"/>
        <w:ind w:left="1080" w:right="0" w:firstLine="0"/>
        <w:jc w:val="left"/>
      </w:pPr>
      <w:bookmarkStart w:id="898" w:name="bookmark898"/>
      <w:r>
        <w:rPr>
          <w:rFonts w:ascii="Times New Roman" w:eastAsia="Times New Roman" w:hAnsi="Times New Roman" w:cs="Times New Roman"/>
          <w:color w:val="000000"/>
          <w:spacing w:val="0"/>
          <w:w w:val="100"/>
          <w:position w:val="0"/>
        </w:rPr>
        <w:t>（</w:t>
      </w:r>
      <w:bookmarkEnd w:id="898"/>
      <w:r>
        <w:rPr>
          <w:rFonts w:ascii="Times New Roman" w:eastAsia="Times New Roman" w:hAnsi="Times New Roman" w:cs="Times New Roman"/>
          <w:color w:val="000000"/>
          <w:spacing w:val="0"/>
          <w:w w:val="100"/>
          <w:position w:val="0"/>
        </w:rPr>
        <w:t>6</w:t>
      </w:r>
      <w:r>
        <w:rPr>
          <w:color w:val="000000"/>
          <w:spacing w:val="0"/>
          <w:w w:val="100"/>
          <w:position w:val="0"/>
        </w:rPr>
        <w:t>）核销</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如果本公司不再合理预期金融资产合同现金流量能够全部或部分收回，则直接减记该金融资产的账面余额。这种减记构成相 关金融资产的终止确认。这种情况通常发生在本公司确定债务人没有资产或收入来源可产生足够的现金流量以偿还将被减记 的金额。</w:t>
      </w:r>
    </w:p>
    <w:p>
      <w:pPr>
        <w:pStyle w:val="Style32"/>
        <w:keepNext w:val="0"/>
        <w:keepLines w:val="0"/>
        <w:widowControl w:val="0"/>
        <w:shd w:val="clear" w:color="auto" w:fill="auto"/>
        <w:bidi w:val="0"/>
        <w:spacing w:before="0" w:after="120" w:line="314" w:lineRule="exact"/>
        <w:ind w:left="0" w:right="0" w:firstLine="980"/>
        <w:jc w:val="left"/>
      </w:pPr>
      <w:r>
        <w:rPr>
          <w:color w:val="000000"/>
          <w:spacing w:val="0"/>
          <w:w w:val="100"/>
          <w:position w:val="0"/>
        </w:rPr>
        <w:t>已减记的金融资产以后又收回的，作为减值损失的转回计入收回当期的损益。</w:t>
      </w:r>
    </w:p>
    <w:p>
      <w:pPr>
        <w:pStyle w:val="Style32"/>
        <w:keepNext w:val="0"/>
        <w:keepLines w:val="0"/>
        <w:widowControl w:val="0"/>
        <w:shd w:val="clear" w:color="auto" w:fill="auto"/>
        <w:bidi w:val="0"/>
        <w:spacing w:before="0" w:after="120" w:line="240" w:lineRule="auto"/>
        <w:ind w:left="0" w:right="0" w:firstLine="980"/>
        <w:jc w:val="left"/>
      </w:pPr>
      <w:bookmarkStart w:id="899" w:name="bookmark899"/>
      <w:r>
        <w:rPr>
          <w:color w:val="000000"/>
          <w:spacing w:val="0"/>
          <w:w w:val="100"/>
          <w:position w:val="0"/>
        </w:rPr>
        <w:t>（</w:t>
      </w:r>
      <w:bookmarkEnd w:id="899"/>
      <w:r>
        <w:rPr>
          <w:rFonts w:ascii="Times New Roman" w:eastAsia="Times New Roman" w:hAnsi="Times New Roman" w:cs="Times New Roman"/>
          <w:color w:val="000000"/>
          <w:spacing w:val="0"/>
          <w:w w:val="100"/>
          <w:position w:val="0"/>
        </w:rPr>
        <w:t>7</w:t>
      </w:r>
      <w:r>
        <w:rPr>
          <w:color w:val="000000"/>
          <w:spacing w:val="0"/>
          <w:w w:val="100"/>
          <w:position w:val="0"/>
        </w:rPr>
        <w:t>）金融资产转移</w:t>
      </w:r>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金融资产转移是指下列两种情形：</w:t>
      </w:r>
    </w:p>
    <w:p>
      <w:pPr>
        <w:pStyle w:val="Style32"/>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A.</w:t>
      </w:r>
      <w:r>
        <w:rPr>
          <w:color w:val="000000"/>
          <w:spacing w:val="0"/>
          <w:w w:val="100"/>
          <w:position w:val="0"/>
        </w:rPr>
        <w:t>将收取金融资产现金流量的合同权利转移给另一方;</w:t>
      </w:r>
    </w:p>
    <w:p>
      <w:pPr>
        <w:pStyle w:val="Style32"/>
        <w:keepNext w:val="0"/>
        <w:keepLines w:val="0"/>
        <w:widowControl w:val="0"/>
        <w:shd w:val="clear" w:color="auto" w:fill="auto"/>
        <w:bidi w:val="0"/>
        <w:spacing w:before="0" w:after="0" w:line="326" w:lineRule="exact"/>
        <w:ind w:left="980" w:right="0" w:firstLine="0"/>
        <w:jc w:val="both"/>
      </w:pPr>
      <w:r>
        <w:rPr>
          <w:rFonts w:ascii="Times New Roman" w:eastAsia="Times New Roman" w:hAnsi="Times New Roman" w:cs="Times New Roman"/>
          <w:color w:val="000000"/>
          <w:spacing w:val="0"/>
          <w:w w:val="100"/>
          <w:position w:val="0"/>
        </w:rPr>
        <w:t>B.</w:t>
      </w:r>
      <w:r>
        <w:rPr>
          <w:color w:val="000000"/>
          <w:spacing w:val="0"/>
          <w:w w:val="100"/>
          <w:position w:val="0"/>
        </w:rPr>
        <w:t>将金融资产整体或部分转移给另一方，但保留收取金融资产现金流量的合同权利，并承担将收取的现金流量支付给一个或 多个收款方的合同义务。</w:t>
      </w:r>
    </w:p>
    <w:p>
      <w:pPr>
        <w:pStyle w:val="Style32"/>
        <w:keepNext w:val="0"/>
        <w:keepLines w:val="0"/>
        <w:widowControl w:val="0"/>
        <w:numPr>
          <w:ilvl w:val="0"/>
          <w:numId w:val="71"/>
        </w:numPr>
        <w:shd w:val="clear" w:color="auto" w:fill="auto"/>
        <w:bidi w:val="0"/>
        <w:spacing w:before="0" w:after="0" w:line="326" w:lineRule="exact"/>
        <w:ind w:left="0" w:right="0" w:firstLine="980"/>
        <w:jc w:val="left"/>
      </w:pPr>
      <w:bookmarkStart w:id="900" w:name="bookmark900"/>
      <w:bookmarkEnd w:id="900"/>
      <w:r>
        <w:rPr>
          <w:color w:val="000000"/>
          <w:spacing w:val="0"/>
          <w:w w:val="100"/>
          <w:position w:val="0"/>
        </w:rPr>
        <w:t>终止确认所转移的金融资产</w:t>
      </w:r>
    </w:p>
    <w:p>
      <w:pPr>
        <w:pStyle w:val="Style32"/>
        <w:keepNext w:val="0"/>
        <w:keepLines w:val="0"/>
        <w:widowControl w:val="0"/>
        <w:shd w:val="clear" w:color="auto" w:fill="auto"/>
        <w:bidi w:val="0"/>
        <w:spacing w:before="0" w:after="0" w:line="307" w:lineRule="exact"/>
        <w:ind w:left="980" w:right="0" w:firstLine="0"/>
        <w:jc w:val="both"/>
      </w:pPr>
      <w:r>
        <w:rPr>
          <w:color w:val="000000"/>
          <w:spacing w:val="0"/>
          <w:w w:val="100"/>
          <w:position w:val="0"/>
        </w:rPr>
        <w:t>已将金融资产所有权上几乎所有的风险和报酬转移给转入方的，或既没有转移也没有保留金融资产所有权上几乎所有的风险 和报酬的，但放弃了对该金融资产控制的，终止确认该金融资产。</w:t>
      </w:r>
    </w:p>
    <w:p>
      <w:pPr>
        <w:pStyle w:val="Style32"/>
        <w:keepNext w:val="0"/>
        <w:keepLines w:val="0"/>
        <w:widowControl w:val="0"/>
        <w:shd w:val="clear" w:color="auto" w:fill="auto"/>
        <w:bidi w:val="0"/>
        <w:spacing w:before="0" w:after="0" w:line="307" w:lineRule="exact"/>
        <w:ind w:left="980" w:right="0" w:firstLine="0"/>
        <w:jc w:val="both"/>
      </w:pPr>
      <w:r>
        <w:rPr>
          <w:color w:val="000000"/>
          <w:spacing w:val="0"/>
          <w:w w:val="100"/>
          <w:position w:val="0"/>
        </w:rPr>
        <w:t>在判断是否已放弃对所转移金融资产的控制时，根据转入方出售该金融资产的实际能力。转入方能够单方面将转移的金融资 产整体出售给不相关的第三方，且没有额外条件对此项出售加以限制的，则公司已放弃对该金融资产的控制。</w:t>
      </w:r>
    </w:p>
    <w:p>
      <w:pPr>
        <w:pStyle w:val="Style32"/>
        <w:keepNext w:val="0"/>
        <w:keepLines w:val="0"/>
        <w:widowControl w:val="0"/>
        <w:shd w:val="clear" w:color="auto" w:fill="auto"/>
        <w:bidi w:val="0"/>
        <w:spacing w:before="0" w:after="0" w:line="307" w:lineRule="exact"/>
        <w:ind w:left="0" w:right="0" w:firstLine="980"/>
        <w:jc w:val="left"/>
      </w:pPr>
      <w:r>
        <w:rPr>
          <w:color w:val="000000"/>
          <w:spacing w:val="0"/>
          <w:w w:val="100"/>
          <w:position w:val="0"/>
        </w:rPr>
        <w:t>本公司在判断金融资产转移是否满足金融资产终止确认条件时，注重金融资产转移的实质。</w:t>
      </w:r>
    </w:p>
    <w:p>
      <w:pPr>
        <w:pStyle w:val="Style32"/>
        <w:keepNext w:val="0"/>
        <w:keepLines w:val="0"/>
        <w:widowControl w:val="0"/>
        <w:shd w:val="clear" w:color="auto" w:fill="auto"/>
        <w:bidi w:val="0"/>
        <w:spacing w:before="0" w:after="0" w:line="307" w:lineRule="exact"/>
        <w:ind w:left="0" w:right="0" w:firstLine="980"/>
        <w:jc w:val="left"/>
      </w:pPr>
      <w:r>
        <w:rPr>
          <w:color w:val="000000"/>
          <w:spacing w:val="0"/>
          <w:w w:val="100"/>
          <w:position w:val="0"/>
        </w:rPr>
        <w:t>金融资产整体转移满足终止确认条件的，将下列两项金额的差额计入当期损益：</w:t>
      </w:r>
    </w:p>
    <w:p>
      <w:pPr>
        <w:pStyle w:val="Style32"/>
        <w:keepNext w:val="0"/>
        <w:keepLines w:val="0"/>
        <w:widowControl w:val="0"/>
        <w:numPr>
          <w:ilvl w:val="0"/>
          <w:numId w:val="73"/>
        </w:numPr>
        <w:shd w:val="clear" w:color="auto" w:fill="auto"/>
        <w:tabs>
          <w:tab w:pos="1338" w:val="left"/>
        </w:tabs>
        <w:bidi w:val="0"/>
        <w:spacing w:before="0" w:after="0" w:line="319" w:lineRule="exact"/>
        <w:ind w:left="0" w:right="0" w:firstLine="980"/>
        <w:jc w:val="left"/>
      </w:pPr>
      <w:bookmarkStart w:id="901" w:name="bookmark901"/>
      <w:bookmarkEnd w:id="901"/>
      <w:r>
        <w:rPr>
          <w:color w:val="000000"/>
          <w:spacing w:val="0"/>
          <w:w w:val="100"/>
          <w:position w:val="0"/>
        </w:rPr>
        <w:t>所转移金融资产的账面价值；</w:t>
      </w:r>
    </w:p>
    <w:p>
      <w:pPr>
        <w:pStyle w:val="Style32"/>
        <w:keepNext w:val="0"/>
        <w:keepLines w:val="0"/>
        <w:widowControl w:val="0"/>
        <w:numPr>
          <w:ilvl w:val="0"/>
          <w:numId w:val="73"/>
        </w:numPr>
        <w:shd w:val="clear" w:color="auto" w:fill="auto"/>
        <w:tabs>
          <w:tab w:pos="1338" w:val="left"/>
        </w:tabs>
        <w:bidi w:val="0"/>
        <w:spacing w:before="0" w:after="0" w:line="319" w:lineRule="exact"/>
        <w:ind w:left="980" w:right="0" w:firstLine="0"/>
        <w:jc w:val="both"/>
        <w:sectPr>
          <w:footnotePr>
            <w:pos w:val="pageBottom"/>
            <w:numFmt w:val="decimal"/>
            <w:numRestart w:val="continuous"/>
          </w:footnotePr>
          <w:pgSz w:w="11900" w:h="16840"/>
          <w:pgMar w:top="678" w:right="597" w:bottom="1158" w:left="142" w:header="0" w:footer="3" w:gutter="0"/>
          <w:cols w:space="720"/>
          <w:noEndnote/>
          <w:rtlGutter w:val="0"/>
          <w:docGrid w:linePitch="360"/>
        </w:sectPr>
      </w:pPr>
      <w:bookmarkStart w:id="902" w:name="bookmark902"/>
      <w:bookmarkEnd w:id="902"/>
      <w:r>
        <w:rPr>
          <w:color w:val="000000"/>
          <w:spacing w:val="0"/>
          <w:w w:val="100"/>
          <w:position w:val="0"/>
        </w:rPr>
        <w:t>因转移而收到的对价，与原直接计入其他综合收益的公允价值变动累计额中对于终止确认部分的金额（涉及转移的金融资 产为根据《企业会计准则第</w:t>
      </w:r>
      <w:r>
        <w:rPr>
          <w:rFonts w:ascii="Times New Roman" w:eastAsia="Times New Roman" w:hAnsi="Times New Roman" w:cs="Times New Roman"/>
          <w:color w:val="000000"/>
          <w:spacing w:val="0"/>
          <w:w w:val="100"/>
          <w:position w:val="0"/>
        </w:rPr>
        <w:t>22</w:t>
      </w:r>
      <w:r>
        <w:rPr>
          <w:color w:val="000000"/>
          <w:spacing w:val="0"/>
          <w:w w:val="100"/>
          <w:position w:val="0"/>
        </w:rPr>
        <w:t>号</w:t>
      </w:r>
      <w:r>
        <w:rPr>
          <w:rFonts w:ascii="Times New Roman" w:eastAsia="Times New Roman" w:hAnsi="Times New Roman" w:cs="Times New Roman"/>
          <w:color w:val="000000"/>
          <w:spacing w:val="0"/>
          <w:w w:val="100"/>
          <w:position w:val="0"/>
        </w:rPr>
        <w:t>-</w:t>
      </w:r>
      <w:r>
        <w:rPr>
          <w:color w:val="000000"/>
          <w:spacing w:val="0"/>
          <w:w w:val="100"/>
          <w:position w:val="0"/>
        </w:rPr>
        <w:t>金融工具确认和计量》第十八条分类为以公允价值计量且其变动计入其他综合收益的金融 资产的情形）之和。</w:t>
      </w:r>
    </w:p>
    <w:p>
      <w:pPr>
        <w:widowControl w:val="0"/>
        <w:spacing w:line="1" w:lineRule="exact"/>
      </w:pPr>
      <w:r>
        <mc:AlternateContent>
          <mc:Choice Requires="wps">
            <w:drawing>
              <wp:anchor distT="0" distB="0" distL="114300" distR="114300" simplePos="0" relativeHeight="125829572" behindDoc="0" locked="0" layoutInCell="1" allowOverlap="1">
                <wp:simplePos x="0" y="0"/>
                <wp:positionH relativeFrom="page">
                  <wp:posOffset>803910</wp:posOffset>
                </wp:positionH>
                <wp:positionV relativeFrom="paragraph">
                  <wp:posOffset>12700</wp:posOffset>
                </wp:positionV>
                <wp:extent cx="1243330" cy="283210"/>
                <wp:wrapTopAndBottom/>
                <wp:docPr id="732" name="Shape 732"/>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758" type="#_x0000_t202" style="position:absolute;margin-left:63.300000000000004pt;margin-top:1.pt;width:97.900000000000006pt;height:22.300000000000001pt;z-index:-125829181;mso-wrap-distance-left:9.pt;mso-wrap-distance-right:9.pt;mso-position-horizontal-relative:page"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v:shape>
            </w:pict>
          </mc:Fallback>
        </mc:AlternateContent>
      </w:r>
    </w:p>
    <w:p>
      <w:pPr>
        <w:pStyle w:val="Style32"/>
        <w:keepNext w:val="0"/>
        <w:keepLines w:val="0"/>
        <w:widowControl w:val="0"/>
        <w:shd w:val="clear" w:color="auto" w:fill="auto"/>
        <w:bidi w:val="0"/>
        <w:spacing w:before="0" w:after="120" w:line="240" w:lineRule="auto"/>
        <w:ind w:left="0" w:right="0" w:firstLine="980"/>
        <w:jc w:val="both"/>
      </w:pPr>
      <w:r>
        <w:rPr>
          <w:color w:val="000000"/>
          <w:spacing w:val="0"/>
          <w:w w:val="100"/>
          <w:position w:val="0"/>
        </w:rPr>
        <w:t>金融资产部分转移满足终止确认条件的，将所转移金融资产整体的账面价值，在终止确认部分和未终止确认部分（在此种情</w:t>
      </w:r>
    </w:p>
    <w:p>
      <w:pPr>
        <w:pStyle w:val="Style32"/>
        <w:keepNext w:val="0"/>
        <w:keepLines w:val="0"/>
        <w:widowControl w:val="0"/>
        <w:shd w:val="clear" w:color="auto" w:fill="auto"/>
        <w:bidi w:val="0"/>
        <w:spacing w:before="0" w:after="120" w:line="240" w:lineRule="auto"/>
        <w:ind w:left="0" w:right="0" w:firstLine="980"/>
        <w:jc w:val="both"/>
      </w:pPr>
      <w:r>
        <w:rPr>
          <w:color w:val="000000"/>
          <w:spacing w:val="0"/>
          <w:w w:val="100"/>
          <w:position w:val="0"/>
        </w:rPr>
        <w:t>况下，所保留的服务资产视同继续确认金融资产的一部分）之间，按照转移日各自的相对公允价值进行分摊，并将下列两项</w:t>
      </w:r>
    </w:p>
    <w:p>
      <w:pPr>
        <w:pStyle w:val="Style32"/>
        <w:keepNext w:val="0"/>
        <w:keepLines w:val="0"/>
        <w:widowControl w:val="0"/>
        <w:shd w:val="clear" w:color="auto" w:fill="auto"/>
        <w:bidi w:val="0"/>
        <w:spacing w:before="0" w:after="0" w:line="240" w:lineRule="auto"/>
        <w:ind w:left="0" w:right="0" w:firstLine="980"/>
        <w:jc w:val="left"/>
      </w:pPr>
      <w:r>
        <w:rPr>
          <w:color w:val="000000"/>
          <w:spacing w:val="0"/>
          <w:w w:val="100"/>
          <w:position w:val="0"/>
        </w:rPr>
        <w:t>金额的差额计入当期损益:</w:t>
      </w:r>
    </w:p>
    <w:p>
      <w:pPr>
        <w:pStyle w:val="Style32"/>
        <w:keepNext w:val="0"/>
        <w:keepLines w:val="0"/>
        <w:widowControl w:val="0"/>
        <w:numPr>
          <w:ilvl w:val="0"/>
          <w:numId w:val="75"/>
        </w:numPr>
        <w:shd w:val="clear" w:color="auto" w:fill="auto"/>
        <w:tabs>
          <w:tab w:pos="1338" w:val="left"/>
        </w:tabs>
        <w:bidi w:val="0"/>
        <w:spacing w:before="0" w:after="0" w:line="317" w:lineRule="exact"/>
        <w:ind w:left="0" w:right="0" w:firstLine="980"/>
        <w:jc w:val="left"/>
      </w:pPr>
      <w:bookmarkStart w:id="903" w:name="bookmark903"/>
      <w:bookmarkEnd w:id="903"/>
      <w:r>
        <w:rPr>
          <w:color w:val="000000"/>
          <w:spacing w:val="0"/>
          <w:w w:val="100"/>
          <w:position w:val="0"/>
        </w:rPr>
        <w:t>终止确认部分在终止确认日的账面价值；</w:t>
      </w:r>
    </w:p>
    <w:p>
      <w:pPr>
        <w:pStyle w:val="Style32"/>
        <w:keepNext w:val="0"/>
        <w:keepLines w:val="0"/>
        <w:widowControl w:val="0"/>
        <w:numPr>
          <w:ilvl w:val="0"/>
          <w:numId w:val="75"/>
        </w:numPr>
        <w:shd w:val="clear" w:color="auto" w:fill="auto"/>
        <w:tabs>
          <w:tab w:pos="1338" w:val="left"/>
        </w:tabs>
        <w:bidi w:val="0"/>
        <w:spacing w:before="0" w:after="0" w:line="317" w:lineRule="exact"/>
        <w:ind w:left="980" w:right="0" w:firstLine="0"/>
        <w:jc w:val="both"/>
      </w:pPr>
      <w:bookmarkStart w:id="904" w:name="bookmark904"/>
      <w:bookmarkEnd w:id="904"/>
      <w:r>
        <w:rPr>
          <w:color w:val="000000"/>
          <w:spacing w:val="0"/>
          <w:w w:val="100"/>
          <w:position w:val="0"/>
        </w:rPr>
        <w:t>终止确认部分的对价，与原计入其他综合收益的公允价值变动累计额中对应终止确认部分的金额（涉及转移的金融资产为 根据《企业会计准则第</w:t>
      </w:r>
      <w:r>
        <w:rPr>
          <w:rFonts w:ascii="Times New Roman" w:eastAsia="Times New Roman" w:hAnsi="Times New Roman" w:cs="Times New Roman"/>
          <w:color w:val="000000"/>
          <w:spacing w:val="0"/>
          <w:w w:val="100"/>
          <w:position w:val="0"/>
        </w:rPr>
        <w:t>22</w:t>
      </w:r>
      <w:r>
        <w:rPr>
          <w:color w:val="000000"/>
          <w:spacing w:val="0"/>
          <w:w w:val="100"/>
          <w:position w:val="0"/>
        </w:rPr>
        <w:t>号</w:t>
      </w:r>
      <w:r>
        <w:rPr>
          <w:rFonts w:ascii="Times New Roman" w:eastAsia="Times New Roman" w:hAnsi="Times New Roman" w:cs="Times New Roman"/>
          <w:color w:val="000000"/>
          <w:spacing w:val="0"/>
          <w:w w:val="100"/>
          <w:position w:val="0"/>
        </w:rPr>
        <w:t>-</w:t>
      </w:r>
      <w:r>
        <w:rPr>
          <w:color w:val="000000"/>
          <w:spacing w:val="0"/>
          <w:w w:val="100"/>
          <w:position w:val="0"/>
        </w:rPr>
        <w:t>金融工具确认和计量》第十八条分类为以公允价值计量且其变动计入其他综合收益的金融资产 的情形）之和。</w:t>
      </w:r>
    </w:p>
    <w:p>
      <w:pPr>
        <w:pStyle w:val="Style32"/>
        <w:keepNext w:val="0"/>
        <w:keepLines w:val="0"/>
        <w:widowControl w:val="0"/>
        <w:numPr>
          <w:ilvl w:val="0"/>
          <w:numId w:val="71"/>
        </w:numPr>
        <w:shd w:val="clear" w:color="auto" w:fill="auto"/>
        <w:bidi w:val="0"/>
        <w:spacing w:before="0" w:after="0" w:line="317" w:lineRule="exact"/>
        <w:ind w:left="0" w:right="0" w:firstLine="980"/>
        <w:jc w:val="left"/>
      </w:pPr>
      <w:bookmarkStart w:id="905" w:name="bookmark905"/>
      <w:bookmarkEnd w:id="905"/>
      <w:r>
        <w:rPr>
          <w:color w:val="000000"/>
          <w:spacing w:val="0"/>
          <w:w w:val="100"/>
          <w:position w:val="0"/>
        </w:rPr>
        <w:t>继续涉入所转移的金融资产</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既没有转移也没有保留金融资产所有权上几乎所有的风险和报酬的，且未放弃对该金融资产控制的，应当按照其继续涉入所 转移金融资产的程度确认有关金融资产，并相应确认有关负债。</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继续涉入所转移金融资产的程度，是指企业承担的被转移金融资产价值变动风险或报酬的程度。</w:t>
      </w:r>
    </w:p>
    <w:p>
      <w:pPr>
        <w:pStyle w:val="Style32"/>
        <w:keepNext w:val="0"/>
        <w:keepLines w:val="0"/>
        <w:widowControl w:val="0"/>
        <w:numPr>
          <w:ilvl w:val="0"/>
          <w:numId w:val="71"/>
        </w:numPr>
        <w:shd w:val="clear" w:color="auto" w:fill="auto"/>
        <w:bidi w:val="0"/>
        <w:spacing w:before="0" w:after="0" w:line="312" w:lineRule="exact"/>
        <w:ind w:left="980" w:right="0" w:firstLine="0"/>
        <w:jc w:val="left"/>
      </w:pPr>
      <w:bookmarkStart w:id="906" w:name="bookmark906"/>
      <w:bookmarkEnd w:id="906"/>
      <w:r>
        <w:rPr>
          <w:color w:val="000000"/>
          <w:spacing w:val="0"/>
          <w:w w:val="100"/>
          <w:position w:val="0"/>
        </w:rPr>
        <w:t xml:space="preserve">继续确认所转移的金融资产 </w:t>
      </w:r>
      <w:r>
        <w:rPr>
          <w:color w:val="000000"/>
          <w:spacing w:val="0"/>
          <w:w w:val="100"/>
          <w:position w:val="0"/>
        </w:rPr>
        <w:t>仍保留与所转移金融资产所有权上几乎所有的风险和报酬的，应当继续确认所转移金融资产整体，并将收到的对价确认为一 项金融负债。</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该金融资产与确认的相关金融负债不得相互抵销。在随后的会计期间，企业应当继续确认该金融资产产生的收入（或利得） 和该金融负债产生的费用（或损失）。</w:t>
      </w:r>
    </w:p>
    <w:p>
      <w:pPr>
        <w:pStyle w:val="Style32"/>
        <w:keepNext w:val="0"/>
        <w:keepLines w:val="0"/>
        <w:widowControl w:val="0"/>
        <w:shd w:val="clear" w:color="auto" w:fill="auto"/>
        <w:bidi w:val="0"/>
        <w:spacing w:before="0" w:after="0" w:line="314" w:lineRule="exact"/>
        <w:ind w:left="0" w:right="0" w:firstLine="980"/>
        <w:jc w:val="left"/>
      </w:pPr>
      <w:bookmarkStart w:id="907" w:name="bookmark907"/>
      <w:r>
        <w:rPr>
          <w:color w:val="000000"/>
          <w:spacing w:val="0"/>
          <w:w w:val="100"/>
          <w:position w:val="0"/>
        </w:rPr>
        <w:t>（</w:t>
      </w:r>
      <w:bookmarkEnd w:id="907"/>
      <w:r>
        <w:rPr>
          <w:rFonts w:ascii="Times New Roman" w:eastAsia="Times New Roman" w:hAnsi="Times New Roman" w:cs="Times New Roman"/>
          <w:color w:val="000000"/>
          <w:spacing w:val="0"/>
          <w:w w:val="100"/>
          <w:position w:val="0"/>
        </w:rPr>
        <w:t>8</w:t>
      </w:r>
      <w:r>
        <w:rPr>
          <w:color w:val="000000"/>
          <w:spacing w:val="0"/>
          <w:w w:val="100"/>
          <w:position w:val="0"/>
        </w:rPr>
        <w:t>）金融资产和金融负债的抵销</w:t>
      </w:r>
    </w:p>
    <w:p>
      <w:pPr>
        <w:pStyle w:val="Style32"/>
        <w:keepNext w:val="0"/>
        <w:keepLines w:val="0"/>
        <w:widowControl w:val="0"/>
        <w:shd w:val="clear" w:color="auto" w:fill="auto"/>
        <w:bidi w:val="0"/>
        <w:spacing w:before="0" w:after="0" w:line="317" w:lineRule="exact"/>
        <w:ind w:left="980" w:right="0" w:firstLine="0"/>
        <w:jc w:val="left"/>
      </w:pPr>
      <w:r>
        <w:rPr>
          <w:color w:val="000000"/>
          <w:spacing w:val="0"/>
          <w:w w:val="100"/>
          <w:position w:val="0"/>
        </w:rPr>
        <w:t>金融资产和金融负债应当在资产负债表内分别列示，不得相互抵销。但同时满足下列条件的，以相互抵销后的净额在资产负 债表内列示：</w:t>
      </w:r>
    </w:p>
    <w:p>
      <w:pPr>
        <w:pStyle w:val="Style32"/>
        <w:keepNext w:val="0"/>
        <w:keepLines w:val="0"/>
        <w:widowControl w:val="0"/>
        <w:shd w:val="clear" w:color="auto" w:fill="auto"/>
        <w:bidi w:val="0"/>
        <w:spacing w:before="0" w:after="0" w:line="317" w:lineRule="exact"/>
        <w:ind w:left="0" w:right="0" w:firstLine="980"/>
        <w:jc w:val="left"/>
      </w:pPr>
      <w:r>
        <w:rPr>
          <w:color w:val="000000"/>
          <w:spacing w:val="0"/>
          <w:w w:val="100"/>
          <w:position w:val="0"/>
        </w:rPr>
        <w:t>本公司具有抵销已确认金额的法定权利，且该种法定权利是当前可执行的；</w:t>
      </w:r>
    </w:p>
    <w:p>
      <w:pPr>
        <w:pStyle w:val="Style32"/>
        <w:keepNext w:val="0"/>
        <w:keepLines w:val="0"/>
        <w:widowControl w:val="0"/>
        <w:shd w:val="clear" w:color="auto" w:fill="auto"/>
        <w:bidi w:val="0"/>
        <w:spacing w:before="0" w:after="120" w:line="317" w:lineRule="exact"/>
        <w:ind w:left="0" w:right="0" w:firstLine="980"/>
        <w:jc w:val="left"/>
      </w:pPr>
      <w:r>
        <w:rPr>
          <w:color w:val="000000"/>
          <w:spacing w:val="0"/>
          <w:w w:val="100"/>
          <w:position w:val="0"/>
        </w:rPr>
        <w:t>本公司计划以净额结算，或同时变现该金融资产和清偿该金融负债。</w:t>
      </w:r>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不满足终止确认条件的金融资产转移，转出方不得将已转移的金融资产和相关负债进行抵销。</w:t>
      </w:r>
    </w:p>
    <w:p>
      <w:pPr>
        <w:pStyle w:val="Style32"/>
        <w:keepNext w:val="0"/>
        <w:keepLines w:val="0"/>
        <w:widowControl w:val="0"/>
        <w:shd w:val="clear" w:color="auto" w:fill="auto"/>
        <w:bidi w:val="0"/>
        <w:spacing w:before="0" w:after="120" w:line="240" w:lineRule="auto"/>
        <w:ind w:left="0" w:right="0" w:firstLine="980"/>
        <w:jc w:val="left"/>
      </w:pPr>
      <w:bookmarkStart w:id="908" w:name="bookmark908"/>
      <w:r>
        <w:rPr>
          <w:color w:val="000000"/>
          <w:spacing w:val="0"/>
          <w:w w:val="100"/>
          <w:position w:val="0"/>
        </w:rPr>
        <w:t>（</w:t>
      </w:r>
      <w:bookmarkEnd w:id="908"/>
      <w:r>
        <w:rPr>
          <w:rFonts w:ascii="Times New Roman" w:eastAsia="Times New Roman" w:hAnsi="Times New Roman" w:cs="Times New Roman"/>
          <w:color w:val="000000"/>
          <w:spacing w:val="0"/>
          <w:w w:val="100"/>
          <w:position w:val="0"/>
        </w:rPr>
        <w:t>9</w:t>
      </w:r>
      <w:r>
        <w:rPr>
          <w:color w:val="000000"/>
          <w:spacing w:val="0"/>
          <w:w w:val="100"/>
          <w:position w:val="0"/>
        </w:rPr>
        <w:t>）金融工具公允价值的确定方法</w:t>
      </w:r>
    </w:p>
    <w:p>
      <w:pPr>
        <w:pStyle w:val="Style32"/>
        <w:keepNext w:val="0"/>
        <w:keepLines w:val="0"/>
        <w:widowControl w:val="0"/>
        <w:shd w:val="clear" w:color="auto" w:fill="auto"/>
        <w:bidi w:val="0"/>
        <w:spacing w:before="0" w:after="0" w:line="240" w:lineRule="auto"/>
        <w:ind w:left="0" w:right="0" w:firstLine="980"/>
        <w:jc w:val="left"/>
      </w:pPr>
      <w:r>
        <w:rPr>
          <w:color w:val="000000"/>
          <w:spacing w:val="0"/>
          <w:w w:val="100"/>
          <w:position w:val="0"/>
        </w:rPr>
        <w:t>公允价值是指市场参与者在计量日发生的有序交易中，出售一项资产所能收到或者转移一项负债所需支付的价格。</w:t>
      </w:r>
    </w:p>
    <w:p>
      <w:pPr>
        <w:pStyle w:val="Style32"/>
        <w:keepNext w:val="0"/>
        <w:keepLines w:val="0"/>
        <w:widowControl w:val="0"/>
        <w:shd w:val="clear" w:color="auto" w:fill="auto"/>
        <w:bidi w:val="0"/>
        <w:spacing w:before="0" w:after="0" w:line="317" w:lineRule="exact"/>
        <w:ind w:left="980" w:right="0" w:firstLine="0"/>
        <w:jc w:val="both"/>
      </w:pPr>
      <w:r>
        <w:rPr>
          <w:color w:val="000000"/>
          <w:spacing w:val="0"/>
          <w:w w:val="100"/>
          <w:position w:val="0"/>
        </w:rPr>
        <w:t>本公司以主要市场的价格计量相关资产或负债的公允价值，不存在主要市场的，本公司以最有利市场的价格计量相关资产或 负债的公允价值。本公司采用市场参与者在对该资产或负债定价时为实现其经济利益最大化所使用的假设。</w:t>
      </w:r>
    </w:p>
    <w:p>
      <w:pPr>
        <w:pStyle w:val="Style32"/>
        <w:keepNext w:val="0"/>
        <w:keepLines w:val="0"/>
        <w:widowControl w:val="0"/>
        <w:shd w:val="clear" w:color="auto" w:fill="auto"/>
        <w:bidi w:val="0"/>
        <w:spacing w:before="0" w:after="0" w:line="307" w:lineRule="exact"/>
        <w:ind w:left="980" w:right="0" w:firstLine="0"/>
        <w:jc w:val="both"/>
      </w:pPr>
      <w:r>
        <w:rPr>
          <w:color w:val="000000"/>
          <w:spacing w:val="0"/>
          <w:w w:val="100"/>
          <w:position w:val="0"/>
        </w:rPr>
        <w:t>主要市场，是指相关资产或负债交易量最大和交易活跃程度最高的市场；最有利市场，是指在考虑交易费用和运输费用后， 能够以最高金额出售相关资产或者以最低金额转移相关负债的市场。</w:t>
      </w:r>
    </w:p>
    <w:p>
      <w:pPr>
        <w:pStyle w:val="Style32"/>
        <w:keepNext w:val="0"/>
        <w:keepLines w:val="0"/>
        <w:widowControl w:val="0"/>
        <w:shd w:val="clear" w:color="auto" w:fill="auto"/>
        <w:bidi w:val="0"/>
        <w:spacing w:before="0" w:after="0" w:line="322" w:lineRule="exact"/>
        <w:ind w:left="980" w:right="0" w:firstLine="0"/>
        <w:jc w:val="both"/>
      </w:pPr>
      <w:r>
        <w:rPr>
          <w:color w:val="000000"/>
          <w:spacing w:val="0"/>
          <w:w w:val="100"/>
          <w:position w:val="0"/>
        </w:rPr>
        <w:t>存在活跃市场的金融资产或金融负债，本公司采用活跃市场中的报价确定其公允价值。金融工具不存在活跃市场的，本公司 采用估值技术确定其公允价值。</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以公允价值计量非金融资产的，考虑市场参与者将该资产用于最佳用途产生经济利益的能力，或者将该资产出售给能够用于 最佳用途的其他市场参与者产生经济利益的能力。</w:t>
      </w:r>
    </w:p>
    <w:p>
      <w:pPr>
        <w:pStyle w:val="Style32"/>
        <w:keepNext w:val="0"/>
        <w:keepLines w:val="0"/>
        <w:widowControl w:val="0"/>
        <w:numPr>
          <w:ilvl w:val="0"/>
          <w:numId w:val="77"/>
        </w:numPr>
        <w:shd w:val="clear" w:color="auto" w:fill="auto"/>
        <w:bidi w:val="0"/>
        <w:spacing w:before="0" w:after="0" w:line="314" w:lineRule="exact"/>
        <w:ind w:left="980" w:right="0" w:firstLine="0"/>
        <w:jc w:val="left"/>
      </w:pPr>
      <w:bookmarkStart w:id="909" w:name="bookmark909"/>
      <w:bookmarkEnd w:id="909"/>
      <w:r>
        <w:rPr>
          <w:color w:val="000000"/>
          <w:spacing w:val="0"/>
          <w:w w:val="100"/>
          <w:position w:val="0"/>
        </w:rPr>
        <w:t>估值技术</w:t>
      </w:r>
    </w:p>
    <w:p>
      <w:pPr>
        <w:pStyle w:val="Style32"/>
        <w:keepNext w:val="0"/>
        <w:keepLines w:val="0"/>
        <w:widowControl w:val="0"/>
        <w:shd w:val="clear" w:color="auto" w:fill="auto"/>
        <w:bidi w:val="0"/>
        <w:spacing w:before="0" w:after="0" w:line="314" w:lineRule="exact"/>
        <w:ind w:left="980" w:right="0" w:firstLine="0"/>
        <w:jc w:val="left"/>
      </w:pPr>
      <w:r>
        <w:rPr>
          <w:color w:val="000000"/>
          <w:spacing w:val="0"/>
          <w:w w:val="100"/>
          <w:position w:val="0"/>
        </w:rPr>
        <w:t>本公司采用在当期情况下适用并且有足够可利用数据和其他信息支持的估值技术，使用的估值技术主要包括市场法、收益法 和成本法。本公司使用与其中一种或多种估值技术相一致的方法计量公允价值，使用多种估值技术计量公允价值的，考虑各 估值结果的合理性，选取在当期情况下最能代表公允价值的金额作为公允价值。</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本公司在估值技术的应用中，优先使用相关可观察输入值，只有在相关可观察输入值无法取得或取得不切实可行的情况下， 才使用不可观察输入值。可观察输入值，是指能够从市场数据中取得的输入值。该输入值反映了市场参与者在对相关资产或 负债定价时所使用的假设。不可观察输入值，是指不能从市场数据中取得的输入值。该输入值根据可获得的市场参与者在对 相关资产或负债定价时所使用假设的最佳信息取得。</w:t>
      </w:r>
    </w:p>
    <w:p>
      <w:pPr>
        <w:pStyle w:val="Style32"/>
        <w:keepNext w:val="0"/>
        <w:keepLines w:val="0"/>
        <w:widowControl w:val="0"/>
        <w:numPr>
          <w:ilvl w:val="0"/>
          <w:numId w:val="77"/>
        </w:numPr>
        <w:shd w:val="clear" w:color="auto" w:fill="auto"/>
        <w:bidi w:val="0"/>
        <w:spacing w:before="0" w:after="0" w:line="312" w:lineRule="exact"/>
        <w:ind w:left="0" w:right="0" w:firstLine="980"/>
        <w:jc w:val="both"/>
      </w:pPr>
      <w:bookmarkStart w:id="910" w:name="bookmark910"/>
      <w:bookmarkEnd w:id="910"/>
      <w:r>
        <w:rPr>
          <w:color w:val="000000"/>
          <w:spacing w:val="0"/>
          <w:w w:val="100"/>
          <w:position w:val="0"/>
        </w:rPr>
        <w:t>公允价值层次</w:t>
      </w:r>
    </w:p>
    <w:p>
      <w:pPr>
        <w:framePr w:w="768" w:h="437" w:hSpace="1296" w:wrap="notBeside" w:vAnchor="text" w:hAnchor="text" w:x="1014" w:y="1"/>
        <w:widowControl w:val="0"/>
        <w:rPr>
          <w:sz w:val="2"/>
          <w:szCs w:val="2"/>
        </w:rPr>
      </w:pPr>
      <w:r>
        <w:drawing>
          <wp:inline>
            <wp:extent cx="487680" cy="280670"/>
            <wp:docPr id="734" name="Picutre 734"/>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301"/>
                    <a:stretch/>
                  </pic:blipFill>
                  <pic:spPr>
                    <a:xfrm>
                      <a:ext cx="487680" cy="280670"/>
                    </a:xfrm>
                    <a:prstGeom prst="rect"/>
                  </pic:spPr>
                </pic:pic>
              </a:graphicData>
            </a:graphic>
          </wp:inline>
        </w:drawing>
      </w:r>
    </w:p>
    <w:p>
      <w:pPr>
        <w:widowControl w:val="0"/>
        <w:spacing w:line="1" w:lineRule="exact"/>
      </w:pPr>
      <w:r>
        <mc:AlternateContent>
          <mc:Choice Requires="wps">
            <w:drawing>
              <wp:anchor distT="0" distB="0" distL="643255" distR="5132705" simplePos="0" relativeHeight="125829574" behindDoc="0" locked="0" layoutInCell="1" allowOverlap="1">
                <wp:simplePos x="0" y="0"/>
                <wp:positionH relativeFrom="column">
                  <wp:posOffset>1130935</wp:posOffset>
                </wp:positionH>
                <wp:positionV relativeFrom="paragraph">
                  <wp:posOffset>6350</wp:posOffset>
                </wp:positionV>
                <wp:extent cx="822960" cy="250190"/>
                <wp:wrapTopAndBottom/>
                <wp:docPr id="735" name="Shape 735"/>
                <a:graphic xmlns:a="http://schemas.openxmlformats.org/drawingml/2006/main">
                  <a:graphicData uri="http://schemas.microsoft.com/office/word/2010/wordprocessingShape">
                    <wps:wsp>
                      <wps:cNvSpPr txBox="1"/>
                      <wps:spPr>
                        <a:xfrm>
                          <a:ext cx="822960"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761" type="#_x0000_t202" style="position:absolute;margin-left:89.049999999999997pt;margin-top:0.5pt;width:64.799999999999997pt;height:19.699999999999999pt;z-index:-125829179;mso-wrap-distance-left:50.649999999999999pt;mso-wrap-distance-right:404.15000000000003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32"/>
        <w:keepNext w:val="0"/>
        <w:keepLines w:val="0"/>
        <w:widowControl w:val="0"/>
        <w:shd w:val="clear" w:color="auto" w:fill="auto"/>
        <w:bidi w:val="0"/>
        <w:spacing w:before="0" w:after="100" w:line="240" w:lineRule="auto"/>
        <w:ind w:left="0" w:right="0" w:firstLine="980"/>
        <w:jc w:val="left"/>
      </w:pPr>
      <w:r>
        <w:rPr>
          <w:color w:val="000000"/>
          <w:spacing w:val="0"/>
          <w:w w:val="100"/>
          <w:position w:val="0"/>
        </w:rPr>
        <w:t>本公司将公允价值计量所使用的输入值划分为三个层次，并首先使用第一层次输入值，其次使用第二层次输入值，最后使用</w:t>
      </w:r>
    </w:p>
    <w:p>
      <w:pPr>
        <w:pStyle w:val="Style32"/>
        <w:keepNext w:val="0"/>
        <w:keepLines w:val="0"/>
        <w:widowControl w:val="0"/>
        <w:shd w:val="clear" w:color="auto" w:fill="auto"/>
        <w:bidi w:val="0"/>
        <w:spacing w:before="0" w:after="100" w:line="240" w:lineRule="auto"/>
        <w:ind w:left="0" w:right="0" w:firstLine="980"/>
        <w:jc w:val="left"/>
      </w:pPr>
      <w:r>
        <w:rPr>
          <w:color w:val="000000"/>
          <w:spacing w:val="0"/>
          <w:w w:val="100"/>
          <w:position w:val="0"/>
        </w:rPr>
        <w:t>第三层次输入值。第一层次输入值是在计量日能够取得的相同资产或负债在活跃市场上未经调整的报价。第二层次输入值是</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除第一层次输入值外相关资产或负债直接或间接可观察的输入值。第三层次输入值是相关资产或负债的不可观察输入值。</w:t>
      </w:r>
    </w:p>
    <w:p>
      <w:pPr>
        <w:pStyle w:val="Style55"/>
        <w:keepNext/>
        <w:keepLines/>
        <w:widowControl w:val="0"/>
        <w:shd w:val="clear" w:color="auto" w:fill="auto"/>
        <w:tabs>
          <w:tab w:pos="1454" w:val="left"/>
        </w:tabs>
        <w:bidi w:val="0"/>
        <w:spacing w:before="0" w:after="380" w:line="240" w:lineRule="auto"/>
        <w:ind w:left="0" w:right="0" w:firstLine="980"/>
        <w:jc w:val="left"/>
      </w:pPr>
      <w:bookmarkStart w:id="911" w:name="bookmark911"/>
      <w:bookmarkStart w:id="912" w:name="bookmark912"/>
      <w:bookmarkStart w:id="913" w:name="bookmark913"/>
      <w:bookmarkStart w:id="914" w:name="bookmark914"/>
      <w:r>
        <w:rPr>
          <w:rFonts w:ascii="Times New Roman" w:eastAsia="Times New Roman" w:hAnsi="Times New Roman" w:cs="Times New Roman"/>
          <w:color w:val="000000"/>
          <w:spacing w:val="0"/>
          <w:w w:val="100"/>
          <w:position w:val="0"/>
        </w:rPr>
        <w:t>1</w:t>
      </w:r>
      <w:bookmarkEnd w:id="913"/>
      <w:r>
        <w:rPr>
          <w:rFonts w:ascii="Times New Roman" w:eastAsia="Times New Roman" w:hAnsi="Times New Roman" w:cs="Times New Roman"/>
          <w:color w:val="000000"/>
          <w:spacing w:val="0"/>
          <w:w w:val="100"/>
          <w:position w:val="0"/>
        </w:rPr>
        <w:t>1</w:t>
      </w:r>
      <w:r>
        <w:rPr>
          <w:color w:val="000000"/>
          <w:spacing w:val="0"/>
          <w:w w:val="100"/>
          <w:position w:val="0"/>
        </w:rPr>
        <w:t>、</w:t>
        <w:tab/>
        <w:t>应收票据</w:t>
      </w:r>
      <w:bookmarkEnd w:id="911"/>
      <w:bookmarkEnd w:id="912"/>
      <w:bookmarkEnd w:id="914"/>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参见第十二节、五、</w:t>
      </w:r>
      <w:r>
        <w:rPr>
          <w:rFonts w:ascii="Times New Roman" w:eastAsia="Times New Roman" w:hAnsi="Times New Roman" w:cs="Times New Roman"/>
          <w:color w:val="000000"/>
          <w:spacing w:val="0"/>
          <w:w w:val="100"/>
          <w:position w:val="0"/>
        </w:rPr>
        <w:t>10</w:t>
      </w:r>
      <w:r>
        <w:rPr>
          <w:color w:val="000000"/>
          <w:spacing w:val="0"/>
          <w:w w:val="100"/>
          <w:position w:val="0"/>
        </w:rPr>
        <w:t>、金融工具。</w:t>
      </w:r>
    </w:p>
    <w:p>
      <w:pPr>
        <w:pStyle w:val="Style55"/>
        <w:keepNext/>
        <w:keepLines/>
        <w:widowControl w:val="0"/>
        <w:shd w:val="clear" w:color="auto" w:fill="auto"/>
        <w:tabs>
          <w:tab w:pos="1454" w:val="left"/>
        </w:tabs>
        <w:bidi w:val="0"/>
        <w:spacing w:before="0" w:after="380" w:line="240" w:lineRule="auto"/>
        <w:ind w:left="0" w:right="0" w:firstLine="980"/>
        <w:jc w:val="both"/>
      </w:pPr>
      <w:bookmarkStart w:id="915" w:name="bookmark915"/>
      <w:bookmarkStart w:id="916" w:name="bookmark916"/>
      <w:bookmarkStart w:id="917" w:name="bookmark917"/>
      <w:bookmarkStart w:id="918" w:name="bookmark918"/>
      <w:r>
        <w:rPr>
          <w:rFonts w:ascii="Times New Roman" w:eastAsia="Times New Roman" w:hAnsi="Times New Roman" w:cs="Times New Roman"/>
          <w:color w:val="000000"/>
          <w:spacing w:val="0"/>
          <w:w w:val="100"/>
          <w:position w:val="0"/>
        </w:rPr>
        <w:t>1</w:t>
      </w:r>
      <w:bookmarkEnd w:id="917"/>
      <w:r>
        <w:rPr>
          <w:rFonts w:ascii="Times New Roman" w:eastAsia="Times New Roman" w:hAnsi="Times New Roman" w:cs="Times New Roman"/>
          <w:color w:val="000000"/>
          <w:spacing w:val="0"/>
          <w:w w:val="100"/>
          <w:position w:val="0"/>
        </w:rPr>
        <w:t>2</w:t>
      </w:r>
      <w:r>
        <w:rPr>
          <w:color w:val="000000"/>
          <w:spacing w:val="0"/>
          <w:w w:val="100"/>
          <w:position w:val="0"/>
        </w:rPr>
        <w:t>、</w:t>
        <w:tab/>
        <w:t>应收账款</w:t>
      </w:r>
      <w:bookmarkEnd w:id="915"/>
      <w:bookmarkEnd w:id="916"/>
      <w:bookmarkEnd w:id="918"/>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参见第十二节、五、</w:t>
      </w:r>
      <w:r>
        <w:rPr>
          <w:rFonts w:ascii="Times New Roman" w:eastAsia="Times New Roman" w:hAnsi="Times New Roman" w:cs="Times New Roman"/>
          <w:color w:val="000000"/>
          <w:spacing w:val="0"/>
          <w:w w:val="100"/>
          <w:position w:val="0"/>
        </w:rPr>
        <w:t>10</w:t>
      </w:r>
      <w:r>
        <w:rPr>
          <w:color w:val="000000"/>
          <w:spacing w:val="0"/>
          <w:w w:val="100"/>
          <w:position w:val="0"/>
        </w:rPr>
        <w:t>、金融工具。</w:t>
      </w:r>
    </w:p>
    <w:p>
      <w:pPr>
        <w:pStyle w:val="Style55"/>
        <w:keepNext/>
        <w:keepLines/>
        <w:widowControl w:val="0"/>
        <w:shd w:val="clear" w:color="auto" w:fill="auto"/>
        <w:tabs>
          <w:tab w:pos="1454" w:val="left"/>
        </w:tabs>
        <w:bidi w:val="0"/>
        <w:spacing w:before="0" w:after="380" w:line="240" w:lineRule="auto"/>
        <w:ind w:left="0" w:right="0" w:firstLine="980"/>
        <w:jc w:val="left"/>
      </w:pPr>
      <w:bookmarkStart w:id="919" w:name="bookmark919"/>
      <w:bookmarkStart w:id="920" w:name="bookmark920"/>
      <w:bookmarkStart w:id="921" w:name="bookmark921"/>
      <w:bookmarkStart w:id="922" w:name="bookmark922"/>
      <w:r>
        <w:rPr>
          <w:rFonts w:ascii="Times New Roman" w:eastAsia="Times New Roman" w:hAnsi="Times New Roman" w:cs="Times New Roman"/>
          <w:color w:val="000000"/>
          <w:spacing w:val="0"/>
          <w:w w:val="100"/>
          <w:position w:val="0"/>
        </w:rPr>
        <w:t>1</w:t>
      </w:r>
      <w:bookmarkEnd w:id="921"/>
      <w:r>
        <w:rPr>
          <w:rFonts w:ascii="Times New Roman" w:eastAsia="Times New Roman" w:hAnsi="Times New Roman" w:cs="Times New Roman"/>
          <w:color w:val="000000"/>
          <w:spacing w:val="0"/>
          <w:w w:val="100"/>
          <w:position w:val="0"/>
        </w:rPr>
        <w:t>3</w:t>
      </w:r>
      <w:r>
        <w:rPr>
          <w:color w:val="000000"/>
          <w:spacing w:val="0"/>
          <w:w w:val="100"/>
          <w:position w:val="0"/>
        </w:rPr>
        <w:t>、</w:t>
        <w:tab/>
        <w:t>应收款项融资</w:t>
      </w:r>
      <w:bookmarkEnd w:id="919"/>
      <w:bookmarkEnd w:id="920"/>
      <w:bookmarkEnd w:id="922"/>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参见第十二节、五、</w:t>
      </w:r>
      <w:r>
        <w:rPr>
          <w:rFonts w:ascii="Times New Roman" w:eastAsia="Times New Roman" w:hAnsi="Times New Roman" w:cs="Times New Roman"/>
          <w:color w:val="000000"/>
          <w:spacing w:val="0"/>
          <w:w w:val="100"/>
          <w:position w:val="0"/>
        </w:rPr>
        <w:t>10</w:t>
      </w:r>
      <w:r>
        <w:rPr>
          <w:color w:val="000000"/>
          <w:spacing w:val="0"/>
          <w:w w:val="100"/>
          <w:position w:val="0"/>
        </w:rPr>
        <w:t>、金融工具。</w:t>
      </w:r>
    </w:p>
    <w:p>
      <w:pPr>
        <w:pStyle w:val="Style55"/>
        <w:keepNext/>
        <w:keepLines/>
        <w:widowControl w:val="0"/>
        <w:shd w:val="clear" w:color="auto" w:fill="auto"/>
        <w:tabs>
          <w:tab w:pos="1454" w:val="left"/>
        </w:tabs>
        <w:bidi w:val="0"/>
        <w:spacing w:before="0" w:after="380" w:line="240" w:lineRule="auto"/>
        <w:ind w:left="0" w:right="0" w:firstLine="980"/>
        <w:jc w:val="left"/>
      </w:pPr>
      <w:bookmarkStart w:id="923" w:name="bookmark923"/>
      <w:bookmarkStart w:id="924" w:name="bookmark924"/>
      <w:bookmarkStart w:id="925" w:name="bookmark925"/>
      <w:bookmarkStart w:id="926" w:name="bookmark926"/>
      <w:r>
        <w:rPr>
          <w:rFonts w:ascii="Times New Roman" w:eastAsia="Times New Roman" w:hAnsi="Times New Roman" w:cs="Times New Roman"/>
          <w:color w:val="000000"/>
          <w:spacing w:val="0"/>
          <w:w w:val="100"/>
          <w:position w:val="0"/>
        </w:rPr>
        <w:t>1</w:t>
      </w:r>
      <w:bookmarkEnd w:id="925"/>
      <w:r>
        <w:rPr>
          <w:rFonts w:ascii="Times New Roman" w:eastAsia="Times New Roman" w:hAnsi="Times New Roman" w:cs="Times New Roman"/>
          <w:color w:val="000000"/>
          <w:spacing w:val="0"/>
          <w:w w:val="100"/>
          <w:position w:val="0"/>
        </w:rPr>
        <w:t>4</w:t>
      </w:r>
      <w:r>
        <w:rPr>
          <w:color w:val="000000"/>
          <w:spacing w:val="0"/>
          <w:w w:val="100"/>
          <w:position w:val="0"/>
        </w:rPr>
        <w:t>、</w:t>
        <w:tab/>
        <w:t>其他应收款</w:t>
      </w:r>
      <w:bookmarkEnd w:id="923"/>
      <w:bookmarkEnd w:id="924"/>
      <w:bookmarkEnd w:id="926"/>
    </w:p>
    <w:p>
      <w:pPr>
        <w:pStyle w:val="Style32"/>
        <w:keepNext w:val="0"/>
        <w:keepLines w:val="0"/>
        <w:widowControl w:val="0"/>
        <w:shd w:val="clear" w:color="auto" w:fill="auto"/>
        <w:bidi w:val="0"/>
        <w:spacing w:before="0" w:after="100" w:line="240" w:lineRule="auto"/>
        <w:ind w:left="0" w:right="0" w:firstLine="980"/>
        <w:jc w:val="left"/>
      </w:pPr>
      <w:r>
        <w:rPr>
          <w:color w:val="000000"/>
          <w:spacing w:val="0"/>
          <w:w w:val="100"/>
          <w:position w:val="0"/>
        </w:rPr>
        <w:t>其他应收款的预期信用损失的确定方法及会计处理方法</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参见第十二节、五、</w:t>
      </w:r>
      <w:r>
        <w:rPr>
          <w:rFonts w:ascii="Times New Roman" w:eastAsia="Times New Roman" w:hAnsi="Times New Roman" w:cs="Times New Roman"/>
          <w:color w:val="000000"/>
          <w:spacing w:val="0"/>
          <w:w w:val="100"/>
          <w:position w:val="0"/>
        </w:rPr>
        <w:t>10</w:t>
      </w:r>
      <w:r>
        <w:rPr>
          <w:color w:val="000000"/>
          <w:spacing w:val="0"/>
          <w:w w:val="100"/>
          <w:position w:val="0"/>
        </w:rPr>
        <w:t>、金融工具。</w:t>
      </w:r>
    </w:p>
    <w:p>
      <w:pPr>
        <w:pStyle w:val="Style55"/>
        <w:keepNext/>
        <w:keepLines/>
        <w:widowControl w:val="0"/>
        <w:shd w:val="clear" w:color="auto" w:fill="auto"/>
        <w:bidi w:val="0"/>
        <w:spacing w:before="0" w:after="260" w:line="240" w:lineRule="auto"/>
        <w:ind w:left="0" w:right="0" w:firstLine="980"/>
        <w:jc w:val="left"/>
      </w:pPr>
      <w:bookmarkStart w:id="927" w:name="bookmark927"/>
      <w:bookmarkStart w:id="928" w:name="bookmark928"/>
      <w:bookmarkStart w:id="929" w:name="bookmark929"/>
      <w:bookmarkStart w:id="930" w:name="bookmark930"/>
      <w:r>
        <w:rPr>
          <w:rFonts w:ascii="Times New Roman" w:eastAsia="Times New Roman" w:hAnsi="Times New Roman" w:cs="Times New Roman"/>
          <w:color w:val="000000"/>
          <w:spacing w:val="0"/>
          <w:w w:val="100"/>
          <w:position w:val="0"/>
        </w:rPr>
        <w:t>1</w:t>
      </w:r>
      <w:bookmarkEnd w:id="929"/>
      <w:r>
        <w:rPr>
          <w:rFonts w:ascii="Times New Roman" w:eastAsia="Times New Roman" w:hAnsi="Times New Roman" w:cs="Times New Roman"/>
          <w:color w:val="000000"/>
          <w:spacing w:val="0"/>
          <w:w w:val="100"/>
          <w:position w:val="0"/>
        </w:rPr>
        <w:t>5</w:t>
      </w:r>
      <w:r>
        <w:rPr>
          <w:color w:val="000000"/>
          <w:spacing w:val="0"/>
          <w:w w:val="100"/>
          <w:position w:val="0"/>
        </w:rPr>
        <w:t>、存货</w:t>
      </w:r>
      <w:bookmarkEnd w:id="927"/>
      <w:bookmarkEnd w:id="928"/>
      <w:bookmarkEnd w:id="930"/>
    </w:p>
    <w:p>
      <w:pPr>
        <w:pStyle w:val="Style32"/>
        <w:keepNext w:val="0"/>
        <w:keepLines w:val="0"/>
        <w:widowControl w:val="0"/>
        <w:numPr>
          <w:ilvl w:val="0"/>
          <w:numId w:val="79"/>
        </w:numPr>
        <w:shd w:val="clear" w:color="auto" w:fill="auto"/>
        <w:tabs>
          <w:tab w:pos="1425" w:val="left"/>
        </w:tabs>
        <w:bidi w:val="0"/>
        <w:spacing w:before="0" w:after="0" w:line="314" w:lineRule="exact"/>
        <w:ind w:left="0" w:right="0" w:firstLine="980"/>
        <w:jc w:val="left"/>
      </w:pPr>
      <w:bookmarkStart w:id="931" w:name="bookmark931"/>
      <w:bookmarkEnd w:id="931"/>
      <w:r>
        <w:rPr>
          <w:color w:val="000000"/>
          <w:spacing w:val="0"/>
          <w:w w:val="100"/>
          <w:position w:val="0"/>
        </w:rPr>
        <w:t>存货的分类</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存货是指本公司在日常活动中持有以备出售的产成品或商品、处在生产过程中的在产品、在生产过程或提供劳务过程中耗用 的材料和物料等，包括原材料、开发成本、库存商品、周转材料等。</w:t>
      </w:r>
    </w:p>
    <w:p>
      <w:pPr>
        <w:pStyle w:val="Style32"/>
        <w:keepNext w:val="0"/>
        <w:keepLines w:val="0"/>
        <w:widowControl w:val="0"/>
        <w:numPr>
          <w:ilvl w:val="0"/>
          <w:numId w:val="79"/>
        </w:numPr>
        <w:shd w:val="clear" w:color="auto" w:fill="auto"/>
        <w:tabs>
          <w:tab w:pos="1425" w:val="left"/>
        </w:tabs>
        <w:bidi w:val="0"/>
        <w:spacing w:before="0" w:after="0" w:line="314" w:lineRule="exact"/>
        <w:ind w:left="980" w:right="0" w:firstLine="0"/>
        <w:jc w:val="left"/>
      </w:pPr>
      <w:bookmarkStart w:id="932" w:name="bookmark932"/>
      <w:bookmarkEnd w:id="932"/>
      <w:r>
        <w:rPr>
          <w:color w:val="000000"/>
          <w:spacing w:val="0"/>
          <w:w w:val="100"/>
          <w:position w:val="0"/>
        </w:rPr>
        <w:t>发出存货的计价方法</w:t>
      </w:r>
    </w:p>
    <w:p>
      <w:pPr>
        <w:pStyle w:val="Style32"/>
        <w:keepNext w:val="0"/>
        <w:keepLines w:val="0"/>
        <w:widowControl w:val="0"/>
        <w:shd w:val="clear" w:color="auto" w:fill="auto"/>
        <w:bidi w:val="0"/>
        <w:spacing w:before="0" w:after="0" w:line="314" w:lineRule="exact"/>
        <w:ind w:left="0" w:right="0" w:firstLine="980"/>
        <w:jc w:val="left"/>
      </w:pPr>
      <w:r>
        <w:rPr>
          <w:color w:val="000000"/>
          <w:spacing w:val="0"/>
          <w:w w:val="100"/>
          <w:position w:val="0"/>
        </w:rPr>
        <w:t>本公司存货发出时采用个别计价法和移动加权平均法计价。</w:t>
      </w:r>
    </w:p>
    <w:p>
      <w:pPr>
        <w:pStyle w:val="Style32"/>
        <w:keepNext w:val="0"/>
        <w:keepLines w:val="0"/>
        <w:widowControl w:val="0"/>
        <w:numPr>
          <w:ilvl w:val="0"/>
          <w:numId w:val="79"/>
        </w:numPr>
        <w:shd w:val="clear" w:color="auto" w:fill="auto"/>
        <w:tabs>
          <w:tab w:pos="1425" w:val="left"/>
        </w:tabs>
        <w:bidi w:val="0"/>
        <w:spacing w:before="0" w:after="0" w:line="314" w:lineRule="exact"/>
        <w:ind w:left="0" w:right="0" w:firstLine="980"/>
        <w:jc w:val="left"/>
      </w:pPr>
      <w:bookmarkStart w:id="933" w:name="bookmark933"/>
      <w:bookmarkEnd w:id="933"/>
      <w:r>
        <w:rPr>
          <w:color w:val="000000"/>
          <w:spacing w:val="0"/>
          <w:w w:val="100"/>
          <w:position w:val="0"/>
        </w:rPr>
        <w:t>存货的盘存制度</w:t>
      </w:r>
    </w:p>
    <w:p>
      <w:pPr>
        <w:pStyle w:val="Style32"/>
        <w:keepNext w:val="0"/>
        <w:keepLines w:val="0"/>
        <w:widowControl w:val="0"/>
        <w:shd w:val="clear" w:color="auto" w:fill="auto"/>
        <w:bidi w:val="0"/>
        <w:spacing w:before="0" w:after="0" w:line="314" w:lineRule="exact"/>
        <w:ind w:left="0" w:right="0" w:firstLine="980"/>
        <w:jc w:val="left"/>
      </w:pPr>
      <w:r>
        <w:rPr>
          <w:color w:val="000000"/>
          <w:spacing w:val="0"/>
          <w:w w:val="100"/>
          <w:position w:val="0"/>
        </w:rPr>
        <w:t>本公司存货采用永续盘存制，每年至少盘点一次，盘盈及盘亏金额计入当年度损益。</w:t>
      </w:r>
    </w:p>
    <w:p>
      <w:pPr>
        <w:pStyle w:val="Style32"/>
        <w:keepNext w:val="0"/>
        <w:keepLines w:val="0"/>
        <w:widowControl w:val="0"/>
        <w:numPr>
          <w:ilvl w:val="0"/>
          <w:numId w:val="79"/>
        </w:numPr>
        <w:shd w:val="clear" w:color="auto" w:fill="auto"/>
        <w:tabs>
          <w:tab w:pos="1425" w:val="left"/>
        </w:tabs>
        <w:bidi w:val="0"/>
        <w:spacing w:before="0" w:after="0" w:line="314" w:lineRule="exact"/>
        <w:ind w:left="980" w:right="0" w:firstLine="0"/>
        <w:jc w:val="both"/>
      </w:pPr>
      <w:bookmarkStart w:id="934" w:name="bookmark934"/>
      <w:bookmarkEnd w:id="934"/>
      <w:r>
        <w:rPr>
          <w:color w:val="000000"/>
          <w:spacing w:val="0"/>
          <w:w w:val="100"/>
          <w:position w:val="0"/>
        </w:rPr>
        <w:t>存货跌价准备的计提方法</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资产负债表日按成本与可变现净值孰低计量，存货成本高于其可变现净值的，计提存货跌价准备，计入当期损益。</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在确定存货的可变现净值时，以取得的可靠证据为基础，并且考虑持有存货的目的、资产负债表日后事项的影响等因素。</w:t>
      </w:r>
    </w:p>
    <w:p>
      <w:pPr>
        <w:pStyle w:val="Style32"/>
        <w:keepNext w:val="0"/>
        <w:keepLines w:val="0"/>
        <w:widowControl w:val="0"/>
        <w:numPr>
          <w:ilvl w:val="0"/>
          <w:numId w:val="81"/>
        </w:numPr>
        <w:shd w:val="clear" w:color="auto" w:fill="auto"/>
        <w:tabs>
          <w:tab w:pos="1353" w:val="left"/>
        </w:tabs>
        <w:bidi w:val="0"/>
        <w:spacing w:before="0" w:after="0" w:line="314" w:lineRule="exact"/>
        <w:ind w:left="980" w:right="0" w:firstLine="0"/>
        <w:jc w:val="both"/>
      </w:pPr>
      <w:bookmarkStart w:id="935" w:name="bookmark935"/>
      <w:bookmarkEnd w:id="935"/>
      <w:r>
        <w:rPr>
          <w:color w:val="000000"/>
          <w:spacing w:val="0"/>
          <w:w w:val="100"/>
          <w:position w:val="0"/>
        </w:rPr>
        <w:t>开发成本和用于出售的材料等直接用于出售的存货，在正常生产经营过程中，以该存货的估计售价减去估计的销售费用和 相关税费后的金额确定其可变现净值。为执行销售合同或者劳务合同而持有的存货，以合同价格作为其可变现净值的计量基 础；如果持有存货的数量多于销售合同订购数量，超出部分的存货可变现净值以一般销售价格为计量基础。用于出售的材料 等，以市场价格作为其可变现净值的计量基础。</w:t>
      </w:r>
    </w:p>
    <w:p>
      <w:pPr>
        <w:pStyle w:val="Style32"/>
        <w:keepNext w:val="0"/>
        <w:keepLines w:val="0"/>
        <w:widowControl w:val="0"/>
        <w:numPr>
          <w:ilvl w:val="0"/>
          <w:numId w:val="81"/>
        </w:numPr>
        <w:shd w:val="clear" w:color="auto" w:fill="auto"/>
        <w:tabs>
          <w:tab w:pos="1353" w:val="left"/>
        </w:tabs>
        <w:bidi w:val="0"/>
        <w:spacing w:before="0" w:after="0" w:line="314" w:lineRule="exact"/>
        <w:ind w:left="980" w:right="0" w:firstLine="0"/>
        <w:jc w:val="both"/>
      </w:pPr>
      <w:bookmarkStart w:id="936" w:name="bookmark936"/>
      <w:bookmarkEnd w:id="936"/>
      <w:r>
        <w:rPr>
          <w:color w:val="000000"/>
          <w:spacing w:val="0"/>
          <w:w w:val="100"/>
          <w:position w:val="0"/>
        </w:rPr>
        <w:t>需要经过加工的材料存货，在正常生产经营过程中，以所生产的开发产品的估计售价减去至完工时估计将要发生的成本、 估计的销售费用和相关税费后的金额确定其可变现净值。如果用其生产的开发产品的可变现净值高于成本，则该材料按成本 计量；如果材料价格的下降表明开发产品的可变现净值低于成本，则该材料按可变现净值计量，按其差额计提存货跌价准备。</w:t>
      </w:r>
    </w:p>
    <w:p>
      <w:pPr>
        <w:pStyle w:val="Style32"/>
        <w:keepNext w:val="0"/>
        <w:keepLines w:val="0"/>
        <w:widowControl w:val="0"/>
        <w:numPr>
          <w:ilvl w:val="0"/>
          <w:numId w:val="81"/>
        </w:numPr>
        <w:shd w:val="clear" w:color="auto" w:fill="auto"/>
        <w:tabs>
          <w:tab w:pos="1353" w:val="left"/>
        </w:tabs>
        <w:bidi w:val="0"/>
        <w:spacing w:before="0" w:after="0" w:line="314" w:lineRule="exact"/>
        <w:ind w:left="980" w:right="0" w:firstLine="0"/>
        <w:jc w:val="both"/>
      </w:pPr>
      <w:bookmarkStart w:id="937" w:name="bookmark937"/>
      <w:bookmarkEnd w:id="937"/>
      <w:r>
        <w:rPr>
          <w:color w:val="000000"/>
          <w:spacing w:val="0"/>
          <w:w w:val="100"/>
          <w:position w:val="0"/>
        </w:rPr>
        <w:t>存货跌价准备一般按单个存货项目计提；对于数量繁多、单价较低的存货，按存货类别计提。</w:t>
      </w:r>
    </w:p>
    <w:p>
      <w:pPr>
        <w:pStyle w:val="Style32"/>
        <w:keepNext w:val="0"/>
        <w:keepLines w:val="0"/>
        <w:widowControl w:val="0"/>
        <w:numPr>
          <w:ilvl w:val="0"/>
          <w:numId w:val="81"/>
        </w:numPr>
        <w:shd w:val="clear" w:color="auto" w:fill="auto"/>
        <w:tabs>
          <w:tab w:pos="1353" w:val="left"/>
        </w:tabs>
        <w:bidi w:val="0"/>
        <w:spacing w:before="0" w:after="100" w:line="317" w:lineRule="exact"/>
        <w:ind w:left="980" w:right="0" w:firstLine="0"/>
        <w:jc w:val="both"/>
        <w:sectPr>
          <w:headerReference w:type="default" r:id="rId303"/>
          <w:footerReference w:type="default" r:id="rId304"/>
          <w:headerReference w:type="even" r:id="rId305"/>
          <w:footerReference w:type="even" r:id="rId306"/>
          <w:footnotePr>
            <w:pos w:val="pageBottom"/>
            <w:numFmt w:val="decimal"/>
            <w:numRestart w:val="continuous"/>
          </w:footnotePr>
          <w:pgSz w:w="11900" w:h="16840"/>
          <w:pgMar w:top="1114" w:right="597" w:bottom="1561" w:left="142" w:header="0" w:footer="3" w:gutter="0"/>
          <w:cols w:space="720"/>
          <w:noEndnote/>
          <w:rtlGutter w:val="0"/>
          <w:docGrid w:linePitch="360"/>
        </w:sectPr>
      </w:pPr>
      <w:bookmarkStart w:id="938" w:name="bookmark938"/>
      <w:bookmarkEnd w:id="938"/>
      <w:r>
        <w:rPr>
          <w:color w:val="000000"/>
          <w:spacing w:val="0"/>
          <w:w w:val="100"/>
          <w:position w:val="0"/>
        </w:rPr>
        <w:t>资产负债表日如果以前减记存货价值的影响因素已经消失，则减记的金额予以恢复，并在原已计提的存货跌价准备的金额 内转回，转回的金额计入当期损益。</w:t>
      </w:r>
    </w:p>
    <w:p>
      <w:pPr>
        <w:pStyle w:val="Style2"/>
        <w:keepNext/>
        <w:keepLines/>
        <w:widowControl w:val="0"/>
        <w:shd w:val="clear" w:color="auto" w:fill="auto"/>
        <w:bidi w:val="0"/>
        <w:spacing w:before="0" w:after="0" w:line="240" w:lineRule="auto"/>
        <w:ind w:left="0" w:right="0" w:firstLine="980"/>
        <w:jc w:val="left"/>
      </w:pPr>
      <w:bookmarkStart w:id="939" w:name="bookmark939"/>
      <w:bookmarkStart w:id="940" w:name="bookmark940"/>
      <w:bookmarkStart w:id="941" w:name="bookmark941"/>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939"/>
      <w:bookmarkEnd w:id="940"/>
      <w:bookmarkEnd w:id="941"/>
    </w:p>
    <w:p>
      <w:pPr>
        <w:pStyle w:val="Style5"/>
        <w:keepNext w:val="0"/>
        <w:keepLines w:val="0"/>
        <w:widowControl w:val="0"/>
        <w:shd w:val="clear" w:color="auto" w:fill="auto"/>
        <w:bidi w:val="0"/>
        <w:spacing w:before="0" w:after="0" w:line="240" w:lineRule="auto"/>
        <w:ind w:left="1800" w:right="0" w:firstLine="0"/>
        <w:jc w:val="left"/>
      </w:pPr>
      <w:r>
        <w:rPr>
          <w:spacing w:val="0"/>
          <w:w w:val="100"/>
          <w:position w:val="0"/>
        </w:rPr>
        <w:t>国家高新技术企业</w:t>
      </w:r>
    </w:p>
    <w:p>
      <w:pPr>
        <w:pStyle w:val="Style32"/>
        <w:keepNext w:val="0"/>
        <w:keepLines w:val="0"/>
        <w:widowControl w:val="0"/>
        <w:shd w:val="clear" w:color="auto" w:fill="auto"/>
        <w:tabs>
          <w:tab w:pos="1726" w:val="left"/>
        </w:tabs>
        <w:bidi w:val="0"/>
        <w:spacing w:before="0" w:after="0" w:line="240" w:lineRule="auto"/>
        <w:ind w:left="1140"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32"/>
        <w:keepNext w:val="0"/>
        <w:keepLines w:val="0"/>
        <w:widowControl w:val="0"/>
        <w:shd w:val="clear" w:color="auto" w:fill="auto"/>
        <w:bidi w:val="0"/>
        <w:spacing w:before="0" w:after="140" w:line="240" w:lineRule="auto"/>
        <w:ind w:left="0" w:right="0" w:firstLine="980"/>
        <w:jc w:val="left"/>
      </w:pPr>
      <w:bookmarkStart w:id="942" w:name="bookmark942"/>
      <w:r>
        <w:rPr>
          <w:color w:val="000000"/>
          <w:spacing w:val="0"/>
          <w:w w:val="100"/>
          <w:position w:val="0"/>
        </w:rPr>
        <w:t>（</w:t>
      </w:r>
      <w:bookmarkEnd w:id="942"/>
      <w:r>
        <w:rPr>
          <w:rFonts w:ascii="Times New Roman" w:eastAsia="Times New Roman" w:hAnsi="Times New Roman" w:cs="Times New Roman"/>
          <w:color w:val="000000"/>
          <w:spacing w:val="0"/>
          <w:w w:val="100"/>
          <w:position w:val="0"/>
        </w:rPr>
        <w:t>5</w:t>
      </w:r>
      <w:r>
        <w:rPr>
          <w:color w:val="000000"/>
          <w:spacing w:val="0"/>
          <w:w w:val="100"/>
          <w:position w:val="0"/>
        </w:rPr>
        <w:t>）周转材料的摊销方法</w:t>
      </w:r>
    </w:p>
    <w:p>
      <w:pPr>
        <w:pStyle w:val="Style32"/>
        <w:keepNext w:val="0"/>
        <w:keepLines w:val="0"/>
        <w:widowControl w:val="0"/>
        <w:numPr>
          <w:ilvl w:val="0"/>
          <w:numId w:val="83"/>
        </w:numPr>
        <w:shd w:val="clear" w:color="auto" w:fill="auto"/>
        <w:tabs>
          <w:tab w:pos="1353" w:val="left"/>
        </w:tabs>
        <w:bidi w:val="0"/>
        <w:spacing w:before="0" w:after="140" w:line="240" w:lineRule="auto"/>
        <w:ind w:left="0" w:right="0" w:firstLine="980"/>
        <w:jc w:val="left"/>
      </w:pPr>
      <w:bookmarkStart w:id="943" w:name="bookmark943"/>
      <w:bookmarkEnd w:id="943"/>
      <w:r>
        <w:rPr>
          <w:color w:val="000000"/>
          <w:spacing w:val="0"/>
          <w:w w:val="100"/>
          <w:position w:val="0"/>
        </w:rPr>
        <w:t>低值易耗品摊销方法：在领用时采用一次转销法。</w:t>
      </w:r>
    </w:p>
    <w:p>
      <w:pPr>
        <w:pStyle w:val="Style32"/>
        <w:keepNext w:val="0"/>
        <w:keepLines w:val="0"/>
        <w:widowControl w:val="0"/>
        <w:numPr>
          <w:ilvl w:val="0"/>
          <w:numId w:val="83"/>
        </w:numPr>
        <w:shd w:val="clear" w:color="auto" w:fill="auto"/>
        <w:tabs>
          <w:tab w:pos="1353" w:val="left"/>
        </w:tabs>
        <w:bidi w:val="0"/>
        <w:spacing w:before="0" w:after="380" w:line="240" w:lineRule="auto"/>
        <w:ind w:left="0" w:right="0" w:firstLine="980"/>
        <w:jc w:val="left"/>
      </w:pPr>
      <w:bookmarkStart w:id="944" w:name="bookmark944"/>
      <w:bookmarkEnd w:id="944"/>
      <w:r>
        <w:rPr>
          <w:color w:val="000000"/>
          <w:spacing w:val="0"/>
          <w:w w:val="100"/>
          <w:position w:val="0"/>
        </w:rPr>
        <w:t>包装物的摊销方法：在领用时采用一次转销法。</w:t>
      </w:r>
    </w:p>
    <w:p>
      <w:pPr>
        <w:pStyle w:val="Style55"/>
        <w:keepNext/>
        <w:keepLines/>
        <w:widowControl w:val="0"/>
        <w:shd w:val="clear" w:color="auto" w:fill="auto"/>
        <w:bidi w:val="0"/>
        <w:spacing w:before="0" w:after="260" w:line="240" w:lineRule="auto"/>
        <w:ind w:left="980" w:right="0" w:firstLine="0"/>
        <w:jc w:val="both"/>
      </w:pPr>
      <w:bookmarkStart w:id="945" w:name="bookmark945"/>
      <w:bookmarkStart w:id="946" w:name="bookmark946"/>
      <w:bookmarkStart w:id="947" w:name="bookmark947"/>
      <w:bookmarkStart w:id="948" w:name="bookmark948"/>
      <w:r>
        <w:rPr>
          <w:rFonts w:ascii="Times New Roman" w:eastAsia="Times New Roman" w:hAnsi="Times New Roman" w:cs="Times New Roman"/>
          <w:color w:val="000000"/>
          <w:spacing w:val="0"/>
          <w:w w:val="100"/>
          <w:position w:val="0"/>
        </w:rPr>
        <w:t>1</w:t>
      </w:r>
      <w:bookmarkEnd w:id="947"/>
      <w:r>
        <w:rPr>
          <w:rFonts w:ascii="Times New Roman" w:eastAsia="Times New Roman" w:hAnsi="Times New Roman" w:cs="Times New Roman"/>
          <w:color w:val="000000"/>
          <w:spacing w:val="0"/>
          <w:w w:val="100"/>
          <w:position w:val="0"/>
        </w:rPr>
        <w:t>6</w:t>
      </w:r>
      <w:r>
        <w:rPr>
          <w:color w:val="000000"/>
          <w:spacing w:val="0"/>
          <w:w w:val="100"/>
          <w:position w:val="0"/>
        </w:rPr>
        <w:t>、合同资产</w:t>
      </w:r>
      <w:bookmarkEnd w:id="945"/>
      <w:bookmarkEnd w:id="946"/>
      <w:bookmarkEnd w:id="948"/>
    </w:p>
    <w:p>
      <w:pPr>
        <w:pStyle w:val="Style32"/>
        <w:keepNext w:val="0"/>
        <w:keepLines w:val="0"/>
        <w:widowControl w:val="0"/>
        <w:shd w:val="clear" w:color="auto" w:fill="auto"/>
        <w:bidi w:val="0"/>
        <w:spacing w:before="0" w:after="0" w:line="310" w:lineRule="exact"/>
        <w:ind w:left="980" w:right="0" w:firstLine="0"/>
        <w:jc w:val="both"/>
      </w:pPr>
      <w:r>
        <w:rPr>
          <w:color w:val="000000"/>
          <w:spacing w:val="0"/>
          <w:w w:val="100"/>
          <w:position w:val="0"/>
        </w:rPr>
        <w:t>自</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日起适用。</w:t>
      </w:r>
    </w:p>
    <w:p>
      <w:pPr>
        <w:pStyle w:val="Style32"/>
        <w:keepNext w:val="0"/>
        <w:keepLines w:val="0"/>
        <w:widowControl w:val="0"/>
        <w:shd w:val="clear" w:color="auto" w:fill="auto"/>
        <w:bidi w:val="0"/>
        <w:spacing w:before="0" w:after="380" w:line="310" w:lineRule="exact"/>
        <w:ind w:left="980" w:right="0" w:firstLine="0"/>
        <w:jc w:val="both"/>
      </w:pPr>
      <w:r>
        <w:rPr>
          <w:color w:val="000000"/>
          <w:spacing w:val="0"/>
          <w:w w:val="100"/>
          <w:position w:val="0"/>
        </w:rPr>
        <w:t>本公司根据履行履约义务与客户付款之间的关系在资产负债表中列示合同资产或合同负债。本公司已向客户转让商品或提供 服务而有权收取的对价（且该权利取决于时间流逝之外的其他因素）列示为合同资产。本公司已收或应收客户对价而应向客 户转让商品或提供服务的义务列示为合同负债。合同资产和合同负债在资产负债表中单独列示。同一合同下的合同资产和合 同负债以净额列示，净额为借方余额的，根据其流动性在“合同资产”或“其他非流动资产”项目中列示；净额为贷方余额 的，根据其流动性在“合同负债”或“其他非流动负债”项目中列示。不同合同下的合同资产和合同负债不能相互抵销。 本公司对合同资产的预期信用损失的确定方法及会计处理方法，详见本附注五、</w:t>
      </w:r>
      <w:r>
        <w:rPr>
          <w:color w:val="000000"/>
          <w:spacing w:val="0"/>
          <w:w w:val="100"/>
          <w:position w:val="0"/>
          <w:sz w:val="18"/>
          <w:szCs w:val="18"/>
        </w:rPr>
        <w:t>10</w:t>
      </w:r>
      <w:r>
        <w:rPr>
          <w:color w:val="000000"/>
          <w:spacing w:val="0"/>
          <w:w w:val="100"/>
          <w:position w:val="0"/>
        </w:rPr>
        <w:t>、金融工具。</w:t>
      </w:r>
    </w:p>
    <w:p>
      <w:pPr>
        <w:pStyle w:val="Style55"/>
        <w:keepNext/>
        <w:keepLines/>
        <w:widowControl w:val="0"/>
        <w:shd w:val="clear" w:color="auto" w:fill="auto"/>
        <w:tabs>
          <w:tab w:pos="1454" w:val="left"/>
        </w:tabs>
        <w:bidi w:val="0"/>
        <w:spacing w:before="0" w:after="260" w:line="240" w:lineRule="auto"/>
        <w:ind w:left="0" w:right="0" w:firstLine="980"/>
        <w:jc w:val="left"/>
      </w:pPr>
      <w:bookmarkStart w:id="949" w:name="bookmark949"/>
      <w:bookmarkStart w:id="950" w:name="bookmark950"/>
      <w:bookmarkStart w:id="951" w:name="bookmark951"/>
      <w:bookmarkStart w:id="952" w:name="bookmark952"/>
      <w:r>
        <w:rPr>
          <w:rFonts w:ascii="Times New Roman" w:eastAsia="Times New Roman" w:hAnsi="Times New Roman" w:cs="Times New Roman"/>
          <w:color w:val="000000"/>
          <w:spacing w:val="0"/>
          <w:w w:val="100"/>
          <w:position w:val="0"/>
        </w:rPr>
        <w:t>1</w:t>
      </w:r>
      <w:bookmarkEnd w:id="951"/>
      <w:r>
        <w:rPr>
          <w:rFonts w:ascii="Times New Roman" w:eastAsia="Times New Roman" w:hAnsi="Times New Roman" w:cs="Times New Roman"/>
          <w:color w:val="000000"/>
          <w:spacing w:val="0"/>
          <w:w w:val="100"/>
          <w:position w:val="0"/>
        </w:rPr>
        <w:t>7</w:t>
      </w:r>
      <w:r>
        <w:rPr>
          <w:color w:val="000000"/>
          <w:spacing w:val="0"/>
          <w:w w:val="100"/>
          <w:position w:val="0"/>
        </w:rPr>
        <w:t>、</w:t>
        <w:tab/>
        <w:t>合同成本</w:t>
      </w:r>
      <w:bookmarkEnd w:id="949"/>
      <w:bookmarkEnd w:id="950"/>
      <w:bookmarkEnd w:id="952"/>
    </w:p>
    <w:p>
      <w:pPr>
        <w:pStyle w:val="Style32"/>
        <w:keepNext w:val="0"/>
        <w:keepLines w:val="0"/>
        <w:widowControl w:val="0"/>
        <w:shd w:val="clear" w:color="auto" w:fill="auto"/>
        <w:bidi w:val="0"/>
        <w:spacing w:before="0" w:after="0" w:line="311" w:lineRule="exact"/>
        <w:ind w:left="0" w:right="0" w:firstLine="980"/>
        <w:jc w:val="left"/>
      </w:pPr>
      <w:r>
        <w:rPr>
          <w:color w:val="000000"/>
          <w:spacing w:val="0"/>
          <w:w w:val="100"/>
          <w:position w:val="0"/>
        </w:rPr>
        <w:t>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日起适用。</w:t>
      </w:r>
    </w:p>
    <w:p>
      <w:pPr>
        <w:pStyle w:val="Style32"/>
        <w:keepNext w:val="0"/>
        <w:keepLines w:val="0"/>
        <w:widowControl w:val="0"/>
        <w:shd w:val="clear" w:color="auto" w:fill="auto"/>
        <w:bidi w:val="0"/>
        <w:spacing w:before="0" w:after="0" w:line="311" w:lineRule="exact"/>
        <w:ind w:left="0" w:right="0" w:firstLine="980"/>
        <w:jc w:val="left"/>
      </w:pPr>
      <w:r>
        <w:rPr>
          <w:color w:val="000000"/>
          <w:spacing w:val="0"/>
          <w:w w:val="100"/>
          <w:position w:val="0"/>
        </w:rPr>
        <w:t>合同成本分为合同履约成本与合同取得成本。</w:t>
      </w:r>
    </w:p>
    <w:p>
      <w:pPr>
        <w:pStyle w:val="Style32"/>
        <w:keepNext w:val="0"/>
        <w:keepLines w:val="0"/>
        <w:widowControl w:val="0"/>
        <w:shd w:val="clear" w:color="auto" w:fill="auto"/>
        <w:bidi w:val="0"/>
        <w:spacing w:before="0" w:after="0" w:line="311" w:lineRule="exact"/>
        <w:ind w:left="0" w:right="0" w:firstLine="980"/>
        <w:jc w:val="left"/>
      </w:pPr>
      <w:r>
        <w:rPr>
          <w:color w:val="000000"/>
          <w:spacing w:val="0"/>
          <w:w w:val="100"/>
          <w:position w:val="0"/>
        </w:rPr>
        <w:t>本公司为履行合同而发生的成本，在同时满足下列条件时作为合同履约成本确认为一项资产：</w:t>
      </w:r>
    </w:p>
    <w:p>
      <w:pPr>
        <w:pStyle w:val="Style32"/>
        <w:keepNext w:val="0"/>
        <w:keepLines w:val="0"/>
        <w:widowControl w:val="0"/>
        <w:shd w:val="clear" w:color="auto" w:fill="auto"/>
        <w:tabs>
          <w:tab w:pos="1521" w:val="left"/>
        </w:tabs>
        <w:bidi w:val="0"/>
        <w:spacing w:before="0" w:after="0" w:line="311" w:lineRule="exact"/>
        <w:ind w:left="980" w:right="0" w:firstLine="0"/>
        <w:jc w:val="left"/>
      </w:pPr>
      <w:bookmarkStart w:id="953" w:name="bookmark953"/>
      <w:r>
        <w:rPr>
          <w:color w:val="000000"/>
          <w:spacing w:val="0"/>
          <w:w w:val="100"/>
          <w:position w:val="0"/>
        </w:rPr>
        <w:t>（</w:t>
      </w:r>
      <w:bookmarkEnd w:id="953"/>
      <w:r>
        <w:rPr>
          <w:rFonts w:ascii="Times New Roman" w:eastAsia="Times New Roman" w:hAnsi="Times New Roman" w:cs="Times New Roman"/>
          <w:color w:val="000000"/>
          <w:spacing w:val="0"/>
          <w:w w:val="100"/>
          <w:position w:val="0"/>
        </w:rPr>
        <w:t>1</w:t>
      </w:r>
      <w:r>
        <w:rPr>
          <w:color w:val="000000"/>
          <w:spacing w:val="0"/>
          <w:w w:val="100"/>
          <w:position w:val="0"/>
        </w:rPr>
        <w:t>）</w:t>
        <w:tab/>
        <w:t>该成本与一份当前或预期取得的合同直接相关，包括直接人工、直接材料、制造费用（或类似费用）、明确由客户承 担的成本以及仅因该合同而发生的其他成本。</w:t>
      </w:r>
    </w:p>
    <w:p>
      <w:pPr>
        <w:pStyle w:val="Style32"/>
        <w:keepNext w:val="0"/>
        <w:keepLines w:val="0"/>
        <w:widowControl w:val="0"/>
        <w:shd w:val="clear" w:color="auto" w:fill="auto"/>
        <w:tabs>
          <w:tab w:pos="1425" w:val="left"/>
        </w:tabs>
        <w:bidi w:val="0"/>
        <w:spacing w:before="0" w:after="0" w:line="311" w:lineRule="exact"/>
        <w:ind w:left="0" w:right="0" w:firstLine="980"/>
        <w:jc w:val="left"/>
      </w:pPr>
      <w:bookmarkStart w:id="954" w:name="bookmark954"/>
      <w:r>
        <w:rPr>
          <w:color w:val="000000"/>
          <w:spacing w:val="0"/>
          <w:w w:val="100"/>
          <w:position w:val="0"/>
        </w:rPr>
        <w:t>（</w:t>
      </w:r>
      <w:bookmarkEnd w:id="954"/>
      <w:r>
        <w:rPr>
          <w:rFonts w:ascii="Times New Roman" w:eastAsia="Times New Roman" w:hAnsi="Times New Roman" w:cs="Times New Roman"/>
          <w:color w:val="000000"/>
          <w:spacing w:val="0"/>
          <w:w w:val="100"/>
          <w:position w:val="0"/>
        </w:rPr>
        <w:t>2</w:t>
      </w:r>
      <w:r>
        <w:rPr>
          <w:color w:val="000000"/>
          <w:spacing w:val="0"/>
          <w:w w:val="100"/>
          <w:position w:val="0"/>
        </w:rPr>
        <w:t>）</w:t>
        <w:tab/>
        <w:t>该成本增加了本公司未来用于履行履约义务的资源。</w:t>
      </w:r>
    </w:p>
    <w:p>
      <w:pPr>
        <w:pStyle w:val="Style32"/>
        <w:keepNext w:val="0"/>
        <w:keepLines w:val="0"/>
        <w:widowControl w:val="0"/>
        <w:shd w:val="clear" w:color="auto" w:fill="auto"/>
        <w:tabs>
          <w:tab w:pos="1425" w:val="left"/>
        </w:tabs>
        <w:bidi w:val="0"/>
        <w:spacing w:before="0" w:after="0" w:line="311" w:lineRule="exact"/>
        <w:ind w:left="0" w:right="0" w:firstLine="980"/>
        <w:jc w:val="left"/>
      </w:pPr>
      <w:bookmarkStart w:id="955" w:name="bookmark955"/>
      <w:r>
        <w:rPr>
          <w:color w:val="000000"/>
          <w:spacing w:val="0"/>
          <w:w w:val="100"/>
          <w:position w:val="0"/>
        </w:rPr>
        <w:t>（</w:t>
      </w:r>
      <w:bookmarkEnd w:id="955"/>
      <w:r>
        <w:rPr>
          <w:rFonts w:ascii="Times New Roman" w:eastAsia="Times New Roman" w:hAnsi="Times New Roman" w:cs="Times New Roman"/>
          <w:color w:val="000000"/>
          <w:spacing w:val="0"/>
          <w:w w:val="100"/>
          <w:position w:val="0"/>
        </w:rPr>
        <w:t>3</w:t>
      </w:r>
      <w:r>
        <w:rPr>
          <w:color w:val="000000"/>
          <w:spacing w:val="0"/>
          <w:w w:val="100"/>
          <w:position w:val="0"/>
        </w:rPr>
        <w:t>）</w:t>
        <w:tab/>
        <w:t>该成本预期能够收回。</w:t>
      </w:r>
    </w:p>
    <w:p>
      <w:pPr>
        <w:pStyle w:val="Style32"/>
        <w:keepNext w:val="0"/>
        <w:keepLines w:val="0"/>
        <w:widowControl w:val="0"/>
        <w:shd w:val="clear" w:color="auto" w:fill="auto"/>
        <w:bidi w:val="0"/>
        <w:spacing w:before="0" w:after="0" w:line="311" w:lineRule="exact"/>
        <w:ind w:left="0" w:right="0" w:firstLine="980"/>
        <w:jc w:val="left"/>
      </w:pPr>
      <w:r>
        <w:rPr>
          <w:color w:val="000000"/>
          <w:spacing w:val="0"/>
          <w:w w:val="100"/>
          <w:position w:val="0"/>
        </w:rPr>
        <w:t>本公司为取得合同发生的增量成本预期能够收回的，作为合同取得成本确认为一项资产。</w:t>
      </w:r>
    </w:p>
    <w:p>
      <w:pPr>
        <w:pStyle w:val="Style32"/>
        <w:keepNext w:val="0"/>
        <w:keepLines w:val="0"/>
        <w:widowControl w:val="0"/>
        <w:shd w:val="clear" w:color="auto" w:fill="auto"/>
        <w:bidi w:val="0"/>
        <w:spacing w:before="0" w:after="0" w:line="311" w:lineRule="exact"/>
        <w:ind w:left="980" w:right="0" w:firstLine="0"/>
        <w:jc w:val="both"/>
      </w:pPr>
      <w:r>
        <w:rPr>
          <w:color w:val="000000"/>
          <w:spacing w:val="0"/>
          <w:w w:val="100"/>
          <w:position w:val="0"/>
        </w:rPr>
        <w:t>与合同成本有关的资产采用与该资产相关的商品或服务收入确认相同的基础进行摊销;但是对于合同取得成本摊销期限未超 过一年的，本公司将其在发生时计入当期损益。</w:t>
      </w:r>
    </w:p>
    <w:p>
      <w:pPr>
        <w:pStyle w:val="Style32"/>
        <w:keepNext w:val="0"/>
        <w:keepLines w:val="0"/>
        <w:widowControl w:val="0"/>
        <w:shd w:val="clear" w:color="auto" w:fill="auto"/>
        <w:bidi w:val="0"/>
        <w:spacing w:before="0" w:after="0" w:line="311" w:lineRule="exact"/>
        <w:ind w:left="980" w:right="0" w:firstLine="0"/>
        <w:jc w:val="both"/>
      </w:pPr>
      <w:r>
        <w:rPr>
          <w:color w:val="000000"/>
          <w:spacing w:val="0"/>
          <w:w w:val="100"/>
          <w:position w:val="0"/>
        </w:rPr>
        <w:t>与合同成本有关的资产，其账面价值高于下列两项的差额的，本公司将对于超出部分计提减值准备，并确认为资产减值损失, 并进一步考虑是否应计提亏损合同有关的预计负债：</w:t>
      </w:r>
    </w:p>
    <w:p>
      <w:pPr>
        <w:pStyle w:val="Style32"/>
        <w:keepNext w:val="0"/>
        <w:keepLines w:val="0"/>
        <w:widowControl w:val="0"/>
        <w:shd w:val="clear" w:color="auto" w:fill="auto"/>
        <w:tabs>
          <w:tab w:pos="1425" w:val="left"/>
        </w:tabs>
        <w:bidi w:val="0"/>
        <w:spacing w:before="0" w:after="0" w:line="311" w:lineRule="exact"/>
        <w:ind w:left="980" w:right="0" w:firstLine="0"/>
        <w:jc w:val="left"/>
      </w:pPr>
      <w:bookmarkStart w:id="956" w:name="bookmark956"/>
      <w:r>
        <w:rPr>
          <w:color w:val="000000"/>
          <w:spacing w:val="0"/>
          <w:w w:val="100"/>
          <w:position w:val="0"/>
        </w:rPr>
        <w:t>（</w:t>
      </w:r>
      <w:bookmarkEnd w:id="956"/>
      <w:r>
        <w:rPr>
          <w:rFonts w:ascii="Times New Roman" w:eastAsia="Times New Roman" w:hAnsi="Times New Roman" w:cs="Times New Roman"/>
          <w:color w:val="000000"/>
          <w:spacing w:val="0"/>
          <w:w w:val="100"/>
          <w:position w:val="0"/>
        </w:rPr>
        <w:t>1</w:t>
      </w:r>
      <w:r>
        <w:rPr>
          <w:color w:val="000000"/>
          <w:spacing w:val="0"/>
          <w:w w:val="100"/>
          <w:position w:val="0"/>
        </w:rPr>
        <w:t>）</w:t>
        <w:tab/>
        <w:t>因转让与该资产相关的商品或服务预期能够取得的剩余对价；</w:t>
      </w:r>
    </w:p>
    <w:p>
      <w:pPr>
        <w:pStyle w:val="Style32"/>
        <w:keepNext w:val="0"/>
        <w:keepLines w:val="0"/>
        <w:widowControl w:val="0"/>
        <w:shd w:val="clear" w:color="auto" w:fill="auto"/>
        <w:tabs>
          <w:tab w:pos="1425" w:val="left"/>
        </w:tabs>
        <w:bidi w:val="0"/>
        <w:spacing w:before="0" w:after="0" w:line="311" w:lineRule="exact"/>
        <w:ind w:left="980" w:right="0" w:firstLine="0"/>
        <w:jc w:val="left"/>
      </w:pPr>
      <w:bookmarkStart w:id="957" w:name="bookmark957"/>
      <w:r>
        <w:rPr>
          <w:color w:val="000000"/>
          <w:spacing w:val="0"/>
          <w:w w:val="100"/>
          <w:position w:val="0"/>
        </w:rPr>
        <w:t>（</w:t>
      </w:r>
      <w:bookmarkEnd w:id="957"/>
      <w:r>
        <w:rPr>
          <w:rFonts w:ascii="Times New Roman" w:eastAsia="Times New Roman" w:hAnsi="Times New Roman" w:cs="Times New Roman"/>
          <w:color w:val="000000"/>
          <w:spacing w:val="0"/>
          <w:w w:val="100"/>
          <w:position w:val="0"/>
        </w:rPr>
        <w:t>2</w:t>
      </w:r>
      <w:r>
        <w:rPr>
          <w:color w:val="000000"/>
          <w:spacing w:val="0"/>
          <w:w w:val="100"/>
          <w:position w:val="0"/>
        </w:rPr>
        <w:t>）</w:t>
        <w:tab/>
        <w:t>为转让该相关商品或服务估计将要发生的成本。</w:t>
      </w:r>
    </w:p>
    <w:p>
      <w:pPr>
        <w:pStyle w:val="Style32"/>
        <w:keepNext w:val="0"/>
        <w:keepLines w:val="0"/>
        <w:widowControl w:val="0"/>
        <w:shd w:val="clear" w:color="auto" w:fill="auto"/>
        <w:bidi w:val="0"/>
        <w:spacing w:before="0" w:after="0" w:line="311" w:lineRule="exact"/>
        <w:ind w:left="980" w:right="0" w:firstLine="0"/>
        <w:jc w:val="left"/>
      </w:pPr>
      <w:r>
        <w:rPr>
          <w:color w:val="000000"/>
          <w:spacing w:val="0"/>
          <w:w w:val="100"/>
          <w:position w:val="0"/>
        </w:rPr>
        <w:t>上述资产减值准备后续发生转回的，转回后的资产账面价值不超过假定不计提减值准备情况下该资产在转回日的账面价值。 确认为资产的合同履约成本，初始确认时摊销期限不超过一年或一个正常营业周期，在</w:t>
      </w:r>
      <w:r>
        <w:rPr>
          <w:rFonts w:ascii="Times New Roman" w:eastAsia="Times New Roman" w:hAnsi="Times New Roman" w:cs="Times New Roman"/>
          <w:color w:val="000000"/>
          <w:spacing w:val="0"/>
          <w:w w:val="100"/>
          <w:position w:val="0"/>
        </w:rPr>
        <w:t>“</w:t>
      </w:r>
      <w:r>
        <w:rPr>
          <w:color w:val="000000"/>
          <w:spacing w:val="0"/>
          <w:w w:val="100"/>
          <w:position w:val="0"/>
        </w:rPr>
        <w:t>存货</w:t>
      </w:r>
      <w:r>
        <w:rPr>
          <w:rFonts w:ascii="Times New Roman" w:eastAsia="Times New Roman" w:hAnsi="Times New Roman" w:cs="Times New Roman"/>
          <w:color w:val="000000"/>
          <w:spacing w:val="0"/>
          <w:w w:val="100"/>
          <w:position w:val="0"/>
        </w:rPr>
        <w:t>”</w:t>
      </w:r>
      <w:r>
        <w:rPr>
          <w:color w:val="000000"/>
          <w:spacing w:val="0"/>
          <w:w w:val="100"/>
          <w:position w:val="0"/>
        </w:rPr>
        <w:t>项目中列示，初始确认时摊销 期限超过一年或一个正常营业周期，在</w:t>
      </w:r>
      <w:r>
        <w:rPr>
          <w:rFonts w:ascii="Times New Roman" w:eastAsia="Times New Roman" w:hAnsi="Times New Roman" w:cs="Times New Roman"/>
          <w:color w:val="000000"/>
          <w:spacing w:val="0"/>
          <w:w w:val="100"/>
          <w:position w:val="0"/>
        </w:rPr>
        <w:t>“</w:t>
      </w:r>
      <w:r>
        <w:rPr>
          <w:color w:val="000000"/>
          <w:spacing w:val="0"/>
          <w:w w:val="100"/>
          <w:position w:val="0"/>
        </w:rPr>
        <w:t>其他非流动资产</w:t>
      </w:r>
      <w:r>
        <w:rPr>
          <w:rFonts w:ascii="Times New Roman" w:eastAsia="Times New Roman" w:hAnsi="Times New Roman" w:cs="Times New Roman"/>
          <w:color w:val="000000"/>
          <w:spacing w:val="0"/>
          <w:w w:val="100"/>
          <w:position w:val="0"/>
        </w:rPr>
        <w:t>”</w:t>
      </w:r>
      <w:r>
        <w:rPr>
          <w:color w:val="000000"/>
          <w:spacing w:val="0"/>
          <w:w w:val="100"/>
          <w:position w:val="0"/>
        </w:rPr>
        <w:t>项目中列示。</w:t>
      </w:r>
    </w:p>
    <w:p>
      <w:pPr>
        <w:pStyle w:val="Style32"/>
        <w:keepNext w:val="0"/>
        <w:keepLines w:val="0"/>
        <w:widowControl w:val="0"/>
        <w:shd w:val="clear" w:color="auto" w:fill="auto"/>
        <w:bidi w:val="0"/>
        <w:spacing w:before="0" w:after="380" w:line="311" w:lineRule="exact"/>
        <w:ind w:left="980" w:right="0" w:firstLine="0"/>
        <w:jc w:val="left"/>
      </w:pPr>
      <w:r>
        <w:rPr>
          <w:color w:val="000000"/>
          <w:spacing w:val="0"/>
          <w:w w:val="100"/>
          <w:position w:val="0"/>
        </w:rPr>
        <w:t>确认为资产的合同取得成本，初始确认时摊销期限不超过一年或一个正常营业周期，在</w:t>
      </w:r>
      <w:r>
        <w:rPr>
          <w:rFonts w:ascii="Times New Roman" w:eastAsia="Times New Roman" w:hAnsi="Times New Roman" w:cs="Times New Roman"/>
          <w:color w:val="000000"/>
          <w:spacing w:val="0"/>
          <w:w w:val="100"/>
          <w:position w:val="0"/>
        </w:rPr>
        <w:t>“</w:t>
      </w:r>
      <w:r>
        <w:rPr>
          <w:color w:val="000000"/>
          <w:spacing w:val="0"/>
          <w:w w:val="100"/>
          <w:position w:val="0"/>
        </w:rPr>
        <w:t>其他流动资产</w:t>
      </w:r>
      <w:r>
        <w:rPr>
          <w:rFonts w:ascii="Times New Roman" w:eastAsia="Times New Roman" w:hAnsi="Times New Roman" w:cs="Times New Roman"/>
          <w:color w:val="000000"/>
          <w:spacing w:val="0"/>
          <w:w w:val="100"/>
          <w:position w:val="0"/>
        </w:rPr>
        <w:t>”</w:t>
      </w:r>
      <w:r>
        <w:rPr>
          <w:color w:val="000000"/>
          <w:spacing w:val="0"/>
          <w:w w:val="100"/>
          <w:position w:val="0"/>
        </w:rPr>
        <w:t>项目中列示，初始确 认时摊销期限超过一年或一个正常营业周期，在</w:t>
      </w:r>
      <w:r>
        <w:rPr>
          <w:rFonts w:ascii="Times New Roman" w:eastAsia="Times New Roman" w:hAnsi="Times New Roman" w:cs="Times New Roman"/>
          <w:color w:val="000000"/>
          <w:spacing w:val="0"/>
          <w:w w:val="100"/>
          <w:position w:val="0"/>
        </w:rPr>
        <w:t>“</w:t>
      </w:r>
      <w:r>
        <w:rPr>
          <w:color w:val="000000"/>
          <w:spacing w:val="0"/>
          <w:w w:val="100"/>
          <w:position w:val="0"/>
        </w:rPr>
        <w:t>其他非流动资产</w:t>
      </w:r>
      <w:r>
        <w:rPr>
          <w:rFonts w:ascii="Times New Roman" w:eastAsia="Times New Roman" w:hAnsi="Times New Roman" w:cs="Times New Roman"/>
          <w:color w:val="000000"/>
          <w:spacing w:val="0"/>
          <w:w w:val="100"/>
          <w:position w:val="0"/>
        </w:rPr>
        <w:t>”</w:t>
      </w:r>
      <w:r>
        <w:rPr>
          <w:color w:val="000000"/>
          <w:spacing w:val="0"/>
          <w:w w:val="100"/>
          <w:position w:val="0"/>
        </w:rPr>
        <w:t>项目中列示。</w:t>
      </w:r>
    </w:p>
    <w:p>
      <w:pPr>
        <w:pStyle w:val="Style55"/>
        <w:keepNext/>
        <w:keepLines/>
        <w:widowControl w:val="0"/>
        <w:shd w:val="clear" w:color="auto" w:fill="auto"/>
        <w:tabs>
          <w:tab w:pos="1454" w:val="left"/>
        </w:tabs>
        <w:bidi w:val="0"/>
        <w:spacing w:before="0" w:after="260" w:line="240" w:lineRule="auto"/>
        <w:ind w:left="0" w:right="0" w:firstLine="980"/>
        <w:jc w:val="left"/>
      </w:pPr>
      <w:bookmarkStart w:id="958" w:name="bookmark958"/>
      <w:bookmarkStart w:id="959" w:name="bookmark959"/>
      <w:bookmarkStart w:id="960" w:name="bookmark960"/>
      <w:bookmarkStart w:id="961" w:name="bookmark961"/>
      <w:r>
        <w:rPr>
          <w:rFonts w:ascii="Times New Roman" w:eastAsia="Times New Roman" w:hAnsi="Times New Roman" w:cs="Times New Roman"/>
          <w:color w:val="000000"/>
          <w:spacing w:val="0"/>
          <w:w w:val="100"/>
          <w:position w:val="0"/>
        </w:rPr>
        <w:t>1</w:t>
      </w:r>
      <w:bookmarkEnd w:id="960"/>
      <w:r>
        <w:rPr>
          <w:rFonts w:ascii="Times New Roman" w:eastAsia="Times New Roman" w:hAnsi="Times New Roman" w:cs="Times New Roman"/>
          <w:color w:val="000000"/>
          <w:spacing w:val="0"/>
          <w:w w:val="100"/>
          <w:position w:val="0"/>
        </w:rPr>
        <w:t>8</w:t>
      </w:r>
      <w:r>
        <w:rPr>
          <w:color w:val="000000"/>
          <w:spacing w:val="0"/>
          <w:w w:val="100"/>
          <w:position w:val="0"/>
        </w:rPr>
        <w:t>、</w:t>
        <w:tab/>
        <w:t>持有待售资产</w:t>
      </w:r>
      <w:bookmarkEnd w:id="958"/>
      <w:bookmarkEnd w:id="959"/>
      <w:bookmarkEnd w:id="961"/>
    </w:p>
    <w:p>
      <w:pPr>
        <w:pStyle w:val="Style32"/>
        <w:keepNext w:val="0"/>
        <w:keepLines w:val="0"/>
        <w:widowControl w:val="0"/>
        <w:shd w:val="clear" w:color="auto" w:fill="auto"/>
        <w:bidi w:val="0"/>
        <w:spacing w:before="0" w:after="0" w:line="317" w:lineRule="exact"/>
        <w:ind w:left="0" w:right="0" w:firstLine="980"/>
        <w:jc w:val="left"/>
      </w:pPr>
      <w:r>
        <w:rPr>
          <w:color w:val="000000"/>
          <w:spacing w:val="0"/>
          <w:w w:val="100"/>
          <w:position w:val="0"/>
          <w:sz w:val="18"/>
          <w:szCs w:val="18"/>
        </w:rPr>
        <w:t>（1）</w:t>
      </w:r>
      <w:r>
        <w:rPr>
          <w:color w:val="000000"/>
          <w:spacing w:val="0"/>
          <w:w w:val="100"/>
          <w:position w:val="0"/>
        </w:rPr>
        <w:t>持有待售的非流动资产或处置组的分类</w:t>
      </w:r>
    </w:p>
    <w:p>
      <w:pPr>
        <w:pStyle w:val="Style32"/>
        <w:keepNext w:val="0"/>
        <w:keepLines w:val="0"/>
        <w:widowControl w:val="0"/>
        <w:shd w:val="clear" w:color="auto" w:fill="auto"/>
        <w:bidi w:val="0"/>
        <w:spacing w:before="0" w:after="0" w:line="317" w:lineRule="exact"/>
        <w:ind w:left="0" w:right="0" w:firstLine="980"/>
        <w:jc w:val="left"/>
      </w:pPr>
      <w:r>
        <w:rPr>
          <w:color w:val="000000"/>
          <w:spacing w:val="0"/>
          <w:w w:val="100"/>
          <w:position w:val="0"/>
        </w:rPr>
        <w:t>本公司将同时满足下列条件的非流动资产或处置组划分为持有待售类别：</w:t>
      </w:r>
    </w:p>
    <w:p>
      <w:pPr>
        <w:pStyle w:val="Style32"/>
        <w:keepNext w:val="0"/>
        <w:keepLines w:val="0"/>
        <w:widowControl w:val="0"/>
        <w:numPr>
          <w:ilvl w:val="0"/>
          <w:numId w:val="85"/>
        </w:numPr>
        <w:shd w:val="clear" w:color="auto" w:fill="auto"/>
        <w:tabs>
          <w:tab w:pos="1353" w:val="left"/>
        </w:tabs>
        <w:bidi w:val="0"/>
        <w:spacing w:before="0" w:after="0" w:line="317" w:lineRule="exact"/>
        <w:ind w:left="0" w:right="0" w:firstLine="980"/>
        <w:jc w:val="left"/>
      </w:pPr>
      <w:bookmarkStart w:id="962" w:name="bookmark962"/>
      <w:bookmarkEnd w:id="962"/>
      <w:r>
        <w:rPr>
          <w:color w:val="000000"/>
          <w:spacing w:val="0"/>
          <w:w w:val="100"/>
          <w:position w:val="0"/>
        </w:rPr>
        <w:t>根据类似交易中出售此类资产或处置组的惯例，在当前状况下即可立即出售；</w:t>
      </w:r>
    </w:p>
    <w:p>
      <w:pPr>
        <w:pStyle w:val="Style32"/>
        <w:keepNext w:val="0"/>
        <w:keepLines w:val="0"/>
        <w:widowControl w:val="0"/>
        <w:numPr>
          <w:ilvl w:val="0"/>
          <w:numId w:val="85"/>
        </w:numPr>
        <w:shd w:val="clear" w:color="auto" w:fill="auto"/>
        <w:tabs>
          <w:tab w:pos="1353" w:val="left"/>
        </w:tabs>
        <w:bidi w:val="0"/>
        <w:spacing w:before="0" w:after="0" w:line="317" w:lineRule="exact"/>
        <w:ind w:left="980" w:right="0" w:firstLine="0"/>
        <w:jc w:val="both"/>
      </w:pPr>
      <w:bookmarkStart w:id="963" w:name="bookmark963"/>
      <w:bookmarkEnd w:id="963"/>
      <w:r>
        <w:rPr>
          <w:color w:val="000000"/>
          <w:spacing w:val="0"/>
          <w:w w:val="100"/>
          <w:position w:val="0"/>
        </w:rPr>
        <w:t>出售极可能发生，即本公司已经就一项出售计划作出决议且获得确定的购买承诺，预计出售将在一年内完成。有关规定要 求本公司相关权力机构或者监管部门批准后方可出售的，已经获得批准。</w:t>
      </w:r>
    </w:p>
    <w:p>
      <w:pPr>
        <w:pStyle w:val="Style32"/>
        <w:keepNext w:val="0"/>
        <w:keepLines w:val="0"/>
        <w:widowControl w:val="0"/>
        <w:shd w:val="clear" w:color="auto" w:fill="auto"/>
        <w:bidi w:val="0"/>
        <w:spacing w:before="0" w:after="200" w:line="317" w:lineRule="exact"/>
        <w:ind w:left="980" w:right="0" w:firstLine="0"/>
        <w:jc w:val="both"/>
        <w:sectPr>
          <w:headerReference w:type="default" r:id="rId307"/>
          <w:footerReference w:type="default" r:id="rId308"/>
          <w:headerReference w:type="even" r:id="rId309"/>
          <w:footerReference w:type="even" r:id="rId310"/>
          <w:footnotePr>
            <w:pos w:val="pageBottom"/>
            <w:numFmt w:val="decimal"/>
            <w:numRestart w:val="continuous"/>
          </w:footnotePr>
          <w:pgSz w:w="11900" w:h="16840"/>
          <w:pgMar w:top="678" w:right="597" w:bottom="1163" w:left="142" w:header="0" w:footer="3" w:gutter="0"/>
          <w:cols w:space="720"/>
          <w:noEndnote/>
          <w:rtlGutter w:val="0"/>
          <w:docGrid w:linePitch="360"/>
        </w:sectPr>
      </w:pPr>
      <w:r>
        <w:rPr>
          <w:color w:val="000000"/>
          <w:spacing w:val="0"/>
          <w:w w:val="100"/>
          <w:position w:val="0"/>
        </w:rPr>
        <w:t>本公司专为转售而取得的非流动资产或处置组，在取得日满足“预计出售将在一年内完成”的规定条件，且短期（通常为</w:t>
      </w:r>
      <w:r>
        <w:rPr>
          <w:color w:val="000000"/>
          <w:spacing w:val="0"/>
          <w:w w:val="100"/>
          <w:position w:val="0"/>
          <w:sz w:val="18"/>
          <w:szCs w:val="18"/>
        </w:rPr>
        <w:t>3</w:t>
      </w:r>
    </w:p>
    <w:p>
      <w:pPr>
        <w:widowControl w:val="0"/>
        <w:spacing w:line="1" w:lineRule="exact"/>
      </w:pPr>
      <w:r>
        <w:drawing>
          <wp:anchor distT="0" distB="0" distL="0" distR="0" simplePos="0" relativeHeight="125829576" behindDoc="0" locked="0" layoutInCell="1" allowOverlap="1">
            <wp:simplePos x="0" y="0"/>
            <wp:positionH relativeFrom="page">
              <wp:posOffset>724535</wp:posOffset>
            </wp:positionH>
            <wp:positionV relativeFrom="paragraph">
              <wp:posOffset>12700</wp:posOffset>
            </wp:positionV>
            <wp:extent cx="1298575" cy="518160"/>
            <wp:wrapTight wrapText="right">
              <wp:wrapPolygon>
                <wp:start x="0" y="0"/>
                <wp:lineTo x="8589" y="0"/>
                <wp:lineTo x="8589" y="254"/>
                <wp:lineTo x="21600" y="254"/>
                <wp:lineTo x="21600" y="11054"/>
                <wp:lineTo x="8589" y="11054"/>
                <wp:lineTo x="8589" y="21600"/>
                <wp:lineTo x="0" y="21600"/>
                <wp:lineTo x="0" y="0"/>
              </wp:wrapPolygon>
            </wp:wrapTight>
            <wp:docPr id="755" name="Shape 755"/>
            <a:graphic xmlns:a="http://schemas.openxmlformats.org/drawingml/2006/main">
              <a:graphicData uri="http://schemas.openxmlformats.org/drawingml/2006/picture">
                <pic:pic xmlns:pic="http://schemas.openxmlformats.org/drawingml/2006/picture">
                  <pic:nvPicPr>
                    <pic:cNvPr id="756" name="Picture box 756"/>
                    <pic:cNvPicPr/>
                  </pic:nvPicPr>
                  <pic:blipFill>
                    <a:blip r:embed="rId311"/>
                    <a:stretch/>
                  </pic:blipFill>
                  <pic:spPr>
                    <a:xfrm>
                      <a:ext cx="1298575" cy="518160"/>
                    </a:xfrm>
                    <a:prstGeom prst="rect"/>
                  </pic:spPr>
                </pic:pic>
              </a:graphicData>
            </a:graphic>
          </wp:anchor>
        </w:drawing>
      </w:r>
    </w:p>
    <w:p>
      <w:pPr>
        <w:pStyle w:val="Style5"/>
        <w:keepNext w:val="0"/>
        <w:keepLines w:val="0"/>
        <w:widowControl w:val="0"/>
        <w:shd w:val="clear" w:color="auto" w:fill="auto"/>
        <w:bidi w:val="0"/>
        <w:spacing w:before="0" w:after="0" w:line="173" w:lineRule="exact"/>
        <w:ind w:left="0" w:right="8100" w:firstLine="0"/>
        <w:jc w:val="righ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个月)内很可能满足持有待售类别的其他划分条件的，本公司在取得日将其划分为持有待售类别。</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本公司因出售对子公司的投资等原因导致其丧失对子公司控制权的，无论出售后本公司是否保留部分权益性投资，在拟出售 的对子公司投资满足持有待售类别划分条件时，在母公司个别财务报表中将对子公司投资整体划分为持有待售类别，在合并 财务报表中将子公司所有资产和负债划分为持有待售类别。</w:t>
      </w:r>
    </w:p>
    <w:p>
      <w:pPr>
        <w:pStyle w:val="Style32"/>
        <w:keepNext w:val="0"/>
        <w:keepLines w:val="0"/>
        <w:widowControl w:val="0"/>
        <w:numPr>
          <w:ilvl w:val="0"/>
          <w:numId w:val="87"/>
        </w:numPr>
        <w:shd w:val="clear" w:color="auto" w:fill="auto"/>
        <w:tabs>
          <w:tab w:pos="1411" w:val="left"/>
        </w:tabs>
        <w:bidi w:val="0"/>
        <w:spacing w:before="0" w:after="0" w:line="312" w:lineRule="exact"/>
        <w:ind w:left="980" w:right="0" w:firstLine="0"/>
        <w:jc w:val="both"/>
      </w:pPr>
      <w:bookmarkStart w:id="964" w:name="bookmark964"/>
      <w:bookmarkEnd w:id="964"/>
      <w:r>
        <w:rPr>
          <w:color w:val="000000"/>
          <w:spacing w:val="0"/>
          <w:w w:val="100"/>
          <w:position w:val="0"/>
        </w:rPr>
        <w:t>持有待售的非流动资产或处置组的计量</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采用公允价值模式进行后续计量的投资性房地产、采用公允价值减去出售费用后的净额计量的生物资产、职工薪酬形成的资 产、递延所得税资产、由金融工具相关会计准则规范的金融资产及由保险合同相关会计准则规范的保险合同所产生的权利的 计量分别适用于其他相关会计准则。</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初始计量或在资产负债表日重新计量持有待售的非流动资产或处置组时，其账面价值高于公允价值减去出售费用后的净额 的，将账面价值减记至公允价值减去出售费用后的净额，减记的金额确认为资产减值损失，计入当期损益，同时计提持有待 售资产减值准备。</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非流动资产或处置组因不再满足持有待售类别的划分条件而不再继续划分为持有待售类别或非流动资产从持有待售的处置 组中移除时，按照以下两者孰低计量：</w:t>
      </w:r>
    </w:p>
    <w:p>
      <w:pPr>
        <w:pStyle w:val="Style32"/>
        <w:keepNext w:val="0"/>
        <w:keepLines w:val="0"/>
        <w:widowControl w:val="0"/>
        <w:numPr>
          <w:ilvl w:val="0"/>
          <w:numId w:val="89"/>
        </w:numPr>
        <w:shd w:val="clear" w:color="auto" w:fill="auto"/>
        <w:tabs>
          <w:tab w:pos="1339" w:val="left"/>
        </w:tabs>
        <w:bidi w:val="0"/>
        <w:spacing w:before="0" w:after="0" w:line="312" w:lineRule="exact"/>
        <w:ind w:left="980" w:right="0" w:firstLine="0"/>
        <w:jc w:val="both"/>
      </w:pPr>
      <w:bookmarkStart w:id="965" w:name="bookmark965"/>
      <w:bookmarkEnd w:id="965"/>
      <w:r>
        <w:rPr>
          <w:color w:val="000000"/>
          <w:spacing w:val="0"/>
          <w:w w:val="100"/>
          <w:position w:val="0"/>
        </w:rPr>
        <w:t>划分为持有待售类别前的账面价值，按照假定不划分为持有待售类别情况下本应确认的折旧、摊销或减值等进行调整后的 金额；</w:t>
      </w:r>
    </w:p>
    <w:p>
      <w:pPr>
        <w:pStyle w:val="Style32"/>
        <w:keepNext w:val="0"/>
        <w:keepLines w:val="0"/>
        <w:widowControl w:val="0"/>
        <w:numPr>
          <w:ilvl w:val="0"/>
          <w:numId w:val="89"/>
        </w:numPr>
        <w:shd w:val="clear" w:color="auto" w:fill="auto"/>
        <w:tabs>
          <w:tab w:pos="1339" w:val="left"/>
        </w:tabs>
        <w:bidi w:val="0"/>
        <w:spacing w:before="0" w:after="0" w:line="312" w:lineRule="exact"/>
        <w:ind w:left="980" w:right="0" w:firstLine="0"/>
        <w:jc w:val="both"/>
      </w:pPr>
      <w:bookmarkStart w:id="966" w:name="bookmark966"/>
      <w:bookmarkEnd w:id="966"/>
      <w:r>
        <w:rPr>
          <w:color w:val="000000"/>
          <w:spacing w:val="0"/>
          <w:w w:val="100"/>
          <w:position w:val="0"/>
        </w:rPr>
        <w:t>可收回金额。</w:t>
      </w:r>
    </w:p>
    <w:p>
      <w:pPr>
        <w:pStyle w:val="Style32"/>
        <w:keepNext w:val="0"/>
        <w:keepLines w:val="0"/>
        <w:widowControl w:val="0"/>
        <w:numPr>
          <w:ilvl w:val="0"/>
          <w:numId w:val="87"/>
        </w:numPr>
        <w:shd w:val="clear" w:color="auto" w:fill="auto"/>
        <w:tabs>
          <w:tab w:pos="1411" w:val="left"/>
        </w:tabs>
        <w:bidi w:val="0"/>
        <w:spacing w:before="0" w:after="0" w:line="312" w:lineRule="exact"/>
        <w:ind w:left="980" w:right="0" w:firstLine="0"/>
        <w:jc w:val="both"/>
      </w:pPr>
      <w:bookmarkStart w:id="967" w:name="bookmark967"/>
      <w:bookmarkEnd w:id="967"/>
      <w:r>
        <w:rPr>
          <w:color w:val="000000"/>
          <w:spacing w:val="0"/>
          <w:w w:val="100"/>
          <w:position w:val="0"/>
        </w:rPr>
        <w:t>列报</w:t>
      </w:r>
    </w:p>
    <w:p>
      <w:pPr>
        <w:pStyle w:val="Style32"/>
        <w:keepNext w:val="0"/>
        <w:keepLines w:val="0"/>
        <w:widowControl w:val="0"/>
        <w:shd w:val="clear" w:color="auto" w:fill="auto"/>
        <w:bidi w:val="0"/>
        <w:spacing w:before="0" w:after="380" w:line="312" w:lineRule="exact"/>
        <w:ind w:left="980" w:right="0" w:firstLine="0"/>
        <w:jc w:val="both"/>
      </w:pPr>
      <w:r>
        <w:rPr>
          <w:color w:val="000000"/>
          <w:spacing w:val="0"/>
          <w:w w:val="100"/>
          <w:position w:val="0"/>
        </w:rPr>
        <w:t>本公司在资产负债表中区别于其他资产单独列示持有待售的非流动资产或持有待售的处置组中的资产，区别于其他负债单独 列示持有待售的处置组中的负债。持有待售的非流动资产或持有待售的处置组中的资产与持有待售的处置组中的负债不予相 互抵销，分别作为流动资产和流动负债列示。</w:t>
      </w:r>
    </w:p>
    <w:p>
      <w:pPr>
        <w:pStyle w:val="Style55"/>
        <w:keepNext/>
        <w:keepLines/>
        <w:widowControl w:val="0"/>
        <w:shd w:val="clear" w:color="auto" w:fill="auto"/>
        <w:bidi w:val="0"/>
        <w:spacing w:before="0" w:after="960" w:line="240" w:lineRule="auto"/>
        <w:ind w:left="980" w:right="0" w:firstLine="0"/>
        <w:jc w:val="both"/>
      </w:pPr>
      <w:bookmarkStart w:id="968" w:name="bookmark968"/>
      <w:bookmarkStart w:id="969" w:name="bookmark969"/>
      <w:bookmarkStart w:id="970" w:name="bookmark970"/>
      <w:bookmarkStart w:id="971" w:name="bookmark971"/>
      <w:r>
        <w:rPr>
          <w:rFonts w:ascii="Times New Roman" w:eastAsia="Times New Roman" w:hAnsi="Times New Roman" w:cs="Times New Roman"/>
          <w:color w:val="000000"/>
          <w:spacing w:val="0"/>
          <w:w w:val="100"/>
          <w:position w:val="0"/>
        </w:rPr>
        <w:t>1</w:t>
      </w:r>
      <w:bookmarkEnd w:id="970"/>
      <w:r>
        <w:rPr>
          <w:rFonts w:ascii="Times New Roman" w:eastAsia="Times New Roman" w:hAnsi="Times New Roman" w:cs="Times New Roman"/>
          <w:color w:val="000000"/>
          <w:spacing w:val="0"/>
          <w:w w:val="100"/>
          <w:position w:val="0"/>
        </w:rPr>
        <w:t>9</w:t>
      </w:r>
      <w:r>
        <w:rPr>
          <w:color w:val="000000"/>
          <w:spacing w:val="0"/>
          <w:w w:val="100"/>
          <w:position w:val="0"/>
        </w:rPr>
        <w:t>、债权投资</w:t>
      </w:r>
      <w:bookmarkEnd w:id="968"/>
      <w:bookmarkEnd w:id="969"/>
      <w:bookmarkEnd w:id="971"/>
    </w:p>
    <w:p>
      <w:pPr>
        <w:pStyle w:val="Style55"/>
        <w:keepNext/>
        <w:keepLines/>
        <w:widowControl w:val="0"/>
        <w:shd w:val="clear" w:color="auto" w:fill="auto"/>
        <w:bidi w:val="0"/>
        <w:spacing w:before="0" w:after="960" w:line="240" w:lineRule="auto"/>
        <w:ind w:left="0" w:right="0" w:firstLine="980"/>
        <w:jc w:val="both"/>
      </w:pPr>
      <w:bookmarkStart w:id="972" w:name="bookmark972"/>
      <w:bookmarkStart w:id="973" w:name="bookmark973"/>
      <w:bookmarkStart w:id="974" w:name="bookmark974"/>
      <w:bookmarkStart w:id="975" w:name="bookmark975"/>
      <w:r>
        <w:rPr>
          <w:rFonts w:ascii="Times New Roman" w:eastAsia="Times New Roman" w:hAnsi="Times New Roman" w:cs="Times New Roman"/>
          <w:color w:val="000000"/>
          <w:spacing w:val="0"/>
          <w:w w:val="100"/>
          <w:position w:val="0"/>
        </w:rPr>
        <w:t>2</w:t>
      </w:r>
      <w:bookmarkEnd w:id="974"/>
      <w:r>
        <w:rPr>
          <w:rFonts w:ascii="Times New Roman" w:eastAsia="Times New Roman" w:hAnsi="Times New Roman" w:cs="Times New Roman"/>
          <w:color w:val="000000"/>
          <w:spacing w:val="0"/>
          <w:w w:val="100"/>
          <w:position w:val="0"/>
        </w:rPr>
        <w:t>0</w:t>
      </w:r>
      <w:r>
        <w:rPr>
          <w:color w:val="000000"/>
          <w:spacing w:val="0"/>
          <w:w w:val="100"/>
          <w:position w:val="0"/>
        </w:rPr>
        <w:t>、其他债权投资</w:t>
      </w:r>
      <w:bookmarkEnd w:id="972"/>
      <w:bookmarkEnd w:id="973"/>
      <w:bookmarkEnd w:id="975"/>
    </w:p>
    <w:p>
      <w:pPr>
        <w:pStyle w:val="Style55"/>
        <w:keepNext/>
        <w:keepLines/>
        <w:widowControl w:val="0"/>
        <w:shd w:val="clear" w:color="auto" w:fill="auto"/>
        <w:bidi w:val="0"/>
        <w:spacing w:before="0" w:after="380" w:line="240" w:lineRule="auto"/>
        <w:ind w:left="0" w:right="0" w:firstLine="980"/>
        <w:jc w:val="both"/>
      </w:pPr>
      <w:bookmarkStart w:id="976" w:name="bookmark976"/>
      <w:bookmarkStart w:id="977" w:name="bookmark977"/>
      <w:bookmarkStart w:id="978" w:name="bookmark978"/>
      <w:bookmarkStart w:id="979" w:name="bookmark979"/>
      <w:r>
        <w:rPr>
          <w:rFonts w:ascii="Times New Roman" w:eastAsia="Times New Roman" w:hAnsi="Times New Roman" w:cs="Times New Roman"/>
          <w:color w:val="000000"/>
          <w:spacing w:val="0"/>
          <w:w w:val="100"/>
          <w:position w:val="0"/>
        </w:rPr>
        <w:t>2</w:t>
      </w:r>
      <w:bookmarkEnd w:id="978"/>
      <w:r>
        <w:rPr>
          <w:rFonts w:ascii="Times New Roman" w:eastAsia="Times New Roman" w:hAnsi="Times New Roman" w:cs="Times New Roman"/>
          <w:color w:val="000000"/>
          <w:spacing w:val="0"/>
          <w:w w:val="100"/>
          <w:position w:val="0"/>
        </w:rPr>
        <w:t>1</w:t>
      </w:r>
      <w:r>
        <w:rPr>
          <w:color w:val="000000"/>
          <w:spacing w:val="0"/>
          <w:w w:val="100"/>
          <w:position w:val="0"/>
        </w:rPr>
        <w:t>、长期应收款</w:t>
      </w:r>
      <w:bookmarkEnd w:id="976"/>
      <w:bookmarkEnd w:id="977"/>
      <w:bookmarkEnd w:id="979"/>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参见第十二节、五、</w:t>
      </w:r>
      <w:r>
        <w:rPr>
          <w:color w:val="000000"/>
          <w:spacing w:val="0"/>
          <w:w w:val="100"/>
          <w:position w:val="0"/>
          <w:sz w:val="18"/>
          <w:szCs w:val="18"/>
        </w:rPr>
        <w:t>10</w:t>
      </w:r>
      <w:r>
        <w:rPr>
          <w:color w:val="000000"/>
          <w:spacing w:val="0"/>
          <w:w w:val="100"/>
          <w:position w:val="0"/>
        </w:rPr>
        <w:t>、金融工具。</w:t>
      </w:r>
    </w:p>
    <w:p>
      <w:pPr>
        <w:pStyle w:val="Style55"/>
        <w:keepNext/>
        <w:keepLines/>
        <w:widowControl w:val="0"/>
        <w:shd w:val="clear" w:color="auto" w:fill="auto"/>
        <w:bidi w:val="0"/>
        <w:spacing w:before="0" w:after="260" w:line="240" w:lineRule="auto"/>
        <w:ind w:left="0" w:right="0" w:firstLine="980"/>
        <w:jc w:val="left"/>
      </w:pPr>
      <w:bookmarkStart w:id="980" w:name="bookmark980"/>
      <w:bookmarkStart w:id="981" w:name="bookmark981"/>
      <w:bookmarkStart w:id="982" w:name="bookmark982"/>
      <w:bookmarkStart w:id="983" w:name="bookmark983"/>
      <w:r>
        <w:rPr>
          <w:rFonts w:ascii="Times New Roman" w:eastAsia="Times New Roman" w:hAnsi="Times New Roman" w:cs="Times New Roman"/>
          <w:color w:val="000000"/>
          <w:spacing w:val="0"/>
          <w:w w:val="100"/>
          <w:position w:val="0"/>
        </w:rPr>
        <w:t>2</w:t>
      </w:r>
      <w:bookmarkEnd w:id="982"/>
      <w:r>
        <w:rPr>
          <w:rFonts w:ascii="Times New Roman" w:eastAsia="Times New Roman" w:hAnsi="Times New Roman" w:cs="Times New Roman"/>
          <w:color w:val="000000"/>
          <w:spacing w:val="0"/>
          <w:w w:val="100"/>
          <w:position w:val="0"/>
        </w:rPr>
        <w:t>2</w:t>
      </w:r>
      <w:r>
        <w:rPr>
          <w:color w:val="000000"/>
          <w:spacing w:val="0"/>
          <w:w w:val="100"/>
          <w:position w:val="0"/>
        </w:rPr>
        <w:t>、长期股权投资</w:t>
      </w:r>
      <w:bookmarkEnd w:id="980"/>
      <w:bookmarkEnd w:id="981"/>
      <w:bookmarkEnd w:id="983"/>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本公司长期股权投资包括对被投资单位实施控制、重大影响的权益性投资，以及对合营企业的权益性投资。本公司能够对被 投资单位施加重大影响的，为本公司的联营企业。</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sz w:val="18"/>
          <w:szCs w:val="18"/>
        </w:rPr>
        <w:t>(1)</w:t>
      </w:r>
      <w:r>
        <w:rPr>
          <w:color w:val="000000"/>
          <w:spacing w:val="0"/>
          <w:w w:val="100"/>
          <w:position w:val="0"/>
        </w:rPr>
        <w:t>确定对被投资单位具有共同控制、重大影响的依据</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共同控制，是指按照相关约定对某项安排所共有的控制，并且该安排的相关活动必须经过分享控制权的参与方一致同意后才 能决策。在判断是否存在共同控制时，首先判断所有参与方或参与方组合是否集体控制该安排，如果所有参与方或一组参与 方必须一致行动才能决定某项安排的相关活动，则认为所有参与方或一组参与方集体控制该安排。其次再判断该安排相关活 动的决策是否必须经过这些集体控制该安排的参与方一致同意。如果存在两个或两个以上的参与方组合能够集体控制某项安 排的，不构成共同控制。判断是否存在共同控制时，不考虑享有的保护性权利。</w:t>
      </w:r>
    </w:p>
    <w:p>
      <w:pPr>
        <w:pStyle w:val="Style32"/>
        <w:keepNext w:val="0"/>
        <w:keepLines w:val="0"/>
        <w:widowControl w:val="0"/>
        <w:shd w:val="clear" w:color="auto" w:fill="auto"/>
        <w:bidi w:val="0"/>
        <w:spacing w:before="0" w:after="320" w:line="312" w:lineRule="exact"/>
        <w:ind w:left="980" w:right="0" w:firstLine="0"/>
        <w:jc w:val="both"/>
        <w:sectPr>
          <w:footnotePr>
            <w:pos w:val="pageBottom"/>
            <w:numFmt w:val="decimal"/>
            <w:numRestart w:val="continuous"/>
          </w:footnotePr>
          <w:pgSz w:w="11900" w:h="16840"/>
          <w:pgMar w:top="1144" w:right="597" w:bottom="1470" w:left="142" w:header="0" w:footer="3" w:gutter="0"/>
          <w:cols w:space="720"/>
          <w:noEndnote/>
          <w:rtlGutter w:val="0"/>
          <w:docGrid w:linePitch="360"/>
        </w:sectPr>
      </w:pPr>
      <w:r>
        <w:rPr>
          <w:color w:val="000000"/>
          <w:spacing w:val="0"/>
          <w:w w:val="100"/>
          <w:position w:val="0"/>
        </w:rPr>
        <w:t>重大影响，是指投资方对被投资单位的财务和经营政策有参与决策的权力，但并不能够控制或者与其他方一起共同控制这些</w:t>
      </w:r>
    </w:p>
    <w:p>
      <w:pPr>
        <w:pStyle w:val="Style32"/>
        <w:keepNext w:val="0"/>
        <w:keepLines w:val="0"/>
        <w:widowControl w:val="0"/>
        <w:shd w:val="clear" w:color="auto" w:fill="auto"/>
        <w:bidi w:val="0"/>
        <w:spacing w:before="0" w:after="100" w:line="240" w:lineRule="auto"/>
        <w:ind w:left="0" w:right="0" w:firstLine="980"/>
        <w:jc w:val="left"/>
      </w:pPr>
      <w:r>
        <mc:AlternateContent>
          <mc:Choice Requires="wps">
            <w:drawing>
              <wp:anchor distT="0" distB="0" distL="114300" distR="114300" simplePos="0" relativeHeight="125829577" behindDoc="0" locked="0" layoutInCell="1" allowOverlap="1">
                <wp:simplePos x="0" y="0"/>
                <wp:positionH relativeFrom="page">
                  <wp:posOffset>803910</wp:posOffset>
                </wp:positionH>
                <wp:positionV relativeFrom="margin">
                  <wp:posOffset>-60325</wp:posOffset>
                </wp:positionV>
                <wp:extent cx="1243330" cy="283210"/>
                <wp:wrapTopAndBottom/>
                <wp:docPr id="757" name="Shape 757"/>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783" type="#_x0000_t202" style="position:absolute;margin-left:63.300000000000004pt;margin-top:-4.75pt;width:97.900000000000006pt;height:22.300000000000001pt;z-index:-125829176;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政策的制定。在确定能否对被投资单位施加重大影响时，考虑投资方直接或间接持有被投资单位的表决权股份以及投资方及</w:t>
      </w:r>
    </w:p>
    <w:p>
      <w:pPr>
        <w:pStyle w:val="Style32"/>
        <w:keepNext w:val="0"/>
        <w:keepLines w:val="0"/>
        <w:widowControl w:val="0"/>
        <w:shd w:val="clear" w:color="auto" w:fill="auto"/>
        <w:bidi w:val="0"/>
        <w:spacing w:before="0" w:after="100" w:line="240" w:lineRule="auto"/>
        <w:ind w:left="0" w:right="0" w:firstLine="980"/>
        <w:jc w:val="left"/>
      </w:pPr>
      <w:r>
        <w:rPr>
          <w:color w:val="000000"/>
          <w:spacing w:val="0"/>
          <w:w w:val="100"/>
          <w:position w:val="0"/>
        </w:rPr>
        <w:t>其他方持有的当期可执行潜在表决权在假定转换为对被投资方单位的股权后产生的影响，包括被投资单位发行的当期可转换</w:t>
      </w:r>
    </w:p>
    <w:p>
      <w:pPr>
        <w:pStyle w:val="Style32"/>
        <w:keepNext w:val="0"/>
        <w:keepLines w:val="0"/>
        <w:widowControl w:val="0"/>
        <w:shd w:val="clear" w:color="auto" w:fill="auto"/>
        <w:bidi w:val="0"/>
        <w:spacing w:before="0" w:after="0" w:line="240" w:lineRule="auto"/>
        <w:ind w:left="0" w:right="0" w:firstLine="980"/>
        <w:jc w:val="left"/>
      </w:pPr>
      <w:r>
        <w:rPr>
          <w:color w:val="000000"/>
          <w:spacing w:val="0"/>
          <w:w w:val="100"/>
          <w:position w:val="0"/>
        </w:rPr>
        <w:t>的认股权证、股份期权及可转换公司债券等的影响。</w:t>
      </w:r>
    </w:p>
    <w:p>
      <w:pPr>
        <w:pStyle w:val="Style32"/>
        <w:keepNext w:val="0"/>
        <w:keepLines w:val="0"/>
        <w:widowControl w:val="0"/>
        <w:shd w:val="clear" w:color="auto" w:fill="auto"/>
        <w:bidi w:val="0"/>
        <w:spacing w:before="0" w:after="0" w:line="326" w:lineRule="exact"/>
        <w:ind w:left="980" w:right="0" w:firstLine="0"/>
        <w:jc w:val="both"/>
      </w:pPr>
      <w:r>
        <w:rPr>
          <w:color w:val="000000"/>
          <w:spacing w:val="0"/>
          <w:w w:val="100"/>
          <w:position w:val="0"/>
        </w:rPr>
        <w:t>当本公司直接或通过子公司间接拥有被投资单位</w:t>
      </w:r>
      <w:r>
        <w:rPr>
          <w:color w:val="000000"/>
          <w:spacing w:val="0"/>
          <w:w w:val="100"/>
          <w:position w:val="0"/>
          <w:sz w:val="18"/>
          <w:szCs w:val="18"/>
        </w:rPr>
        <w:t>20%（</w:t>
      </w:r>
      <w:r>
        <w:rPr>
          <w:color w:val="000000"/>
          <w:spacing w:val="0"/>
          <w:w w:val="100"/>
          <w:position w:val="0"/>
        </w:rPr>
        <w:t>含</w:t>
      </w:r>
      <w:r>
        <w:rPr>
          <w:color w:val="000000"/>
          <w:spacing w:val="0"/>
          <w:w w:val="100"/>
          <w:position w:val="0"/>
          <w:sz w:val="18"/>
          <w:szCs w:val="18"/>
        </w:rPr>
        <w:t>20%）</w:t>
      </w:r>
      <w:r>
        <w:rPr>
          <w:color w:val="000000"/>
          <w:spacing w:val="0"/>
          <w:w w:val="100"/>
          <w:position w:val="0"/>
        </w:rPr>
        <w:t>以上但低于</w:t>
      </w:r>
      <w:r>
        <w:rPr>
          <w:color w:val="000000"/>
          <w:spacing w:val="0"/>
          <w:w w:val="100"/>
          <w:position w:val="0"/>
          <w:sz w:val="18"/>
          <w:szCs w:val="18"/>
        </w:rPr>
        <w:t>50%</w:t>
      </w:r>
      <w:r>
        <w:rPr>
          <w:color w:val="000000"/>
          <w:spacing w:val="0"/>
          <w:w w:val="100"/>
          <w:position w:val="0"/>
        </w:rPr>
        <w:t>的表决权股份时，一般认为对被投资单位具有 重大影响，除非有明确证据表明该种情况下不能参与被投资单位的生产经营决策，不形成重大影响。</w:t>
      </w:r>
    </w:p>
    <w:p>
      <w:pPr>
        <w:pStyle w:val="Style32"/>
        <w:keepNext w:val="0"/>
        <w:keepLines w:val="0"/>
        <w:widowControl w:val="0"/>
        <w:shd w:val="clear" w:color="auto" w:fill="auto"/>
        <w:bidi w:val="0"/>
        <w:spacing w:before="0" w:after="0" w:line="326" w:lineRule="exact"/>
        <w:ind w:left="980" w:right="0" w:firstLine="0"/>
        <w:jc w:val="both"/>
      </w:pPr>
      <w:r>
        <w:rPr>
          <w:color w:val="000000"/>
          <w:spacing w:val="0"/>
          <w:w w:val="100"/>
          <w:position w:val="0"/>
          <w:sz w:val="18"/>
          <w:szCs w:val="18"/>
        </w:rPr>
        <w:t>（2）</w:t>
      </w:r>
      <w:r>
        <w:rPr>
          <w:color w:val="000000"/>
          <w:spacing w:val="0"/>
          <w:w w:val="100"/>
          <w:position w:val="0"/>
        </w:rPr>
        <w:t>初始投资成本确定</w:t>
      </w:r>
    </w:p>
    <w:p>
      <w:pPr>
        <w:pStyle w:val="Style32"/>
        <w:keepNext w:val="0"/>
        <w:keepLines w:val="0"/>
        <w:widowControl w:val="0"/>
        <w:shd w:val="clear" w:color="auto" w:fill="auto"/>
        <w:bidi w:val="0"/>
        <w:spacing w:before="0" w:after="0" w:line="326" w:lineRule="exact"/>
        <w:ind w:left="980" w:right="0" w:firstLine="0"/>
        <w:jc w:val="both"/>
      </w:pPr>
      <w:bookmarkStart w:id="984" w:name="bookmark984"/>
      <w:r>
        <w:rPr>
          <w:color w:val="000000"/>
          <w:spacing w:val="0"/>
          <w:w w:val="100"/>
          <w:position w:val="0"/>
          <w:sz w:val="18"/>
          <w:szCs w:val="18"/>
        </w:rPr>
        <w:t>1</w:t>
      </w:r>
      <w:bookmarkEnd w:id="984"/>
      <w:r>
        <w:rPr>
          <w:color w:val="000000"/>
          <w:spacing w:val="0"/>
          <w:w w:val="100"/>
          <w:position w:val="0"/>
          <w:sz w:val="18"/>
          <w:szCs w:val="18"/>
        </w:rPr>
        <w:t>）</w:t>
      </w:r>
      <w:r>
        <w:rPr>
          <w:color w:val="000000"/>
          <w:spacing w:val="0"/>
          <w:w w:val="100"/>
          <w:position w:val="0"/>
        </w:rPr>
        <w:t>企业合并形成的长期股权投资，按照下列规定确定其投资成本：</w:t>
      </w:r>
    </w:p>
    <w:p>
      <w:pPr>
        <w:pStyle w:val="Style32"/>
        <w:keepNext w:val="0"/>
        <w:keepLines w:val="0"/>
        <w:widowControl w:val="0"/>
        <w:numPr>
          <w:ilvl w:val="0"/>
          <w:numId w:val="91"/>
        </w:numPr>
        <w:shd w:val="clear" w:color="auto" w:fill="auto"/>
        <w:tabs>
          <w:tab w:pos="1327" w:val="left"/>
        </w:tabs>
        <w:bidi w:val="0"/>
        <w:spacing w:before="0" w:after="0" w:line="310" w:lineRule="exact"/>
        <w:ind w:left="980" w:right="0" w:firstLine="0"/>
        <w:jc w:val="both"/>
      </w:pPr>
      <w:bookmarkStart w:id="985" w:name="bookmark985"/>
      <w:bookmarkEnd w:id="985"/>
      <w:r>
        <w:rPr>
          <w:color w:val="000000"/>
          <w:spacing w:val="0"/>
          <w:w w:val="100"/>
          <w:position w:val="0"/>
        </w:rPr>
        <w:t>同一控制下的企业合并，合并方以支付现金、转让非现金资产或承担债务方式作为合并对价的，在合并日按照被合并方所 有者权益在最终控制方合并财务报表中的账面价值的份额作为长期股权投资的初始投资成本。长期股权投资初始投资成本与 支付的现金、转让的非现金资产以及所承担债务账面价值之间的差额，调整资本公积；资本公积不足冲减的，调整留存收益。</w:t>
      </w:r>
    </w:p>
    <w:p>
      <w:pPr>
        <w:pStyle w:val="Style32"/>
        <w:keepNext w:val="0"/>
        <w:keepLines w:val="0"/>
        <w:widowControl w:val="0"/>
        <w:numPr>
          <w:ilvl w:val="0"/>
          <w:numId w:val="91"/>
        </w:numPr>
        <w:shd w:val="clear" w:color="auto" w:fill="auto"/>
        <w:tabs>
          <w:tab w:pos="1327" w:val="left"/>
        </w:tabs>
        <w:bidi w:val="0"/>
        <w:spacing w:before="0" w:after="0" w:line="314" w:lineRule="exact"/>
        <w:ind w:left="980" w:right="0" w:firstLine="0"/>
        <w:jc w:val="both"/>
      </w:pPr>
      <w:bookmarkStart w:id="986" w:name="bookmark986"/>
      <w:bookmarkEnd w:id="986"/>
      <w:r>
        <w:rPr>
          <w:color w:val="000000"/>
          <w:spacing w:val="0"/>
          <w:w w:val="100"/>
          <w:position w:val="0"/>
        </w:rPr>
        <w:t>同一控制下的企业合并，合并方以发行权益性证券作为合并对价的，在合并日按照被合并方所有者权益在最终控制方合并 财务报表中的账面价值的份额作为长期股权投资的初始投资成本。按照发行股份的面值总额作为股本，长期股权投资初始投 资成本与所发行股份面值总额之间的差额，调整资本公积；资本公积不足冲减的，调整留存收益。</w:t>
      </w:r>
    </w:p>
    <w:p>
      <w:pPr>
        <w:pStyle w:val="Style32"/>
        <w:keepNext w:val="0"/>
        <w:keepLines w:val="0"/>
        <w:widowControl w:val="0"/>
        <w:numPr>
          <w:ilvl w:val="0"/>
          <w:numId w:val="91"/>
        </w:numPr>
        <w:shd w:val="clear" w:color="auto" w:fill="auto"/>
        <w:tabs>
          <w:tab w:pos="1327" w:val="left"/>
        </w:tabs>
        <w:bidi w:val="0"/>
        <w:spacing w:before="0" w:after="0" w:line="312" w:lineRule="exact"/>
        <w:ind w:left="980" w:right="0" w:firstLine="0"/>
        <w:jc w:val="both"/>
      </w:pPr>
      <w:bookmarkStart w:id="987" w:name="bookmark987"/>
      <w:bookmarkEnd w:id="987"/>
      <w:r>
        <w:rPr>
          <w:color w:val="000000"/>
          <w:spacing w:val="0"/>
          <w:w w:val="100"/>
          <w:position w:val="0"/>
        </w:rPr>
        <w:t>非同一控制下的企业合并，以购买日为取得对被购买方的控制权而付出的资产、发生或承担的负债以及发行的权益性证券 的公允价值确定为合并成本作为长期股权投资的初始投资成本。合并方为企业合并发生的审计、法律服务、评估咨询等中介 费用以及其他相关管理费用，于发生时计入当期损益。</w:t>
      </w:r>
    </w:p>
    <w:p>
      <w:pPr>
        <w:pStyle w:val="Style32"/>
        <w:keepNext w:val="0"/>
        <w:keepLines w:val="0"/>
        <w:widowControl w:val="0"/>
        <w:shd w:val="clear" w:color="auto" w:fill="auto"/>
        <w:bidi w:val="0"/>
        <w:spacing w:before="0" w:after="0" w:line="312" w:lineRule="exact"/>
        <w:ind w:left="0" w:right="0" w:firstLine="980"/>
        <w:jc w:val="left"/>
      </w:pPr>
      <w:bookmarkStart w:id="988" w:name="bookmark988"/>
      <w:r>
        <w:rPr>
          <w:color w:val="000000"/>
          <w:spacing w:val="0"/>
          <w:w w:val="100"/>
          <w:position w:val="0"/>
          <w:sz w:val="18"/>
          <w:szCs w:val="18"/>
        </w:rPr>
        <w:t>2</w:t>
      </w:r>
      <w:bookmarkEnd w:id="988"/>
      <w:r>
        <w:rPr>
          <w:color w:val="000000"/>
          <w:spacing w:val="0"/>
          <w:w w:val="100"/>
          <w:position w:val="0"/>
          <w:sz w:val="18"/>
          <w:szCs w:val="18"/>
        </w:rPr>
        <w:t>）</w:t>
      </w:r>
      <w:r>
        <w:rPr>
          <w:color w:val="000000"/>
          <w:spacing w:val="0"/>
          <w:w w:val="100"/>
          <w:position w:val="0"/>
        </w:rPr>
        <w:t>除企业合并形成的长期股权投资以外，其他方式取得的长期股权投资，按照下列规定确定其投资成本：</w:t>
      </w:r>
    </w:p>
    <w:p>
      <w:pPr>
        <w:pStyle w:val="Style32"/>
        <w:keepNext w:val="0"/>
        <w:keepLines w:val="0"/>
        <w:widowControl w:val="0"/>
        <w:numPr>
          <w:ilvl w:val="0"/>
          <w:numId w:val="93"/>
        </w:numPr>
        <w:shd w:val="clear" w:color="auto" w:fill="auto"/>
        <w:tabs>
          <w:tab w:pos="1327" w:val="left"/>
        </w:tabs>
        <w:bidi w:val="0"/>
        <w:spacing w:before="0" w:after="0" w:line="312" w:lineRule="exact"/>
        <w:ind w:left="980" w:right="0" w:firstLine="0"/>
        <w:jc w:val="left"/>
      </w:pPr>
      <w:bookmarkStart w:id="989" w:name="bookmark989"/>
      <w:bookmarkEnd w:id="989"/>
      <w:r>
        <w:rPr>
          <w:color w:val="000000"/>
          <w:spacing w:val="0"/>
          <w:w w:val="100"/>
          <w:position w:val="0"/>
        </w:rPr>
        <w:t>以支付现金取得的长期股权投资，按照实际支付的购买价款作为投资成本。初始投资成本包括与取得长期股权投资直接相 关的费用、税金及其他必要支出。</w:t>
      </w:r>
    </w:p>
    <w:p>
      <w:pPr>
        <w:pStyle w:val="Style32"/>
        <w:keepNext w:val="0"/>
        <w:keepLines w:val="0"/>
        <w:widowControl w:val="0"/>
        <w:numPr>
          <w:ilvl w:val="0"/>
          <w:numId w:val="93"/>
        </w:numPr>
        <w:shd w:val="clear" w:color="auto" w:fill="auto"/>
        <w:tabs>
          <w:tab w:pos="1327" w:val="left"/>
        </w:tabs>
        <w:bidi w:val="0"/>
        <w:spacing w:before="0" w:after="0" w:line="312" w:lineRule="exact"/>
        <w:ind w:left="980" w:right="0" w:firstLine="0"/>
        <w:jc w:val="left"/>
      </w:pPr>
      <w:bookmarkStart w:id="990" w:name="bookmark990"/>
      <w:bookmarkEnd w:id="990"/>
      <w:r>
        <w:rPr>
          <w:color w:val="000000"/>
          <w:spacing w:val="0"/>
          <w:w w:val="100"/>
          <w:position w:val="0"/>
        </w:rPr>
        <w:t>以发行权益性证券取得的长期股权投资，按照发行权益性证券的公允价值作为初始投资成本。</w:t>
      </w:r>
    </w:p>
    <w:p>
      <w:pPr>
        <w:pStyle w:val="Style32"/>
        <w:keepNext w:val="0"/>
        <w:keepLines w:val="0"/>
        <w:widowControl w:val="0"/>
        <w:numPr>
          <w:ilvl w:val="0"/>
          <w:numId w:val="93"/>
        </w:numPr>
        <w:shd w:val="clear" w:color="auto" w:fill="auto"/>
        <w:tabs>
          <w:tab w:pos="1327" w:val="left"/>
        </w:tabs>
        <w:bidi w:val="0"/>
        <w:spacing w:before="0" w:after="0" w:line="314" w:lineRule="exact"/>
        <w:ind w:left="980" w:right="0" w:firstLine="0"/>
        <w:jc w:val="left"/>
      </w:pPr>
      <w:bookmarkStart w:id="991" w:name="bookmark991"/>
      <w:bookmarkEnd w:id="991"/>
      <w:r>
        <w:rPr>
          <w:color w:val="000000"/>
          <w:spacing w:val="0"/>
          <w:w w:val="100"/>
          <w:position w:val="0"/>
        </w:rPr>
        <w:t>通过非货币性资产交换取得的长期股权投资，如果该项交换具有商业实质且换入资产或换出资产的公允价值能可靠计量， 则以换出资产的公允价值和相关税费作为初始投资成本，换出资产的公允价值与账面价值之间的差额计入当期损益；若非货 币资产交换不同时具备上述两个条件，则按换出资产的账面价值和相关税费作为初始投资成本。</w:t>
      </w:r>
    </w:p>
    <w:p>
      <w:pPr>
        <w:pStyle w:val="Style32"/>
        <w:keepNext w:val="0"/>
        <w:keepLines w:val="0"/>
        <w:widowControl w:val="0"/>
        <w:numPr>
          <w:ilvl w:val="0"/>
          <w:numId w:val="93"/>
        </w:numPr>
        <w:shd w:val="clear" w:color="auto" w:fill="auto"/>
        <w:tabs>
          <w:tab w:pos="1327" w:val="left"/>
        </w:tabs>
        <w:bidi w:val="0"/>
        <w:spacing w:before="0" w:after="0" w:line="312" w:lineRule="exact"/>
        <w:ind w:left="980" w:right="0" w:firstLine="0"/>
        <w:jc w:val="left"/>
      </w:pPr>
      <w:bookmarkStart w:id="992" w:name="bookmark992"/>
      <w:bookmarkEnd w:id="992"/>
      <w:r>
        <w:rPr>
          <w:color w:val="000000"/>
          <w:spacing w:val="0"/>
          <w:w w:val="100"/>
          <w:position w:val="0"/>
        </w:rPr>
        <w:t>通过债务重组取得的长期股权投资，以所放弃债权的公允价值和可直接归属于该资产的税金等其他成本确定其入账价值， 并将所放弃债权的公允价值与账面价值之间的差额，计入当期损益。</w:t>
      </w:r>
    </w:p>
    <w:p>
      <w:pPr>
        <w:pStyle w:val="Style32"/>
        <w:keepNext w:val="0"/>
        <w:keepLines w:val="0"/>
        <w:widowControl w:val="0"/>
        <w:shd w:val="clear" w:color="auto" w:fill="auto"/>
        <w:bidi w:val="0"/>
        <w:spacing w:before="0" w:after="0" w:line="314" w:lineRule="exact"/>
        <w:ind w:left="980" w:right="0" w:firstLine="0"/>
        <w:jc w:val="left"/>
      </w:pPr>
      <w:bookmarkStart w:id="993" w:name="bookmark993"/>
      <w:r>
        <w:rPr>
          <w:color w:val="000000"/>
          <w:spacing w:val="0"/>
          <w:w w:val="100"/>
          <w:position w:val="0"/>
          <w:sz w:val="18"/>
          <w:szCs w:val="18"/>
        </w:rPr>
        <w:t>3</w:t>
      </w:r>
      <w:bookmarkEnd w:id="993"/>
      <w:r>
        <w:rPr>
          <w:color w:val="000000"/>
          <w:spacing w:val="0"/>
          <w:w w:val="100"/>
          <w:position w:val="0"/>
          <w:sz w:val="18"/>
          <w:szCs w:val="18"/>
        </w:rPr>
        <w:t>）</w:t>
      </w:r>
      <w:r>
        <w:rPr>
          <w:color w:val="000000"/>
          <w:spacing w:val="0"/>
          <w:w w:val="100"/>
          <w:position w:val="0"/>
        </w:rPr>
        <w:t xml:space="preserve">后续计量及损益确认方法 </w:t>
      </w:r>
      <w:r>
        <w:rPr>
          <w:color w:val="000000"/>
          <w:spacing w:val="0"/>
          <w:w w:val="100"/>
          <w:position w:val="0"/>
        </w:rPr>
        <w:t>本公司能够对被投资单位实施控制的长期股权投资采用成本法核算；对联营企业和合营企业的长期股权投资采用权益法核 算。</w:t>
      </w:r>
    </w:p>
    <w:p>
      <w:pPr>
        <w:pStyle w:val="Style32"/>
        <w:keepNext w:val="0"/>
        <w:keepLines w:val="0"/>
        <w:widowControl w:val="0"/>
        <w:shd w:val="clear" w:color="auto" w:fill="auto"/>
        <w:bidi w:val="0"/>
        <w:spacing w:before="0" w:after="0" w:line="322" w:lineRule="exact"/>
        <w:ind w:left="0" w:right="0" w:firstLine="980"/>
        <w:jc w:val="left"/>
      </w:pPr>
      <w:r>
        <w:rPr>
          <w:color w:val="000000"/>
          <w:spacing w:val="0"/>
          <w:w w:val="100"/>
          <w:position w:val="0"/>
        </w:rPr>
        <w:t>①成本法</w:t>
      </w:r>
    </w:p>
    <w:p>
      <w:pPr>
        <w:pStyle w:val="Style32"/>
        <w:keepNext w:val="0"/>
        <w:keepLines w:val="0"/>
        <w:widowControl w:val="0"/>
        <w:shd w:val="clear" w:color="auto" w:fill="auto"/>
        <w:bidi w:val="0"/>
        <w:spacing w:before="0" w:after="0" w:line="317" w:lineRule="exact"/>
        <w:ind w:left="980" w:right="0" w:firstLine="0"/>
        <w:jc w:val="both"/>
      </w:pPr>
      <w:r>
        <w:rPr>
          <w:color w:val="000000"/>
          <w:spacing w:val="0"/>
          <w:w w:val="100"/>
          <w:position w:val="0"/>
        </w:rPr>
        <w:t>采用成本法核算的长期股权投资，追加或收回投资时调整长期股权投资的成本；被投资单位宣告分派的现金股利或利润，确 认为当期投资收益。</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②权益法</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按照权益法核算的长期股权投资，一般会计处理为：</w:t>
      </w:r>
    </w:p>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本公司长期股权投资的投资成本大于投资时应享有被投资单位可辨认净资产公允价值份额的，不调整长期股权投资的初始投 资成本；长期股权投资的初始投资成本小于投资时应享有被投资单位可辨认净资产公允价值份额的，其差额计入当期损益， 同时调整长期股权投资的成本。</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本公司按照应享有或应分担的被投资单位实现的净损益和其他综合收益的份额，分别确认投资收益和其他综合收益，同时调 整长期股权投资的账面价值；本公司按照被投资单位宣告分派的利润或现金股利计算应享有的部分，相应减少长期股权投资 的账面价值；被投资单位除净损益、其他综合收益和利润分配以外所有者权益的其他变动，调整长期股权投资的账面价值并 计入所有者权益。在确认应享有被投资单位净损益的份额时，以取得投资时被投资单位可辨认净资产的公允价值为基础，对 被投资单位的净利润进行调整后确认。被投资单位采用的会计政策及会计期间与本公司不一致的，应按照本公司的会计政策 及会计期间对被投资单位的财务报表进行调整，并据以确认投资收益和其他综合收益等。本公司与联营企业及合营企业之间</w:t>
      </w:r>
      <w:r>
        <w:br w:type="page"/>
      </w:r>
    </w:p>
    <w:p>
      <w:pPr>
        <w:pStyle w:val="Style32"/>
        <w:keepNext w:val="0"/>
        <w:keepLines w:val="0"/>
        <w:widowControl w:val="0"/>
        <w:shd w:val="clear" w:color="auto" w:fill="auto"/>
        <w:bidi w:val="0"/>
        <w:spacing w:before="0" w:after="120" w:line="240" w:lineRule="auto"/>
        <w:ind w:left="960" w:right="0" w:firstLine="20"/>
        <w:jc w:val="both"/>
      </w:pPr>
      <w:r>
        <mc:AlternateContent>
          <mc:Choice Requires="wps">
            <w:drawing>
              <wp:anchor distT="0" distB="0" distL="114300" distR="114300" simplePos="0" relativeHeight="125829579" behindDoc="0" locked="0" layoutInCell="1" allowOverlap="1">
                <wp:simplePos x="0" y="0"/>
                <wp:positionH relativeFrom="page">
                  <wp:posOffset>803910</wp:posOffset>
                </wp:positionH>
                <wp:positionV relativeFrom="margin">
                  <wp:posOffset>-60325</wp:posOffset>
                </wp:positionV>
                <wp:extent cx="1243330" cy="283210"/>
                <wp:wrapTopAndBottom/>
                <wp:docPr id="759" name="Shape 759"/>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785" type="#_x0000_t202" style="position:absolute;margin-left:63.300000000000004pt;margin-top:-4.75pt;width:97.900000000000006pt;height:22.300000000000001pt;z-index:-125829174;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发生的未实现内部交易损益按照享有的比例计算归属于本公司的部分予以抵销，在此基础上确认投资损益。本公司与被投资</w:t>
      </w:r>
    </w:p>
    <w:p>
      <w:pPr>
        <w:pStyle w:val="Style32"/>
        <w:keepNext w:val="0"/>
        <w:keepLines w:val="0"/>
        <w:widowControl w:val="0"/>
        <w:shd w:val="clear" w:color="auto" w:fill="auto"/>
        <w:bidi w:val="0"/>
        <w:spacing w:before="0" w:line="240" w:lineRule="auto"/>
        <w:ind w:left="960" w:right="0" w:firstLine="20"/>
        <w:jc w:val="both"/>
      </w:pPr>
      <w:r>
        <w:rPr>
          <w:color w:val="000000"/>
          <w:spacing w:val="0"/>
          <w:w w:val="100"/>
          <w:position w:val="0"/>
        </w:rPr>
        <w:t>单位发生的未实现内部交易损失属于资产减值损失的，应全额确认。</w:t>
      </w:r>
    </w:p>
    <w:p>
      <w:pPr>
        <w:pStyle w:val="Style32"/>
        <w:keepNext w:val="0"/>
        <w:keepLines w:val="0"/>
        <w:widowControl w:val="0"/>
        <w:shd w:val="clear" w:color="auto" w:fill="auto"/>
        <w:bidi w:val="0"/>
        <w:spacing w:before="0" w:line="312" w:lineRule="exact"/>
        <w:ind w:left="960" w:right="0" w:firstLine="20"/>
        <w:jc w:val="both"/>
      </w:pPr>
      <w:r>
        <w:rPr>
          <w:color w:val="000000"/>
          <w:spacing w:val="0"/>
          <w:w w:val="100"/>
          <w:position w:val="0"/>
        </w:rPr>
        <w:t>因追加投资等原因能够对被投资单位施加重大影响或实施共同控制但不构成控制的，按照原持有的股权投资的公允价值加上 新增投资成本之和，作为改按权益法核算的初始投资成本。原持有的股权投资分类为可供出售金融资产的，其公允价值与账 面价值之间的差额，以及原计入其他综合收益的累计公允价值变动应当转入改按权益法核算的当期损益。</w:t>
      </w:r>
    </w:p>
    <w:p>
      <w:pPr>
        <w:pStyle w:val="Style32"/>
        <w:keepNext w:val="0"/>
        <w:keepLines w:val="0"/>
        <w:widowControl w:val="0"/>
        <w:shd w:val="clear" w:color="auto" w:fill="auto"/>
        <w:bidi w:val="0"/>
        <w:spacing w:before="0" w:after="380" w:line="310" w:lineRule="exact"/>
        <w:ind w:left="960" w:right="0" w:firstLine="20"/>
        <w:jc w:val="both"/>
      </w:pPr>
      <w:r>
        <w:rPr>
          <w:color w:val="000000"/>
          <w:spacing w:val="0"/>
          <w:w w:val="100"/>
          <w:position w:val="0"/>
        </w:rPr>
        <w:t>因处置部分股权投资等原因丧失了对被投资单位的共同控制或重大影响的,处置后的剩余股权改按其在丧失共同控制或重大 影响之日的公允价值与账面价值之间的差额计入当期损益。原股权投资因采用权益法核算而确认的其他综合收益，在终止采 用权益法核算时采用与被投资单位直接处置相关资产或负债相同的基础进行会计处理。</w:t>
      </w:r>
    </w:p>
    <w:p>
      <w:pPr>
        <w:pStyle w:val="Style55"/>
        <w:keepNext/>
        <w:keepLines/>
        <w:widowControl w:val="0"/>
        <w:shd w:val="clear" w:color="auto" w:fill="auto"/>
        <w:bidi w:val="0"/>
        <w:spacing w:before="0" w:after="380" w:line="240" w:lineRule="auto"/>
        <w:ind w:left="0" w:right="0" w:firstLine="960"/>
        <w:jc w:val="left"/>
      </w:pPr>
      <w:bookmarkStart w:id="994" w:name="bookmark994"/>
      <w:bookmarkStart w:id="995" w:name="bookmark995"/>
      <w:bookmarkStart w:id="996" w:name="bookmark996"/>
      <w:bookmarkStart w:id="997" w:name="bookmark997"/>
      <w:r>
        <w:rPr>
          <w:rFonts w:ascii="Times New Roman" w:eastAsia="Times New Roman" w:hAnsi="Times New Roman" w:cs="Times New Roman"/>
          <w:color w:val="000000"/>
          <w:spacing w:val="0"/>
          <w:w w:val="100"/>
          <w:position w:val="0"/>
        </w:rPr>
        <w:t>2</w:t>
      </w:r>
      <w:bookmarkEnd w:id="996"/>
      <w:r>
        <w:rPr>
          <w:rFonts w:ascii="Times New Roman" w:eastAsia="Times New Roman" w:hAnsi="Times New Roman" w:cs="Times New Roman"/>
          <w:color w:val="000000"/>
          <w:spacing w:val="0"/>
          <w:w w:val="100"/>
          <w:position w:val="0"/>
        </w:rPr>
        <w:t>3</w:t>
      </w:r>
      <w:r>
        <w:rPr>
          <w:color w:val="000000"/>
          <w:spacing w:val="0"/>
          <w:w w:val="100"/>
          <w:position w:val="0"/>
        </w:rPr>
        <w:t>、投资性房地产</w:t>
      </w:r>
      <w:bookmarkEnd w:id="994"/>
      <w:bookmarkEnd w:id="995"/>
      <w:bookmarkEnd w:id="997"/>
    </w:p>
    <w:p>
      <w:pPr>
        <w:pStyle w:val="Style32"/>
        <w:keepNext w:val="0"/>
        <w:keepLines w:val="0"/>
        <w:widowControl w:val="0"/>
        <w:shd w:val="clear" w:color="auto" w:fill="auto"/>
        <w:bidi w:val="0"/>
        <w:spacing w:before="0" w:after="120" w:line="240" w:lineRule="auto"/>
        <w:ind w:left="0" w:right="0" w:firstLine="960"/>
        <w:jc w:val="left"/>
      </w:pPr>
      <w:r>
        <w:rPr>
          <w:color w:val="000000"/>
          <w:spacing w:val="0"/>
          <w:w w:val="100"/>
          <w:position w:val="0"/>
        </w:rPr>
        <w:t>投资性房地产计量模式</w:t>
      </w:r>
    </w:p>
    <w:p>
      <w:pPr>
        <w:pStyle w:val="Style32"/>
        <w:keepNext w:val="0"/>
        <w:keepLines w:val="0"/>
        <w:widowControl w:val="0"/>
        <w:shd w:val="clear" w:color="auto" w:fill="auto"/>
        <w:bidi w:val="0"/>
        <w:spacing w:before="0" w:after="120" w:line="240" w:lineRule="auto"/>
        <w:ind w:left="0" w:right="0" w:firstLine="960"/>
        <w:jc w:val="left"/>
      </w:pPr>
      <w:r>
        <w:rPr>
          <w:color w:val="000000"/>
          <w:spacing w:val="0"/>
          <w:w w:val="100"/>
          <w:position w:val="0"/>
        </w:rPr>
        <w:t>成本法计量</w:t>
      </w:r>
    </w:p>
    <w:p>
      <w:pPr>
        <w:pStyle w:val="Style32"/>
        <w:keepNext w:val="0"/>
        <w:keepLines w:val="0"/>
        <w:widowControl w:val="0"/>
        <w:shd w:val="clear" w:color="auto" w:fill="auto"/>
        <w:bidi w:val="0"/>
        <w:spacing w:before="0" w:after="120" w:line="240" w:lineRule="auto"/>
        <w:ind w:left="0" w:right="0" w:firstLine="960"/>
        <w:jc w:val="left"/>
      </w:pPr>
      <w:r>
        <w:rPr>
          <w:color w:val="000000"/>
          <w:spacing w:val="0"/>
          <w:w w:val="100"/>
          <w:position w:val="0"/>
        </w:rPr>
        <w:t>折旧或摊销方法</w:t>
      </w:r>
    </w:p>
    <w:p>
      <w:pPr>
        <w:pStyle w:val="Style32"/>
        <w:keepNext w:val="0"/>
        <w:keepLines w:val="0"/>
        <w:widowControl w:val="0"/>
        <w:shd w:val="clear" w:color="auto" w:fill="auto"/>
        <w:bidi w:val="0"/>
        <w:spacing w:before="0" w:after="380" w:line="240" w:lineRule="auto"/>
        <w:ind w:left="0" w:right="0" w:firstLine="960"/>
        <w:jc w:val="left"/>
      </w:pPr>
      <w:r>
        <w:rPr>
          <w:color w:val="000000"/>
          <w:spacing w:val="0"/>
          <w:w w:val="100"/>
          <w:position w:val="0"/>
        </w:rPr>
        <w:t>本公司对投资性房地产成本减累计减值及净残值后按直线法计算折旧或摊销。</w:t>
      </w:r>
    </w:p>
    <w:p>
      <w:pPr>
        <w:pStyle w:val="Style55"/>
        <w:keepNext/>
        <w:keepLines/>
        <w:widowControl w:val="0"/>
        <w:shd w:val="clear" w:color="auto" w:fill="auto"/>
        <w:bidi w:val="0"/>
        <w:spacing w:before="0" w:after="380" w:line="240" w:lineRule="auto"/>
        <w:ind w:left="960" w:right="0" w:firstLine="20"/>
        <w:jc w:val="both"/>
      </w:pPr>
      <w:bookmarkStart w:id="1000" w:name="bookmark1000"/>
      <w:bookmarkStart w:id="1001" w:name="bookmark1001"/>
      <w:bookmarkStart w:id="998" w:name="bookmark998"/>
      <w:bookmarkStart w:id="999" w:name="bookmark999"/>
      <w:r>
        <w:rPr>
          <w:rFonts w:ascii="Times New Roman" w:eastAsia="Times New Roman" w:hAnsi="Times New Roman" w:cs="Times New Roman"/>
          <w:color w:val="000000"/>
          <w:spacing w:val="0"/>
          <w:w w:val="100"/>
          <w:position w:val="0"/>
        </w:rPr>
        <w:t>2</w:t>
      </w:r>
      <w:bookmarkEnd w:id="1000"/>
      <w:r>
        <w:rPr>
          <w:rFonts w:ascii="Times New Roman" w:eastAsia="Times New Roman" w:hAnsi="Times New Roman" w:cs="Times New Roman"/>
          <w:color w:val="000000"/>
          <w:spacing w:val="0"/>
          <w:w w:val="100"/>
          <w:position w:val="0"/>
        </w:rPr>
        <w:t>4</w:t>
      </w:r>
      <w:r>
        <w:rPr>
          <w:color w:val="000000"/>
          <w:spacing w:val="0"/>
          <w:w w:val="100"/>
          <w:position w:val="0"/>
        </w:rPr>
        <w:t>、固定资产</w:t>
      </w:r>
      <w:bookmarkEnd w:id="1001"/>
      <w:bookmarkEnd w:id="998"/>
      <w:bookmarkEnd w:id="999"/>
    </w:p>
    <w:p>
      <w:pPr>
        <w:pStyle w:val="Style55"/>
        <w:keepNext/>
        <w:keepLines/>
        <w:widowControl w:val="0"/>
        <w:shd w:val="clear" w:color="auto" w:fill="auto"/>
        <w:bidi w:val="0"/>
        <w:spacing w:before="0" w:after="260" w:line="240" w:lineRule="auto"/>
        <w:ind w:left="960" w:right="0" w:firstLine="20"/>
        <w:jc w:val="both"/>
      </w:pPr>
      <w:bookmarkStart w:id="1002" w:name="bookmark1002"/>
      <w:bookmarkStart w:id="1003" w:name="bookmark1003"/>
      <w:bookmarkStart w:id="998" w:name="bookmark998"/>
      <w:bookmarkStart w:id="999" w:name="bookmark999"/>
      <w:r>
        <w:rPr>
          <w:color w:val="000000"/>
          <w:spacing w:val="0"/>
          <w:w w:val="100"/>
          <w:position w:val="0"/>
        </w:rPr>
        <w:t>（</w:t>
      </w:r>
      <w:bookmarkEnd w:id="1002"/>
      <w:r>
        <w:rPr>
          <w:rFonts w:ascii="Times New Roman" w:eastAsia="Times New Roman" w:hAnsi="Times New Roman" w:cs="Times New Roman"/>
          <w:color w:val="000000"/>
          <w:spacing w:val="0"/>
          <w:w w:val="100"/>
          <w:position w:val="0"/>
        </w:rPr>
        <w:t>1</w:t>
      </w:r>
      <w:r>
        <w:rPr>
          <w:color w:val="000000"/>
          <w:spacing w:val="0"/>
          <w:w w:val="100"/>
          <w:position w:val="0"/>
        </w:rPr>
        <w:t>）确认条件</w:t>
      </w:r>
      <w:bookmarkEnd w:id="1003"/>
      <w:bookmarkEnd w:id="998"/>
      <w:bookmarkEnd w:id="999"/>
    </w:p>
    <w:p>
      <w:pPr>
        <w:pStyle w:val="Style32"/>
        <w:keepNext w:val="0"/>
        <w:keepLines w:val="0"/>
        <w:widowControl w:val="0"/>
        <w:shd w:val="clear" w:color="auto" w:fill="auto"/>
        <w:bidi w:val="0"/>
        <w:spacing w:before="0" w:after="380" w:line="310" w:lineRule="exact"/>
        <w:ind w:left="960" w:right="0" w:firstLine="20"/>
        <w:jc w:val="both"/>
      </w:pPr>
      <w:r>
        <w:rPr>
          <w:color w:val="000000"/>
          <w:spacing w:val="0"/>
          <w:w w:val="100"/>
          <w:position w:val="0"/>
        </w:rPr>
        <w:t>固定资产是指为提供生产商品、提供劳务、出租或经营管理而持有的使用寿命超过一年的单位价值较高的有形资产。固定资 产在同时满足下列条件时，按取得时的实际成本予以确认：</w:t>
      </w:r>
      <w:r>
        <w:rPr>
          <w:rFonts w:ascii="Times New Roman" w:eastAsia="Times New Roman" w:hAnsi="Times New Roman" w:cs="Times New Roman"/>
          <w:color w:val="000000"/>
          <w:spacing w:val="0"/>
          <w:w w:val="100"/>
          <w:position w:val="0"/>
        </w:rPr>
        <w:t>1</w:t>
      </w:r>
      <w:r>
        <w:rPr>
          <w:color w:val="000000"/>
          <w:spacing w:val="0"/>
          <w:w w:val="100"/>
          <w:position w:val="0"/>
        </w:rPr>
        <w:t>）与该固定资产有关的经济利益很可能流入企业。</w:t>
      </w:r>
      <w:r>
        <w:rPr>
          <w:rFonts w:ascii="Times New Roman" w:eastAsia="Times New Roman" w:hAnsi="Times New Roman" w:cs="Times New Roman"/>
          <w:color w:val="000000"/>
          <w:spacing w:val="0"/>
          <w:w w:val="100"/>
          <w:position w:val="0"/>
        </w:rPr>
        <w:t>2</w:t>
      </w:r>
      <w:r>
        <w:rPr>
          <w:color w:val="000000"/>
          <w:spacing w:val="0"/>
          <w:w w:val="100"/>
          <w:position w:val="0"/>
        </w:rPr>
        <w:t>）该固定资 产的成本能够可靠地计量。固定资产发生的后续支出，符合固定资产确认条件的计入固定资产成本；不符合固定资产确认条 件的在发生时计入当期损益。</w:t>
      </w:r>
    </w:p>
    <w:p>
      <w:pPr>
        <w:pStyle w:val="Style55"/>
        <w:keepNext/>
        <w:keepLines/>
        <w:widowControl w:val="0"/>
        <w:shd w:val="clear" w:color="auto" w:fill="auto"/>
        <w:bidi w:val="0"/>
        <w:spacing w:before="0" w:after="320" w:line="240" w:lineRule="auto"/>
        <w:ind w:left="1100" w:right="0" w:firstLine="0"/>
        <w:jc w:val="left"/>
      </w:pPr>
      <w:bookmarkStart w:id="1004" w:name="bookmark1004"/>
      <w:bookmarkStart w:id="1005" w:name="bookmark1005"/>
      <w:bookmarkStart w:id="1006" w:name="bookmark1006"/>
      <w:bookmarkStart w:id="1007" w:name="bookmark1007"/>
      <w:r>
        <w:rPr>
          <w:color w:val="000000"/>
          <w:spacing w:val="0"/>
          <w:w w:val="100"/>
          <w:position w:val="0"/>
        </w:rPr>
        <w:t>（</w:t>
      </w:r>
      <w:bookmarkEnd w:id="1006"/>
      <w:r>
        <w:rPr>
          <w:rFonts w:ascii="Times New Roman" w:eastAsia="Times New Roman" w:hAnsi="Times New Roman" w:cs="Times New Roman"/>
          <w:color w:val="000000"/>
          <w:spacing w:val="0"/>
          <w:w w:val="100"/>
          <w:position w:val="0"/>
        </w:rPr>
        <w:t>2</w:t>
      </w:r>
      <w:r>
        <w:rPr>
          <w:color w:val="000000"/>
          <w:spacing w:val="0"/>
          <w:w w:val="100"/>
          <w:position w:val="0"/>
        </w:rPr>
        <w:t>）折旧方法</w:t>
      </w:r>
      <w:bookmarkEnd w:id="1004"/>
      <w:bookmarkEnd w:id="1005"/>
      <w:bookmarkEnd w:id="1007"/>
    </w:p>
    <w:tbl>
      <w:tblPr>
        <w:tblOverlap w:val="never"/>
        <w:jc w:val="center"/>
        <w:tblLayout w:type="fixed"/>
      </w:tblPr>
      <w:tblGrid>
        <w:gridCol w:w="1925"/>
        <w:gridCol w:w="1910"/>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折旧方法</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折旧年限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残值率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年折旧率</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房屋建筑物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35-40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2.71-2.375%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机器设备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9.50%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运输工具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23.75-19.00%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电子设备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31.67-13.57%</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年限平均法</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31.67-4.75%</w:t>
            </w:r>
          </w:p>
        </w:tc>
      </w:tr>
    </w:tbl>
    <w:p>
      <w:pPr>
        <w:pStyle w:val="Style32"/>
        <w:keepNext w:val="0"/>
        <w:keepLines w:val="0"/>
        <w:widowControl w:val="0"/>
        <w:shd w:val="clear" w:color="auto" w:fill="auto"/>
        <w:bidi w:val="0"/>
        <w:spacing w:before="0" w:line="312" w:lineRule="exact"/>
        <w:ind w:left="960" w:right="0" w:firstLine="20"/>
        <w:jc w:val="left"/>
      </w:pPr>
      <w:r>
        <w:rPr>
          <w:color w:val="000000"/>
          <w:spacing w:val="0"/>
          <w:w w:val="100"/>
          <w:position w:val="0"/>
        </w:rPr>
        <w:t>本公司从固定资产达到预定可使用状态的次月起按年限平均法计提折旧，按固定资产的类别、估计的经济使用年限和预计的 净残值率分别确定折旧年限和年折旧率。</w:t>
      </w:r>
    </w:p>
    <w:p>
      <w:pPr>
        <w:pStyle w:val="Style32"/>
        <w:keepNext w:val="0"/>
        <w:keepLines w:val="0"/>
        <w:widowControl w:val="0"/>
        <w:shd w:val="clear" w:color="auto" w:fill="auto"/>
        <w:bidi w:val="0"/>
        <w:spacing w:before="0" w:line="312" w:lineRule="exact"/>
        <w:ind w:left="960" w:right="0" w:firstLine="20"/>
        <w:jc w:val="left"/>
      </w:pPr>
      <w:r>
        <w:rPr>
          <w:color w:val="000000"/>
          <w:spacing w:val="0"/>
          <w:w w:val="100"/>
          <w:position w:val="0"/>
        </w:rPr>
        <w:t>对于已经计提减值准备的固定资产，在计提折旧时扣除已计提的固定资产减值准备。</w:t>
      </w:r>
    </w:p>
    <w:p>
      <w:pPr>
        <w:pStyle w:val="Style32"/>
        <w:keepNext w:val="0"/>
        <w:keepLines w:val="0"/>
        <w:widowControl w:val="0"/>
        <w:shd w:val="clear" w:color="auto" w:fill="auto"/>
        <w:bidi w:val="0"/>
        <w:spacing w:before="0" w:after="380" w:line="312" w:lineRule="exact"/>
        <w:ind w:left="960" w:right="0" w:firstLine="20"/>
        <w:jc w:val="left"/>
      </w:pPr>
      <w:r>
        <w:rPr>
          <w:color w:val="000000"/>
          <w:spacing w:val="0"/>
          <w:w w:val="100"/>
          <w:position w:val="0"/>
        </w:rPr>
        <w:t>每年年度终了，公司对固定资产的使用寿命、预计净残值和折旧方法进行复核。使用寿命预计数与原先估计数有差异的，调 整固定资产使用寿命。</w:t>
      </w:r>
    </w:p>
    <w:p>
      <w:pPr>
        <w:pStyle w:val="Style55"/>
        <w:keepNext/>
        <w:keepLines/>
        <w:widowControl w:val="0"/>
        <w:shd w:val="clear" w:color="auto" w:fill="auto"/>
        <w:bidi w:val="0"/>
        <w:spacing w:before="0" w:after="380" w:line="240" w:lineRule="auto"/>
        <w:ind w:left="0" w:right="0" w:firstLine="960"/>
        <w:jc w:val="both"/>
      </w:pPr>
      <w:bookmarkStart w:id="1008" w:name="bookmark1008"/>
      <w:bookmarkStart w:id="1009" w:name="bookmark1009"/>
      <w:bookmarkStart w:id="1010" w:name="bookmark1010"/>
      <w:bookmarkStart w:id="1011" w:name="bookmark1011"/>
      <w:r>
        <w:rPr>
          <w:color w:val="000000"/>
          <w:spacing w:val="0"/>
          <w:w w:val="100"/>
          <w:position w:val="0"/>
        </w:rPr>
        <w:t>（</w:t>
      </w:r>
      <w:bookmarkEnd w:id="1010"/>
      <w:r>
        <w:rPr>
          <w:rFonts w:ascii="Times New Roman" w:eastAsia="Times New Roman" w:hAnsi="Times New Roman" w:cs="Times New Roman"/>
          <w:color w:val="000000"/>
          <w:spacing w:val="0"/>
          <w:w w:val="100"/>
          <w:position w:val="0"/>
        </w:rPr>
        <w:t>3</w:t>
      </w:r>
      <w:r>
        <w:rPr>
          <w:color w:val="000000"/>
          <w:spacing w:val="0"/>
          <w:w w:val="100"/>
          <w:position w:val="0"/>
        </w:rPr>
        <w:t>）融资租入固定资产的认定依据、计价和折旧方法</w:t>
      </w:r>
      <w:bookmarkEnd w:id="1008"/>
      <w:bookmarkEnd w:id="1009"/>
      <w:bookmarkEnd w:id="1011"/>
    </w:p>
    <w:p>
      <w:pPr>
        <w:pStyle w:val="Style32"/>
        <w:keepNext w:val="0"/>
        <w:keepLines w:val="0"/>
        <w:widowControl w:val="0"/>
        <w:shd w:val="clear" w:color="auto" w:fill="auto"/>
        <w:bidi w:val="0"/>
        <w:spacing w:before="0" w:after="300" w:line="240" w:lineRule="auto"/>
        <w:ind w:left="0" w:right="0" w:firstLine="960"/>
        <w:jc w:val="both"/>
      </w:pPr>
      <w:r>
        <w:rPr>
          <w:color w:val="000000"/>
          <w:spacing w:val="0"/>
          <w:w w:val="100"/>
          <w:position w:val="0"/>
        </w:rPr>
        <w:t>本公司在租入的固定资产实质上转移了与资产有关的全部风险和报酬时确认该项固定资产的租赁为融资租赁。融资租赁取得</w:t>
      </w:r>
      <w:r>
        <w:br w:type="page"/>
      </w:r>
    </w:p>
    <w:p>
      <w:pPr>
        <w:pStyle w:val="Style32"/>
        <w:keepNext w:val="0"/>
        <w:keepLines w:val="0"/>
        <w:widowControl w:val="0"/>
        <w:shd w:val="clear" w:color="auto" w:fill="auto"/>
        <w:bidi w:val="0"/>
        <w:spacing w:before="0" w:after="380" w:line="240" w:lineRule="auto"/>
        <w:ind w:left="980" w:right="0" w:firstLine="0"/>
        <w:jc w:val="both"/>
      </w:pPr>
      <w:r>
        <mc:AlternateContent>
          <mc:Choice Requires="wps">
            <w:drawing>
              <wp:anchor distT="0" distB="0" distL="114300" distR="114300" simplePos="0" relativeHeight="125829581" behindDoc="0" locked="0" layoutInCell="1" allowOverlap="1">
                <wp:simplePos x="0" y="0"/>
                <wp:positionH relativeFrom="page">
                  <wp:posOffset>803910</wp:posOffset>
                </wp:positionH>
                <wp:positionV relativeFrom="margin">
                  <wp:posOffset>-60325</wp:posOffset>
                </wp:positionV>
                <wp:extent cx="1243330" cy="283210"/>
                <wp:wrapTopAndBottom/>
                <wp:docPr id="761" name="Shape 761"/>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787" type="#_x0000_t202" style="position:absolute;margin-left:63.300000000000004pt;margin-top:-4.75pt;width:97.900000000000006pt;height:22.300000000000001pt;z-index:-125829172;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 xml:space="preserve">的固定资产的成本，按租赁开始日租赁资产公允价值与最低租赁付款额现值两者中较低者确定。融资租入的固定资产采用与 </w:t>
      </w:r>
      <w:r>
        <w:rPr>
          <w:color w:val="000000"/>
          <w:spacing w:val="0"/>
          <w:w w:val="100"/>
          <w:position w:val="0"/>
        </w:rPr>
        <w:t xml:space="preserve">自有固定资产相一致的折旧政策计提租赁资产折旧。能够合理确定租赁期届满时将会取得租赁资产所有权的，在租赁资产使 </w:t>
      </w:r>
      <w:r>
        <w:rPr>
          <w:color w:val="000000"/>
          <w:spacing w:val="0"/>
          <w:w w:val="100"/>
          <w:position w:val="0"/>
        </w:rPr>
        <w:t xml:space="preserve">用年限内计提折旧；无法合理确定租赁期届满时能够取得租赁资产所有权的，在租赁期与租赁资产使用寿命两者中较短的期 </w:t>
      </w:r>
      <w:r>
        <w:rPr>
          <w:color w:val="000000"/>
          <w:spacing w:val="0"/>
          <w:w w:val="100"/>
          <w:position w:val="0"/>
        </w:rPr>
        <w:t>间内计提折旧。</w:t>
      </w:r>
    </w:p>
    <w:p>
      <w:pPr>
        <w:pStyle w:val="Style55"/>
        <w:keepNext/>
        <w:keepLines/>
        <w:widowControl w:val="0"/>
        <w:shd w:val="clear" w:color="auto" w:fill="auto"/>
        <w:bidi w:val="0"/>
        <w:spacing w:before="0" w:after="280" w:line="240" w:lineRule="auto"/>
        <w:ind w:left="980" w:right="0" w:firstLine="0"/>
        <w:jc w:val="both"/>
      </w:pPr>
      <w:bookmarkStart w:id="1012" w:name="bookmark1012"/>
      <w:bookmarkStart w:id="1013" w:name="bookmark1013"/>
      <w:bookmarkStart w:id="1014" w:name="bookmark1014"/>
      <w:bookmarkStart w:id="1015" w:name="bookmark1015"/>
      <w:r>
        <w:rPr>
          <w:rFonts w:ascii="Times New Roman" w:eastAsia="Times New Roman" w:hAnsi="Times New Roman" w:cs="Times New Roman"/>
          <w:color w:val="000000"/>
          <w:spacing w:val="0"/>
          <w:w w:val="100"/>
          <w:position w:val="0"/>
        </w:rPr>
        <w:t>2</w:t>
      </w:r>
      <w:bookmarkEnd w:id="1014"/>
      <w:r>
        <w:rPr>
          <w:rFonts w:ascii="Times New Roman" w:eastAsia="Times New Roman" w:hAnsi="Times New Roman" w:cs="Times New Roman"/>
          <w:color w:val="000000"/>
          <w:spacing w:val="0"/>
          <w:w w:val="100"/>
          <w:position w:val="0"/>
        </w:rPr>
        <w:t>5</w:t>
      </w:r>
      <w:r>
        <w:rPr>
          <w:color w:val="000000"/>
          <w:spacing w:val="0"/>
          <w:w w:val="100"/>
          <w:position w:val="0"/>
        </w:rPr>
        <w:t>、在建工程</w:t>
      </w:r>
      <w:bookmarkEnd w:id="1012"/>
      <w:bookmarkEnd w:id="1013"/>
      <w:bookmarkEnd w:id="1015"/>
    </w:p>
    <w:p>
      <w:pPr>
        <w:pStyle w:val="Style32"/>
        <w:keepNext w:val="0"/>
        <w:keepLines w:val="0"/>
        <w:widowControl w:val="0"/>
        <w:shd w:val="clear" w:color="auto" w:fill="auto"/>
        <w:tabs>
          <w:tab w:pos="1425" w:val="left"/>
        </w:tabs>
        <w:bidi w:val="0"/>
        <w:spacing w:before="0" w:after="0" w:line="313" w:lineRule="exact"/>
        <w:ind w:left="980" w:right="0" w:firstLine="0"/>
        <w:jc w:val="both"/>
      </w:pPr>
      <w:bookmarkStart w:id="1016" w:name="bookmark1016"/>
      <w:r>
        <w:rPr>
          <w:color w:val="000000"/>
          <w:spacing w:val="0"/>
          <w:w w:val="100"/>
          <w:position w:val="0"/>
        </w:rPr>
        <w:t>（</w:t>
      </w:r>
      <w:bookmarkEnd w:id="1016"/>
      <w:r>
        <w:rPr>
          <w:rFonts w:ascii="Times New Roman" w:eastAsia="Times New Roman" w:hAnsi="Times New Roman" w:cs="Times New Roman"/>
          <w:color w:val="000000"/>
          <w:spacing w:val="0"/>
          <w:w w:val="100"/>
          <w:position w:val="0"/>
        </w:rPr>
        <w:t>1</w:t>
      </w:r>
      <w:r>
        <w:rPr>
          <w:color w:val="000000"/>
          <w:spacing w:val="0"/>
          <w:w w:val="100"/>
          <w:position w:val="0"/>
        </w:rPr>
        <w:t>）</w:t>
        <w:tab/>
        <w:t>在建工程以立项项目分类核算。</w:t>
      </w:r>
    </w:p>
    <w:p>
      <w:pPr>
        <w:pStyle w:val="Style32"/>
        <w:keepNext w:val="0"/>
        <w:keepLines w:val="0"/>
        <w:widowControl w:val="0"/>
        <w:shd w:val="clear" w:color="auto" w:fill="auto"/>
        <w:tabs>
          <w:tab w:pos="1425" w:val="left"/>
        </w:tabs>
        <w:bidi w:val="0"/>
        <w:spacing w:before="0" w:after="0" w:line="313" w:lineRule="exact"/>
        <w:ind w:left="980" w:right="0" w:firstLine="0"/>
        <w:jc w:val="both"/>
      </w:pPr>
      <w:bookmarkStart w:id="1017" w:name="bookmark1017"/>
      <w:r>
        <w:rPr>
          <w:color w:val="000000"/>
          <w:spacing w:val="0"/>
          <w:w w:val="100"/>
          <w:position w:val="0"/>
        </w:rPr>
        <w:t>（</w:t>
      </w:r>
      <w:bookmarkEnd w:id="1017"/>
      <w:r>
        <w:rPr>
          <w:rFonts w:ascii="Times New Roman" w:eastAsia="Times New Roman" w:hAnsi="Times New Roman" w:cs="Times New Roman"/>
          <w:color w:val="000000"/>
          <w:spacing w:val="0"/>
          <w:w w:val="100"/>
          <w:position w:val="0"/>
        </w:rPr>
        <w:t>2</w:t>
      </w:r>
      <w:r>
        <w:rPr>
          <w:color w:val="000000"/>
          <w:spacing w:val="0"/>
          <w:w w:val="100"/>
          <w:position w:val="0"/>
        </w:rPr>
        <w:t>）</w:t>
        <w:tab/>
        <w:t>在建工程结转为固定资产的标准和时点</w:t>
      </w:r>
    </w:p>
    <w:p>
      <w:pPr>
        <w:pStyle w:val="Style32"/>
        <w:keepNext w:val="0"/>
        <w:keepLines w:val="0"/>
        <w:widowControl w:val="0"/>
        <w:shd w:val="clear" w:color="auto" w:fill="auto"/>
        <w:bidi w:val="0"/>
        <w:spacing w:before="0" w:after="380" w:line="313" w:lineRule="exact"/>
        <w:ind w:left="980" w:right="0" w:firstLine="0"/>
        <w:jc w:val="both"/>
      </w:pPr>
      <w:r>
        <w:rPr>
          <w:color w:val="000000"/>
          <w:spacing w:val="0"/>
          <w:w w:val="100"/>
          <w:position w:val="0"/>
        </w:rPr>
        <w:t>在建工程项目按建造该项资产达到预定可使用状态前所发生的全部支出，作为固定资产的入账价值。包括建筑费用、机器设 备原价、其他为使在建工程达到预定可使用状态所发生的必要支出以及在资产达到预定可使用状态之前为该项目专门借款所 发生的借款费用及占用的一般借款发生的借款费用。本公司在工程安装或建设完成达到预定可使用状态时将在建工程转入固 定资产。所建造的已达到预定可使用状态、但尚未办理竣工决算的固定资产，自达到预定可使用状态之日起，根据工程预算、 造价或者工程实际成本等，按估计的价值转入固定资产，并按本公司固定资产折旧政策计提固定资产的折旧，待办理竣工决 算后，再按实际成本调整原来的暂估价值，但不调整原已计提的折旧额。</w:t>
      </w:r>
    </w:p>
    <w:p>
      <w:pPr>
        <w:pStyle w:val="Style55"/>
        <w:keepNext/>
        <w:keepLines/>
        <w:widowControl w:val="0"/>
        <w:shd w:val="clear" w:color="auto" w:fill="auto"/>
        <w:bidi w:val="0"/>
        <w:spacing w:before="0" w:after="280" w:line="240" w:lineRule="auto"/>
        <w:ind w:left="980" w:right="0" w:firstLine="0"/>
        <w:jc w:val="both"/>
      </w:pPr>
      <w:bookmarkStart w:id="1018" w:name="bookmark1018"/>
      <w:bookmarkStart w:id="1019" w:name="bookmark1019"/>
      <w:bookmarkStart w:id="1020" w:name="bookmark1020"/>
      <w:bookmarkStart w:id="1021" w:name="bookmark1021"/>
      <w:r>
        <w:rPr>
          <w:rFonts w:ascii="Times New Roman" w:eastAsia="Times New Roman" w:hAnsi="Times New Roman" w:cs="Times New Roman"/>
          <w:color w:val="000000"/>
          <w:spacing w:val="0"/>
          <w:w w:val="100"/>
          <w:position w:val="0"/>
        </w:rPr>
        <w:t>2</w:t>
      </w:r>
      <w:bookmarkEnd w:id="1020"/>
      <w:r>
        <w:rPr>
          <w:rFonts w:ascii="Times New Roman" w:eastAsia="Times New Roman" w:hAnsi="Times New Roman" w:cs="Times New Roman"/>
          <w:color w:val="000000"/>
          <w:spacing w:val="0"/>
          <w:w w:val="100"/>
          <w:position w:val="0"/>
        </w:rPr>
        <w:t>6</w:t>
      </w:r>
      <w:r>
        <w:rPr>
          <w:color w:val="000000"/>
          <w:spacing w:val="0"/>
          <w:w w:val="100"/>
          <w:position w:val="0"/>
        </w:rPr>
        <w:t>、借款费用</w:t>
      </w:r>
      <w:bookmarkEnd w:id="1018"/>
      <w:bookmarkEnd w:id="1019"/>
      <w:bookmarkEnd w:id="1021"/>
    </w:p>
    <w:p>
      <w:pPr>
        <w:pStyle w:val="Style32"/>
        <w:keepNext w:val="0"/>
        <w:keepLines w:val="0"/>
        <w:widowControl w:val="0"/>
        <w:shd w:val="clear" w:color="auto" w:fill="auto"/>
        <w:tabs>
          <w:tab w:pos="1425" w:val="left"/>
        </w:tabs>
        <w:bidi w:val="0"/>
        <w:spacing w:before="0" w:after="0" w:line="326" w:lineRule="exact"/>
        <w:ind w:left="0" w:right="0" w:firstLine="980"/>
        <w:jc w:val="left"/>
      </w:pPr>
      <w:bookmarkStart w:id="1022" w:name="bookmark1022"/>
      <w:r>
        <w:rPr>
          <w:color w:val="000000"/>
          <w:spacing w:val="0"/>
          <w:w w:val="100"/>
          <w:position w:val="0"/>
        </w:rPr>
        <w:t>（</w:t>
      </w:r>
      <w:bookmarkEnd w:id="1022"/>
      <w:r>
        <w:rPr>
          <w:rFonts w:ascii="Times New Roman" w:eastAsia="Times New Roman" w:hAnsi="Times New Roman" w:cs="Times New Roman"/>
          <w:color w:val="000000"/>
          <w:spacing w:val="0"/>
          <w:w w:val="100"/>
          <w:position w:val="0"/>
        </w:rPr>
        <w:t>1</w:t>
      </w:r>
      <w:r>
        <w:rPr>
          <w:color w:val="000000"/>
          <w:spacing w:val="0"/>
          <w:w w:val="100"/>
          <w:position w:val="0"/>
        </w:rPr>
        <w:t>）</w:t>
        <w:tab/>
        <w:t>借款费用资本化的确认原则和资本化期间</w:t>
      </w:r>
    </w:p>
    <w:p>
      <w:pPr>
        <w:pStyle w:val="Style32"/>
        <w:keepNext w:val="0"/>
        <w:keepLines w:val="0"/>
        <w:widowControl w:val="0"/>
        <w:shd w:val="clear" w:color="auto" w:fill="auto"/>
        <w:bidi w:val="0"/>
        <w:spacing w:before="0" w:after="0" w:line="317" w:lineRule="exact"/>
        <w:ind w:left="980" w:right="0" w:firstLine="0"/>
        <w:jc w:val="left"/>
      </w:pPr>
      <w:r>
        <w:rPr>
          <w:color w:val="000000"/>
          <w:spacing w:val="0"/>
          <w:w w:val="100"/>
          <w:position w:val="0"/>
        </w:rPr>
        <w:t>本公司发生的可直接归属于符合资本化条件的资产的购建或生产的借款费用在同时满足下列条件时予以资本化计入相关资 产成本：</w:t>
      </w:r>
    </w:p>
    <w:p>
      <w:pPr>
        <w:pStyle w:val="Style32"/>
        <w:keepNext w:val="0"/>
        <w:keepLines w:val="0"/>
        <w:widowControl w:val="0"/>
        <w:numPr>
          <w:ilvl w:val="0"/>
          <w:numId w:val="95"/>
        </w:numPr>
        <w:shd w:val="clear" w:color="auto" w:fill="auto"/>
        <w:tabs>
          <w:tab w:pos="1353" w:val="left"/>
        </w:tabs>
        <w:bidi w:val="0"/>
        <w:spacing w:before="0" w:after="0" w:line="326" w:lineRule="exact"/>
        <w:ind w:left="980" w:right="0" w:firstLine="0"/>
        <w:jc w:val="left"/>
      </w:pPr>
      <w:bookmarkStart w:id="1023" w:name="bookmark1023"/>
      <w:bookmarkEnd w:id="1023"/>
      <w:r>
        <w:rPr>
          <w:color w:val="000000"/>
          <w:spacing w:val="0"/>
          <w:w w:val="100"/>
          <w:position w:val="0"/>
        </w:rPr>
        <w:t>资产支出已经发生。</w:t>
      </w:r>
    </w:p>
    <w:p>
      <w:pPr>
        <w:pStyle w:val="Style32"/>
        <w:keepNext w:val="0"/>
        <w:keepLines w:val="0"/>
        <w:widowControl w:val="0"/>
        <w:numPr>
          <w:ilvl w:val="0"/>
          <w:numId w:val="95"/>
        </w:numPr>
        <w:shd w:val="clear" w:color="auto" w:fill="auto"/>
        <w:tabs>
          <w:tab w:pos="1353" w:val="left"/>
        </w:tabs>
        <w:bidi w:val="0"/>
        <w:spacing w:before="0" w:after="0" w:line="326" w:lineRule="exact"/>
        <w:ind w:left="980" w:right="0" w:firstLine="0"/>
        <w:jc w:val="left"/>
      </w:pPr>
      <w:bookmarkStart w:id="1024" w:name="bookmark1024"/>
      <w:bookmarkEnd w:id="1024"/>
      <w:r>
        <w:rPr>
          <w:color w:val="000000"/>
          <w:spacing w:val="0"/>
          <w:w w:val="100"/>
          <w:position w:val="0"/>
        </w:rPr>
        <w:t>借款费用已经发生。</w:t>
      </w:r>
    </w:p>
    <w:p>
      <w:pPr>
        <w:pStyle w:val="Style32"/>
        <w:keepNext w:val="0"/>
        <w:keepLines w:val="0"/>
        <w:widowControl w:val="0"/>
        <w:numPr>
          <w:ilvl w:val="0"/>
          <w:numId w:val="95"/>
        </w:numPr>
        <w:shd w:val="clear" w:color="auto" w:fill="auto"/>
        <w:tabs>
          <w:tab w:pos="1353" w:val="left"/>
        </w:tabs>
        <w:bidi w:val="0"/>
        <w:spacing w:before="0" w:after="0" w:line="336" w:lineRule="exact"/>
        <w:ind w:left="980" w:right="0" w:firstLine="0"/>
        <w:jc w:val="left"/>
      </w:pPr>
      <w:bookmarkStart w:id="1025" w:name="bookmark1025"/>
      <w:bookmarkEnd w:id="1025"/>
      <w:r>
        <w:rPr>
          <w:color w:val="000000"/>
          <w:spacing w:val="0"/>
          <w:w w:val="100"/>
          <w:position w:val="0"/>
        </w:rPr>
        <w:t>为使资产达到预定可使用状态所必要的购建或者生产活动已经开始。</w:t>
      </w:r>
    </w:p>
    <w:p>
      <w:pPr>
        <w:pStyle w:val="Style32"/>
        <w:keepNext w:val="0"/>
        <w:keepLines w:val="0"/>
        <w:widowControl w:val="0"/>
        <w:shd w:val="clear" w:color="auto" w:fill="auto"/>
        <w:bidi w:val="0"/>
        <w:spacing w:before="0" w:after="0" w:line="336" w:lineRule="exact"/>
        <w:ind w:left="980" w:right="0" w:firstLine="0"/>
        <w:jc w:val="left"/>
      </w:pPr>
      <w:r>
        <w:rPr>
          <w:color w:val="000000"/>
          <w:spacing w:val="0"/>
          <w:w w:val="100"/>
          <w:position w:val="0"/>
        </w:rPr>
        <w:t>其他的借款利息、折价或溢价和汇兑差额，计入发生当期的损益。</w:t>
      </w:r>
    </w:p>
    <w:p>
      <w:pPr>
        <w:pStyle w:val="Style32"/>
        <w:keepNext w:val="0"/>
        <w:keepLines w:val="0"/>
        <w:widowControl w:val="0"/>
        <w:shd w:val="clear" w:color="auto" w:fill="auto"/>
        <w:bidi w:val="0"/>
        <w:spacing w:before="0" w:after="0" w:line="336" w:lineRule="exact"/>
        <w:ind w:left="980" w:right="0" w:firstLine="0"/>
        <w:jc w:val="left"/>
      </w:pPr>
      <w:r>
        <w:rPr>
          <w:color w:val="000000"/>
          <w:spacing w:val="0"/>
          <w:w w:val="100"/>
          <w:position w:val="0"/>
        </w:rPr>
        <w:t>符合资本化条件的资产在购建或者生产过程中发生非正常中断，且中断时间连续超过</w:t>
      </w:r>
      <w:r>
        <w:rPr>
          <w:rFonts w:ascii="Times New Roman" w:eastAsia="Times New Roman" w:hAnsi="Times New Roman" w:cs="Times New Roman"/>
          <w:color w:val="000000"/>
          <w:spacing w:val="0"/>
          <w:w w:val="100"/>
          <w:position w:val="0"/>
        </w:rPr>
        <w:t>3</w:t>
      </w:r>
      <w:r>
        <w:rPr>
          <w:color w:val="000000"/>
          <w:spacing w:val="0"/>
          <w:w w:val="100"/>
          <w:position w:val="0"/>
        </w:rPr>
        <w:t>个月的，暂停借款费用的资本化。 当购建或者生产符合资本化条件的资产达到预定可使用或者可销售状态时，停止其借款费用的资本化；以后发生的借款费用 于发生当期确认为费用。</w:t>
      </w:r>
    </w:p>
    <w:p>
      <w:pPr>
        <w:pStyle w:val="Style32"/>
        <w:keepNext w:val="0"/>
        <w:keepLines w:val="0"/>
        <w:widowControl w:val="0"/>
        <w:shd w:val="clear" w:color="auto" w:fill="auto"/>
        <w:tabs>
          <w:tab w:pos="1425" w:val="left"/>
        </w:tabs>
        <w:bidi w:val="0"/>
        <w:spacing w:before="0" w:after="0" w:line="336" w:lineRule="exact"/>
        <w:ind w:left="0" w:right="0" w:firstLine="980"/>
        <w:jc w:val="left"/>
      </w:pPr>
      <w:bookmarkStart w:id="1026" w:name="bookmark1026"/>
      <w:r>
        <w:rPr>
          <w:color w:val="000000"/>
          <w:spacing w:val="0"/>
          <w:w w:val="100"/>
          <w:position w:val="0"/>
        </w:rPr>
        <w:t>（</w:t>
      </w:r>
      <w:bookmarkEnd w:id="1026"/>
      <w:r>
        <w:rPr>
          <w:rFonts w:ascii="Times New Roman" w:eastAsia="Times New Roman" w:hAnsi="Times New Roman" w:cs="Times New Roman"/>
          <w:color w:val="000000"/>
          <w:spacing w:val="0"/>
          <w:w w:val="100"/>
          <w:position w:val="0"/>
        </w:rPr>
        <w:t>2</w:t>
      </w:r>
      <w:r>
        <w:rPr>
          <w:color w:val="000000"/>
          <w:spacing w:val="0"/>
          <w:w w:val="100"/>
          <w:position w:val="0"/>
        </w:rPr>
        <w:t>）</w:t>
        <w:tab/>
        <w:t>借款费用资本化率以及资本化金额的计算方法</w:t>
      </w:r>
    </w:p>
    <w:p>
      <w:pPr>
        <w:pStyle w:val="Style32"/>
        <w:keepNext w:val="0"/>
        <w:keepLines w:val="0"/>
        <w:widowControl w:val="0"/>
        <w:shd w:val="clear" w:color="auto" w:fill="auto"/>
        <w:bidi w:val="0"/>
        <w:spacing w:before="0" w:after="0" w:line="307" w:lineRule="exact"/>
        <w:ind w:left="980" w:right="0" w:firstLine="0"/>
        <w:jc w:val="both"/>
      </w:pPr>
      <w:r>
        <w:rPr>
          <w:color w:val="000000"/>
          <w:spacing w:val="0"/>
          <w:w w:val="100"/>
          <w:position w:val="0"/>
        </w:rPr>
        <w:t>为购建或者生产符合资本化条件的资产而借入专门借款的，以专门借款当期实际发生的利息费用，减去将尚未动用的借款资 金存入银行取得的利息收入或者进行暂时性投资取得的投资收益后的金额，确定为专门借款利息费用的资本化金额。</w:t>
      </w:r>
    </w:p>
    <w:p>
      <w:pPr>
        <w:pStyle w:val="Style32"/>
        <w:keepNext w:val="0"/>
        <w:keepLines w:val="0"/>
        <w:widowControl w:val="0"/>
        <w:shd w:val="clear" w:color="auto" w:fill="auto"/>
        <w:bidi w:val="0"/>
        <w:spacing w:before="0" w:after="380" w:line="312" w:lineRule="exact"/>
        <w:ind w:left="980" w:right="0" w:firstLine="0"/>
        <w:jc w:val="both"/>
      </w:pPr>
      <w:r>
        <w:rPr>
          <w:color w:val="000000"/>
          <w:spacing w:val="0"/>
          <w:w w:val="100"/>
          <w:position w:val="0"/>
        </w:rPr>
        <w:t>购建或者生产符合资本化条件的资产占用了一般借款的，一般借款应予资本化的利息金额按累计资产支出超过专门借款部分 的资产支出加权平均数乘以所占用一般借款的资本化率，计算确定一般借款应予资本化的利息金额。资本化率根据一般借款 加权平均利率计算确定。</w:t>
      </w:r>
    </w:p>
    <w:p>
      <w:pPr>
        <w:pStyle w:val="Style55"/>
        <w:keepNext/>
        <w:keepLines/>
        <w:widowControl w:val="0"/>
        <w:shd w:val="clear" w:color="auto" w:fill="auto"/>
        <w:bidi w:val="0"/>
        <w:spacing w:before="0" w:after="980" w:line="240" w:lineRule="auto"/>
        <w:ind w:left="0" w:right="0" w:firstLine="980"/>
        <w:jc w:val="both"/>
      </w:pPr>
      <w:bookmarkStart w:id="1027" w:name="bookmark1027"/>
      <w:bookmarkStart w:id="1028" w:name="bookmark1028"/>
      <w:bookmarkStart w:id="1029" w:name="bookmark1029"/>
      <w:bookmarkStart w:id="1030" w:name="bookmark1030"/>
      <w:r>
        <w:rPr>
          <w:rFonts w:ascii="Times New Roman" w:eastAsia="Times New Roman" w:hAnsi="Times New Roman" w:cs="Times New Roman"/>
          <w:color w:val="000000"/>
          <w:spacing w:val="0"/>
          <w:w w:val="100"/>
          <w:position w:val="0"/>
        </w:rPr>
        <w:t>2</w:t>
      </w:r>
      <w:bookmarkEnd w:id="1029"/>
      <w:r>
        <w:rPr>
          <w:rFonts w:ascii="Times New Roman" w:eastAsia="Times New Roman" w:hAnsi="Times New Roman" w:cs="Times New Roman"/>
          <w:color w:val="000000"/>
          <w:spacing w:val="0"/>
          <w:w w:val="100"/>
          <w:position w:val="0"/>
        </w:rPr>
        <w:t>7</w:t>
      </w:r>
      <w:r>
        <w:rPr>
          <w:color w:val="000000"/>
          <w:spacing w:val="0"/>
          <w:w w:val="100"/>
          <w:position w:val="0"/>
        </w:rPr>
        <w:t>、生物资产</w:t>
      </w:r>
      <w:bookmarkEnd w:id="1027"/>
      <w:bookmarkEnd w:id="1028"/>
      <w:bookmarkEnd w:id="1030"/>
    </w:p>
    <w:p>
      <w:pPr>
        <w:pStyle w:val="Style55"/>
        <w:keepNext/>
        <w:keepLines/>
        <w:widowControl w:val="0"/>
        <w:shd w:val="clear" w:color="auto" w:fill="auto"/>
        <w:bidi w:val="0"/>
        <w:spacing w:before="0" w:after="60" w:line="240" w:lineRule="auto"/>
        <w:ind w:left="0" w:right="0" w:firstLine="980"/>
        <w:jc w:val="both"/>
        <w:sectPr>
          <w:headerReference w:type="default" r:id="rId313"/>
          <w:footerReference w:type="default" r:id="rId314"/>
          <w:headerReference w:type="even" r:id="rId315"/>
          <w:footerReference w:type="even" r:id="rId316"/>
          <w:footnotePr>
            <w:pos w:val="pageBottom"/>
            <w:numFmt w:val="decimal"/>
            <w:numRestart w:val="continuous"/>
          </w:footnotePr>
          <w:pgSz w:w="11900" w:h="16840"/>
          <w:pgMar w:top="1144" w:right="597" w:bottom="1470" w:left="142" w:header="0" w:footer="3" w:gutter="0"/>
          <w:cols w:space="720"/>
          <w:noEndnote/>
          <w:rtlGutter w:val="0"/>
          <w:docGrid w:linePitch="360"/>
        </w:sectPr>
      </w:pPr>
      <w:bookmarkStart w:id="1031" w:name="bookmark1031"/>
      <w:bookmarkStart w:id="1032" w:name="bookmark1032"/>
      <w:bookmarkStart w:id="1033" w:name="bookmark1033"/>
      <w:bookmarkStart w:id="1034" w:name="bookmark1034"/>
      <w:r>
        <w:rPr>
          <w:rFonts w:ascii="Times New Roman" w:eastAsia="Times New Roman" w:hAnsi="Times New Roman" w:cs="Times New Roman"/>
          <w:color w:val="000000"/>
          <w:spacing w:val="0"/>
          <w:w w:val="100"/>
          <w:position w:val="0"/>
        </w:rPr>
        <w:t>2</w:t>
      </w:r>
      <w:bookmarkEnd w:id="1033"/>
      <w:r>
        <w:rPr>
          <w:rFonts w:ascii="Times New Roman" w:eastAsia="Times New Roman" w:hAnsi="Times New Roman" w:cs="Times New Roman"/>
          <w:color w:val="000000"/>
          <w:spacing w:val="0"/>
          <w:w w:val="100"/>
          <w:position w:val="0"/>
        </w:rPr>
        <w:t>8</w:t>
      </w:r>
      <w:r>
        <w:rPr>
          <w:color w:val="000000"/>
          <w:spacing w:val="0"/>
          <w:w w:val="100"/>
          <w:position w:val="0"/>
        </w:rPr>
        <w:t>、油气资产</w:t>
      </w:r>
      <w:bookmarkEnd w:id="1031"/>
      <w:bookmarkEnd w:id="1032"/>
      <w:bookmarkEnd w:id="1034"/>
    </w:p>
    <w:p>
      <w:pPr>
        <w:pStyle w:val="Style5"/>
        <w:keepNext w:val="0"/>
        <w:keepLines w:val="0"/>
        <w:widowControl w:val="0"/>
        <w:shd w:val="clear" w:color="auto" w:fill="auto"/>
        <w:bidi w:val="0"/>
        <w:spacing w:before="0" w:after="0" w:line="240" w:lineRule="auto"/>
        <w:ind w:left="0" w:right="0" w:firstLine="960"/>
        <w:jc w:val="left"/>
      </w:pPr>
      <w:r>
        <w:rPr>
          <w:color w:val="245994"/>
          <w:spacing w:val="0"/>
          <w:w w:val="100"/>
          <w:position w:val="0"/>
        </w:rPr>
        <w:t>，广</w:t>
      </w:r>
      <w:r>
        <w:rPr>
          <w:rFonts w:ascii="Arial" w:eastAsia="Arial" w:hAnsi="Arial" w:cs="Arial"/>
          <w:color w:val="245994"/>
          <w:spacing w:val="0"/>
          <w:w w:val="100"/>
          <w:position w:val="0"/>
          <w:sz w:val="13"/>
          <w:szCs w:val="13"/>
        </w:rPr>
        <w:t>™</w:t>
      </w:r>
      <w:r>
        <w:rPr>
          <w:color w:val="2D2B2E"/>
          <w:spacing w:val="0"/>
          <w:w w:val="100"/>
          <w:position w:val="0"/>
        </w:rPr>
        <w:t>-</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1140" w:right="0" w:firstLine="0"/>
        <w:jc w:val="left"/>
      </w:pPr>
      <w:r>
        <w:rPr>
          <w:rFonts w:ascii="SimHei" w:eastAsia="SimHei" w:hAnsi="SimHei" w:cs="SimHei"/>
          <w:color w:val="245994"/>
          <w:spacing w:val="0"/>
          <w:w w:val="100"/>
          <w:position w:val="0"/>
          <w:sz w:val="15"/>
          <w:szCs w:val="15"/>
        </w:rPr>
        <w:t xml:space="preserve">，| </w:t>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tabs>
          <w:tab w:pos="1443" w:val="left"/>
        </w:tabs>
        <w:bidi w:val="0"/>
        <w:spacing w:before="0" w:after="380" w:line="240" w:lineRule="auto"/>
        <w:ind w:left="0" w:right="0" w:firstLine="960"/>
        <w:jc w:val="left"/>
      </w:pPr>
      <w:bookmarkStart w:id="1035" w:name="bookmark1035"/>
      <w:bookmarkStart w:id="1036" w:name="bookmark1036"/>
      <w:bookmarkStart w:id="1037" w:name="bookmark1037"/>
      <w:bookmarkStart w:id="1038" w:name="bookmark1038"/>
      <w:r>
        <w:rPr>
          <w:rFonts w:ascii="Times New Roman" w:eastAsia="Times New Roman" w:hAnsi="Times New Roman" w:cs="Times New Roman"/>
          <w:color w:val="000000"/>
          <w:spacing w:val="0"/>
          <w:w w:val="100"/>
          <w:position w:val="0"/>
        </w:rPr>
        <w:t>2</w:t>
      </w:r>
      <w:bookmarkEnd w:id="1037"/>
      <w:r>
        <w:rPr>
          <w:rFonts w:ascii="Times New Roman" w:eastAsia="Times New Roman" w:hAnsi="Times New Roman" w:cs="Times New Roman"/>
          <w:color w:val="000000"/>
          <w:spacing w:val="0"/>
          <w:w w:val="100"/>
          <w:position w:val="0"/>
        </w:rPr>
        <w:t>9</w:t>
      </w:r>
      <w:r>
        <w:rPr>
          <w:color w:val="000000"/>
          <w:spacing w:val="0"/>
          <w:w w:val="100"/>
          <w:position w:val="0"/>
        </w:rPr>
        <w:t>、</w:t>
        <w:tab/>
        <w:t>使用权资产</w:t>
      </w:r>
      <w:bookmarkEnd w:id="1035"/>
      <w:bookmarkEnd w:id="1036"/>
      <w:bookmarkEnd w:id="1038"/>
    </w:p>
    <w:p>
      <w:pPr>
        <w:pStyle w:val="Style32"/>
        <w:keepNext w:val="0"/>
        <w:keepLines w:val="0"/>
        <w:widowControl w:val="0"/>
        <w:shd w:val="clear" w:color="auto" w:fill="auto"/>
        <w:bidi w:val="0"/>
        <w:spacing w:before="0" w:after="380" w:line="240" w:lineRule="auto"/>
        <w:ind w:left="0" w:right="0" w:firstLine="960"/>
        <w:jc w:val="left"/>
      </w:pPr>
      <w:r>
        <w:rPr>
          <w:color w:val="000000"/>
          <w:spacing w:val="0"/>
          <w:w w:val="100"/>
          <w:position w:val="0"/>
        </w:rPr>
        <w:t>无</w:t>
      </w:r>
    </w:p>
    <w:p>
      <w:pPr>
        <w:pStyle w:val="Style55"/>
        <w:keepNext/>
        <w:keepLines/>
        <w:widowControl w:val="0"/>
        <w:shd w:val="clear" w:color="auto" w:fill="auto"/>
        <w:tabs>
          <w:tab w:pos="1443" w:val="left"/>
        </w:tabs>
        <w:bidi w:val="0"/>
        <w:spacing w:before="0" w:after="380" w:line="240" w:lineRule="auto"/>
        <w:ind w:left="0" w:right="0" w:firstLine="960"/>
        <w:jc w:val="left"/>
      </w:pPr>
      <w:bookmarkStart w:id="1039" w:name="bookmark1039"/>
      <w:bookmarkStart w:id="1040" w:name="bookmark1040"/>
      <w:bookmarkStart w:id="1041" w:name="bookmark1041"/>
      <w:bookmarkStart w:id="1042" w:name="bookmark1042"/>
      <w:r>
        <w:rPr>
          <w:rFonts w:ascii="Times New Roman" w:eastAsia="Times New Roman" w:hAnsi="Times New Roman" w:cs="Times New Roman"/>
          <w:color w:val="000000"/>
          <w:spacing w:val="0"/>
          <w:w w:val="100"/>
          <w:position w:val="0"/>
        </w:rPr>
        <w:t>3</w:t>
      </w:r>
      <w:bookmarkEnd w:id="1041"/>
      <w:r>
        <w:rPr>
          <w:rFonts w:ascii="Times New Roman" w:eastAsia="Times New Roman" w:hAnsi="Times New Roman" w:cs="Times New Roman"/>
          <w:color w:val="000000"/>
          <w:spacing w:val="0"/>
          <w:w w:val="100"/>
          <w:position w:val="0"/>
        </w:rPr>
        <w:t>0</w:t>
      </w:r>
      <w:r>
        <w:rPr>
          <w:color w:val="000000"/>
          <w:spacing w:val="0"/>
          <w:w w:val="100"/>
          <w:position w:val="0"/>
        </w:rPr>
        <w:t>、</w:t>
        <w:tab/>
        <w:t>无形资产</w:t>
      </w:r>
      <w:bookmarkEnd w:id="1039"/>
      <w:bookmarkEnd w:id="1040"/>
      <w:bookmarkEnd w:id="1042"/>
    </w:p>
    <w:p>
      <w:pPr>
        <w:pStyle w:val="Style55"/>
        <w:keepNext/>
        <w:keepLines/>
        <w:widowControl w:val="0"/>
        <w:shd w:val="clear" w:color="auto" w:fill="auto"/>
        <w:bidi w:val="0"/>
        <w:spacing w:before="0" w:after="380" w:line="240" w:lineRule="auto"/>
        <w:ind w:left="0" w:right="0" w:firstLine="960"/>
        <w:jc w:val="left"/>
      </w:pPr>
      <w:bookmarkStart w:id="1039" w:name="bookmark1039"/>
      <w:bookmarkStart w:id="1040" w:name="bookmark1040"/>
      <w:bookmarkStart w:id="1043" w:name="bookmark1043"/>
      <w:bookmarkStart w:id="1044" w:name="bookmark1044"/>
      <w:r>
        <w:rPr>
          <w:color w:val="000000"/>
          <w:spacing w:val="0"/>
          <w:w w:val="100"/>
          <w:position w:val="0"/>
        </w:rPr>
        <w:t>（</w:t>
      </w:r>
      <w:bookmarkEnd w:id="1043"/>
      <w:r>
        <w:rPr>
          <w:rFonts w:ascii="Times New Roman" w:eastAsia="Times New Roman" w:hAnsi="Times New Roman" w:cs="Times New Roman"/>
          <w:color w:val="000000"/>
          <w:spacing w:val="0"/>
          <w:w w:val="100"/>
          <w:position w:val="0"/>
        </w:rPr>
        <w:t>1</w:t>
      </w:r>
      <w:r>
        <w:rPr>
          <w:color w:val="000000"/>
          <w:spacing w:val="0"/>
          <w:w w:val="100"/>
          <w:position w:val="0"/>
        </w:rPr>
        <w:t>）计价方法、使用寿命、减值测试</w:t>
      </w:r>
      <w:bookmarkEnd w:id="1039"/>
      <w:bookmarkEnd w:id="1040"/>
      <w:bookmarkEnd w:id="1044"/>
    </w:p>
    <w:p>
      <w:pPr>
        <w:pStyle w:val="Style32"/>
        <w:keepNext w:val="0"/>
        <w:keepLines w:val="0"/>
        <w:widowControl w:val="0"/>
        <w:shd w:val="clear" w:color="auto" w:fill="auto"/>
        <w:tabs>
          <w:tab w:pos="1309" w:val="left"/>
        </w:tabs>
        <w:bidi w:val="0"/>
        <w:spacing w:before="0" w:after="120" w:line="240" w:lineRule="auto"/>
        <w:ind w:left="0" w:right="0" w:firstLine="960"/>
        <w:jc w:val="left"/>
      </w:pPr>
      <w:bookmarkStart w:id="1045" w:name="bookmark1045"/>
      <w:r>
        <w:rPr>
          <w:rFonts w:ascii="Times New Roman" w:eastAsia="Times New Roman" w:hAnsi="Times New Roman" w:cs="Times New Roman"/>
          <w:color w:val="000000"/>
          <w:spacing w:val="0"/>
          <w:w w:val="100"/>
          <w:position w:val="0"/>
        </w:rPr>
        <w:t>1</w:t>
      </w:r>
      <w:bookmarkEnd w:id="1045"/>
      <w:r>
        <w:rPr>
          <w:color w:val="000000"/>
          <w:spacing w:val="0"/>
          <w:w w:val="100"/>
          <w:position w:val="0"/>
        </w:rPr>
        <w:t>）</w:t>
        <w:tab/>
        <w:t>无形资产的计价方法</w:t>
      </w:r>
    </w:p>
    <w:p>
      <w:pPr>
        <w:pStyle w:val="Style32"/>
        <w:keepNext w:val="0"/>
        <w:keepLines w:val="0"/>
        <w:widowControl w:val="0"/>
        <w:shd w:val="clear" w:color="auto" w:fill="auto"/>
        <w:bidi w:val="0"/>
        <w:spacing w:before="0" w:after="120" w:line="240" w:lineRule="auto"/>
        <w:ind w:left="0" w:right="0" w:firstLine="960"/>
        <w:jc w:val="left"/>
      </w:pPr>
      <w:r>
        <w:rPr>
          <w:color w:val="000000"/>
          <w:spacing w:val="0"/>
          <w:w w:val="100"/>
          <w:position w:val="0"/>
        </w:rPr>
        <w:t>按取得时的实际成本入账。</w:t>
      </w:r>
    </w:p>
    <w:p>
      <w:pPr>
        <w:pStyle w:val="Style32"/>
        <w:keepNext w:val="0"/>
        <w:keepLines w:val="0"/>
        <w:widowControl w:val="0"/>
        <w:shd w:val="clear" w:color="auto" w:fill="auto"/>
        <w:tabs>
          <w:tab w:pos="1328" w:val="left"/>
        </w:tabs>
        <w:bidi w:val="0"/>
        <w:spacing w:before="0" w:after="120" w:line="240" w:lineRule="auto"/>
        <w:ind w:left="0" w:right="0" w:firstLine="960"/>
        <w:jc w:val="left"/>
      </w:pPr>
      <w:bookmarkStart w:id="1046" w:name="bookmark1046"/>
      <w:r>
        <w:rPr>
          <w:rFonts w:ascii="Times New Roman" w:eastAsia="Times New Roman" w:hAnsi="Times New Roman" w:cs="Times New Roman"/>
          <w:color w:val="000000"/>
          <w:spacing w:val="0"/>
          <w:w w:val="100"/>
          <w:position w:val="0"/>
        </w:rPr>
        <w:t>2</w:t>
      </w:r>
      <w:bookmarkEnd w:id="1046"/>
      <w:r>
        <w:rPr>
          <w:color w:val="000000"/>
          <w:spacing w:val="0"/>
          <w:w w:val="100"/>
          <w:position w:val="0"/>
        </w:rPr>
        <w:t>）</w:t>
        <w:tab/>
        <w:t>无形资产使用寿命及摊销</w:t>
      </w:r>
    </w:p>
    <w:p>
      <w:pPr>
        <w:pStyle w:val="Style32"/>
        <w:keepNext w:val="0"/>
        <w:keepLines w:val="0"/>
        <w:widowControl w:val="0"/>
        <w:numPr>
          <w:ilvl w:val="0"/>
          <w:numId w:val="97"/>
        </w:numPr>
        <w:shd w:val="clear" w:color="auto" w:fill="auto"/>
        <w:bidi w:val="0"/>
        <w:spacing w:before="0" w:after="120" w:line="240" w:lineRule="auto"/>
        <w:ind w:left="0" w:right="0" w:firstLine="960"/>
        <w:jc w:val="left"/>
      </w:pPr>
      <w:bookmarkStart w:id="1047" w:name="bookmark1047"/>
      <w:bookmarkEnd w:id="1047"/>
      <w:r>
        <w:rPr>
          <w:color w:val="000000"/>
          <w:spacing w:val="0"/>
          <w:w w:val="100"/>
          <w:position w:val="0"/>
        </w:rPr>
        <w:t>使用寿命有限的无形资产的使用寿命估计情况：</w:t>
      </w:r>
    </w:p>
    <w:tbl>
      <w:tblPr>
        <w:tblOverlap w:val="never"/>
        <w:jc w:val="center"/>
        <w:tblLayout w:type="fixed"/>
      </w:tblPr>
      <w:tblGrid>
        <w:gridCol w:w="2846"/>
        <w:gridCol w:w="1560"/>
        <w:gridCol w:w="4685"/>
      </w:tblGrid>
      <w:tr>
        <w:trPr>
          <w:trHeight w:val="43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预计使用寿命</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依据</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38</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法定使用年限</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计算机软件</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参考能为公司带来经济利益的期限确定使用寿命</w:t>
            </w:r>
          </w:p>
        </w:tc>
      </w:tr>
      <w:tr>
        <w:trPr>
          <w:trHeight w:val="4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非专利技术及软件著作权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5-10 </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参考能为公司带来经济利益的期限确定使用寿命</w:t>
            </w:r>
          </w:p>
        </w:tc>
      </w:tr>
      <w:tr>
        <w:trPr>
          <w:trHeight w:val="437"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商标权</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w:t>
            </w:r>
            <w:r>
              <w:rPr>
                <w:color w:val="000000"/>
                <w:spacing w:val="0"/>
                <w:w w:val="100"/>
                <w:position w:val="0"/>
              </w:rPr>
              <w:t>年</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参考能为公司带来经济利益的期限确定使用寿命</w:t>
            </w:r>
          </w:p>
        </w:tc>
      </w:tr>
    </w:tbl>
    <w:p>
      <w:pPr>
        <w:pStyle w:val="Style32"/>
        <w:keepNext w:val="0"/>
        <w:keepLines w:val="0"/>
        <w:widowControl w:val="0"/>
        <w:shd w:val="clear" w:color="auto" w:fill="auto"/>
        <w:bidi w:val="0"/>
        <w:spacing w:before="0" w:after="0" w:line="312" w:lineRule="exact"/>
        <w:ind w:left="960" w:right="0" w:firstLine="20"/>
        <w:jc w:val="both"/>
      </w:pPr>
      <w:r>
        <w:rPr>
          <w:color w:val="000000"/>
          <w:spacing w:val="0"/>
          <w:w w:val="100"/>
          <w:position w:val="0"/>
        </w:rPr>
        <w:t>每年年度终了，公司对使用寿命有限的无形资产的使用寿命及摊销方法进行复核。经复核，本期末无形资产的使用寿命及摊 销方法与以前估计未有不同。</w:t>
      </w:r>
    </w:p>
    <w:p>
      <w:pPr>
        <w:pStyle w:val="Style32"/>
        <w:keepNext w:val="0"/>
        <w:keepLines w:val="0"/>
        <w:widowControl w:val="0"/>
        <w:numPr>
          <w:ilvl w:val="0"/>
          <w:numId w:val="97"/>
        </w:numPr>
        <w:shd w:val="clear" w:color="auto" w:fill="auto"/>
        <w:tabs>
          <w:tab w:pos="1333" w:val="left"/>
        </w:tabs>
        <w:bidi w:val="0"/>
        <w:spacing w:before="0" w:after="0" w:line="312" w:lineRule="exact"/>
        <w:ind w:left="960" w:right="0" w:firstLine="20"/>
        <w:jc w:val="both"/>
      </w:pPr>
      <w:bookmarkStart w:id="1048" w:name="bookmark1048"/>
      <w:bookmarkEnd w:id="1048"/>
      <w:r>
        <w:rPr>
          <w:color w:val="000000"/>
          <w:spacing w:val="0"/>
          <w:w w:val="100"/>
          <w:position w:val="0"/>
        </w:rPr>
        <w:t>无法预见无形资产为企业带来经济利益期限的，视为使用寿命不确定的无形资产。对于使用寿命不确定的无形资产，公司 在每年年度终了对使用寿命不确定的无形资产的使用寿命进行复核，如果重新复核后仍为不确定的，应在资产负债表日进行 减值测试。</w:t>
      </w:r>
    </w:p>
    <w:p>
      <w:pPr>
        <w:pStyle w:val="Style32"/>
        <w:keepNext w:val="0"/>
        <w:keepLines w:val="0"/>
        <w:widowControl w:val="0"/>
        <w:numPr>
          <w:ilvl w:val="0"/>
          <w:numId w:val="97"/>
        </w:numPr>
        <w:shd w:val="clear" w:color="auto" w:fill="auto"/>
        <w:tabs>
          <w:tab w:pos="1353" w:val="left"/>
        </w:tabs>
        <w:bidi w:val="0"/>
        <w:spacing w:before="0" w:after="0" w:line="314" w:lineRule="exact"/>
        <w:ind w:left="960" w:right="0" w:firstLine="20"/>
        <w:jc w:val="both"/>
      </w:pPr>
      <w:bookmarkStart w:id="1049" w:name="bookmark1049"/>
      <w:bookmarkEnd w:id="1049"/>
      <w:r>
        <w:rPr>
          <w:color w:val="000000"/>
          <w:spacing w:val="0"/>
          <w:w w:val="100"/>
          <w:position w:val="0"/>
        </w:rPr>
        <w:t>无形资产的摊销</w:t>
      </w:r>
    </w:p>
    <w:p>
      <w:pPr>
        <w:pStyle w:val="Style32"/>
        <w:keepNext w:val="0"/>
        <w:keepLines w:val="0"/>
        <w:widowControl w:val="0"/>
        <w:shd w:val="clear" w:color="auto" w:fill="auto"/>
        <w:bidi w:val="0"/>
        <w:spacing w:before="0" w:after="0" w:line="312" w:lineRule="exact"/>
        <w:ind w:left="960" w:right="0" w:firstLine="20"/>
        <w:jc w:val="both"/>
      </w:pPr>
      <w:r>
        <w:rPr>
          <w:color w:val="000000"/>
          <w:spacing w:val="0"/>
          <w:w w:val="100"/>
          <w:position w:val="0"/>
        </w:rPr>
        <w:t>对于使用寿命有限的无形资产，本公司在取得时判定其使用寿命，在使用寿命内采用直线法系统合理摊销，摊销金额按受益 项目计入当期损益。具体应摊销金额为其成本扣除预计残值后的金额。已计提减值准备的无形资产，还应扣除已计提的无形 资产减值准备累计金额，残值为零。但下列情况除外：有第三方承诺在无形资产使用寿命结束时购买该无形资产或可以根据 活跃市场得到预计残值信息，并且该市场在无形资产使用寿命结束时很可能存在。</w:t>
      </w:r>
    </w:p>
    <w:p>
      <w:pPr>
        <w:pStyle w:val="Style32"/>
        <w:keepNext w:val="0"/>
        <w:keepLines w:val="0"/>
        <w:widowControl w:val="0"/>
        <w:shd w:val="clear" w:color="auto" w:fill="auto"/>
        <w:bidi w:val="0"/>
        <w:spacing w:before="0" w:after="380" w:line="317" w:lineRule="exact"/>
        <w:ind w:left="960" w:right="0" w:firstLine="20"/>
        <w:jc w:val="both"/>
      </w:pPr>
      <w:r>
        <w:rPr>
          <w:color w:val="000000"/>
          <w:spacing w:val="0"/>
          <w:w w:val="100"/>
          <w:position w:val="0"/>
        </w:rPr>
        <w:t>对使用寿命不确定的无形资产，不予摊销。每年年度终了对使用寿命不确定的无形资产的使用寿命进行复核，如果有证据表 明无形资产的使用寿命是有限的，估计其使用寿命并在预计使用年限内系统合理摊销。</w:t>
      </w:r>
    </w:p>
    <w:p>
      <w:pPr>
        <w:pStyle w:val="Style55"/>
        <w:keepNext/>
        <w:keepLines/>
        <w:widowControl w:val="0"/>
        <w:shd w:val="clear" w:color="auto" w:fill="auto"/>
        <w:bidi w:val="0"/>
        <w:spacing w:before="0" w:after="380" w:line="240" w:lineRule="auto"/>
        <w:ind w:left="0" w:right="0" w:firstLine="960"/>
        <w:jc w:val="left"/>
      </w:pPr>
      <w:bookmarkStart w:id="1050" w:name="bookmark1050"/>
      <w:bookmarkStart w:id="1051" w:name="bookmark1051"/>
      <w:bookmarkStart w:id="1052" w:name="bookmark1052"/>
      <w:bookmarkStart w:id="1053" w:name="bookmark1053"/>
      <w:r>
        <w:rPr>
          <w:color w:val="000000"/>
          <w:spacing w:val="0"/>
          <w:w w:val="100"/>
          <w:position w:val="0"/>
        </w:rPr>
        <w:t>（</w:t>
      </w:r>
      <w:bookmarkEnd w:id="1052"/>
      <w:r>
        <w:rPr>
          <w:rFonts w:ascii="Times New Roman" w:eastAsia="Times New Roman" w:hAnsi="Times New Roman" w:cs="Times New Roman"/>
          <w:color w:val="000000"/>
          <w:spacing w:val="0"/>
          <w:w w:val="100"/>
          <w:position w:val="0"/>
        </w:rPr>
        <w:t>2</w:t>
      </w:r>
      <w:r>
        <w:rPr>
          <w:color w:val="000000"/>
          <w:spacing w:val="0"/>
          <w:w w:val="100"/>
          <w:position w:val="0"/>
        </w:rPr>
        <w:t>）内部研究开发支出会计政策</w:t>
      </w:r>
      <w:bookmarkEnd w:id="1050"/>
      <w:bookmarkEnd w:id="1051"/>
      <w:bookmarkEnd w:id="1053"/>
    </w:p>
    <w:p>
      <w:pPr>
        <w:pStyle w:val="Style32"/>
        <w:keepNext w:val="0"/>
        <w:keepLines w:val="0"/>
        <w:widowControl w:val="0"/>
        <w:shd w:val="clear" w:color="auto" w:fill="auto"/>
        <w:tabs>
          <w:tab w:pos="1309" w:val="left"/>
        </w:tabs>
        <w:bidi w:val="0"/>
        <w:spacing w:before="0" w:after="0" w:line="382" w:lineRule="auto"/>
        <w:ind w:left="0" w:right="0" w:firstLine="960"/>
        <w:jc w:val="left"/>
      </w:pPr>
      <w:bookmarkStart w:id="1054" w:name="bookmark1054"/>
      <w:r>
        <w:rPr>
          <w:rFonts w:ascii="Times New Roman" w:eastAsia="Times New Roman" w:hAnsi="Times New Roman" w:cs="Times New Roman"/>
          <w:color w:val="000000"/>
          <w:spacing w:val="0"/>
          <w:w w:val="100"/>
          <w:position w:val="0"/>
        </w:rPr>
        <w:t>1</w:t>
      </w:r>
      <w:bookmarkEnd w:id="1054"/>
      <w:r>
        <w:rPr>
          <w:color w:val="000000"/>
          <w:spacing w:val="0"/>
          <w:w w:val="100"/>
          <w:position w:val="0"/>
        </w:rPr>
        <w:t>）</w:t>
        <w:tab/>
        <w:t>划分内部研究开发项目的研究阶段和开发阶段具体标准</w:t>
      </w:r>
    </w:p>
    <w:p>
      <w:pPr>
        <w:pStyle w:val="Style32"/>
        <w:keepNext w:val="0"/>
        <w:keepLines w:val="0"/>
        <w:widowControl w:val="0"/>
        <w:numPr>
          <w:ilvl w:val="0"/>
          <w:numId w:val="99"/>
        </w:numPr>
        <w:shd w:val="clear" w:color="auto" w:fill="auto"/>
        <w:tabs>
          <w:tab w:pos="1333" w:val="left"/>
        </w:tabs>
        <w:bidi w:val="0"/>
        <w:spacing w:before="0" w:after="0" w:line="328" w:lineRule="exact"/>
        <w:ind w:left="960" w:right="0" w:firstLine="20"/>
        <w:jc w:val="both"/>
      </w:pPr>
      <w:bookmarkStart w:id="1055" w:name="bookmark1055"/>
      <w:bookmarkEnd w:id="1055"/>
      <w:r>
        <w:rPr>
          <w:color w:val="000000"/>
          <w:spacing w:val="0"/>
          <w:w w:val="100"/>
          <w:position w:val="0"/>
        </w:rPr>
        <w:t>本公司将为进一步开发活动进行的有计划的调查、准备阶段作为研究阶段，该阶段具有计划性和探索性等特点，无形资产 研究阶段的支出在发生时计入当期损益。</w:t>
      </w:r>
    </w:p>
    <w:p>
      <w:pPr>
        <w:pStyle w:val="Style32"/>
        <w:keepNext w:val="0"/>
        <w:keepLines w:val="0"/>
        <w:widowControl w:val="0"/>
        <w:numPr>
          <w:ilvl w:val="0"/>
          <w:numId w:val="99"/>
        </w:numPr>
        <w:shd w:val="clear" w:color="auto" w:fill="auto"/>
        <w:tabs>
          <w:tab w:pos="1333" w:val="left"/>
        </w:tabs>
        <w:bidi w:val="0"/>
        <w:spacing w:before="0" w:after="120" w:line="328" w:lineRule="exact"/>
        <w:ind w:left="960" w:right="0" w:firstLine="20"/>
        <w:jc w:val="both"/>
      </w:pPr>
      <w:bookmarkStart w:id="1056" w:name="bookmark1056"/>
      <w:bookmarkEnd w:id="1056"/>
      <w:r>
        <w:rPr>
          <w:color w:val="000000"/>
          <w:spacing w:val="0"/>
          <w:w w:val="100"/>
          <w:position w:val="0"/>
        </w:rPr>
        <w:t>在本公司已完成研究阶段的工作后再进行的开发活动作为开发阶段。一般为项目立项申请经过研究阶段的研究分析，评审 形成立项报告后，研发项目组完成软件设计、代码编写、系统测试、通过内部的验收评审并完成了产品化需要的各类文档等 工作，直至达到可使用或可销售状态。该阶段具有针对性和形成成果的可能性较大等特点。</w:t>
      </w:r>
    </w:p>
    <w:p>
      <w:pPr>
        <w:pStyle w:val="Style32"/>
        <w:keepNext w:val="0"/>
        <w:keepLines w:val="0"/>
        <w:widowControl w:val="0"/>
        <w:shd w:val="clear" w:color="auto" w:fill="auto"/>
        <w:tabs>
          <w:tab w:pos="1328" w:val="left"/>
        </w:tabs>
        <w:bidi w:val="0"/>
        <w:spacing w:before="0" w:after="0"/>
        <w:ind w:left="0" w:right="0" w:firstLine="960"/>
        <w:jc w:val="left"/>
      </w:pPr>
      <w:bookmarkStart w:id="1057" w:name="bookmark1057"/>
      <w:r>
        <w:rPr>
          <w:rFonts w:ascii="Times New Roman" w:eastAsia="Times New Roman" w:hAnsi="Times New Roman" w:cs="Times New Roman"/>
          <w:color w:val="000000"/>
          <w:spacing w:val="0"/>
          <w:w w:val="100"/>
          <w:position w:val="0"/>
        </w:rPr>
        <w:t>2</w:t>
      </w:r>
      <w:bookmarkEnd w:id="1057"/>
      <w:r>
        <w:rPr>
          <w:color w:val="000000"/>
          <w:spacing w:val="0"/>
          <w:w w:val="100"/>
          <w:position w:val="0"/>
        </w:rPr>
        <w:t>）</w:t>
        <w:tab/>
        <w:t>开发阶段支出资本化的具体条件</w:t>
      </w:r>
    </w:p>
    <w:p>
      <w:pPr>
        <w:pStyle w:val="Style32"/>
        <w:keepNext w:val="0"/>
        <w:keepLines w:val="0"/>
        <w:widowControl w:val="0"/>
        <w:shd w:val="clear" w:color="auto" w:fill="auto"/>
        <w:bidi w:val="0"/>
        <w:spacing w:before="0" w:after="0" w:line="314" w:lineRule="exact"/>
        <w:ind w:left="0" w:right="0" w:firstLine="960"/>
        <w:jc w:val="left"/>
      </w:pPr>
      <w:r>
        <w:rPr>
          <w:color w:val="000000"/>
          <w:spacing w:val="0"/>
          <w:w w:val="100"/>
          <w:position w:val="0"/>
        </w:rPr>
        <w:t>开发阶段的支出同时满足下列条件时，才能确认为无形资产：</w:t>
      </w:r>
    </w:p>
    <w:p>
      <w:pPr>
        <w:pStyle w:val="Style32"/>
        <w:keepNext w:val="0"/>
        <w:keepLines w:val="0"/>
        <w:widowControl w:val="0"/>
        <w:numPr>
          <w:ilvl w:val="0"/>
          <w:numId w:val="101"/>
        </w:numPr>
        <w:shd w:val="clear" w:color="auto" w:fill="auto"/>
        <w:bidi w:val="0"/>
        <w:spacing w:before="0" w:after="120" w:line="314" w:lineRule="exact"/>
        <w:ind w:left="0" w:right="0" w:firstLine="960"/>
        <w:jc w:val="left"/>
        <w:sectPr>
          <w:headerReference w:type="default" r:id="rId317"/>
          <w:footerReference w:type="default" r:id="rId318"/>
          <w:headerReference w:type="even" r:id="rId319"/>
          <w:footerReference w:type="even" r:id="rId320"/>
          <w:footnotePr>
            <w:pos w:val="pageBottom"/>
            <w:numFmt w:val="decimal"/>
            <w:numRestart w:val="continuous"/>
          </w:footnotePr>
          <w:type w:val="continuous"/>
          <w:pgSz w:w="11900" w:h="16840"/>
          <w:pgMar w:top="1144" w:right="597" w:bottom="1470" w:left="142" w:header="0" w:footer="3" w:gutter="0"/>
          <w:cols w:space="720"/>
          <w:noEndnote/>
          <w:rtlGutter w:val="0"/>
          <w:docGrid w:linePitch="360"/>
        </w:sectPr>
      </w:pPr>
      <w:bookmarkStart w:id="1058" w:name="bookmark1058"/>
      <w:bookmarkEnd w:id="1058"/>
      <w:r>
        <w:rPr>
          <w:color w:val="000000"/>
          <w:spacing w:val="0"/>
          <w:w w:val="100"/>
          <w:position w:val="0"/>
        </w:rPr>
        <w:t>完成该无形资产以使其能够使用或出售在技术上具有可行性；</w:t>
      </w:r>
    </w:p>
    <w:p>
      <w:pPr>
        <w:pStyle w:val="Style5"/>
        <w:keepNext w:val="0"/>
        <w:keepLines w:val="0"/>
        <w:framePr w:w="1958" w:h="446" w:wrap="none" w:hAnchor="page" w:x="1264" w:y="-94"/>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32"/>
        <w:keepNext w:val="0"/>
        <w:keepLines w:val="0"/>
        <w:framePr w:w="3643" w:h="226" w:wrap="none" w:hAnchor="page" w:x="1105" w:y="333"/>
        <w:widowControl w:val="0"/>
        <w:shd w:val="clear" w:color="auto" w:fill="auto"/>
        <w:bidi w:val="0"/>
        <w:spacing w:before="0" w:after="0" w:line="240" w:lineRule="auto"/>
        <w:ind w:left="0" w:right="0" w:firstLine="0"/>
        <w:jc w:val="left"/>
      </w:pPr>
      <w:r>
        <w:rPr>
          <w:color w:val="000000"/>
          <w:spacing w:val="0"/>
          <w:w w:val="100"/>
          <w:position w:val="0"/>
        </w:rPr>
        <w:t>②具有完成该无形资产并使用或出售的意图;</w:t>
      </w:r>
    </w:p>
    <w:p>
      <w:pPr>
        <w:widowControl w:val="0"/>
        <w:spacing w:after="557" w:line="1" w:lineRule="exact"/>
      </w:pPr>
    </w:p>
    <w:p>
      <w:pPr>
        <w:widowControl w:val="0"/>
        <w:spacing w:line="1" w:lineRule="exact"/>
        <w:sectPr>
          <w:headerReference w:type="default" r:id="rId321"/>
          <w:footerReference w:type="default" r:id="rId322"/>
          <w:headerReference w:type="even" r:id="rId323"/>
          <w:footerReference w:type="even" r:id="rId324"/>
          <w:footnotePr>
            <w:pos w:val="pageBottom"/>
            <w:numFmt w:val="decimal"/>
            <w:numRestart w:val="continuous"/>
          </w:footnotePr>
          <w:pgSz w:w="11900" w:h="16840"/>
          <w:pgMar w:top="1162" w:right="1109" w:bottom="1258" w:left="1104" w:header="0" w:footer="3" w:gutter="0"/>
          <w:cols w:space="720"/>
          <w:noEndnote/>
          <w:rtlGutter w:val="0"/>
          <w:docGrid w:linePitch="360"/>
        </w:sectPr>
      </w:pPr>
    </w:p>
    <w:p>
      <w:pPr>
        <w:pStyle w:val="Style32"/>
        <w:keepNext w:val="0"/>
        <w:keepLines w:val="0"/>
        <w:widowControl w:val="0"/>
        <w:numPr>
          <w:ilvl w:val="0"/>
          <w:numId w:val="99"/>
        </w:numPr>
        <w:shd w:val="clear" w:color="auto" w:fill="auto"/>
        <w:tabs>
          <w:tab w:pos="373" w:val="left"/>
        </w:tabs>
        <w:bidi w:val="0"/>
        <w:spacing w:before="0" w:after="0" w:line="312" w:lineRule="exact"/>
        <w:ind w:left="0" w:right="0" w:firstLine="0"/>
        <w:jc w:val="both"/>
      </w:pPr>
      <w:bookmarkStart w:id="1062" w:name="bookmark1062"/>
      <w:bookmarkEnd w:id="1062"/>
      <w:r>
        <w:rPr>
          <w:color w:val="000000"/>
          <w:spacing w:val="0"/>
          <w:w w:val="100"/>
          <w:position w:val="0"/>
        </w:rPr>
        <w:t>无形资产产生经济利益的方式，包括能够证明运用该无形资产生产的产品存在市场或无形资产自身存在市场，无形资产将 在内部使用的，能够证明其有用性；</w:t>
      </w:r>
    </w:p>
    <w:p>
      <w:pPr>
        <w:pStyle w:val="Style32"/>
        <w:keepNext w:val="0"/>
        <w:keepLines w:val="0"/>
        <w:widowControl w:val="0"/>
        <w:numPr>
          <w:ilvl w:val="0"/>
          <w:numId w:val="99"/>
        </w:numPr>
        <w:shd w:val="clear" w:color="auto" w:fill="auto"/>
        <w:tabs>
          <w:tab w:pos="373" w:val="left"/>
        </w:tabs>
        <w:bidi w:val="0"/>
        <w:spacing w:before="0" w:after="0" w:line="312" w:lineRule="exact"/>
        <w:ind w:left="0" w:right="0" w:firstLine="0"/>
        <w:jc w:val="both"/>
      </w:pPr>
      <w:bookmarkStart w:id="1063" w:name="bookmark1063"/>
      <w:bookmarkEnd w:id="1063"/>
      <w:r>
        <w:rPr>
          <w:color w:val="000000"/>
          <w:spacing w:val="0"/>
          <w:w w:val="100"/>
          <w:position w:val="0"/>
        </w:rPr>
        <w:t>有足够的技术、财务资源和其他资源支持，以完成该无形资产的开发，并有能力使用或出售该无形资产；</w:t>
      </w:r>
    </w:p>
    <w:p>
      <w:pPr>
        <w:pStyle w:val="Style32"/>
        <w:keepNext w:val="0"/>
        <w:keepLines w:val="0"/>
        <w:widowControl w:val="0"/>
        <w:numPr>
          <w:ilvl w:val="0"/>
          <w:numId w:val="99"/>
        </w:numPr>
        <w:shd w:val="clear" w:color="auto" w:fill="auto"/>
        <w:tabs>
          <w:tab w:pos="373" w:val="left"/>
        </w:tabs>
        <w:bidi w:val="0"/>
        <w:spacing w:before="0" w:after="380" w:line="312" w:lineRule="exact"/>
        <w:ind w:left="0" w:right="0" w:firstLine="0"/>
        <w:jc w:val="both"/>
      </w:pPr>
      <w:bookmarkStart w:id="1064" w:name="bookmark1064"/>
      <w:bookmarkEnd w:id="1064"/>
      <w:r>
        <w:rPr>
          <w:color w:val="000000"/>
          <w:spacing w:val="0"/>
          <w:w w:val="100"/>
          <w:position w:val="0"/>
        </w:rPr>
        <w:t>归属于该无形资产开发阶段的支出能够可靠地计量。</w:t>
      </w:r>
    </w:p>
    <w:p>
      <w:pPr>
        <w:pStyle w:val="Style55"/>
        <w:keepNext/>
        <w:keepLines/>
        <w:widowControl w:val="0"/>
        <w:shd w:val="clear" w:color="auto" w:fill="auto"/>
        <w:tabs>
          <w:tab w:pos="483" w:val="left"/>
        </w:tabs>
        <w:bidi w:val="0"/>
        <w:spacing w:before="0" w:after="260" w:line="240" w:lineRule="auto"/>
        <w:ind w:left="0" w:right="0" w:firstLine="0"/>
        <w:jc w:val="both"/>
      </w:pPr>
      <w:bookmarkStart w:id="1065" w:name="bookmark1065"/>
      <w:bookmarkStart w:id="1066" w:name="bookmark1066"/>
      <w:bookmarkStart w:id="1067" w:name="bookmark1067"/>
      <w:bookmarkStart w:id="1068" w:name="bookmark1068"/>
      <w:r>
        <w:rPr>
          <w:rFonts w:ascii="Times New Roman" w:eastAsia="Times New Roman" w:hAnsi="Times New Roman" w:cs="Times New Roman"/>
          <w:color w:val="000000"/>
          <w:spacing w:val="0"/>
          <w:w w:val="100"/>
          <w:position w:val="0"/>
        </w:rPr>
        <w:t>3</w:t>
      </w:r>
      <w:bookmarkEnd w:id="1067"/>
      <w:r>
        <w:rPr>
          <w:rFonts w:ascii="Times New Roman" w:eastAsia="Times New Roman" w:hAnsi="Times New Roman" w:cs="Times New Roman"/>
          <w:color w:val="000000"/>
          <w:spacing w:val="0"/>
          <w:w w:val="100"/>
          <w:position w:val="0"/>
        </w:rPr>
        <w:t>1</w:t>
      </w:r>
      <w:r>
        <w:rPr>
          <w:color w:val="000000"/>
          <w:spacing w:val="0"/>
          <w:w w:val="100"/>
          <w:position w:val="0"/>
        </w:rPr>
        <w:t>、</w:t>
        <w:tab/>
        <w:t>长期资产减值</w:t>
      </w:r>
      <w:bookmarkEnd w:id="1065"/>
      <w:bookmarkEnd w:id="1066"/>
      <w:bookmarkEnd w:id="1068"/>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对子公司、联营企业和合营企业的长期股权投资、采用成本模式进行后续计量的投资性房地产、固定资产、在建工程、采用 成本模式计量的无形资产、商誉（存货、按公允价值模式计量的投资性房地产、递延所得税资产、金融资产除外）的资产减 值，按以下方法确定：</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于资产负债表日判断资产是否存在可能发生减值的迹象，存在减值迹象的，本公司将估计其可收回金额，进行减值测试。对 因企业合并所形成的商誉、使用寿命不确定的无形资产和尚未达到可使用状态的无形资产无论是否存在减值迹象，每年都进 行减值测试。</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可收回金额根据资产的公允价值减去处置费用后的净额与资产预计未来现金流量的现值两者之间较高者确定。本公司以单项 资产为基础估计其可收回金额；难以对单项资产的可收回金额进行估计的，以该资产所属的资产组为基础确定资产组的可收 回金额。资产组的认定，以资产组产生的主要现金流入是否独立于其他资产或者资产组的现金流入为依据。</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当资产或资产组的可收回金额低于其账面价值时，本公司将其账面价值减记至可收回金额，减记的金额计入当期损益，同时 计提相应的资产减值准备。</w:t>
      </w:r>
    </w:p>
    <w:p>
      <w:pPr>
        <w:pStyle w:val="Style32"/>
        <w:keepNext w:val="0"/>
        <w:keepLines w:val="0"/>
        <w:widowControl w:val="0"/>
        <w:shd w:val="clear" w:color="auto" w:fill="auto"/>
        <w:bidi w:val="0"/>
        <w:spacing w:before="0" w:after="0" w:line="310" w:lineRule="exact"/>
        <w:ind w:left="0" w:right="0" w:firstLine="0"/>
        <w:jc w:val="both"/>
      </w:pPr>
      <w:r>
        <w:rPr>
          <w:color w:val="000000"/>
          <w:spacing w:val="0"/>
          <w:w w:val="100"/>
          <w:position w:val="0"/>
        </w:rPr>
        <w:t>就商誉的减值测试而言，对于因企业合并形成的商誉的账面价值，自购买日起按照合理的方法分摊至相关的资产组；难以分 摊至相关的资产组的，将其分摊至相关的资产组组合。相关的资产组或资产组组合，是能够从企业合并的协同效应中受益的 资产组或者资产组组合，且不大于本公司确定的报告分部。</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减值测试时，如与商誉相关的资产组或者资产组组合存在减值迹象的，首先对不包含商誉的资产组或者资产组组合进行减值 测试，计算可收回金额，确认相应的减值损失。然后对包含商誉的资产组或者资产组组合进行减值测试，比较其账面价值与 可收回金额，如可收回金额低于账面价值的，确认商誉的减值损失。</w:t>
      </w:r>
    </w:p>
    <w:p>
      <w:pPr>
        <w:pStyle w:val="Style32"/>
        <w:keepNext w:val="0"/>
        <w:keepLines w:val="0"/>
        <w:widowControl w:val="0"/>
        <w:shd w:val="clear" w:color="auto" w:fill="auto"/>
        <w:bidi w:val="0"/>
        <w:spacing w:before="0" w:after="380" w:line="312" w:lineRule="exact"/>
        <w:ind w:left="0" w:right="0" w:firstLine="0"/>
        <w:jc w:val="both"/>
      </w:pPr>
      <w:r>
        <w:rPr>
          <w:color w:val="000000"/>
          <w:spacing w:val="0"/>
          <w:w w:val="100"/>
          <w:position w:val="0"/>
        </w:rPr>
        <w:t>资产减值损失一经确认，在以后会计期间不再转回。</w:t>
      </w:r>
    </w:p>
    <w:p>
      <w:pPr>
        <w:pStyle w:val="Style55"/>
        <w:keepNext/>
        <w:keepLines/>
        <w:widowControl w:val="0"/>
        <w:shd w:val="clear" w:color="auto" w:fill="auto"/>
        <w:tabs>
          <w:tab w:pos="483" w:val="left"/>
        </w:tabs>
        <w:bidi w:val="0"/>
        <w:spacing w:before="0" w:after="260" w:line="240" w:lineRule="auto"/>
        <w:ind w:left="0" w:right="0" w:firstLine="0"/>
        <w:jc w:val="both"/>
      </w:pPr>
      <w:bookmarkStart w:id="1069" w:name="bookmark1069"/>
      <w:bookmarkStart w:id="1070" w:name="bookmark1070"/>
      <w:bookmarkStart w:id="1071" w:name="bookmark1071"/>
      <w:bookmarkStart w:id="1072" w:name="bookmark1072"/>
      <w:r>
        <w:rPr>
          <w:rFonts w:ascii="Times New Roman" w:eastAsia="Times New Roman" w:hAnsi="Times New Roman" w:cs="Times New Roman"/>
          <w:color w:val="000000"/>
          <w:spacing w:val="0"/>
          <w:w w:val="100"/>
          <w:position w:val="0"/>
        </w:rPr>
        <w:t>3</w:t>
      </w:r>
      <w:bookmarkEnd w:id="1071"/>
      <w:r>
        <w:rPr>
          <w:rFonts w:ascii="Times New Roman" w:eastAsia="Times New Roman" w:hAnsi="Times New Roman" w:cs="Times New Roman"/>
          <w:color w:val="000000"/>
          <w:spacing w:val="0"/>
          <w:w w:val="100"/>
          <w:position w:val="0"/>
        </w:rPr>
        <w:t>2</w:t>
      </w:r>
      <w:r>
        <w:rPr>
          <w:color w:val="000000"/>
          <w:spacing w:val="0"/>
          <w:w w:val="100"/>
          <w:position w:val="0"/>
        </w:rPr>
        <w:t>、</w:t>
        <w:tab/>
        <w:t>长期待摊费用</w:t>
      </w:r>
      <w:bookmarkEnd w:id="1069"/>
      <w:bookmarkEnd w:id="1070"/>
      <w:bookmarkEnd w:id="1072"/>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长期待摊费用核算本公司已经发生但应由本期和以后各期负担的分摊期限在一年以上的各项费用。</w:t>
      </w:r>
    </w:p>
    <w:p>
      <w:pPr>
        <w:pStyle w:val="Style32"/>
        <w:keepNext w:val="0"/>
        <w:keepLines w:val="0"/>
        <w:widowControl w:val="0"/>
        <w:shd w:val="clear" w:color="auto" w:fill="auto"/>
        <w:bidi w:val="0"/>
        <w:spacing w:before="0" w:after="380" w:line="312" w:lineRule="exact"/>
        <w:ind w:left="0" w:right="0" w:firstLine="0"/>
        <w:jc w:val="both"/>
      </w:pPr>
      <w:r>
        <w:rPr>
          <w:color w:val="000000"/>
          <w:spacing w:val="0"/>
          <w:w w:val="100"/>
          <w:position w:val="0"/>
        </w:rPr>
        <w:t>本公司长期待摊费用在受益期内平均摊销。</w:t>
      </w:r>
    </w:p>
    <w:p>
      <w:pPr>
        <w:pStyle w:val="Style55"/>
        <w:keepNext/>
        <w:keepLines/>
        <w:widowControl w:val="0"/>
        <w:shd w:val="clear" w:color="auto" w:fill="auto"/>
        <w:bidi w:val="0"/>
        <w:spacing w:before="0" w:after="380" w:line="240" w:lineRule="auto"/>
        <w:ind w:left="0" w:right="0" w:firstLine="0"/>
        <w:jc w:val="both"/>
      </w:pPr>
      <w:bookmarkStart w:id="1073" w:name="bookmark1073"/>
      <w:bookmarkStart w:id="1074" w:name="bookmark1074"/>
      <w:bookmarkStart w:id="1075" w:name="bookmark1075"/>
      <w:bookmarkStart w:id="1076" w:name="bookmark1076"/>
      <w:r>
        <w:rPr>
          <w:rFonts w:ascii="Times New Roman" w:eastAsia="Times New Roman" w:hAnsi="Times New Roman" w:cs="Times New Roman"/>
          <w:color w:val="000000"/>
          <w:spacing w:val="0"/>
          <w:w w:val="100"/>
          <w:position w:val="0"/>
        </w:rPr>
        <w:t>3</w:t>
      </w:r>
      <w:bookmarkEnd w:id="1075"/>
      <w:r>
        <w:rPr>
          <w:rFonts w:ascii="Times New Roman" w:eastAsia="Times New Roman" w:hAnsi="Times New Roman" w:cs="Times New Roman"/>
          <w:color w:val="000000"/>
          <w:spacing w:val="0"/>
          <w:w w:val="100"/>
          <w:position w:val="0"/>
        </w:rPr>
        <w:t>3</w:t>
      </w:r>
      <w:r>
        <w:rPr>
          <w:color w:val="000000"/>
          <w:spacing w:val="0"/>
          <w:w w:val="100"/>
          <w:position w:val="0"/>
        </w:rPr>
        <w:t>、合同负债</w:t>
      </w:r>
      <w:bookmarkEnd w:id="1073"/>
      <w:bookmarkEnd w:id="1074"/>
      <w:bookmarkEnd w:id="1076"/>
    </w:p>
    <w:p>
      <w:pPr>
        <w:pStyle w:val="Style32"/>
        <w:keepNext w:val="0"/>
        <w:keepLines w:val="0"/>
        <w:widowControl w:val="0"/>
        <w:shd w:val="clear" w:color="auto" w:fill="auto"/>
        <w:bidi w:val="0"/>
        <w:spacing w:before="0" w:after="380" w:line="240" w:lineRule="auto"/>
        <w:ind w:left="0" w:right="0" w:firstLine="0"/>
        <w:jc w:val="both"/>
      </w:pPr>
      <w:r>
        <w:rPr>
          <w:color w:val="000000"/>
          <w:spacing w:val="0"/>
          <w:w w:val="100"/>
          <w:position w:val="0"/>
        </w:rPr>
        <w:t>参见第十二节、五、</w:t>
      </w:r>
      <w:r>
        <w:rPr>
          <w:color w:val="000000"/>
          <w:spacing w:val="0"/>
          <w:w w:val="100"/>
          <w:position w:val="0"/>
          <w:sz w:val="18"/>
          <w:szCs w:val="18"/>
        </w:rPr>
        <w:t>16</w:t>
      </w:r>
      <w:r>
        <w:rPr>
          <w:color w:val="000000"/>
          <w:spacing w:val="0"/>
          <w:w w:val="100"/>
          <w:position w:val="0"/>
        </w:rPr>
        <w:t>、合同资产。</w:t>
      </w:r>
    </w:p>
    <w:p>
      <w:pPr>
        <w:pStyle w:val="Style55"/>
        <w:keepNext/>
        <w:keepLines/>
        <w:widowControl w:val="0"/>
        <w:shd w:val="clear" w:color="auto" w:fill="auto"/>
        <w:bidi w:val="0"/>
        <w:spacing w:before="0" w:after="380" w:line="240" w:lineRule="auto"/>
        <w:ind w:left="0" w:right="0" w:firstLine="0"/>
        <w:jc w:val="both"/>
      </w:pPr>
      <w:bookmarkStart w:id="1077" w:name="bookmark1077"/>
      <w:bookmarkStart w:id="1078" w:name="bookmark1078"/>
      <w:bookmarkStart w:id="1079" w:name="bookmark1079"/>
      <w:bookmarkStart w:id="1080" w:name="bookmark1080"/>
      <w:r>
        <w:rPr>
          <w:rFonts w:ascii="Times New Roman" w:eastAsia="Times New Roman" w:hAnsi="Times New Roman" w:cs="Times New Roman"/>
          <w:color w:val="000000"/>
          <w:spacing w:val="0"/>
          <w:w w:val="100"/>
          <w:position w:val="0"/>
        </w:rPr>
        <w:t>3</w:t>
      </w:r>
      <w:bookmarkEnd w:id="1079"/>
      <w:r>
        <w:rPr>
          <w:rFonts w:ascii="Times New Roman" w:eastAsia="Times New Roman" w:hAnsi="Times New Roman" w:cs="Times New Roman"/>
          <w:color w:val="000000"/>
          <w:spacing w:val="0"/>
          <w:w w:val="100"/>
          <w:position w:val="0"/>
        </w:rPr>
        <w:t>4</w:t>
      </w:r>
      <w:r>
        <w:rPr>
          <w:color w:val="000000"/>
          <w:spacing w:val="0"/>
          <w:w w:val="100"/>
          <w:position w:val="0"/>
        </w:rPr>
        <w:t>、职工薪酬</w:t>
      </w:r>
      <w:bookmarkEnd w:id="1077"/>
      <w:bookmarkEnd w:id="1078"/>
      <w:bookmarkEnd w:id="1080"/>
    </w:p>
    <w:p>
      <w:pPr>
        <w:pStyle w:val="Style55"/>
        <w:keepNext/>
        <w:keepLines/>
        <w:widowControl w:val="0"/>
        <w:shd w:val="clear" w:color="auto" w:fill="auto"/>
        <w:bidi w:val="0"/>
        <w:spacing w:before="0" w:after="260" w:line="240" w:lineRule="auto"/>
        <w:ind w:left="0" w:right="0" w:firstLine="0"/>
        <w:jc w:val="both"/>
      </w:pPr>
      <w:bookmarkStart w:id="1077" w:name="bookmark1077"/>
      <w:bookmarkStart w:id="1078" w:name="bookmark1078"/>
      <w:bookmarkStart w:id="1081" w:name="bookmark1081"/>
      <w:bookmarkStart w:id="1082" w:name="bookmark1082"/>
      <w:r>
        <w:rPr>
          <w:color w:val="000000"/>
          <w:spacing w:val="0"/>
          <w:w w:val="100"/>
          <w:position w:val="0"/>
        </w:rPr>
        <w:t>（</w:t>
      </w:r>
      <w:bookmarkEnd w:id="1081"/>
      <w:r>
        <w:rPr>
          <w:rFonts w:ascii="Times New Roman" w:eastAsia="Times New Roman" w:hAnsi="Times New Roman" w:cs="Times New Roman"/>
          <w:color w:val="000000"/>
          <w:spacing w:val="0"/>
          <w:w w:val="100"/>
          <w:position w:val="0"/>
        </w:rPr>
        <w:t>1</w:t>
      </w:r>
      <w:r>
        <w:rPr>
          <w:color w:val="000000"/>
          <w:spacing w:val="0"/>
          <w:w w:val="100"/>
          <w:position w:val="0"/>
        </w:rPr>
        <w:t>）短期薪酬的会计处理方法</w:t>
      </w:r>
      <w:bookmarkEnd w:id="1077"/>
      <w:bookmarkEnd w:id="1078"/>
      <w:bookmarkEnd w:id="1082"/>
    </w:p>
    <w:p>
      <w:pPr>
        <w:pStyle w:val="Style3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）职工基本薪酬（工资、奖金、津贴、补贴）</w:t>
      </w:r>
    </w:p>
    <w:p>
      <w:pPr>
        <w:pStyle w:val="Style32"/>
        <w:keepNext w:val="0"/>
        <w:keepLines w:val="0"/>
        <w:widowControl w:val="0"/>
        <w:shd w:val="clear" w:color="auto" w:fill="auto"/>
        <w:bidi w:val="0"/>
        <w:spacing w:before="0" w:after="140" w:line="317" w:lineRule="exact"/>
        <w:ind w:left="0" w:right="0" w:firstLine="0"/>
        <w:jc w:val="both"/>
      </w:pPr>
      <w:r>
        <w:rPr>
          <w:color w:val="000000"/>
          <w:spacing w:val="0"/>
          <w:w w:val="100"/>
          <w:position w:val="0"/>
        </w:rPr>
        <w:t>本公司在职工为其提供服务的会计期间，将实际发生的短期薪酬确认为负债，并计入当期损益，其他会计准则要求或允许计 入资产成本的除外。</w:t>
      </w:r>
      <w:r>
        <w:br w:type="page"/>
      </w:r>
    </w:p>
    <w:p>
      <w:pPr>
        <w:pStyle w:val="Style5"/>
        <w:keepNext w:val="0"/>
        <w:keepLines w:val="0"/>
        <w:widowControl w:val="0"/>
        <w:shd w:val="clear" w:color="auto" w:fill="auto"/>
        <w:tabs>
          <w:tab w:pos="764" w:val="left"/>
        </w:tabs>
        <w:bidi w:val="0"/>
        <w:spacing w:before="0" w:after="0"/>
        <w:ind w:left="140" w:right="0" w:firstLine="20"/>
        <w:jc w:val="both"/>
        <w:rPr>
          <w:sz w:val="18"/>
          <w:szCs w:val="18"/>
        </w:rPr>
      </w:pPr>
      <w:r>
        <mc:AlternateContent>
          <mc:Choice Requires="wps">
            <w:drawing>
              <wp:anchor distT="0" distB="0" distL="114300" distR="114300" simplePos="0" relativeHeight="125829583" behindDoc="0" locked="0" layoutInCell="1" allowOverlap="1">
                <wp:simplePos x="0" y="0"/>
                <wp:positionH relativeFrom="page">
                  <wp:posOffset>624205</wp:posOffset>
                </wp:positionH>
                <wp:positionV relativeFrom="paragraph">
                  <wp:posOffset>266700</wp:posOffset>
                </wp:positionV>
                <wp:extent cx="777240" cy="152400"/>
                <wp:wrapTopAndBottom/>
                <wp:docPr id="789" name="Shape 789"/>
                <a:graphic xmlns:a="http://schemas.openxmlformats.org/drawingml/2006/main">
                  <a:graphicData uri="http://schemas.microsoft.com/office/word/2010/wordprocessingShape">
                    <wps:wsp>
                      <wps:cNvSpPr txBox="1"/>
                      <wps:spPr>
                        <a:xfrm>
                          <a:ext cx="77724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）职工福利费</w:t>
                            </w:r>
                          </w:p>
                        </w:txbxContent>
                      </wps:txbx>
                      <wps:bodyPr wrap="none" lIns="0" tIns="0" rIns="0" bIns="0">
                        <a:noAutoFit/>
                      </wps:bodyPr>
                    </wps:wsp>
                  </a:graphicData>
                </a:graphic>
              </wp:anchor>
            </w:drawing>
          </mc:Choice>
          <mc:Fallback>
            <w:pict>
              <v:shape id="_x0000_s1815" type="#_x0000_t202" style="position:absolute;margin-left:49.149999999999999pt;margin-top:21.pt;width:61.200000000000003pt;height:12.pt;z-index:-125829170;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）职工福利费</w:t>
                      </w:r>
                    </w:p>
                  </w:txbxContent>
                </v:textbox>
                <w10:wrap type="topAndBottom" anchorx="page"/>
              </v:shape>
            </w:pict>
          </mc:Fallback>
        </mc:AlternateContent>
      </w: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32"/>
        <w:keepNext w:val="0"/>
        <w:keepLines w:val="0"/>
        <w:widowControl w:val="0"/>
        <w:shd w:val="clear" w:color="auto" w:fill="auto"/>
        <w:bidi w:val="0"/>
        <w:spacing w:before="100" w:after="100" w:line="240" w:lineRule="auto"/>
        <w:ind w:left="0" w:right="0" w:firstLine="0"/>
        <w:jc w:val="left"/>
      </w:pPr>
      <w:r>
        <w:rPr>
          <w:color w:val="000000"/>
          <w:spacing w:val="0"/>
          <w:w w:val="100"/>
          <w:position w:val="0"/>
        </w:rPr>
        <w:t xml:space="preserve">本公司发生的职工福利费，在实际发生时根据实际发生额计入当期损益或相关资产成本。职工福利费为非货币性福利的，按 </w:t>
      </w:r>
      <w:r>
        <w:rPr>
          <w:color w:val="000000"/>
          <w:spacing w:val="0"/>
          <w:w w:val="100"/>
          <w:position w:val="0"/>
        </w:rPr>
        <w:t>照公允价值计量。</w:t>
      </w:r>
    </w:p>
    <w:p>
      <w:pPr>
        <w:pStyle w:val="Style32"/>
        <w:keepNext w:val="0"/>
        <w:keepLines w:val="0"/>
        <w:widowControl w:val="0"/>
        <w:shd w:val="clear" w:color="auto" w:fill="auto"/>
        <w:bidi w:val="0"/>
        <w:spacing w:before="0" w:after="100" w:line="240" w:lineRule="auto"/>
        <w:ind w:left="0" w:right="0" w:firstLine="0"/>
        <w:jc w:val="left"/>
      </w:pPr>
      <w:bookmarkStart w:id="1083" w:name="bookmark1083"/>
      <w:r>
        <w:rPr>
          <w:rFonts w:ascii="Times New Roman" w:eastAsia="Times New Roman" w:hAnsi="Times New Roman" w:cs="Times New Roman"/>
          <w:color w:val="000000"/>
          <w:spacing w:val="0"/>
          <w:w w:val="100"/>
          <w:position w:val="0"/>
        </w:rPr>
        <w:t>3</w:t>
      </w:r>
      <w:bookmarkEnd w:id="1083"/>
      <w:r>
        <w:rPr>
          <w:color w:val="000000"/>
          <w:spacing w:val="0"/>
          <w:w w:val="100"/>
          <w:position w:val="0"/>
        </w:rPr>
        <w:t>）医疗保险费、工伤保险费、生育保险费等社会保险费和住房公积金，以及工会经费和职工教育经费</w:t>
      </w:r>
    </w:p>
    <w:p>
      <w:pPr>
        <w:pStyle w:val="Style32"/>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本公司为职工缴纳的医疗保险费、工伤保险费、生育保险费等社会保险费和住房公积金，以及按规定提取的工会经费和职工 </w:t>
      </w:r>
      <w:r>
        <w:rPr>
          <w:color w:val="000000"/>
          <w:spacing w:val="0"/>
          <w:w w:val="100"/>
          <w:position w:val="0"/>
        </w:rPr>
        <w:t xml:space="preserve">教育经费，在职工为其提供服务的会计期间，根据规定的计提基础和计提比例计算确定相应的职工薪酬金额，并确认相应负 </w:t>
      </w:r>
      <w:r>
        <w:rPr>
          <w:color w:val="000000"/>
          <w:spacing w:val="0"/>
          <w:w w:val="100"/>
          <w:position w:val="0"/>
        </w:rPr>
        <w:t>债，计入当期损益或相关资产成本。</w:t>
      </w:r>
    </w:p>
    <w:p>
      <w:pPr>
        <w:pStyle w:val="Style32"/>
        <w:keepNext w:val="0"/>
        <w:keepLines w:val="0"/>
        <w:widowControl w:val="0"/>
        <w:shd w:val="clear" w:color="auto" w:fill="auto"/>
        <w:bidi w:val="0"/>
        <w:spacing w:before="0" w:after="100" w:line="240" w:lineRule="auto"/>
        <w:ind w:left="0" w:right="0" w:firstLine="0"/>
        <w:jc w:val="left"/>
      </w:pPr>
      <w:bookmarkStart w:id="1084" w:name="bookmark1084"/>
      <w:r>
        <w:rPr>
          <w:rFonts w:ascii="Times New Roman" w:eastAsia="Times New Roman" w:hAnsi="Times New Roman" w:cs="Times New Roman"/>
          <w:color w:val="000000"/>
          <w:spacing w:val="0"/>
          <w:w w:val="100"/>
          <w:position w:val="0"/>
        </w:rPr>
        <w:t>4</w:t>
      </w:r>
      <w:bookmarkEnd w:id="1084"/>
      <w:r>
        <w:rPr>
          <w:color w:val="000000"/>
          <w:spacing w:val="0"/>
          <w:w w:val="100"/>
          <w:position w:val="0"/>
        </w:rPr>
        <w:t>）短期带薪缺勤</w:t>
      </w:r>
    </w:p>
    <w:p>
      <w:pPr>
        <w:pStyle w:val="Style32"/>
        <w:keepNext w:val="0"/>
        <w:keepLines w:val="0"/>
        <w:widowControl w:val="0"/>
        <w:shd w:val="clear" w:color="auto" w:fill="auto"/>
        <w:bidi w:val="0"/>
        <w:spacing w:before="0" w:after="100" w:line="240" w:lineRule="auto"/>
        <w:ind w:left="0" w:right="0" w:firstLine="0"/>
        <w:jc w:val="left"/>
      </w:pPr>
      <w:r>
        <w:rPr>
          <w:color w:val="000000"/>
          <w:spacing w:val="0"/>
          <w:w w:val="100"/>
          <w:position w:val="0"/>
        </w:rPr>
        <w:t xml:space="preserve">本公司在职工提供服务从而增加了其未来享有的带薪缺勤权利时，确认与累积带薪缺勤相关的职工薪酬，并以累积未行使权 </w:t>
      </w:r>
      <w:r>
        <w:rPr>
          <w:color w:val="000000"/>
          <w:spacing w:val="0"/>
          <w:w w:val="100"/>
          <w:position w:val="0"/>
        </w:rPr>
        <w:t>利而增加的预期支付金额计量。本公司在职工实际发生缺勤的会计期间确认与非累积带薪缺勤相关的职工薪酬。</w:t>
      </w:r>
    </w:p>
    <w:p>
      <w:pPr>
        <w:pStyle w:val="Style32"/>
        <w:keepNext w:val="0"/>
        <w:keepLines w:val="0"/>
        <w:widowControl w:val="0"/>
        <w:shd w:val="clear" w:color="auto" w:fill="auto"/>
        <w:bidi w:val="0"/>
        <w:spacing w:before="0" w:after="100" w:line="240" w:lineRule="auto"/>
        <w:ind w:left="0" w:right="0" w:firstLine="0"/>
        <w:jc w:val="both"/>
      </w:pPr>
      <w:bookmarkStart w:id="1085" w:name="bookmark1085"/>
      <w:r>
        <w:rPr>
          <w:rFonts w:ascii="Times New Roman" w:eastAsia="Times New Roman" w:hAnsi="Times New Roman" w:cs="Times New Roman"/>
          <w:color w:val="000000"/>
          <w:spacing w:val="0"/>
          <w:w w:val="100"/>
          <w:position w:val="0"/>
        </w:rPr>
        <w:t>5</w:t>
      </w:r>
      <w:bookmarkEnd w:id="1085"/>
      <w:r>
        <w:rPr>
          <w:color w:val="000000"/>
          <w:spacing w:val="0"/>
          <w:w w:val="100"/>
          <w:position w:val="0"/>
        </w:rPr>
        <w:t>）短期利润分享计划</w:t>
      </w:r>
    </w:p>
    <w:p>
      <w:pPr>
        <w:pStyle w:val="Style3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利润分享计划同时满足下列条件的，本公司确认相关的应付职工薪酬:</w:t>
      </w:r>
    </w:p>
    <w:p>
      <w:pPr>
        <w:pStyle w:val="Style32"/>
        <w:keepNext w:val="0"/>
        <w:keepLines w:val="0"/>
        <w:widowControl w:val="0"/>
        <w:numPr>
          <w:ilvl w:val="0"/>
          <w:numId w:val="103"/>
        </w:numPr>
        <w:shd w:val="clear" w:color="auto" w:fill="auto"/>
        <w:bidi w:val="0"/>
        <w:spacing w:before="0" w:after="100" w:line="240" w:lineRule="auto"/>
        <w:ind w:left="0" w:right="0" w:firstLine="0"/>
        <w:jc w:val="both"/>
      </w:pPr>
      <w:bookmarkStart w:id="1086" w:name="bookmark1086"/>
      <w:bookmarkEnd w:id="1086"/>
      <w:r>
        <w:rPr>
          <w:color w:val="000000"/>
          <w:spacing w:val="0"/>
          <w:w w:val="100"/>
          <w:position w:val="0"/>
        </w:rPr>
        <w:t>企业因过去事项导致现在具有支付职工薪酬的法定义务或推定义务。</w:t>
      </w:r>
    </w:p>
    <w:p>
      <w:pPr>
        <w:pStyle w:val="Style32"/>
        <w:keepNext w:val="0"/>
        <w:keepLines w:val="0"/>
        <w:widowControl w:val="0"/>
        <w:numPr>
          <w:ilvl w:val="0"/>
          <w:numId w:val="103"/>
        </w:numPr>
        <w:shd w:val="clear" w:color="auto" w:fill="auto"/>
        <w:bidi w:val="0"/>
        <w:spacing w:before="0" w:after="380" w:line="240" w:lineRule="auto"/>
        <w:ind w:left="0" w:right="0" w:firstLine="0"/>
        <w:jc w:val="both"/>
      </w:pPr>
      <w:bookmarkStart w:id="1087" w:name="bookmark1087"/>
      <w:bookmarkEnd w:id="1087"/>
      <w:r>
        <w:rPr>
          <w:color w:val="000000"/>
          <w:spacing w:val="0"/>
          <w:w w:val="100"/>
          <w:position w:val="0"/>
        </w:rPr>
        <w:t>因利润分享计划所产生的应付职工薪酬义务金额能够可靠估计。</w:t>
      </w:r>
    </w:p>
    <w:p>
      <w:pPr>
        <w:pStyle w:val="Style55"/>
        <w:keepNext/>
        <w:keepLines/>
        <w:widowControl w:val="0"/>
        <w:shd w:val="clear" w:color="auto" w:fill="auto"/>
        <w:bidi w:val="0"/>
        <w:spacing w:before="0" w:after="280" w:line="240" w:lineRule="auto"/>
        <w:ind w:left="0" w:right="0" w:firstLine="0"/>
        <w:jc w:val="both"/>
      </w:pPr>
      <w:bookmarkStart w:id="1088" w:name="bookmark1088"/>
      <w:bookmarkStart w:id="1089" w:name="bookmark1089"/>
      <w:bookmarkStart w:id="1090" w:name="bookmark1090"/>
      <w:bookmarkStart w:id="1091" w:name="bookmark1091"/>
      <w:r>
        <w:rPr>
          <w:color w:val="000000"/>
          <w:spacing w:val="0"/>
          <w:w w:val="100"/>
          <w:position w:val="0"/>
        </w:rPr>
        <w:t>（</w:t>
      </w:r>
      <w:bookmarkEnd w:id="1090"/>
      <w:r>
        <w:rPr>
          <w:rFonts w:ascii="Times New Roman" w:eastAsia="Times New Roman" w:hAnsi="Times New Roman" w:cs="Times New Roman"/>
          <w:color w:val="000000"/>
          <w:spacing w:val="0"/>
          <w:w w:val="100"/>
          <w:position w:val="0"/>
        </w:rPr>
        <w:t>2</w:t>
      </w:r>
      <w:r>
        <w:rPr>
          <w:color w:val="000000"/>
          <w:spacing w:val="0"/>
          <w:w w:val="100"/>
          <w:position w:val="0"/>
        </w:rPr>
        <w:t>）离职后福利的会计处理方法</w:t>
      </w:r>
      <w:bookmarkEnd w:id="1088"/>
      <w:bookmarkEnd w:id="1089"/>
      <w:bookmarkEnd w:id="1091"/>
    </w:p>
    <w:p>
      <w:pPr>
        <w:pStyle w:val="Style32"/>
        <w:keepNext w:val="0"/>
        <w:keepLines w:val="0"/>
        <w:widowControl w:val="0"/>
        <w:shd w:val="clear" w:color="auto" w:fill="auto"/>
        <w:tabs>
          <w:tab w:pos="349" w:val="left"/>
        </w:tabs>
        <w:bidi w:val="0"/>
        <w:spacing w:before="0" w:after="0" w:line="311" w:lineRule="exact"/>
        <w:ind w:left="0" w:right="0" w:firstLine="0"/>
        <w:jc w:val="both"/>
      </w:pPr>
      <w:bookmarkStart w:id="1092" w:name="bookmark1092"/>
      <w:r>
        <w:rPr>
          <w:rFonts w:ascii="Times New Roman" w:eastAsia="Times New Roman" w:hAnsi="Times New Roman" w:cs="Times New Roman"/>
          <w:color w:val="000000"/>
          <w:spacing w:val="0"/>
          <w:w w:val="100"/>
          <w:position w:val="0"/>
        </w:rPr>
        <w:t>1</w:t>
      </w:r>
      <w:bookmarkEnd w:id="1092"/>
      <w:r>
        <w:rPr>
          <w:color w:val="000000"/>
          <w:spacing w:val="0"/>
          <w:w w:val="100"/>
          <w:position w:val="0"/>
        </w:rPr>
        <w:t>）</w:t>
        <w:tab/>
        <w:t>设定提存计划</w:t>
      </w:r>
    </w:p>
    <w:p>
      <w:pPr>
        <w:pStyle w:val="Style32"/>
        <w:keepNext w:val="0"/>
        <w:keepLines w:val="0"/>
        <w:widowControl w:val="0"/>
        <w:shd w:val="clear" w:color="auto" w:fill="auto"/>
        <w:bidi w:val="0"/>
        <w:spacing w:before="0" w:after="0" w:line="311" w:lineRule="exact"/>
        <w:ind w:left="0" w:right="0" w:firstLine="0"/>
        <w:jc w:val="both"/>
      </w:pPr>
      <w:r>
        <w:rPr>
          <w:color w:val="000000"/>
          <w:spacing w:val="0"/>
          <w:w w:val="100"/>
          <w:position w:val="0"/>
        </w:rPr>
        <w:t>本公司在职工为其提供服务的会计期间，将根据设定提存计划计算的应缴存金额确认为负债，并计入当期损益或相关资产成 本。</w:t>
      </w:r>
    </w:p>
    <w:p>
      <w:pPr>
        <w:pStyle w:val="Style32"/>
        <w:keepNext w:val="0"/>
        <w:keepLines w:val="0"/>
        <w:widowControl w:val="0"/>
        <w:shd w:val="clear" w:color="auto" w:fill="auto"/>
        <w:bidi w:val="0"/>
        <w:spacing w:before="0" w:after="0" w:line="311" w:lineRule="exact"/>
        <w:ind w:left="0" w:right="0" w:firstLine="0"/>
        <w:jc w:val="both"/>
      </w:pPr>
      <w:r>
        <w:rPr>
          <w:color w:val="000000"/>
          <w:spacing w:val="0"/>
          <w:w w:val="100"/>
          <w:position w:val="0"/>
        </w:rPr>
        <w:t>根据设定提存计划，预期不会在职工提供相关服务的年度报告期结束后十二个月内支付全部应缴存金额的，本公司参照相应 的折现率（根据资产负债表日与设定提存计划义务期限和币种相匹配的国债或活跃市场上的高质量公司债券的市场收益率确 定），将全部应缴存金额以折现后的金额计量应付职工薪酬。</w:t>
      </w:r>
    </w:p>
    <w:p>
      <w:pPr>
        <w:pStyle w:val="Style32"/>
        <w:keepNext w:val="0"/>
        <w:keepLines w:val="0"/>
        <w:widowControl w:val="0"/>
        <w:shd w:val="clear" w:color="auto" w:fill="auto"/>
        <w:tabs>
          <w:tab w:pos="368" w:val="left"/>
        </w:tabs>
        <w:bidi w:val="0"/>
        <w:spacing w:before="0" w:after="0" w:line="311" w:lineRule="exact"/>
        <w:ind w:left="0" w:right="0" w:firstLine="0"/>
        <w:jc w:val="both"/>
      </w:pPr>
      <w:bookmarkStart w:id="1093" w:name="bookmark1093"/>
      <w:r>
        <w:rPr>
          <w:rFonts w:ascii="Times New Roman" w:eastAsia="Times New Roman" w:hAnsi="Times New Roman" w:cs="Times New Roman"/>
          <w:color w:val="000000"/>
          <w:spacing w:val="0"/>
          <w:w w:val="100"/>
          <w:position w:val="0"/>
        </w:rPr>
        <w:t>2</w:t>
      </w:r>
      <w:bookmarkEnd w:id="1093"/>
      <w:r>
        <w:rPr>
          <w:color w:val="000000"/>
          <w:spacing w:val="0"/>
          <w:w w:val="100"/>
          <w:position w:val="0"/>
        </w:rPr>
        <w:t>）</w:t>
        <w:tab/>
        <w:t>设定受益计划</w:t>
      </w:r>
    </w:p>
    <w:p>
      <w:pPr>
        <w:pStyle w:val="Style32"/>
        <w:keepNext w:val="0"/>
        <w:keepLines w:val="0"/>
        <w:widowControl w:val="0"/>
        <w:numPr>
          <w:ilvl w:val="0"/>
          <w:numId w:val="105"/>
        </w:numPr>
        <w:shd w:val="clear" w:color="auto" w:fill="auto"/>
        <w:tabs>
          <w:tab w:pos="373" w:val="left"/>
        </w:tabs>
        <w:bidi w:val="0"/>
        <w:spacing w:before="0" w:after="0" w:line="311" w:lineRule="exact"/>
        <w:ind w:left="0" w:right="0" w:firstLine="0"/>
        <w:jc w:val="both"/>
      </w:pPr>
      <w:bookmarkStart w:id="1094" w:name="bookmark1094"/>
      <w:bookmarkEnd w:id="1094"/>
      <w:r>
        <w:rPr>
          <w:color w:val="000000"/>
          <w:spacing w:val="0"/>
          <w:w w:val="100"/>
          <w:position w:val="0"/>
        </w:rPr>
        <w:t>确定设定受益计划义务的现值和当期服务成本</w:t>
      </w:r>
    </w:p>
    <w:p>
      <w:pPr>
        <w:pStyle w:val="Style32"/>
        <w:keepNext w:val="0"/>
        <w:keepLines w:val="0"/>
        <w:widowControl w:val="0"/>
        <w:shd w:val="clear" w:color="auto" w:fill="auto"/>
        <w:bidi w:val="0"/>
        <w:spacing w:before="0" w:after="0" w:line="311" w:lineRule="exact"/>
        <w:ind w:left="0" w:right="0" w:firstLine="0"/>
        <w:jc w:val="both"/>
      </w:pPr>
      <w:r>
        <w:rPr>
          <w:color w:val="000000"/>
          <w:spacing w:val="0"/>
          <w:w w:val="100"/>
          <w:position w:val="0"/>
        </w:rPr>
        <w:t>根据预期累计福利单位法，采用无偏且相互一致的精算假设对有关人口统计变量和财务变量等做出估计，计量设定受益计划 所产生的义务，并确定相关义务的归属期间。本公司按照相应的折现率（根据资产负债表日与设定受益计划义务期限和币种 相匹配的国债或活跃市场上的高质量公司债券的市场收益率确定）将设定受益计划所产生的义务予以折现，以确定设定受益 计划义务的现值和当期服务成本。</w:t>
      </w:r>
    </w:p>
    <w:p>
      <w:pPr>
        <w:pStyle w:val="Style32"/>
        <w:keepNext w:val="0"/>
        <w:keepLines w:val="0"/>
        <w:widowControl w:val="0"/>
        <w:numPr>
          <w:ilvl w:val="0"/>
          <w:numId w:val="105"/>
        </w:numPr>
        <w:shd w:val="clear" w:color="auto" w:fill="auto"/>
        <w:tabs>
          <w:tab w:pos="373" w:val="left"/>
        </w:tabs>
        <w:bidi w:val="0"/>
        <w:spacing w:before="0" w:after="0" w:line="311" w:lineRule="exact"/>
        <w:ind w:left="0" w:right="0" w:firstLine="0"/>
        <w:jc w:val="both"/>
      </w:pPr>
      <w:bookmarkStart w:id="1095" w:name="bookmark1095"/>
      <w:bookmarkEnd w:id="1095"/>
      <w:r>
        <w:rPr>
          <w:color w:val="000000"/>
          <w:spacing w:val="0"/>
          <w:w w:val="100"/>
          <w:position w:val="0"/>
        </w:rPr>
        <w:t>确认设定受益计划净负债或净资产</w:t>
      </w:r>
    </w:p>
    <w:p>
      <w:pPr>
        <w:pStyle w:val="Style32"/>
        <w:keepNext w:val="0"/>
        <w:keepLines w:val="0"/>
        <w:widowControl w:val="0"/>
        <w:shd w:val="clear" w:color="auto" w:fill="auto"/>
        <w:bidi w:val="0"/>
        <w:spacing w:before="0" w:after="0" w:line="311" w:lineRule="exact"/>
        <w:ind w:left="0" w:right="0" w:firstLine="0"/>
        <w:jc w:val="both"/>
      </w:pPr>
      <w:r>
        <w:rPr>
          <w:color w:val="000000"/>
          <w:spacing w:val="0"/>
          <w:w w:val="100"/>
          <w:position w:val="0"/>
        </w:rPr>
        <w:t>设定受益计划存在资产的，本公司将设定受益计划义务现值减去设定受益计划资产公允价值所形成的赤字或盈余确认为一项 设定受益计划净负债或净资产。</w:t>
      </w:r>
    </w:p>
    <w:p>
      <w:pPr>
        <w:pStyle w:val="Style32"/>
        <w:keepNext w:val="0"/>
        <w:keepLines w:val="0"/>
        <w:widowControl w:val="0"/>
        <w:shd w:val="clear" w:color="auto" w:fill="auto"/>
        <w:bidi w:val="0"/>
        <w:spacing w:before="0" w:after="0" w:line="311" w:lineRule="exact"/>
        <w:ind w:left="0" w:right="0" w:firstLine="0"/>
        <w:jc w:val="both"/>
      </w:pPr>
      <w:r>
        <w:rPr>
          <w:color w:val="000000"/>
          <w:spacing w:val="0"/>
          <w:w w:val="100"/>
          <w:position w:val="0"/>
        </w:rPr>
        <w:t>设定受益计划存在盈余的，本公司以设定受益计划的盈余和资产上限两项的孰低者计量设定受益计划净资产。</w:t>
      </w:r>
    </w:p>
    <w:p>
      <w:pPr>
        <w:pStyle w:val="Style32"/>
        <w:keepNext w:val="0"/>
        <w:keepLines w:val="0"/>
        <w:widowControl w:val="0"/>
        <w:numPr>
          <w:ilvl w:val="0"/>
          <w:numId w:val="105"/>
        </w:numPr>
        <w:shd w:val="clear" w:color="auto" w:fill="auto"/>
        <w:tabs>
          <w:tab w:pos="373" w:val="left"/>
        </w:tabs>
        <w:bidi w:val="0"/>
        <w:spacing w:before="0" w:after="0" w:line="311" w:lineRule="exact"/>
        <w:ind w:left="0" w:right="0" w:firstLine="0"/>
        <w:jc w:val="both"/>
      </w:pPr>
      <w:bookmarkStart w:id="1096" w:name="bookmark1096"/>
      <w:bookmarkEnd w:id="1096"/>
      <w:r>
        <w:rPr>
          <w:color w:val="000000"/>
          <w:spacing w:val="0"/>
          <w:w w:val="100"/>
          <w:position w:val="0"/>
        </w:rPr>
        <w:t>确定应计入资产成本或当期损益的金额</w:t>
      </w:r>
    </w:p>
    <w:p>
      <w:pPr>
        <w:pStyle w:val="Style32"/>
        <w:keepNext w:val="0"/>
        <w:keepLines w:val="0"/>
        <w:widowControl w:val="0"/>
        <w:shd w:val="clear" w:color="auto" w:fill="auto"/>
        <w:bidi w:val="0"/>
        <w:spacing w:before="0" w:after="0" w:line="311" w:lineRule="exact"/>
        <w:ind w:left="0" w:right="0" w:firstLine="0"/>
        <w:jc w:val="both"/>
      </w:pPr>
      <w:r>
        <w:rPr>
          <w:color w:val="000000"/>
          <w:spacing w:val="0"/>
          <w:w w:val="100"/>
          <w:position w:val="0"/>
        </w:rPr>
        <w:t>服务成本，包括当期服务成本、过去服务成本和结算利得或损失。其中，除了其他会计准则要求或允许计入资产成本的当期 服务成本之外，其他服务成本均计入当期损益。</w:t>
      </w:r>
    </w:p>
    <w:p>
      <w:pPr>
        <w:pStyle w:val="Style32"/>
        <w:keepNext w:val="0"/>
        <w:keepLines w:val="0"/>
        <w:widowControl w:val="0"/>
        <w:shd w:val="clear" w:color="auto" w:fill="auto"/>
        <w:bidi w:val="0"/>
        <w:spacing w:before="0" w:after="0" w:line="311" w:lineRule="exact"/>
        <w:ind w:left="0" w:right="0" w:firstLine="0"/>
        <w:jc w:val="both"/>
      </w:pPr>
      <w:r>
        <w:rPr>
          <w:color w:val="000000"/>
          <w:spacing w:val="0"/>
          <w:w w:val="100"/>
          <w:position w:val="0"/>
        </w:rPr>
        <w:t>设定受益计划净负债或净资产的利息净额，包括计划资产的利息收益、设定受益计划义务的利息费用以及资产上限影响的利 息，均计入当期损益。</w:t>
      </w:r>
    </w:p>
    <w:p>
      <w:pPr>
        <w:pStyle w:val="Style32"/>
        <w:keepNext w:val="0"/>
        <w:keepLines w:val="0"/>
        <w:widowControl w:val="0"/>
        <w:numPr>
          <w:ilvl w:val="0"/>
          <w:numId w:val="105"/>
        </w:numPr>
        <w:shd w:val="clear" w:color="auto" w:fill="auto"/>
        <w:tabs>
          <w:tab w:pos="373" w:val="left"/>
        </w:tabs>
        <w:bidi w:val="0"/>
        <w:spacing w:before="0" w:after="0" w:line="311" w:lineRule="exact"/>
        <w:ind w:left="0" w:right="0" w:firstLine="0"/>
        <w:jc w:val="both"/>
      </w:pPr>
      <w:bookmarkStart w:id="1097" w:name="bookmark1097"/>
      <w:bookmarkEnd w:id="1097"/>
      <w:r>
        <w:rPr>
          <w:color w:val="000000"/>
          <w:spacing w:val="0"/>
          <w:w w:val="100"/>
          <w:position w:val="0"/>
        </w:rPr>
        <w:t>确定应计入其他综合收益的金额</w:t>
      </w:r>
    </w:p>
    <w:p>
      <w:pPr>
        <w:pStyle w:val="Style32"/>
        <w:keepNext w:val="0"/>
        <w:keepLines w:val="0"/>
        <w:widowControl w:val="0"/>
        <w:shd w:val="clear" w:color="auto" w:fill="auto"/>
        <w:bidi w:val="0"/>
        <w:spacing w:before="0" w:after="0" w:line="311" w:lineRule="exact"/>
        <w:ind w:left="0" w:right="0" w:firstLine="0"/>
        <w:jc w:val="both"/>
      </w:pPr>
      <w:r>
        <w:rPr>
          <w:color w:val="000000"/>
          <w:spacing w:val="0"/>
          <w:w w:val="100"/>
          <w:position w:val="0"/>
        </w:rPr>
        <w:t>重新计量设定受益计划净负债或净资产所产生的变动，包括：</w:t>
      </w:r>
    </w:p>
    <w:p>
      <w:pPr>
        <w:pStyle w:val="Style32"/>
        <w:keepNext w:val="0"/>
        <w:keepLines w:val="0"/>
        <w:widowControl w:val="0"/>
        <w:shd w:val="clear" w:color="auto" w:fill="auto"/>
        <w:tabs>
          <w:tab w:pos="430" w:val="left"/>
        </w:tabs>
        <w:bidi w:val="0"/>
        <w:spacing w:before="0" w:after="0" w:line="311" w:lineRule="exact"/>
        <w:ind w:left="0" w:right="0" w:firstLine="0"/>
        <w:jc w:val="both"/>
      </w:pPr>
      <w:bookmarkStart w:id="1098" w:name="bookmark1098"/>
      <w:r>
        <w:rPr>
          <w:color w:val="000000"/>
          <w:spacing w:val="0"/>
          <w:w w:val="100"/>
          <w:position w:val="0"/>
        </w:rPr>
        <w:t>（</w:t>
      </w:r>
      <w:bookmarkEnd w:id="1098"/>
      <w:r>
        <w:rPr>
          <w:rFonts w:ascii="Times New Roman" w:eastAsia="Times New Roman" w:hAnsi="Times New Roman" w:cs="Times New Roman"/>
          <w:color w:val="000000"/>
          <w:spacing w:val="0"/>
          <w:w w:val="100"/>
          <w:position w:val="0"/>
        </w:rPr>
        <w:t>a</w:t>
      </w:r>
      <w:r>
        <w:rPr>
          <w:color w:val="000000"/>
          <w:spacing w:val="0"/>
          <w:w w:val="100"/>
          <w:position w:val="0"/>
        </w:rPr>
        <w:t>）</w:t>
        <w:tab/>
      </w:r>
      <w:r>
        <w:rPr>
          <w:color w:val="000000"/>
          <w:spacing w:val="0"/>
          <w:w w:val="100"/>
          <w:position w:val="0"/>
        </w:rPr>
        <w:t>精算利得或损失，即由于精算假设和经验调整导致之前所计量的设定受益计划义务现值的增加或减少。</w:t>
      </w:r>
    </w:p>
    <w:p>
      <w:pPr>
        <w:pStyle w:val="Style32"/>
        <w:keepNext w:val="0"/>
        <w:keepLines w:val="0"/>
        <w:widowControl w:val="0"/>
        <w:shd w:val="clear" w:color="auto" w:fill="auto"/>
        <w:tabs>
          <w:tab w:pos="445" w:val="left"/>
        </w:tabs>
        <w:bidi w:val="0"/>
        <w:spacing w:before="0" w:after="0" w:line="311" w:lineRule="exact"/>
        <w:ind w:left="0" w:right="0" w:firstLine="0"/>
        <w:jc w:val="both"/>
      </w:pPr>
      <w:bookmarkStart w:id="1099" w:name="bookmark1099"/>
      <w:r>
        <w:rPr>
          <w:color w:val="000000"/>
          <w:spacing w:val="0"/>
          <w:w w:val="100"/>
          <w:position w:val="0"/>
        </w:rPr>
        <w:t>（</w:t>
      </w:r>
      <w:bookmarkEnd w:id="1099"/>
      <w:r>
        <w:rPr>
          <w:rFonts w:ascii="Times New Roman" w:eastAsia="Times New Roman" w:hAnsi="Times New Roman" w:cs="Times New Roman"/>
          <w:color w:val="000000"/>
          <w:spacing w:val="0"/>
          <w:w w:val="100"/>
          <w:position w:val="0"/>
        </w:rPr>
        <w:t>b</w:t>
      </w:r>
      <w:r>
        <w:rPr>
          <w:color w:val="000000"/>
          <w:spacing w:val="0"/>
          <w:w w:val="100"/>
          <w:position w:val="0"/>
        </w:rPr>
        <w:t>）</w:t>
        <w:tab/>
      </w:r>
      <w:r>
        <w:rPr>
          <w:color w:val="000000"/>
          <w:spacing w:val="0"/>
          <w:w w:val="100"/>
          <w:position w:val="0"/>
        </w:rPr>
        <w:t>计划资产回报，扣除包括在设定受益计划净负债或净资产的利息净额中的金额。</w:t>
      </w:r>
    </w:p>
    <w:p>
      <w:pPr>
        <w:pStyle w:val="Style32"/>
        <w:keepNext w:val="0"/>
        <w:keepLines w:val="0"/>
        <w:widowControl w:val="0"/>
        <w:shd w:val="clear" w:color="auto" w:fill="auto"/>
        <w:tabs>
          <w:tab w:pos="445" w:val="left"/>
        </w:tabs>
        <w:bidi w:val="0"/>
        <w:spacing w:before="0" w:after="0" w:line="311" w:lineRule="exact"/>
        <w:ind w:left="0" w:right="0" w:firstLine="0"/>
        <w:jc w:val="both"/>
      </w:pPr>
      <w:bookmarkStart w:id="1100" w:name="bookmark1100"/>
      <w:r>
        <w:rPr>
          <w:color w:val="000000"/>
          <w:spacing w:val="0"/>
          <w:w w:val="100"/>
          <w:position w:val="0"/>
        </w:rPr>
        <w:t>（</w:t>
      </w:r>
      <w:bookmarkEnd w:id="1100"/>
      <w:r>
        <w:rPr>
          <w:rFonts w:ascii="Times New Roman" w:eastAsia="Times New Roman" w:hAnsi="Times New Roman" w:cs="Times New Roman"/>
          <w:color w:val="000000"/>
          <w:spacing w:val="0"/>
          <w:w w:val="100"/>
          <w:position w:val="0"/>
        </w:rPr>
        <w:t>c</w:t>
      </w:r>
      <w:r>
        <w:rPr>
          <w:color w:val="000000"/>
          <w:spacing w:val="0"/>
          <w:w w:val="100"/>
          <w:position w:val="0"/>
        </w:rPr>
        <w:t>）</w:t>
        <w:tab/>
      </w:r>
      <w:r>
        <w:rPr>
          <w:color w:val="000000"/>
          <w:spacing w:val="0"/>
          <w:w w:val="100"/>
          <w:position w:val="0"/>
        </w:rPr>
        <w:t>资产上限影响的变动，扣除包括在设定受益计划净负债或净资产的利息净额中的金额。</w:t>
      </w:r>
    </w:p>
    <w:p>
      <w:pPr>
        <w:pStyle w:val="Style32"/>
        <w:keepNext w:val="0"/>
        <w:keepLines w:val="0"/>
        <w:widowControl w:val="0"/>
        <w:shd w:val="clear" w:color="auto" w:fill="auto"/>
        <w:bidi w:val="0"/>
        <w:spacing w:before="0" w:after="100" w:line="311" w:lineRule="exact"/>
        <w:ind w:left="0" w:right="0" w:firstLine="0"/>
        <w:jc w:val="both"/>
        <w:sectPr>
          <w:footnotePr>
            <w:pos w:val="pageBottom"/>
            <w:numFmt w:val="decimal"/>
            <w:numRestart w:val="continuous"/>
          </w:footnotePr>
          <w:type w:val="continuous"/>
          <w:pgSz w:w="11900" w:h="16840"/>
          <w:pgMar w:top="992" w:right="811" w:bottom="1146" w:left="567" w:header="0" w:footer="3" w:gutter="0"/>
          <w:cols w:space="720"/>
          <w:noEndnote/>
          <w:rtlGutter w:val="0"/>
          <w:docGrid w:linePitch="360"/>
        </w:sectPr>
      </w:pPr>
      <w:r>
        <w:rPr>
          <w:color w:val="000000"/>
          <w:spacing w:val="0"/>
          <w:w w:val="100"/>
          <w:position w:val="0"/>
        </w:rPr>
        <w:t>上述重新计量设定受益计划净负债或净资产所产生的变动直接计入其他综合收益</w:t>
      </w:r>
      <w:r>
        <w:rPr>
          <w:rFonts w:ascii="Times New Roman" w:eastAsia="Times New Roman" w:hAnsi="Times New Roman" w:cs="Times New Roman"/>
          <w:color w:val="000000"/>
          <w:spacing w:val="0"/>
          <w:w w:val="100"/>
          <w:position w:val="0"/>
        </w:rPr>
        <w:t>,</w:t>
      </w:r>
      <w:r>
        <w:rPr>
          <w:color w:val="000000"/>
          <w:spacing w:val="0"/>
          <w:w w:val="100"/>
          <w:position w:val="0"/>
        </w:rPr>
        <w:t>并且在后续会计期间不允许转回至损益，</w:t>
      </w:r>
    </w:p>
    <w:p>
      <w:pPr>
        <w:pStyle w:val="Style5"/>
        <w:keepNext w:val="0"/>
        <w:keepLines w:val="0"/>
        <w:widowControl w:val="0"/>
        <w:shd w:val="clear" w:color="auto" w:fill="auto"/>
        <w:bidi w:val="0"/>
        <w:spacing w:before="0" w:after="0" w:line="240" w:lineRule="auto"/>
        <w:ind w:left="0" w:right="0" w:firstLine="0"/>
        <w:jc w:val="left"/>
      </w:pPr>
      <w:r>
        <w:drawing>
          <wp:anchor distT="0" distB="0" distL="0" distR="0" simplePos="0" relativeHeight="125829585" behindDoc="0" locked="0" layoutInCell="1" allowOverlap="1">
            <wp:simplePos x="0" y="0"/>
            <wp:positionH relativeFrom="page">
              <wp:posOffset>622300</wp:posOffset>
            </wp:positionH>
            <wp:positionV relativeFrom="margin">
              <wp:posOffset>-205740</wp:posOffset>
            </wp:positionV>
            <wp:extent cx="1298575" cy="518160"/>
            <wp:wrapTight wrapText="right">
              <wp:wrapPolygon>
                <wp:start x="0" y="0"/>
                <wp:lineTo x="8589" y="0"/>
                <wp:lineTo x="8589" y="254"/>
                <wp:lineTo x="21600" y="254"/>
                <wp:lineTo x="21600" y="11054"/>
                <wp:lineTo x="8589" y="11054"/>
                <wp:lineTo x="8589" y="21600"/>
                <wp:lineTo x="0" y="21600"/>
                <wp:lineTo x="0" y="0"/>
              </wp:wrapPolygon>
            </wp:wrapTight>
            <wp:docPr id="791" name="Shape 791"/>
            <a:graphic xmlns:a="http://schemas.openxmlformats.org/drawingml/2006/main">
              <a:graphicData uri="http://schemas.openxmlformats.org/drawingml/2006/picture">
                <pic:pic xmlns:pic="http://schemas.openxmlformats.org/drawingml/2006/picture">
                  <pic:nvPicPr>
                    <pic:cNvPr id="792" name="Picture box 792"/>
                    <pic:cNvPicPr/>
                  </pic:nvPicPr>
                  <pic:blipFill>
                    <a:blip r:embed="rId325"/>
                    <a:stretch/>
                  </pic:blipFill>
                  <pic:spPr>
                    <a:xfrm>
                      <a:ext cx="1298575" cy="518160"/>
                    </a:xfrm>
                    <a:prstGeom prst="rect"/>
                  </pic:spPr>
                </pic:pic>
              </a:graphicData>
            </a:graphic>
          </wp:anchor>
        </w:drawing>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0"/>
        <w:jc w:val="left"/>
      </w:pP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但本公司可以在权益范围内转移这些在其他综合收益中确认的金额。</w:t>
      </w:r>
    </w:p>
    <w:p>
      <w:pPr>
        <w:pStyle w:val="Style55"/>
        <w:keepNext/>
        <w:keepLines/>
        <w:widowControl w:val="0"/>
        <w:shd w:val="clear" w:color="auto" w:fill="auto"/>
        <w:tabs>
          <w:tab w:pos="493" w:val="left"/>
        </w:tabs>
        <w:bidi w:val="0"/>
        <w:spacing w:before="0" w:after="280" w:line="240" w:lineRule="auto"/>
        <w:ind w:left="0" w:right="0" w:firstLine="0"/>
        <w:jc w:val="left"/>
      </w:pPr>
      <w:bookmarkStart w:id="1101" w:name="bookmark1101"/>
      <w:bookmarkStart w:id="1102" w:name="bookmark1102"/>
      <w:bookmarkStart w:id="1103" w:name="bookmark1103"/>
      <w:bookmarkStart w:id="1104" w:name="bookmark1104"/>
      <w:r>
        <w:rPr>
          <w:color w:val="000000"/>
          <w:spacing w:val="0"/>
          <w:w w:val="100"/>
          <w:position w:val="0"/>
        </w:rPr>
        <w:t>（</w:t>
      </w:r>
      <w:bookmarkEnd w:id="1103"/>
      <w:r>
        <w:rPr>
          <w:rFonts w:ascii="Times New Roman" w:eastAsia="Times New Roman" w:hAnsi="Times New Roman" w:cs="Times New Roman"/>
          <w:color w:val="000000"/>
          <w:spacing w:val="0"/>
          <w:w w:val="100"/>
          <w:position w:val="0"/>
        </w:rPr>
        <w:t>3</w:t>
      </w:r>
      <w:r>
        <w:rPr>
          <w:color w:val="000000"/>
          <w:spacing w:val="0"/>
          <w:w w:val="100"/>
          <w:position w:val="0"/>
        </w:rPr>
        <w:t>）</w:t>
        <w:tab/>
        <w:t>辞退福利的会计处理方法</w:t>
      </w:r>
      <w:bookmarkEnd w:id="1101"/>
      <w:bookmarkEnd w:id="1102"/>
      <w:bookmarkEnd w:id="1104"/>
    </w:p>
    <w:p>
      <w:pPr>
        <w:pStyle w:val="Style32"/>
        <w:keepNext w:val="0"/>
        <w:keepLines w:val="0"/>
        <w:widowControl w:val="0"/>
        <w:shd w:val="clear" w:color="auto" w:fill="auto"/>
        <w:bidi w:val="0"/>
        <w:spacing w:before="0" w:after="0" w:line="310" w:lineRule="exact"/>
        <w:ind w:left="0" w:right="0" w:firstLine="0"/>
        <w:jc w:val="left"/>
      </w:pPr>
      <w:r>
        <w:rPr>
          <w:color w:val="000000"/>
          <w:spacing w:val="0"/>
          <w:w w:val="100"/>
          <w:position w:val="0"/>
        </w:rPr>
        <w:t>本公司向职工提供辞退福利的，在下列两者孰早日确认辞退福利产生的职工薪酬负债，并计入当期损益：</w:t>
      </w:r>
    </w:p>
    <w:p>
      <w:pPr>
        <w:pStyle w:val="Style32"/>
        <w:keepNext w:val="0"/>
        <w:keepLines w:val="0"/>
        <w:widowControl w:val="0"/>
        <w:shd w:val="clear" w:color="auto" w:fill="auto"/>
        <w:tabs>
          <w:tab w:pos="349" w:val="left"/>
        </w:tabs>
        <w:bidi w:val="0"/>
        <w:spacing w:before="0" w:after="0" w:line="310" w:lineRule="exact"/>
        <w:ind w:left="0" w:right="0" w:firstLine="0"/>
        <w:jc w:val="left"/>
      </w:pPr>
      <w:bookmarkStart w:id="1105" w:name="bookmark1105"/>
      <w:r>
        <w:rPr>
          <w:rFonts w:ascii="Times New Roman" w:eastAsia="Times New Roman" w:hAnsi="Times New Roman" w:cs="Times New Roman"/>
          <w:color w:val="000000"/>
          <w:spacing w:val="0"/>
          <w:w w:val="100"/>
          <w:position w:val="0"/>
        </w:rPr>
        <w:t>1</w:t>
      </w:r>
      <w:bookmarkEnd w:id="1105"/>
      <w:r>
        <w:rPr>
          <w:color w:val="000000"/>
          <w:spacing w:val="0"/>
          <w:w w:val="100"/>
          <w:position w:val="0"/>
        </w:rPr>
        <w:t>）</w:t>
        <w:tab/>
        <w:t>企业不能单方面撤回因解除劳动关系计划或裁减建议所提供的辞退福利时。</w:t>
      </w:r>
    </w:p>
    <w:p>
      <w:pPr>
        <w:pStyle w:val="Style32"/>
        <w:keepNext w:val="0"/>
        <w:keepLines w:val="0"/>
        <w:widowControl w:val="0"/>
        <w:shd w:val="clear" w:color="auto" w:fill="auto"/>
        <w:tabs>
          <w:tab w:pos="368" w:val="left"/>
        </w:tabs>
        <w:bidi w:val="0"/>
        <w:spacing w:before="0" w:after="0" w:line="310" w:lineRule="exact"/>
        <w:ind w:left="0" w:right="0" w:firstLine="0"/>
        <w:jc w:val="left"/>
      </w:pPr>
      <w:bookmarkStart w:id="1106" w:name="bookmark1106"/>
      <w:r>
        <w:rPr>
          <w:rFonts w:ascii="Times New Roman" w:eastAsia="Times New Roman" w:hAnsi="Times New Roman" w:cs="Times New Roman"/>
          <w:color w:val="000000"/>
          <w:spacing w:val="0"/>
          <w:w w:val="100"/>
          <w:position w:val="0"/>
        </w:rPr>
        <w:t>2</w:t>
      </w:r>
      <w:bookmarkEnd w:id="1106"/>
      <w:r>
        <w:rPr>
          <w:color w:val="000000"/>
          <w:spacing w:val="0"/>
          <w:w w:val="100"/>
          <w:position w:val="0"/>
        </w:rPr>
        <w:t>）</w:t>
        <w:tab/>
        <w:t>企业确认与涉及支付辞退福利的重组相关的成本或费用时。</w:t>
      </w:r>
    </w:p>
    <w:p>
      <w:pPr>
        <w:pStyle w:val="Style3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辞退福利预期在年度报告期结束后十二个月内不能完全支付的，参照相应的折现率（根据资产负债表日与设定受益计划义务 期限和币种相匹配的国债或活跃市场上的高质量公司债券的市场收益率确定）将辞退福利金额予以折现，以折现后的金额计 量应付职工薪酬。</w:t>
      </w:r>
    </w:p>
    <w:p>
      <w:pPr>
        <w:pStyle w:val="Style55"/>
        <w:keepNext/>
        <w:keepLines/>
        <w:widowControl w:val="0"/>
        <w:shd w:val="clear" w:color="auto" w:fill="auto"/>
        <w:tabs>
          <w:tab w:pos="493" w:val="left"/>
        </w:tabs>
        <w:bidi w:val="0"/>
        <w:spacing w:before="0" w:after="280" w:line="240" w:lineRule="auto"/>
        <w:ind w:left="0" w:right="0" w:firstLine="0"/>
        <w:jc w:val="left"/>
      </w:pPr>
      <w:bookmarkStart w:id="1107" w:name="bookmark1107"/>
      <w:bookmarkStart w:id="1108" w:name="bookmark1108"/>
      <w:bookmarkStart w:id="1109" w:name="bookmark1109"/>
      <w:bookmarkStart w:id="1110" w:name="bookmark1110"/>
      <w:r>
        <w:rPr>
          <w:color w:val="000000"/>
          <w:spacing w:val="0"/>
          <w:w w:val="100"/>
          <w:position w:val="0"/>
        </w:rPr>
        <w:t>（</w:t>
      </w:r>
      <w:bookmarkEnd w:id="1109"/>
      <w:r>
        <w:rPr>
          <w:rFonts w:ascii="Times New Roman" w:eastAsia="Times New Roman" w:hAnsi="Times New Roman" w:cs="Times New Roman"/>
          <w:color w:val="000000"/>
          <w:spacing w:val="0"/>
          <w:w w:val="100"/>
          <w:position w:val="0"/>
        </w:rPr>
        <w:t>4</w:t>
      </w:r>
      <w:r>
        <w:rPr>
          <w:color w:val="000000"/>
          <w:spacing w:val="0"/>
          <w:w w:val="100"/>
          <w:position w:val="0"/>
        </w:rPr>
        <w:t>）</w:t>
        <w:tab/>
        <w:t>其他长期职工福利的会计处理方法</w:t>
      </w:r>
      <w:bookmarkEnd w:id="1107"/>
      <w:bookmarkEnd w:id="1108"/>
      <w:bookmarkEnd w:id="1110"/>
    </w:p>
    <w:p>
      <w:pPr>
        <w:pStyle w:val="Style32"/>
        <w:keepNext w:val="0"/>
        <w:keepLines w:val="0"/>
        <w:widowControl w:val="0"/>
        <w:shd w:val="clear" w:color="auto" w:fill="auto"/>
        <w:tabs>
          <w:tab w:pos="349" w:val="left"/>
        </w:tabs>
        <w:bidi w:val="0"/>
        <w:spacing w:before="0" w:after="0" w:line="310" w:lineRule="exact"/>
        <w:ind w:left="0" w:right="0" w:firstLine="0"/>
        <w:jc w:val="left"/>
      </w:pPr>
      <w:bookmarkStart w:id="1111" w:name="bookmark1111"/>
      <w:r>
        <w:rPr>
          <w:rFonts w:ascii="Times New Roman" w:eastAsia="Times New Roman" w:hAnsi="Times New Roman" w:cs="Times New Roman"/>
          <w:color w:val="000000"/>
          <w:spacing w:val="0"/>
          <w:w w:val="100"/>
          <w:position w:val="0"/>
        </w:rPr>
        <w:t>1</w:t>
      </w:r>
      <w:bookmarkEnd w:id="1111"/>
      <w:r>
        <w:rPr>
          <w:color w:val="000000"/>
          <w:spacing w:val="0"/>
          <w:w w:val="100"/>
          <w:position w:val="0"/>
        </w:rPr>
        <w:t>）</w:t>
        <w:tab/>
        <w:t>符合设定提存计划条件的</w:t>
      </w:r>
    </w:p>
    <w:p>
      <w:pPr>
        <w:pStyle w:val="Style32"/>
        <w:keepNext w:val="0"/>
        <w:keepLines w:val="0"/>
        <w:widowControl w:val="0"/>
        <w:shd w:val="clear" w:color="auto" w:fill="auto"/>
        <w:bidi w:val="0"/>
        <w:spacing w:before="0" w:after="0" w:line="310" w:lineRule="exact"/>
        <w:ind w:left="0" w:right="0" w:firstLine="0"/>
        <w:jc w:val="left"/>
      </w:pPr>
      <w:r>
        <w:rPr>
          <w:color w:val="000000"/>
          <w:spacing w:val="0"/>
          <w:w w:val="100"/>
          <w:position w:val="0"/>
        </w:rPr>
        <w:t>本公司向职工提供的其他长期职工福利，符合设定提存计划条件的，将全部应缴存金额以折现后的金额计量应付职工薪酬。</w:t>
      </w:r>
    </w:p>
    <w:p>
      <w:pPr>
        <w:pStyle w:val="Style32"/>
        <w:keepNext w:val="0"/>
        <w:keepLines w:val="0"/>
        <w:widowControl w:val="0"/>
        <w:shd w:val="clear" w:color="auto" w:fill="auto"/>
        <w:tabs>
          <w:tab w:pos="368" w:val="left"/>
        </w:tabs>
        <w:bidi w:val="0"/>
        <w:spacing w:before="0" w:after="0" w:line="310" w:lineRule="exact"/>
        <w:ind w:left="0" w:right="0" w:firstLine="0"/>
        <w:jc w:val="left"/>
      </w:pPr>
      <w:bookmarkStart w:id="1112" w:name="bookmark1112"/>
      <w:r>
        <w:rPr>
          <w:rFonts w:ascii="Times New Roman" w:eastAsia="Times New Roman" w:hAnsi="Times New Roman" w:cs="Times New Roman"/>
          <w:color w:val="000000"/>
          <w:spacing w:val="0"/>
          <w:w w:val="100"/>
          <w:position w:val="0"/>
        </w:rPr>
        <w:t>2</w:t>
      </w:r>
      <w:bookmarkEnd w:id="1112"/>
      <w:r>
        <w:rPr>
          <w:color w:val="000000"/>
          <w:spacing w:val="0"/>
          <w:w w:val="100"/>
          <w:position w:val="0"/>
        </w:rPr>
        <w:t>）</w:t>
        <w:tab/>
        <w:t>符合设定受益计划条件的</w:t>
      </w:r>
    </w:p>
    <w:p>
      <w:pPr>
        <w:pStyle w:val="Style32"/>
        <w:keepNext w:val="0"/>
        <w:keepLines w:val="0"/>
        <w:widowControl w:val="0"/>
        <w:shd w:val="clear" w:color="auto" w:fill="auto"/>
        <w:bidi w:val="0"/>
        <w:spacing w:before="0" w:after="0" w:line="310" w:lineRule="exact"/>
        <w:ind w:left="0" w:right="0" w:firstLine="0"/>
        <w:jc w:val="left"/>
      </w:pPr>
      <w:r>
        <w:rPr>
          <w:color w:val="000000"/>
          <w:spacing w:val="0"/>
          <w:w w:val="100"/>
          <w:position w:val="0"/>
        </w:rPr>
        <w:t>在报告期末，本公司将其他长期职工福利产生的职工薪酬成本确认为下列组成部分：</w:t>
      </w:r>
    </w:p>
    <w:p>
      <w:pPr>
        <w:pStyle w:val="Style32"/>
        <w:keepNext w:val="0"/>
        <w:keepLines w:val="0"/>
        <w:widowControl w:val="0"/>
        <w:numPr>
          <w:ilvl w:val="0"/>
          <w:numId w:val="107"/>
        </w:numPr>
        <w:shd w:val="clear" w:color="auto" w:fill="auto"/>
        <w:tabs>
          <w:tab w:pos="373" w:val="left"/>
        </w:tabs>
        <w:bidi w:val="0"/>
        <w:spacing w:before="0" w:after="0" w:line="310" w:lineRule="exact"/>
        <w:ind w:left="0" w:right="0" w:firstLine="0"/>
        <w:jc w:val="left"/>
      </w:pPr>
      <w:bookmarkStart w:id="1113" w:name="bookmark1113"/>
      <w:bookmarkEnd w:id="1113"/>
      <w:r>
        <w:rPr>
          <w:color w:val="000000"/>
          <w:spacing w:val="0"/>
          <w:w w:val="100"/>
          <w:position w:val="0"/>
        </w:rPr>
        <w:t>服务成本。</w:t>
      </w:r>
    </w:p>
    <w:p>
      <w:pPr>
        <w:pStyle w:val="Style32"/>
        <w:keepNext w:val="0"/>
        <w:keepLines w:val="0"/>
        <w:widowControl w:val="0"/>
        <w:numPr>
          <w:ilvl w:val="0"/>
          <w:numId w:val="107"/>
        </w:numPr>
        <w:shd w:val="clear" w:color="auto" w:fill="auto"/>
        <w:tabs>
          <w:tab w:pos="373" w:val="left"/>
        </w:tabs>
        <w:bidi w:val="0"/>
        <w:spacing w:before="0" w:after="0" w:line="310" w:lineRule="exact"/>
        <w:ind w:left="0" w:right="0" w:firstLine="0"/>
        <w:jc w:val="left"/>
      </w:pPr>
      <w:bookmarkStart w:id="1114" w:name="bookmark1114"/>
      <w:bookmarkEnd w:id="1114"/>
      <w:r>
        <w:rPr>
          <w:color w:val="000000"/>
          <w:spacing w:val="0"/>
          <w:w w:val="100"/>
          <w:position w:val="0"/>
        </w:rPr>
        <w:t>其他长期职工福利净负债或净资产的利息净额。</w:t>
      </w:r>
    </w:p>
    <w:p>
      <w:pPr>
        <w:pStyle w:val="Style32"/>
        <w:keepNext w:val="0"/>
        <w:keepLines w:val="0"/>
        <w:widowControl w:val="0"/>
        <w:numPr>
          <w:ilvl w:val="0"/>
          <w:numId w:val="107"/>
        </w:numPr>
        <w:shd w:val="clear" w:color="auto" w:fill="auto"/>
        <w:tabs>
          <w:tab w:pos="373" w:val="left"/>
        </w:tabs>
        <w:bidi w:val="0"/>
        <w:spacing w:before="0" w:after="0" w:line="310" w:lineRule="exact"/>
        <w:ind w:left="0" w:right="0" w:firstLine="0"/>
        <w:jc w:val="left"/>
      </w:pPr>
      <w:bookmarkStart w:id="1115" w:name="bookmark1115"/>
      <w:bookmarkEnd w:id="1115"/>
      <w:r>
        <w:rPr>
          <w:color w:val="000000"/>
          <w:spacing w:val="0"/>
          <w:w w:val="100"/>
          <w:position w:val="0"/>
        </w:rPr>
        <w:t>重新计量其他长期职工福利净负债或净资产所产生的变动。</w:t>
      </w:r>
    </w:p>
    <w:p>
      <w:pPr>
        <w:pStyle w:val="Style3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为简化相关会计处理，上述项目的总净额计入当期损益或相关资产成本。</w:t>
      </w:r>
    </w:p>
    <w:p>
      <w:pPr>
        <w:pStyle w:val="Style55"/>
        <w:keepNext/>
        <w:keepLines/>
        <w:widowControl w:val="0"/>
        <w:shd w:val="clear" w:color="auto" w:fill="auto"/>
        <w:bidi w:val="0"/>
        <w:spacing w:before="0" w:after="980" w:line="240" w:lineRule="auto"/>
        <w:ind w:left="0" w:right="0" w:firstLine="0"/>
        <w:jc w:val="left"/>
      </w:pPr>
      <w:bookmarkStart w:id="1116" w:name="bookmark1116"/>
      <w:bookmarkStart w:id="1117" w:name="bookmark1117"/>
      <w:bookmarkStart w:id="1118" w:name="bookmark1118"/>
      <w:bookmarkStart w:id="1119" w:name="bookmark1119"/>
      <w:r>
        <w:rPr>
          <w:rFonts w:ascii="Times New Roman" w:eastAsia="Times New Roman" w:hAnsi="Times New Roman" w:cs="Times New Roman"/>
          <w:color w:val="000000"/>
          <w:spacing w:val="0"/>
          <w:w w:val="100"/>
          <w:position w:val="0"/>
        </w:rPr>
        <w:t>3</w:t>
      </w:r>
      <w:bookmarkEnd w:id="1118"/>
      <w:r>
        <w:rPr>
          <w:rFonts w:ascii="Times New Roman" w:eastAsia="Times New Roman" w:hAnsi="Times New Roman" w:cs="Times New Roman"/>
          <w:color w:val="000000"/>
          <w:spacing w:val="0"/>
          <w:w w:val="100"/>
          <w:position w:val="0"/>
        </w:rPr>
        <w:t>5</w:t>
      </w:r>
      <w:r>
        <w:rPr>
          <w:color w:val="000000"/>
          <w:spacing w:val="0"/>
          <w:w w:val="100"/>
          <w:position w:val="0"/>
        </w:rPr>
        <w:t>、租赁负债</w:t>
      </w:r>
      <w:bookmarkEnd w:id="1116"/>
      <w:bookmarkEnd w:id="1117"/>
      <w:bookmarkEnd w:id="1119"/>
    </w:p>
    <w:p>
      <w:pPr>
        <w:pStyle w:val="Style55"/>
        <w:keepNext/>
        <w:keepLines/>
        <w:widowControl w:val="0"/>
        <w:shd w:val="clear" w:color="auto" w:fill="auto"/>
        <w:bidi w:val="0"/>
        <w:spacing w:before="0" w:after="280" w:line="240" w:lineRule="auto"/>
        <w:ind w:left="0" w:right="0" w:firstLine="0"/>
        <w:jc w:val="left"/>
      </w:pPr>
      <w:bookmarkStart w:id="1120" w:name="bookmark1120"/>
      <w:bookmarkStart w:id="1121" w:name="bookmark1121"/>
      <w:bookmarkStart w:id="1122" w:name="bookmark1122"/>
      <w:bookmarkStart w:id="1123" w:name="bookmark1123"/>
      <w:r>
        <w:rPr>
          <w:rFonts w:ascii="Times New Roman" w:eastAsia="Times New Roman" w:hAnsi="Times New Roman" w:cs="Times New Roman"/>
          <w:color w:val="000000"/>
          <w:spacing w:val="0"/>
          <w:w w:val="100"/>
          <w:position w:val="0"/>
        </w:rPr>
        <w:t>3</w:t>
      </w:r>
      <w:bookmarkEnd w:id="1122"/>
      <w:r>
        <w:rPr>
          <w:rFonts w:ascii="Times New Roman" w:eastAsia="Times New Roman" w:hAnsi="Times New Roman" w:cs="Times New Roman"/>
          <w:color w:val="000000"/>
          <w:spacing w:val="0"/>
          <w:w w:val="100"/>
          <w:position w:val="0"/>
        </w:rPr>
        <w:t>6</w:t>
      </w:r>
      <w:r>
        <w:rPr>
          <w:color w:val="000000"/>
          <w:spacing w:val="0"/>
          <w:w w:val="100"/>
          <w:position w:val="0"/>
        </w:rPr>
        <w:t>、预计负债</w:t>
      </w:r>
      <w:bookmarkEnd w:id="1120"/>
      <w:bookmarkEnd w:id="1121"/>
      <w:bookmarkEnd w:id="1123"/>
    </w:p>
    <w:p>
      <w:pPr>
        <w:pStyle w:val="Style32"/>
        <w:keepNext w:val="0"/>
        <w:keepLines w:val="0"/>
        <w:widowControl w:val="0"/>
        <w:shd w:val="clear" w:color="auto" w:fill="auto"/>
        <w:tabs>
          <w:tab w:pos="445" w:val="left"/>
        </w:tabs>
        <w:bidi w:val="0"/>
        <w:spacing w:before="0" w:after="0" w:line="314" w:lineRule="exact"/>
        <w:ind w:left="0" w:right="0" w:firstLine="0"/>
        <w:jc w:val="left"/>
      </w:pPr>
      <w:bookmarkStart w:id="1124" w:name="bookmark1124"/>
      <w:r>
        <w:rPr>
          <w:color w:val="000000"/>
          <w:spacing w:val="0"/>
          <w:w w:val="100"/>
          <w:position w:val="0"/>
          <w:sz w:val="18"/>
          <w:szCs w:val="18"/>
        </w:rPr>
        <w:t>（</w:t>
      </w:r>
      <w:bookmarkEnd w:id="1124"/>
      <w:r>
        <w:rPr>
          <w:color w:val="000000"/>
          <w:spacing w:val="0"/>
          <w:w w:val="100"/>
          <w:position w:val="0"/>
          <w:sz w:val="18"/>
          <w:szCs w:val="18"/>
        </w:rPr>
        <w:t>1）</w:t>
        <w:tab/>
      </w:r>
      <w:r>
        <w:rPr>
          <w:color w:val="000000"/>
          <w:spacing w:val="0"/>
          <w:w w:val="100"/>
          <w:position w:val="0"/>
        </w:rPr>
        <w:t>预计负债的确认标准</w:t>
      </w:r>
    </w:p>
    <w:p>
      <w:pPr>
        <w:pStyle w:val="Style32"/>
        <w:keepNext w:val="0"/>
        <w:keepLines w:val="0"/>
        <w:widowControl w:val="0"/>
        <w:shd w:val="clear" w:color="auto" w:fill="auto"/>
        <w:bidi w:val="0"/>
        <w:spacing w:before="0" w:after="0" w:line="314" w:lineRule="exact"/>
        <w:ind w:left="0" w:right="0" w:firstLine="0"/>
        <w:jc w:val="left"/>
      </w:pPr>
      <w:r>
        <w:rPr>
          <w:color w:val="000000"/>
          <w:spacing w:val="0"/>
          <w:w w:val="100"/>
          <w:position w:val="0"/>
        </w:rPr>
        <w:t>如果与或有事项相关的义务同时符合以下条件，本公司将其确认为预计负债：</w:t>
      </w:r>
    </w:p>
    <w:p>
      <w:pPr>
        <w:pStyle w:val="Style32"/>
        <w:keepNext w:val="0"/>
        <w:keepLines w:val="0"/>
        <w:widowControl w:val="0"/>
        <w:numPr>
          <w:ilvl w:val="0"/>
          <w:numId w:val="109"/>
        </w:numPr>
        <w:shd w:val="clear" w:color="auto" w:fill="auto"/>
        <w:tabs>
          <w:tab w:pos="373" w:val="left"/>
        </w:tabs>
        <w:bidi w:val="0"/>
        <w:spacing w:before="0" w:after="0" w:line="314" w:lineRule="exact"/>
        <w:ind w:left="0" w:right="0" w:firstLine="0"/>
        <w:jc w:val="left"/>
      </w:pPr>
      <w:bookmarkStart w:id="1125" w:name="bookmark1125"/>
      <w:bookmarkEnd w:id="1125"/>
      <w:r>
        <w:rPr>
          <w:color w:val="000000"/>
          <w:spacing w:val="0"/>
          <w:w w:val="100"/>
          <w:position w:val="0"/>
        </w:rPr>
        <w:t>该义务是本公司承担的现时义务。</w:t>
      </w:r>
    </w:p>
    <w:p>
      <w:pPr>
        <w:pStyle w:val="Style32"/>
        <w:keepNext w:val="0"/>
        <w:keepLines w:val="0"/>
        <w:widowControl w:val="0"/>
        <w:numPr>
          <w:ilvl w:val="0"/>
          <w:numId w:val="109"/>
        </w:numPr>
        <w:shd w:val="clear" w:color="auto" w:fill="auto"/>
        <w:tabs>
          <w:tab w:pos="373" w:val="left"/>
        </w:tabs>
        <w:bidi w:val="0"/>
        <w:spacing w:before="0" w:after="0" w:line="314" w:lineRule="exact"/>
        <w:ind w:left="0" w:right="0" w:firstLine="0"/>
        <w:jc w:val="left"/>
      </w:pPr>
      <w:bookmarkStart w:id="1126" w:name="bookmark1126"/>
      <w:bookmarkEnd w:id="1126"/>
      <w:r>
        <w:rPr>
          <w:color w:val="000000"/>
          <w:spacing w:val="0"/>
          <w:w w:val="100"/>
          <w:position w:val="0"/>
        </w:rPr>
        <w:t>该义务的履行很可能导致经济利益流出本公司。</w:t>
      </w:r>
    </w:p>
    <w:p>
      <w:pPr>
        <w:pStyle w:val="Style32"/>
        <w:keepNext w:val="0"/>
        <w:keepLines w:val="0"/>
        <w:widowControl w:val="0"/>
        <w:numPr>
          <w:ilvl w:val="0"/>
          <w:numId w:val="109"/>
        </w:numPr>
        <w:shd w:val="clear" w:color="auto" w:fill="auto"/>
        <w:tabs>
          <w:tab w:pos="373" w:val="left"/>
        </w:tabs>
        <w:bidi w:val="0"/>
        <w:spacing w:before="0" w:after="0" w:line="314" w:lineRule="exact"/>
        <w:ind w:left="0" w:right="0" w:firstLine="0"/>
        <w:jc w:val="left"/>
      </w:pPr>
      <w:bookmarkStart w:id="1127" w:name="bookmark1127"/>
      <w:bookmarkEnd w:id="1127"/>
      <w:r>
        <w:rPr>
          <w:color w:val="000000"/>
          <w:spacing w:val="0"/>
          <w:w w:val="100"/>
          <w:position w:val="0"/>
        </w:rPr>
        <w:t>该义务的金额能够可靠地计量。</w:t>
      </w:r>
    </w:p>
    <w:p>
      <w:pPr>
        <w:pStyle w:val="Style32"/>
        <w:keepNext w:val="0"/>
        <w:keepLines w:val="0"/>
        <w:widowControl w:val="0"/>
        <w:shd w:val="clear" w:color="auto" w:fill="auto"/>
        <w:tabs>
          <w:tab w:pos="445" w:val="left"/>
        </w:tabs>
        <w:bidi w:val="0"/>
        <w:spacing w:before="0" w:after="0" w:line="314" w:lineRule="exact"/>
        <w:ind w:left="0" w:right="0" w:firstLine="0"/>
        <w:jc w:val="left"/>
      </w:pPr>
      <w:bookmarkStart w:id="1128" w:name="bookmark1128"/>
      <w:r>
        <w:rPr>
          <w:color w:val="000000"/>
          <w:spacing w:val="0"/>
          <w:w w:val="100"/>
          <w:position w:val="0"/>
          <w:sz w:val="18"/>
          <w:szCs w:val="18"/>
        </w:rPr>
        <w:t>（</w:t>
      </w:r>
      <w:bookmarkEnd w:id="1128"/>
      <w:r>
        <w:rPr>
          <w:color w:val="000000"/>
          <w:spacing w:val="0"/>
          <w:w w:val="100"/>
          <w:position w:val="0"/>
          <w:sz w:val="18"/>
          <w:szCs w:val="18"/>
        </w:rPr>
        <w:t>2）</w:t>
        <w:tab/>
      </w:r>
      <w:r>
        <w:rPr>
          <w:color w:val="000000"/>
          <w:spacing w:val="0"/>
          <w:w w:val="100"/>
          <w:position w:val="0"/>
        </w:rPr>
        <w:t>预计负债的计量方法</w:t>
      </w:r>
    </w:p>
    <w:p>
      <w:pPr>
        <w:pStyle w:val="Style32"/>
        <w:keepNext w:val="0"/>
        <w:keepLines w:val="0"/>
        <w:widowControl w:val="0"/>
        <w:shd w:val="clear" w:color="auto" w:fill="auto"/>
        <w:bidi w:val="0"/>
        <w:spacing w:before="0" w:after="380" w:line="314" w:lineRule="exact"/>
        <w:ind w:left="0" w:right="0" w:firstLine="0"/>
        <w:jc w:val="left"/>
      </w:pPr>
      <w:r>
        <w:rPr>
          <w:color w:val="000000"/>
          <w:spacing w:val="0"/>
          <w:w w:val="100"/>
          <w:position w:val="0"/>
        </w:rPr>
        <w:t>预计负债按照履行相关现时义务所需支出的最佳估计数进行初始计量，并综合考虑与或有事项有关的风险、不确定性和货币 时间价值等因素。每个资产负债表日对预计负债的账面价值进行复核。有确凿证据表明该账面价值不能反映当前最佳估计数 的，按照当前最佳估计数对该账面价值进行调整。</w:t>
      </w:r>
    </w:p>
    <w:p>
      <w:pPr>
        <w:pStyle w:val="Style55"/>
        <w:keepNext/>
        <w:keepLines/>
        <w:widowControl w:val="0"/>
        <w:shd w:val="clear" w:color="auto" w:fill="auto"/>
        <w:bidi w:val="0"/>
        <w:spacing w:before="0" w:after="280" w:line="240" w:lineRule="auto"/>
        <w:ind w:left="0" w:right="0" w:firstLine="0"/>
        <w:jc w:val="left"/>
      </w:pPr>
      <w:bookmarkStart w:id="1129" w:name="bookmark1129"/>
      <w:bookmarkStart w:id="1130" w:name="bookmark1130"/>
      <w:bookmarkStart w:id="1131" w:name="bookmark1131"/>
      <w:bookmarkStart w:id="1132" w:name="bookmark1132"/>
      <w:r>
        <w:rPr>
          <w:rFonts w:ascii="Times New Roman" w:eastAsia="Times New Roman" w:hAnsi="Times New Roman" w:cs="Times New Roman"/>
          <w:color w:val="000000"/>
          <w:spacing w:val="0"/>
          <w:w w:val="100"/>
          <w:position w:val="0"/>
        </w:rPr>
        <w:t>3</w:t>
      </w:r>
      <w:bookmarkEnd w:id="1131"/>
      <w:r>
        <w:rPr>
          <w:rFonts w:ascii="Times New Roman" w:eastAsia="Times New Roman" w:hAnsi="Times New Roman" w:cs="Times New Roman"/>
          <w:color w:val="000000"/>
          <w:spacing w:val="0"/>
          <w:w w:val="100"/>
          <w:position w:val="0"/>
        </w:rPr>
        <w:t>7</w:t>
      </w:r>
      <w:r>
        <w:rPr>
          <w:color w:val="000000"/>
          <w:spacing w:val="0"/>
          <w:w w:val="100"/>
          <w:position w:val="0"/>
        </w:rPr>
        <w:t>、股份支付</w:t>
      </w:r>
      <w:bookmarkEnd w:id="1129"/>
      <w:bookmarkEnd w:id="1130"/>
      <w:bookmarkEnd w:id="1132"/>
    </w:p>
    <w:p>
      <w:pPr>
        <w:pStyle w:val="Style32"/>
        <w:keepNext w:val="0"/>
        <w:keepLines w:val="0"/>
        <w:widowControl w:val="0"/>
        <w:shd w:val="clear" w:color="auto" w:fill="auto"/>
        <w:tabs>
          <w:tab w:pos="445" w:val="left"/>
        </w:tabs>
        <w:bidi w:val="0"/>
        <w:spacing w:before="0" w:after="0" w:line="312" w:lineRule="exact"/>
        <w:ind w:left="0" w:right="0" w:firstLine="0"/>
        <w:jc w:val="left"/>
      </w:pPr>
      <w:bookmarkStart w:id="1133" w:name="bookmark1133"/>
      <w:r>
        <w:rPr>
          <w:color w:val="000000"/>
          <w:spacing w:val="0"/>
          <w:w w:val="100"/>
          <w:position w:val="0"/>
          <w:sz w:val="18"/>
          <w:szCs w:val="18"/>
        </w:rPr>
        <w:t>（</w:t>
      </w:r>
      <w:bookmarkEnd w:id="1133"/>
      <w:r>
        <w:rPr>
          <w:color w:val="000000"/>
          <w:spacing w:val="0"/>
          <w:w w:val="100"/>
          <w:position w:val="0"/>
          <w:sz w:val="18"/>
          <w:szCs w:val="18"/>
        </w:rPr>
        <w:t>1）</w:t>
        <w:tab/>
      </w:r>
      <w:r>
        <w:rPr>
          <w:color w:val="000000"/>
          <w:spacing w:val="0"/>
          <w:w w:val="100"/>
          <w:position w:val="0"/>
        </w:rPr>
        <w:t>股份支付的种类</w:t>
      </w:r>
    </w:p>
    <w:p>
      <w:pPr>
        <w:pStyle w:val="Style32"/>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本公司股份支付包括以现金结算的股份支付和以权益结算的股份支付。</w:t>
      </w:r>
    </w:p>
    <w:p>
      <w:pPr>
        <w:pStyle w:val="Style32"/>
        <w:keepNext w:val="0"/>
        <w:keepLines w:val="0"/>
        <w:widowControl w:val="0"/>
        <w:shd w:val="clear" w:color="auto" w:fill="auto"/>
        <w:tabs>
          <w:tab w:pos="445" w:val="left"/>
        </w:tabs>
        <w:bidi w:val="0"/>
        <w:spacing w:before="0" w:after="0" w:line="312" w:lineRule="exact"/>
        <w:ind w:left="0" w:right="0" w:firstLine="0"/>
        <w:jc w:val="left"/>
      </w:pPr>
      <w:bookmarkStart w:id="1134" w:name="bookmark1134"/>
      <w:r>
        <w:rPr>
          <w:color w:val="000000"/>
          <w:spacing w:val="0"/>
          <w:w w:val="100"/>
          <w:position w:val="0"/>
          <w:sz w:val="18"/>
          <w:szCs w:val="18"/>
        </w:rPr>
        <w:t>（</w:t>
      </w:r>
      <w:bookmarkEnd w:id="1134"/>
      <w:r>
        <w:rPr>
          <w:color w:val="000000"/>
          <w:spacing w:val="0"/>
          <w:w w:val="100"/>
          <w:position w:val="0"/>
          <w:sz w:val="18"/>
          <w:szCs w:val="18"/>
        </w:rPr>
        <w:t>2）</w:t>
        <w:tab/>
      </w:r>
      <w:r>
        <w:rPr>
          <w:color w:val="000000"/>
          <w:spacing w:val="0"/>
          <w:w w:val="100"/>
          <w:position w:val="0"/>
        </w:rPr>
        <w:t>权益工具公允价值的确定方法</w:t>
      </w:r>
    </w:p>
    <w:p>
      <w:pPr>
        <w:pStyle w:val="Style32"/>
        <w:keepNext w:val="0"/>
        <w:keepLines w:val="0"/>
        <w:widowControl w:val="0"/>
        <w:shd w:val="clear" w:color="auto" w:fill="auto"/>
        <w:bidi w:val="0"/>
        <w:spacing w:before="0" w:after="140" w:line="312" w:lineRule="exact"/>
        <w:ind w:left="0" w:right="0" w:firstLine="0"/>
        <w:jc w:val="left"/>
      </w:pPr>
      <w:r>
        <w:rPr>
          <w:color w:val="000000"/>
          <w:spacing w:val="0"/>
          <w:w w:val="100"/>
          <w:position w:val="0"/>
        </w:rPr>
        <w:t>①对于授予职工的股份，其公允价值按公司股份的市场价格计量，同时考虑授予股份所依据的条款和条件（不包括市场条件 之外的可行权条件）进行调整。</w:t>
      </w:r>
      <w:r>
        <w:br w:type="page"/>
      </w:r>
    </w:p>
    <w:p>
      <w:pPr>
        <w:pStyle w:val="Style5"/>
        <w:keepNext w:val="0"/>
        <w:keepLines w:val="0"/>
        <w:widowControl w:val="0"/>
        <w:shd w:val="clear" w:color="auto" w:fill="auto"/>
        <w:bidi w:val="0"/>
        <w:spacing w:before="0" w:after="0" w:line="173" w:lineRule="exact"/>
        <w:ind w:left="0" w:right="0" w:firstLine="0"/>
        <w:jc w:val="left"/>
        <w:rPr>
          <w:sz w:val="18"/>
          <w:szCs w:val="18"/>
        </w:rPr>
      </w:pPr>
      <w:r>
        <w:drawing>
          <wp:anchor distT="0" distB="0" distL="0" distR="0" simplePos="0" relativeHeight="125829586" behindDoc="0" locked="0" layoutInCell="1" allowOverlap="1">
            <wp:simplePos x="0" y="0"/>
            <wp:positionH relativeFrom="page">
              <wp:posOffset>619125</wp:posOffset>
            </wp:positionH>
            <wp:positionV relativeFrom="margin">
              <wp:posOffset>-207010</wp:posOffset>
            </wp:positionV>
            <wp:extent cx="1298575" cy="518160"/>
            <wp:wrapTight wrapText="right">
              <wp:wrapPolygon>
                <wp:start x="0" y="0"/>
                <wp:lineTo x="8589" y="0"/>
                <wp:lineTo x="8589" y="254"/>
                <wp:lineTo x="21600" y="254"/>
                <wp:lineTo x="21600" y="11054"/>
                <wp:lineTo x="8589" y="11054"/>
                <wp:lineTo x="8589" y="21600"/>
                <wp:lineTo x="0" y="21600"/>
                <wp:lineTo x="0" y="0"/>
              </wp:wrapPolygon>
            </wp:wrapTight>
            <wp:docPr id="793" name="Shape 793"/>
            <a:graphic xmlns:a="http://schemas.openxmlformats.org/drawingml/2006/main">
              <a:graphicData uri="http://schemas.openxmlformats.org/drawingml/2006/picture">
                <pic:pic xmlns:pic="http://schemas.openxmlformats.org/drawingml/2006/picture">
                  <pic:nvPicPr>
                    <pic:cNvPr id="794" name="Picture box 794"/>
                    <pic:cNvPicPr/>
                  </pic:nvPicPr>
                  <pic:blipFill>
                    <a:blip r:embed="rId327"/>
                    <a:stretch/>
                  </pic:blipFill>
                  <pic:spPr>
                    <a:xfrm>
                      <a:ext cx="1298575" cy="518160"/>
                    </a:xfrm>
                    <a:prstGeom prst="rect"/>
                  </pic:spPr>
                </pic:pic>
              </a:graphicData>
            </a:graphic>
          </wp:anchor>
        </w:drawing>
      </w: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②对于授予职工的股票期权，在许多情况下难以获得其市场价格。如果不存在条款和条件相似的交易期权，公司选择适用的 期权定价模型估计所授予的期权的公允价值。</w:t>
      </w:r>
    </w:p>
    <w:p>
      <w:pPr>
        <w:pStyle w:val="Style32"/>
        <w:keepNext w:val="0"/>
        <w:keepLines w:val="0"/>
        <w:widowControl w:val="0"/>
        <w:shd w:val="clear" w:color="auto" w:fill="auto"/>
        <w:tabs>
          <w:tab w:pos="416" w:val="left"/>
        </w:tabs>
        <w:bidi w:val="0"/>
        <w:spacing w:before="0" w:after="0" w:line="314" w:lineRule="exact"/>
        <w:ind w:left="0" w:right="0" w:firstLine="0"/>
        <w:jc w:val="both"/>
      </w:pPr>
      <w:bookmarkStart w:id="1135" w:name="bookmark1135"/>
      <w:r>
        <w:rPr>
          <w:color w:val="000000"/>
          <w:spacing w:val="0"/>
          <w:w w:val="100"/>
          <w:position w:val="0"/>
          <w:sz w:val="18"/>
          <w:szCs w:val="18"/>
        </w:rPr>
        <w:t>（</w:t>
      </w:r>
      <w:bookmarkEnd w:id="1135"/>
      <w:r>
        <w:rPr>
          <w:color w:val="000000"/>
          <w:spacing w:val="0"/>
          <w:w w:val="100"/>
          <w:position w:val="0"/>
          <w:sz w:val="18"/>
          <w:szCs w:val="18"/>
        </w:rPr>
        <w:t>3）</w:t>
        <w:tab/>
      </w:r>
      <w:r>
        <w:rPr>
          <w:color w:val="000000"/>
          <w:spacing w:val="0"/>
          <w:w w:val="100"/>
          <w:position w:val="0"/>
        </w:rPr>
        <w:t>确认可行权权益工具最佳估计的依据</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在等待期内每个资产负债表日，公司根据最新取得的可行权职工人数变动等后续信息作出最佳估计，修正预计可行权的权益 工具数量，以作出可行权权益工具的最佳估计。</w:t>
      </w:r>
    </w:p>
    <w:p>
      <w:pPr>
        <w:pStyle w:val="Style32"/>
        <w:keepNext w:val="0"/>
        <w:keepLines w:val="0"/>
        <w:widowControl w:val="0"/>
        <w:shd w:val="clear" w:color="auto" w:fill="auto"/>
        <w:tabs>
          <w:tab w:pos="416" w:val="left"/>
        </w:tabs>
        <w:bidi w:val="0"/>
        <w:spacing w:before="0" w:after="0" w:line="314" w:lineRule="exact"/>
        <w:ind w:left="0" w:right="0" w:firstLine="0"/>
        <w:jc w:val="both"/>
      </w:pPr>
      <w:bookmarkStart w:id="1136" w:name="bookmark1136"/>
      <w:r>
        <w:rPr>
          <w:color w:val="000000"/>
          <w:spacing w:val="0"/>
          <w:w w:val="100"/>
          <w:position w:val="0"/>
          <w:sz w:val="18"/>
          <w:szCs w:val="18"/>
        </w:rPr>
        <w:t>（</w:t>
      </w:r>
      <w:bookmarkEnd w:id="1136"/>
      <w:r>
        <w:rPr>
          <w:color w:val="000000"/>
          <w:spacing w:val="0"/>
          <w:w w:val="100"/>
          <w:position w:val="0"/>
          <w:sz w:val="18"/>
          <w:szCs w:val="18"/>
        </w:rPr>
        <w:t>4）</w:t>
        <w:tab/>
      </w:r>
      <w:r>
        <w:rPr>
          <w:color w:val="000000"/>
          <w:spacing w:val="0"/>
          <w:w w:val="100"/>
          <w:position w:val="0"/>
        </w:rPr>
        <w:t>股份支付计划实施的会计处理</w:t>
      </w:r>
    </w:p>
    <w:p>
      <w:pPr>
        <w:pStyle w:val="Style32"/>
        <w:keepNext w:val="0"/>
        <w:keepLines w:val="0"/>
        <w:widowControl w:val="0"/>
        <w:shd w:val="clear" w:color="auto" w:fill="auto"/>
        <w:bidi w:val="0"/>
        <w:spacing w:before="0" w:after="0" w:line="309" w:lineRule="exact"/>
        <w:ind w:left="0" w:right="0" w:firstLine="0"/>
        <w:jc w:val="both"/>
      </w:pPr>
      <w:r>
        <w:rPr>
          <w:color w:val="000000"/>
          <w:spacing w:val="0"/>
          <w:w w:val="100"/>
          <w:position w:val="0"/>
        </w:rPr>
        <w:t>以现金结算的股份支付</w:t>
      </w:r>
    </w:p>
    <w:p>
      <w:pPr>
        <w:pStyle w:val="Style32"/>
        <w:keepNext w:val="0"/>
        <w:keepLines w:val="0"/>
        <w:widowControl w:val="0"/>
        <w:numPr>
          <w:ilvl w:val="0"/>
          <w:numId w:val="111"/>
        </w:numPr>
        <w:shd w:val="clear" w:color="auto" w:fill="auto"/>
        <w:tabs>
          <w:tab w:pos="344" w:val="left"/>
        </w:tabs>
        <w:bidi w:val="0"/>
        <w:spacing w:before="0" w:after="0" w:line="309" w:lineRule="exact"/>
        <w:ind w:left="0" w:right="0" w:firstLine="0"/>
        <w:jc w:val="both"/>
      </w:pPr>
      <w:bookmarkStart w:id="1137" w:name="bookmark1137"/>
      <w:bookmarkEnd w:id="1137"/>
      <w:r>
        <w:rPr>
          <w:color w:val="000000"/>
          <w:spacing w:val="0"/>
          <w:w w:val="100"/>
          <w:position w:val="0"/>
        </w:rPr>
        <w:t>授予后立即可行权的以现金结算的股份支付，在授予日以本公司承担负债的公允价值计入相关成本或费用，相应增加负债。 并在结算前的每个资产负债表日和结算日对负债的公允价值重新计量，将其变动计入损益。</w:t>
      </w:r>
    </w:p>
    <w:p>
      <w:pPr>
        <w:pStyle w:val="Style32"/>
        <w:keepNext w:val="0"/>
        <w:keepLines w:val="0"/>
        <w:widowControl w:val="0"/>
        <w:numPr>
          <w:ilvl w:val="0"/>
          <w:numId w:val="111"/>
        </w:numPr>
        <w:shd w:val="clear" w:color="auto" w:fill="auto"/>
        <w:tabs>
          <w:tab w:pos="344" w:val="left"/>
        </w:tabs>
        <w:bidi w:val="0"/>
        <w:spacing w:before="0" w:after="0" w:line="309" w:lineRule="exact"/>
        <w:ind w:left="0" w:right="0" w:firstLine="0"/>
        <w:jc w:val="both"/>
      </w:pPr>
      <w:bookmarkStart w:id="1138" w:name="bookmark1138"/>
      <w:bookmarkEnd w:id="1138"/>
      <w:r>
        <w:rPr>
          <w:color w:val="000000"/>
          <w:spacing w:val="0"/>
          <w:w w:val="100"/>
          <w:position w:val="0"/>
        </w:rPr>
        <w:t>完成等待期内的服务或达到规定业绩条件以后才可行权的以现金结算的股份支付，在等待期内的每个资产负债表日以对可 行权情况的最佳估计为基础，按本公司承担负债的公允价值金额，将当期取得的服务计入成本或费用和相应的负债。 以权益结算的股份支付</w:t>
      </w:r>
    </w:p>
    <w:p>
      <w:pPr>
        <w:pStyle w:val="Style32"/>
        <w:keepNext w:val="0"/>
        <w:keepLines w:val="0"/>
        <w:widowControl w:val="0"/>
        <w:numPr>
          <w:ilvl w:val="0"/>
          <w:numId w:val="113"/>
        </w:numPr>
        <w:shd w:val="clear" w:color="auto" w:fill="auto"/>
        <w:tabs>
          <w:tab w:pos="344" w:val="left"/>
        </w:tabs>
        <w:bidi w:val="0"/>
        <w:spacing w:before="0" w:after="0" w:line="309" w:lineRule="exact"/>
        <w:ind w:left="0" w:right="0" w:firstLine="0"/>
        <w:jc w:val="both"/>
      </w:pPr>
      <w:bookmarkStart w:id="1139" w:name="bookmark1139"/>
      <w:bookmarkEnd w:id="1139"/>
      <w:r>
        <w:rPr>
          <w:color w:val="000000"/>
          <w:spacing w:val="0"/>
          <w:w w:val="100"/>
          <w:position w:val="0"/>
        </w:rPr>
        <w:t>授予后立即可行权的换取职工服务的以权益结算的股份支付，在授予日以权益工具的公允价值计入相关成本或费用，相应 增加资本公积。</w:t>
      </w:r>
    </w:p>
    <w:p>
      <w:pPr>
        <w:pStyle w:val="Style32"/>
        <w:keepNext w:val="0"/>
        <w:keepLines w:val="0"/>
        <w:widowControl w:val="0"/>
        <w:numPr>
          <w:ilvl w:val="0"/>
          <w:numId w:val="113"/>
        </w:numPr>
        <w:shd w:val="clear" w:color="auto" w:fill="auto"/>
        <w:tabs>
          <w:tab w:pos="344" w:val="left"/>
        </w:tabs>
        <w:bidi w:val="0"/>
        <w:spacing w:before="0" w:after="0" w:line="309" w:lineRule="exact"/>
        <w:ind w:left="0" w:right="0" w:firstLine="0"/>
        <w:jc w:val="both"/>
      </w:pPr>
      <w:bookmarkStart w:id="1140" w:name="bookmark1140"/>
      <w:bookmarkEnd w:id="1140"/>
      <w:r>
        <w:rPr>
          <w:color w:val="000000"/>
          <w:spacing w:val="0"/>
          <w:w w:val="100"/>
          <w:position w:val="0"/>
        </w:rPr>
        <w:t>完成等待期内的服务或达到规定业绩条件以后才可行权换取职工服务的以权益结算的股份支付，在等待期内的每个资产负 债表日，以对可行权权益工具数量的最佳估计为基础，按权益工具授予日的公允价值，将当期取得的服务计入成本或费用和 资本公积。</w:t>
      </w:r>
    </w:p>
    <w:p>
      <w:pPr>
        <w:pStyle w:val="Style32"/>
        <w:keepNext w:val="0"/>
        <w:keepLines w:val="0"/>
        <w:widowControl w:val="0"/>
        <w:shd w:val="clear" w:color="auto" w:fill="auto"/>
        <w:tabs>
          <w:tab w:pos="416" w:val="left"/>
        </w:tabs>
        <w:bidi w:val="0"/>
        <w:spacing w:before="0" w:after="0" w:line="309" w:lineRule="exact"/>
        <w:ind w:left="0" w:right="0" w:firstLine="0"/>
        <w:jc w:val="both"/>
      </w:pPr>
      <w:bookmarkStart w:id="1141" w:name="bookmark1141"/>
      <w:r>
        <w:rPr>
          <w:color w:val="000000"/>
          <w:spacing w:val="0"/>
          <w:w w:val="100"/>
          <w:position w:val="0"/>
          <w:sz w:val="18"/>
          <w:szCs w:val="18"/>
        </w:rPr>
        <w:t>（</w:t>
      </w:r>
      <w:bookmarkEnd w:id="1141"/>
      <w:r>
        <w:rPr>
          <w:color w:val="000000"/>
          <w:spacing w:val="0"/>
          <w:w w:val="100"/>
          <w:position w:val="0"/>
          <w:sz w:val="18"/>
          <w:szCs w:val="18"/>
        </w:rPr>
        <w:t>5）</w:t>
        <w:tab/>
      </w:r>
      <w:r>
        <w:rPr>
          <w:color w:val="000000"/>
          <w:spacing w:val="0"/>
          <w:w w:val="100"/>
          <w:position w:val="0"/>
        </w:rPr>
        <w:t>股份支付计划修改的会计处理</w:t>
      </w:r>
    </w:p>
    <w:p>
      <w:pPr>
        <w:pStyle w:val="Style32"/>
        <w:keepNext w:val="0"/>
        <w:keepLines w:val="0"/>
        <w:widowControl w:val="0"/>
        <w:shd w:val="clear" w:color="auto" w:fill="auto"/>
        <w:bidi w:val="0"/>
        <w:spacing w:before="0" w:after="0" w:line="309" w:lineRule="exact"/>
        <w:ind w:left="0" w:right="0" w:firstLine="0"/>
        <w:jc w:val="both"/>
      </w:pPr>
      <w:r>
        <w:rPr>
          <w:color w:val="000000"/>
          <w:spacing w:val="0"/>
          <w:w w:val="100"/>
          <w:position w:val="0"/>
        </w:rPr>
        <w:t>本公司对股份支付计划进行修改时，若修改增加了所授予权益工具的公允价值，按照权益工具公允价值的增加相应地确认取 得服务的增加；若修改增加了所授予权益工具的数量，则将增加的权益工具的公允价值相应地确认为取得服务的增加。权益 工具公允价值的增加是指修改前后的权益工具在修改日的公允价值之间的差额。若修改减少了股份支付公允价值总额或采用 了其他不利于职工的方式修改股份支付计划的条款和条件，则仍继续对取得的服务进行会计处理，视同该变更从未发生，除 非本公司取消了部分或全部已授予的权益工具。</w:t>
      </w:r>
    </w:p>
    <w:p>
      <w:pPr>
        <w:pStyle w:val="Style32"/>
        <w:keepNext w:val="0"/>
        <w:keepLines w:val="0"/>
        <w:widowControl w:val="0"/>
        <w:shd w:val="clear" w:color="auto" w:fill="auto"/>
        <w:tabs>
          <w:tab w:pos="416" w:val="left"/>
        </w:tabs>
        <w:bidi w:val="0"/>
        <w:spacing w:before="0" w:after="0" w:line="310" w:lineRule="exact"/>
        <w:ind w:left="0" w:right="0" w:firstLine="0"/>
        <w:jc w:val="both"/>
      </w:pPr>
      <w:bookmarkStart w:id="1142" w:name="bookmark1142"/>
      <w:r>
        <w:rPr>
          <w:color w:val="000000"/>
          <w:spacing w:val="0"/>
          <w:w w:val="100"/>
          <w:position w:val="0"/>
          <w:sz w:val="18"/>
          <w:szCs w:val="18"/>
        </w:rPr>
        <w:t>（</w:t>
      </w:r>
      <w:bookmarkEnd w:id="1142"/>
      <w:r>
        <w:rPr>
          <w:color w:val="000000"/>
          <w:spacing w:val="0"/>
          <w:w w:val="100"/>
          <w:position w:val="0"/>
          <w:sz w:val="18"/>
          <w:szCs w:val="18"/>
        </w:rPr>
        <w:t>6）</w:t>
        <w:tab/>
      </w:r>
      <w:r>
        <w:rPr>
          <w:color w:val="000000"/>
          <w:spacing w:val="0"/>
          <w:w w:val="100"/>
          <w:position w:val="0"/>
        </w:rPr>
        <w:t>股份支付计划终止的会计处理</w:t>
      </w:r>
    </w:p>
    <w:p>
      <w:pPr>
        <w:pStyle w:val="Style32"/>
        <w:keepNext w:val="0"/>
        <w:keepLines w:val="0"/>
        <w:widowControl w:val="0"/>
        <w:shd w:val="clear" w:color="auto" w:fill="auto"/>
        <w:bidi w:val="0"/>
        <w:spacing w:before="0" w:after="0" w:line="310" w:lineRule="exact"/>
        <w:ind w:left="0" w:right="0" w:firstLine="0"/>
        <w:jc w:val="both"/>
      </w:pPr>
      <w:r>
        <w:rPr>
          <w:color w:val="000000"/>
          <w:spacing w:val="0"/>
          <w:w w:val="100"/>
          <w:position w:val="0"/>
        </w:rPr>
        <w:t>如果在等待期内取消了所授予的权益工具或结算了所授予的权益工具（因未满足可行权条件而被取消的除外），本公司：</w:t>
      </w:r>
    </w:p>
    <w:p>
      <w:pPr>
        <w:pStyle w:val="Style32"/>
        <w:keepNext w:val="0"/>
        <w:keepLines w:val="0"/>
        <w:widowControl w:val="0"/>
        <w:numPr>
          <w:ilvl w:val="0"/>
          <w:numId w:val="115"/>
        </w:numPr>
        <w:shd w:val="clear" w:color="auto" w:fill="auto"/>
        <w:tabs>
          <w:tab w:pos="344" w:val="left"/>
        </w:tabs>
        <w:bidi w:val="0"/>
        <w:spacing w:before="0" w:after="0" w:line="310" w:lineRule="exact"/>
        <w:ind w:left="0" w:right="0" w:firstLine="0"/>
        <w:jc w:val="both"/>
      </w:pPr>
      <w:bookmarkStart w:id="1143" w:name="bookmark1143"/>
      <w:bookmarkEnd w:id="1143"/>
      <w:r>
        <w:rPr>
          <w:color w:val="000000"/>
          <w:spacing w:val="0"/>
          <w:w w:val="100"/>
          <w:position w:val="0"/>
        </w:rPr>
        <w:t>将取消或结算作为加速可行权处理，立即确认原本应在剩余等待期内确认的金额。</w:t>
      </w:r>
    </w:p>
    <w:p>
      <w:pPr>
        <w:pStyle w:val="Style32"/>
        <w:keepNext w:val="0"/>
        <w:keepLines w:val="0"/>
        <w:widowControl w:val="0"/>
        <w:numPr>
          <w:ilvl w:val="0"/>
          <w:numId w:val="115"/>
        </w:numPr>
        <w:shd w:val="clear" w:color="auto" w:fill="auto"/>
        <w:tabs>
          <w:tab w:pos="344" w:val="left"/>
        </w:tabs>
        <w:bidi w:val="0"/>
        <w:spacing w:before="0" w:after="0" w:line="310" w:lineRule="exact"/>
        <w:ind w:left="0" w:right="0" w:firstLine="0"/>
        <w:jc w:val="both"/>
      </w:pPr>
      <w:bookmarkStart w:id="1144" w:name="bookmark1144"/>
      <w:bookmarkEnd w:id="1144"/>
      <w:r>
        <w:rPr>
          <w:color w:val="000000"/>
          <w:spacing w:val="0"/>
          <w:w w:val="100"/>
          <w:position w:val="0"/>
        </w:rPr>
        <w:t>在取消或结算时支付给职工的所有款项均作为权益的回购处理，回购支付的金额高于该权益工具在回购日公允价值的部 分，计入当期费用。</w:t>
      </w:r>
    </w:p>
    <w:p>
      <w:pPr>
        <w:pStyle w:val="Style32"/>
        <w:keepNext w:val="0"/>
        <w:keepLines w:val="0"/>
        <w:widowControl w:val="0"/>
        <w:shd w:val="clear" w:color="auto" w:fill="auto"/>
        <w:bidi w:val="0"/>
        <w:spacing w:before="0" w:after="380" w:line="310" w:lineRule="exact"/>
        <w:ind w:left="0" w:right="0" w:firstLine="0"/>
        <w:jc w:val="both"/>
      </w:pPr>
      <w:r>
        <w:rPr>
          <w:color w:val="000000"/>
          <w:spacing w:val="0"/>
          <w:w w:val="100"/>
          <w:position w:val="0"/>
        </w:rPr>
        <w:t>本公司如果回购其职工已可行权的权益工具，冲减企业的所有者权益；回购支付的款项高于该权益工具在回购日公允价值的 部分，计入当期损益。</w:t>
      </w:r>
    </w:p>
    <w:p>
      <w:pPr>
        <w:pStyle w:val="Style55"/>
        <w:keepNext/>
        <w:keepLines/>
        <w:widowControl w:val="0"/>
        <w:shd w:val="clear" w:color="auto" w:fill="auto"/>
        <w:bidi w:val="0"/>
        <w:spacing w:before="0" w:after="280" w:line="240" w:lineRule="auto"/>
        <w:ind w:left="0" w:right="0" w:firstLine="0"/>
        <w:jc w:val="both"/>
      </w:pPr>
      <w:bookmarkStart w:id="1145" w:name="bookmark1145"/>
      <w:bookmarkStart w:id="1146" w:name="bookmark1146"/>
      <w:bookmarkStart w:id="1147" w:name="bookmark1147"/>
      <w:bookmarkStart w:id="1148" w:name="bookmark1148"/>
      <w:r>
        <w:rPr>
          <w:rFonts w:ascii="Times New Roman" w:eastAsia="Times New Roman" w:hAnsi="Times New Roman" w:cs="Times New Roman"/>
          <w:color w:val="000000"/>
          <w:spacing w:val="0"/>
          <w:w w:val="100"/>
          <w:position w:val="0"/>
        </w:rPr>
        <w:t>3</w:t>
      </w:r>
      <w:bookmarkEnd w:id="1147"/>
      <w:r>
        <w:rPr>
          <w:rFonts w:ascii="Times New Roman" w:eastAsia="Times New Roman" w:hAnsi="Times New Roman" w:cs="Times New Roman"/>
          <w:color w:val="000000"/>
          <w:spacing w:val="0"/>
          <w:w w:val="100"/>
          <w:position w:val="0"/>
        </w:rPr>
        <w:t>8</w:t>
      </w:r>
      <w:r>
        <w:rPr>
          <w:color w:val="000000"/>
          <w:spacing w:val="0"/>
          <w:w w:val="100"/>
          <w:position w:val="0"/>
        </w:rPr>
        <w:t>、优先股、永续债等其他金融工具</w:t>
      </w:r>
      <w:bookmarkEnd w:id="1145"/>
      <w:bookmarkEnd w:id="1146"/>
      <w:bookmarkEnd w:id="1148"/>
    </w:p>
    <w:p>
      <w:pPr>
        <w:pStyle w:val="Style32"/>
        <w:keepNext w:val="0"/>
        <w:keepLines w:val="0"/>
        <w:widowControl w:val="0"/>
        <w:shd w:val="clear" w:color="auto" w:fill="auto"/>
        <w:tabs>
          <w:tab w:pos="416" w:val="left"/>
        </w:tabs>
        <w:bidi w:val="0"/>
        <w:spacing w:before="0" w:after="0" w:line="310" w:lineRule="exact"/>
        <w:ind w:left="0" w:right="0" w:firstLine="0"/>
        <w:jc w:val="both"/>
      </w:pPr>
      <w:bookmarkStart w:id="1149" w:name="bookmark1149"/>
      <w:r>
        <w:rPr>
          <w:color w:val="000000"/>
          <w:spacing w:val="0"/>
          <w:w w:val="100"/>
          <w:position w:val="0"/>
          <w:sz w:val="18"/>
          <w:szCs w:val="18"/>
        </w:rPr>
        <w:t>（</w:t>
      </w:r>
      <w:bookmarkEnd w:id="1149"/>
      <w:r>
        <w:rPr>
          <w:color w:val="000000"/>
          <w:spacing w:val="0"/>
          <w:w w:val="100"/>
          <w:position w:val="0"/>
          <w:sz w:val="18"/>
          <w:szCs w:val="18"/>
        </w:rPr>
        <w:t>1）</w:t>
        <w:tab/>
      </w:r>
      <w:r>
        <w:rPr>
          <w:color w:val="000000"/>
          <w:spacing w:val="0"/>
          <w:w w:val="100"/>
          <w:position w:val="0"/>
        </w:rPr>
        <w:t>优先股、永续债等其他金融工具的分类依据</w:t>
      </w:r>
    </w:p>
    <w:p>
      <w:pPr>
        <w:pStyle w:val="Style32"/>
        <w:keepNext w:val="0"/>
        <w:keepLines w:val="0"/>
        <w:widowControl w:val="0"/>
        <w:shd w:val="clear" w:color="auto" w:fill="auto"/>
        <w:bidi w:val="0"/>
        <w:spacing w:before="0" w:after="0" w:line="310" w:lineRule="exact"/>
        <w:ind w:left="0" w:right="0" w:firstLine="0"/>
        <w:jc w:val="both"/>
      </w:pPr>
      <w:r>
        <w:rPr>
          <w:color w:val="000000"/>
          <w:spacing w:val="0"/>
          <w:w w:val="100"/>
          <w:position w:val="0"/>
        </w:rPr>
        <w:t>本公司发行的优先股、永续债等其他金融工具划分为金融负债还是权益工具，根据相关合同或协议中具体内容，按实质重于 形式的原则进行判断。本公司发行的优先股、永续债等其他金融工具如果不包括交付现金或其他金融资产给其他方，或在其 他潜在不利条件下与其他方交换金融资产或金融负债的合同义务，则分类为权益工具。</w:t>
      </w:r>
    </w:p>
    <w:p>
      <w:pPr>
        <w:pStyle w:val="Style32"/>
        <w:keepNext w:val="0"/>
        <w:keepLines w:val="0"/>
        <w:widowControl w:val="0"/>
        <w:shd w:val="clear" w:color="auto" w:fill="auto"/>
        <w:tabs>
          <w:tab w:pos="416" w:val="left"/>
        </w:tabs>
        <w:bidi w:val="0"/>
        <w:spacing w:before="0" w:after="0" w:line="310" w:lineRule="exact"/>
        <w:ind w:left="0" w:right="0" w:firstLine="0"/>
        <w:jc w:val="both"/>
      </w:pPr>
      <w:bookmarkStart w:id="1150" w:name="bookmark1150"/>
      <w:r>
        <w:rPr>
          <w:color w:val="000000"/>
          <w:spacing w:val="0"/>
          <w:w w:val="100"/>
          <w:position w:val="0"/>
          <w:sz w:val="18"/>
          <w:szCs w:val="18"/>
        </w:rPr>
        <w:t>（</w:t>
      </w:r>
      <w:bookmarkEnd w:id="1150"/>
      <w:r>
        <w:rPr>
          <w:color w:val="000000"/>
          <w:spacing w:val="0"/>
          <w:w w:val="100"/>
          <w:position w:val="0"/>
          <w:sz w:val="18"/>
          <w:szCs w:val="18"/>
        </w:rPr>
        <w:t>2）</w:t>
        <w:tab/>
      </w:r>
      <w:r>
        <w:rPr>
          <w:color w:val="000000"/>
          <w:spacing w:val="0"/>
          <w:w w:val="100"/>
          <w:position w:val="0"/>
        </w:rPr>
        <w:t>优先股、永续债等其他金融工具的会计处理方法</w:t>
      </w:r>
    </w:p>
    <w:p>
      <w:pPr>
        <w:pStyle w:val="Style32"/>
        <w:keepNext w:val="0"/>
        <w:keepLines w:val="0"/>
        <w:widowControl w:val="0"/>
        <w:shd w:val="clear" w:color="auto" w:fill="auto"/>
        <w:bidi w:val="0"/>
        <w:spacing w:before="0" w:after="0" w:line="310" w:lineRule="exact"/>
        <w:ind w:left="0" w:right="0" w:firstLine="0"/>
        <w:jc w:val="both"/>
      </w:pPr>
      <w:r>
        <w:rPr>
          <w:color w:val="000000"/>
          <w:spacing w:val="0"/>
          <w:w w:val="100"/>
          <w:position w:val="0"/>
        </w:rPr>
        <w:t>本公司以所发行金融工具的分类为基础，确定该工具利息支出或股利分配等的会计处理。对于归类为权益工具的金融工具， 无论其名称中是否包含“债”，其利息支出或股利分配都作为本公司（发行企业）的利润分配，其回购、注销等作为权益的 变动处理；对于归类为金融负债的金融工具，无论其名称中是否包含“股”，其利息支出或股利分配原则上按照借款费用进 行处理，其回购或赎回产生的利得或损失等计入当期损益。</w:t>
      </w:r>
      <w:r>
        <w:br w:type="page"/>
      </w:r>
    </w:p>
    <w:p>
      <w:pPr>
        <w:widowControl w:val="0"/>
        <w:spacing w:line="1" w:lineRule="exact"/>
      </w:pPr>
      <w:r>
        <mc:AlternateContent>
          <mc:Choice Requires="wps">
            <w:drawing>
              <wp:anchor distT="0" distB="250825" distL="0" distR="0" simplePos="0" relativeHeight="125829587" behindDoc="0" locked="0" layoutInCell="1" allowOverlap="1">
                <wp:simplePos x="0" y="0"/>
                <wp:positionH relativeFrom="page">
                  <wp:posOffset>702945</wp:posOffset>
                </wp:positionH>
                <wp:positionV relativeFrom="paragraph">
                  <wp:posOffset>0</wp:posOffset>
                </wp:positionV>
                <wp:extent cx="1243330" cy="359410"/>
                <wp:wrapTopAndBottom/>
                <wp:docPr id="795" name="Shape 795"/>
                <a:graphic xmlns:a="http://schemas.openxmlformats.org/drawingml/2006/main">
                  <a:graphicData uri="http://schemas.microsoft.com/office/word/2010/wordprocessingShape">
                    <wps:wsp>
                      <wps:cNvSpPr txBox="1"/>
                      <wps:spPr>
                        <a:xfrm>
                          <a:ext cx="1243330" cy="3594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245994"/>
                                <w:spacing w:val="0"/>
                                <w:w w:val="100"/>
                                <w:position w:val="0"/>
                                <w:sz w:val="30"/>
                                <w:szCs w:val="30"/>
                              </w:rPr>
                              <w:t>匕广</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0"/>
                              <w:jc w:val="right"/>
                            </w:pP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xbxContent>
                      </wps:txbx>
                      <wps:bodyPr lIns="0" tIns="0" rIns="0" bIns="0">
                        <a:noAutoFit/>
                      </wps:bodyPr>
                    </wps:wsp>
                  </a:graphicData>
                </a:graphic>
              </wp:anchor>
            </w:drawing>
          </mc:Choice>
          <mc:Fallback>
            <w:pict>
              <v:shape id="_x0000_s1821" type="#_x0000_t202" style="position:absolute;margin-left:55.350000000000001pt;margin-top:0;width:97.900000000000006pt;height:28.300000000000001pt;z-index:-125829166;mso-wrap-distance-left:0;mso-wrap-distance-right:0;mso-wrap-distance-bottom:19.7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245994"/>
                          <w:spacing w:val="0"/>
                          <w:w w:val="100"/>
                          <w:position w:val="0"/>
                          <w:sz w:val="30"/>
                          <w:szCs w:val="30"/>
                        </w:rPr>
                        <w:t>匕广</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0"/>
                        <w:jc w:val="right"/>
                      </w:pP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xbxContent>
                </v:textbox>
                <w10:wrap type="topAndBottom" anchorx="page"/>
              </v:shape>
            </w:pict>
          </mc:Fallback>
        </mc:AlternateContent>
      </w:r>
      <w:r>
        <mc:AlternateContent>
          <mc:Choice Requires="wps">
            <w:drawing>
              <wp:anchor distT="350520" distB="88900" distL="0" distR="0" simplePos="0" relativeHeight="125829589" behindDoc="0" locked="0" layoutInCell="1" allowOverlap="1">
                <wp:simplePos x="0" y="0"/>
                <wp:positionH relativeFrom="page">
                  <wp:posOffset>602615</wp:posOffset>
                </wp:positionH>
                <wp:positionV relativeFrom="paragraph">
                  <wp:posOffset>350520</wp:posOffset>
                </wp:positionV>
                <wp:extent cx="563880" cy="170815"/>
                <wp:wrapTopAndBottom/>
                <wp:docPr id="797" name="Shape 797"/>
                <a:graphic xmlns:a="http://schemas.openxmlformats.org/drawingml/2006/main">
                  <a:graphicData uri="http://schemas.microsoft.com/office/word/2010/wordprocessingShape">
                    <wps:wsp>
                      <wps:cNvSpPr txBox="1"/>
                      <wps:spPr>
                        <a:xfrm>
                          <a:ext cx="563880" cy="170815"/>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1059" w:name="bookmark1059"/>
                            <w:bookmarkStart w:id="1060" w:name="bookmark1060"/>
                            <w:bookmarkStart w:id="1061" w:name="bookmark1061"/>
                            <w:r>
                              <w:rPr>
                                <w:rFonts w:ascii="Times New Roman" w:eastAsia="Times New Roman" w:hAnsi="Times New Roman" w:cs="Times New Roman"/>
                                <w:color w:val="000000"/>
                                <w:spacing w:val="0"/>
                                <w:w w:val="100"/>
                                <w:position w:val="0"/>
                              </w:rPr>
                              <w:t>39</w:t>
                            </w:r>
                            <w:r>
                              <w:rPr>
                                <w:color w:val="000000"/>
                                <w:spacing w:val="0"/>
                                <w:w w:val="100"/>
                                <w:position w:val="0"/>
                              </w:rPr>
                              <w:t>、收入</w:t>
                            </w:r>
                            <w:bookmarkEnd w:id="1059"/>
                            <w:bookmarkEnd w:id="1060"/>
                            <w:bookmarkEnd w:id="1061"/>
                          </w:p>
                        </w:txbxContent>
                      </wps:txbx>
                      <wps:bodyPr wrap="none" lIns="0" tIns="0" rIns="0" bIns="0">
                        <a:noAutoFit/>
                      </wps:bodyPr>
                    </wps:wsp>
                  </a:graphicData>
                </a:graphic>
              </wp:anchor>
            </w:drawing>
          </mc:Choice>
          <mc:Fallback>
            <w:pict>
              <v:shape id="_x0000_s1823" type="#_x0000_t202" style="position:absolute;margin-left:47.450000000000003pt;margin-top:27.600000000000001pt;width:44.399999999999999pt;height:13.450000000000001pt;z-index:-125829164;mso-wrap-distance-left:0;mso-wrap-distance-top:27.600000000000001pt;mso-wrap-distance-right:0;mso-wrap-distance-bottom:7.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1059" w:name="bookmark1059"/>
                      <w:bookmarkStart w:id="1060" w:name="bookmark1060"/>
                      <w:bookmarkStart w:id="1061" w:name="bookmark1061"/>
                      <w:r>
                        <w:rPr>
                          <w:rFonts w:ascii="Times New Roman" w:eastAsia="Times New Roman" w:hAnsi="Times New Roman" w:cs="Times New Roman"/>
                          <w:color w:val="000000"/>
                          <w:spacing w:val="0"/>
                          <w:w w:val="100"/>
                          <w:position w:val="0"/>
                        </w:rPr>
                        <w:t>39</w:t>
                      </w:r>
                      <w:r>
                        <w:rPr>
                          <w:color w:val="000000"/>
                          <w:spacing w:val="0"/>
                          <w:w w:val="100"/>
                          <w:position w:val="0"/>
                        </w:rPr>
                        <w:t>、收入</w:t>
                      </w:r>
                      <w:bookmarkEnd w:id="1059"/>
                      <w:bookmarkEnd w:id="1060"/>
                      <w:bookmarkEnd w:id="1061"/>
                    </w:p>
                  </w:txbxContent>
                </v:textbox>
                <w10:wrap type="topAndBottom" anchorx="page"/>
              </v:shape>
            </w:pict>
          </mc:Fallback>
        </mc:AlternateConten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自</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日起适用</w:t>
      </w:r>
    </w:p>
    <w:p>
      <w:pPr>
        <w:pStyle w:val="Style32"/>
        <w:keepNext w:val="0"/>
        <w:keepLines w:val="0"/>
        <w:widowControl w:val="0"/>
        <w:numPr>
          <w:ilvl w:val="0"/>
          <w:numId w:val="117"/>
        </w:numPr>
        <w:shd w:val="clear" w:color="auto" w:fill="auto"/>
        <w:tabs>
          <w:tab w:pos="445" w:val="left"/>
        </w:tabs>
        <w:bidi w:val="0"/>
        <w:spacing w:before="0" w:after="0" w:line="312" w:lineRule="exact"/>
        <w:ind w:left="0" w:right="0" w:firstLine="0"/>
        <w:jc w:val="both"/>
      </w:pPr>
      <w:bookmarkStart w:id="1151" w:name="bookmark1151"/>
      <w:bookmarkEnd w:id="1151"/>
      <w:r>
        <w:rPr>
          <w:color w:val="000000"/>
          <w:spacing w:val="0"/>
          <w:w w:val="100"/>
          <w:position w:val="0"/>
        </w:rPr>
        <w:t>一般原则</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收入是本公司在日常活动中形成的、会导致股东权益增加且与股东投入资本无关的经济利益的总流入。</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本公司在履行了合同中的履约义务，即在客户取得相关商品控制权时确认收入。取得相关商品控制权，是指能够主导该商品 的使用并从中获得几乎全部的经济利益。</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合同中包含两项或多项履约义务的，本公司在合同开始日，按照各单项履约义务所承诺商品或服务的单独售价的相对比例， 将交易价格分摊至各单项履约义务，按照分摊至各单项履约义务的交易价格计量收入。</w:t>
      </w:r>
    </w:p>
    <w:p>
      <w:pPr>
        <w:pStyle w:val="Style32"/>
        <w:keepNext w:val="0"/>
        <w:keepLines w:val="0"/>
        <w:widowControl w:val="0"/>
        <w:shd w:val="clear" w:color="auto" w:fill="auto"/>
        <w:bidi w:val="0"/>
        <w:spacing w:before="0" w:after="0" w:line="312" w:lineRule="exact"/>
        <w:ind w:left="0" w:right="0" w:firstLine="0"/>
        <w:jc w:val="both"/>
      </w:pPr>
      <w:r>
        <w:rPr>
          <w:color w:val="000000"/>
          <w:spacing w:val="0"/>
          <w:w w:val="100"/>
          <w:position w:val="0"/>
        </w:rPr>
        <w:t>交易价格是本公司因向客户转让商品或服务而预期有权收取的对价金额，不包括代第三方收取的款项。在确定合同交易价格 时，如果存在可变对价，本公司按照期望值或最可能发生金额确定可变对价的最佳估计数，并以不超过在相关不确定性消除 时累计已确认收入极可能不会发生重大转回的金额计入交易价格。合同中如果存在重大融资成分，本公司将根据客户在取得 商品控制权时即以现金支付的应付金额确定交易价格，该交易价格与合同对价之间的差额，在合同期间内采用实际利率法摊 销，对于控制权转移与客户支付价款间隔未超过一年的，本公司不考虑其中的融资成分。</w:t>
      </w:r>
    </w:p>
    <w:p>
      <w:pPr>
        <w:pStyle w:val="Style32"/>
        <w:keepNext w:val="0"/>
        <w:keepLines w:val="0"/>
        <w:widowControl w:val="0"/>
        <w:shd w:val="clear" w:color="auto" w:fill="auto"/>
        <w:bidi w:val="0"/>
        <w:spacing w:before="0" w:after="60" w:line="312" w:lineRule="exact"/>
        <w:ind w:left="0" w:right="0" w:firstLine="0"/>
        <w:jc w:val="both"/>
      </w:pPr>
      <w:r>
        <w:rPr>
          <w:color w:val="000000"/>
          <w:spacing w:val="0"/>
          <w:w w:val="100"/>
          <w:position w:val="0"/>
        </w:rPr>
        <w:t>满足下列条件之一的，属于在某一时段内履行履约义务；否则，属于在某一时点履行履约义务：</w:t>
      </w:r>
    </w:p>
    <w:p>
      <w:pPr>
        <w:pStyle w:val="Style32"/>
        <w:keepNext w:val="0"/>
        <w:keepLines w:val="0"/>
        <w:widowControl w:val="0"/>
        <w:numPr>
          <w:ilvl w:val="0"/>
          <w:numId w:val="119"/>
        </w:numPr>
        <w:shd w:val="clear" w:color="auto" w:fill="auto"/>
        <w:tabs>
          <w:tab w:pos="373" w:val="left"/>
        </w:tabs>
        <w:bidi w:val="0"/>
        <w:spacing w:before="0" w:after="120" w:line="240" w:lineRule="auto"/>
        <w:ind w:left="0" w:right="0" w:firstLine="0"/>
        <w:jc w:val="both"/>
      </w:pPr>
      <w:bookmarkStart w:id="1152" w:name="bookmark1152"/>
      <w:bookmarkEnd w:id="1152"/>
      <w:r>
        <w:rPr>
          <w:color w:val="000000"/>
          <w:spacing w:val="0"/>
          <w:w w:val="100"/>
          <w:position w:val="0"/>
        </w:rPr>
        <w:t>客户在本公司履约的同时即取得并消耗本公司履约所带来的经济利益；</w:t>
      </w:r>
    </w:p>
    <w:p>
      <w:pPr>
        <w:pStyle w:val="Style32"/>
        <w:keepNext w:val="0"/>
        <w:keepLines w:val="0"/>
        <w:widowControl w:val="0"/>
        <w:numPr>
          <w:ilvl w:val="0"/>
          <w:numId w:val="119"/>
        </w:numPr>
        <w:shd w:val="clear" w:color="auto" w:fill="auto"/>
        <w:tabs>
          <w:tab w:pos="373" w:val="left"/>
        </w:tabs>
        <w:bidi w:val="0"/>
        <w:spacing w:before="0" w:after="0" w:line="240" w:lineRule="auto"/>
        <w:ind w:left="0" w:right="0" w:firstLine="0"/>
        <w:jc w:val="both"/>
      </w:pPr>
      <w:bookmarkStart w:id="1153" w:name="bookmark1153"/>
      <w:bookmarkEnd w:id="1153"/>
      <w:r>
        <w:rPr>
          <w:color w:val="000000"/>
          <w:spacing w:val="0"/>
          <w:w w:val="100"/>
          <w:position w:val="0"/>
        </w:rPr>
        <w:t>客户能够控制本公司履约过程中在建的商品；</w:t>
      </w:r>
    </w:p>
    <w:p>
      <w:pPr>
        <w:pStyle w:val="Style32"/>
        <w:keepNext w:val="0"/>
        <w:keepLines w:val="0"/>
        <w:widowControl w:val="0"/>
        <w:numPr>
          <w:ilvl w:val="0"/>
          <w:numId w:val="119"/>
        </w:numPr>
        <w:shd w:val="clear" w:color="auto" w:fill="auto"/>
        <w:tabs>
          <w:tab w:pos="373" w:val="left"/>
        </w:tabs>
        <w:bidi w:val="0"/>
        <w:spacing w:before="0" w:after="0" w:line="346" w:lineRule="exact"/>
        <w:ind w:left="0" w:right="0" w:firstLine="0"/>
        <w:jc w:val="both"/>
      </w:pPr>
      <w:bookmarkStart w:id="1154" w:name="bookmark1154"/>
      <w:bookmarkEnd w:id="1154"/>
      <w:r>
        <w:rPr>
          <w:color w:val="000000"/>
          <w:spacing w:val="0"/>
          <w:w w:val="100"/>
          <w:position w:val="0"/>
        </w:rPr>
        <w:t>本公司履约过程中所产出的商品具有不可替代用途,且本公司在整个合同期间内有权就累计至今已完成的履约部分收取款 项。</w:t>
      </w:r>
    </w:p>
    <w:p>
      <w:pPr>
        <w:pStyle w:val="Style32"/>
        <w:keepNext w:val="0"/>
        <w:keepLines w:val="0"/>
        <w:widowControl w:val="0"/>
        <w:shd w:val="clear" w:color="auto" w:fill="auto"/>
        <w:bidi w:val="0"/>
        <w:spacing w:before="0" w:after="0" w:line="316" w:lineRule="exact"/>
        <w:ind w:left="0" w:right="0" w:firstLine="0"/>
        <w:jc w:val="both"/>
      </w:pPr>
      <w:r>
        <w:rPr>
          <w:color w:val="000000"/>
          <w:spacing w:val="0"/>
          <w:w w:val="100"/>
          <w:position w:val="0"/>
        </w:rPr>
        <w:t>对于在某一时段内履行的履约义务，本公司在该段时间内按照履约进度确认收入，但是，履约进度不能合理确定的除外。本 公司按照投入法(或产出法)确定提供服务的履约进度。当履约进度不能合理确定时，本公司已经发生的成本预计能够得到 补偿的，按照已经发生的成本金额确认收入，直到履约进度能够合理确定为止。</w:t>
      </w:r>
    </w:p>
    <w:p>
      <w:pPr>
        <w:pStyle w:val="Style32"/>
        <w:keepNext w:val="0"/>
        <w:keepLines w:val="0"/>
        <w:widowControl w:val="0"/>
        <w:shd w:val="clear" w:color="auto" w:fill="auto"/>
        <w:bidi w:val="0"/>
        <w:spacing w:before="0" w:after="0" w:line="316" w:lineRule="exact"/>
        <w:ind w:left="0" w:right="0" w:firstLine="0"/>
        <w:jc w:val="both"/>
      </w:pPr>
      <w:r>
        <w:rPr>
          <w:color w:val="000000"/>
          <w:spacing w:val="0"/>
          <w:w w:val="100"/>
          <w:position w:val="0"/>
        </w:rPr>
        <w:t>对于在某一时点履行的履约义务，本公司在客户取得相关商品控制权时点确认收入。在判断客户是否已取得商品或服务控制 权时，本公司会考虑下列迹象：</w:t>
      </w:r>
    </w:p>
    <w:p>
      <w:pPr>
        <w:pStyle w:val="Style32"/>
        <w:keepNext w:val="0"/>
        <w:keepLines w:val="0"/>
        <w:widowControl w:val="0"/>
        <w:numPr>
          <w:ilvl w:val="0"/>
          <w:numId w:val="121"/>
        </w:numPr>
        <w:shd w:val="clear" w:color="auto" w:fill="auto"/>
        <w:tabs>
          <w:tab w:pos="373" w:val="left"/>
        </w:tabs>
        <w:bidi w:val="0"/>
        <w:spacing w:before="0" w:after="0" w:line="316" w:lineRule="exact"/>
        <w:ind w:left="0" w:right="0" w:firstLine="0"/>
        <w:jc w:val="both"/>
      </w:pPr>
      <w:bookmarkStart w:id="1155" w:name="bookmark1155"/>
      <w:bookmarkEnd w:id="1155"/>
      <w:r>
        <w:rPr>
          <w:color w:val="000000"/>
          <w:spacing w:val="0"/>
          <w:w w:val="100"/>
          <w:position w:val="0"/>
        </w:rPr>
        <w:t>本公司就该商品或服务享有现时收款权利，即客户就该商品负有现时付款义务；</w:t>
      </w:r>
    </w:p>
    <w:p>
      <w:pPr>
        <w:pStyle w:val="Style32"/>
        <w:keepNext w:val="0"/>
        <w:keepLines w:val="0"/>
        <w:widowControl w:val="0"/>
        <w:numPr>
          <w:ilvl w:val="0"/>
          <w:numId w:val="121"/>
        </w:numPr>
        <w:shd w:val="clear" w:color="auto" w:fill="auto"/>
        <w:tabs>
          <w:tab w:pos="373" w:val="left"/>
        </w:tabs>
        <w:bidi w:val="0"/>
        <w:spacing w:before="0" w:after="0" w:line="316" w:lineRule="exact"/>
        <w:ind w:left="0" w:right="0" w:firstLine="0"/>
        <w:jc w:val="both"/>
      </w:pPr>
      <w:bookmarkStart w:id="1156" w:name="bookmark1156"/>
      <w:bookmarkEnd w:id="1156"/>
      <w:r>
        <w:rPr>
          <w:color w:val="000000"/>
          <w:spacing w:val="0"/>
          <w:w w:val="100"/>
          <w:position w:val="0"/>
        </w:rPr>
        <w:t>本公司已将该商品的法定所有权转移给客户，即客户已拥有了该商品的法定所有权；</w:t>
      </w:r>
    </w:p>
    <w:p>
      <w:pPr>
        <w:pStyle w:val="Style32"/>
        <w:keepNext w:val="0"/>
        <w:keepLines w:val="0"/>
        <w:widowControl w:val="0"/>
        <w:numPr>
          <w:ilvl w:val="0"/>
          <w:numId w:val="121"/>
        </w:numPr>
        <w:shd w:val="clear" w:color="auto" w:fill="auto"/>
        <w:tabs>
          <w:tab w:pos="373" w:val="left"/>
        </w:tabs>
        <w:bidi w:val="0"/>
        <w:spacing w:before="0" w:after="0" w:line="316" w:lineRule="exact"/>
        <w:ind w:left="0" w:right="0" w:firstLine="0"/>
        <w:jc w:val="both"/>
      </w:pPr>
      <w:bookmarkStart w:id="1157" w:name="bookmark1157"/>
      <w:bookmarkEnd w:id="1157"/>
      <w:r>
        <w:rPr>
          <w:color w:val="000000"/>
          <w:spacing w:val="0"/>
          <w:w w:val="100"/>
          <w:position w:val="0"/>
        </w:rPr>
        <w:t>本公司已将该商品的实物转移给客户，即客户已实物占有该商品；</w:t>
      </w:r>
    </w:p>
    <w:p>
      <w:pPr>
        <w:pStyle w:val="Style32"/>
        <w:keepNext w:val="0"/>
        <w:keepLines w:val="0"/>
        <w:widowControl w:val="0"/>
        <w:numPr>
          <w:ilvl w:val="0"/>
          <w:numId w:val="121"/>
        </w:numPr>
        <w:shd w:val="clear" w:color="auto" w:fill="auto"/>
        <w:tabs>
          <w:tab w:pos="373" w:val="left"/>
        </w:tabs>
        <w:bidi w:val="0"/>
        <w:spacing w:before="0" w:after="0" w:line="316" w:lineRule="exact"/>
        <w:ind w:left="0" w:right="0" w:firstLine="0"/>
        <w:jc w:val="both"/>
      </w:pPr>
      <w:bookmarkStart w:id="1158" w:name="bookmark1158"/>
      <w:bookmarkEnd w:id="1158"/>
      <w:r>
        <w:rPr>
          <w:color w:val="000000"/>
          <w:spacing w:val="0"/>
          <w:w w:val="100"/>
          <w:position w:val="0"/>
        </w:rPr>
        <w:t>本公司已将该商品所有权上的主要风险和报酬转移给客户，即客户已取得该商品所有权上的主要风险和报酬；</w:t>
      </w:r>
    </w:p>
    <w:p>
      <w:pPr>
        <w:pStyle w:val="Style32"/>
        <w:keepNext w:val="0"/>
        <w:keepLines w:val="0"/>
        <w:widowControl w:val="0"/>
        <w:numPr>
          <w:ilvl w:val="0"/>
          <w:numId w:val="121"/>
        </w:numPr>
        <w:shd w:val="clear" w:color="auto" w:fill="auto"/>
        <w:tabs>
          <w:tab w:pos="373" w:val="left"/>
        </w:tabs>
        <w:bidi w:val="0"/>
        <w:spacing w:before="0" w:after="0" w:line="316" w:lineRule="exact"/>
        <w:ind w:left="0" w:right="0" w:firstLine="0"/>
        <w:jc w:val="both"/>
      </w:pPr>
      <w:bookmarkStart w:id="1159" w:name="bookmark1159"/>
      <w:bookmarkEnd w:id="1159"/>
      <w:r>
        <w:rPr>
          <w:color w:val="000000"/>
          <w:spacing w:val="0"/>
          <w:w w:val="100"/>
          <w:position w:val="0"/>
        </w:rPr>
        <w:t>客户已接受该商品。</w:t>
      </w:r>
    </w:p>
    <w:p>
      <w:pPr>
        <w:pStyle w:val="Style32"/>
        <w:keepNext w:val="0"/>
        <w:keepLines w:val="0"/>
        <w:widowControl w:val="0"/>
        <w:numPr>
          <w:ilvl w:val="0"/>
          <w:numId w:val="117"/>
        </w:numPr>
        <w:shd w:val="clear" w:color="auto" w:fill="auto"/>
        <w:tabs>
          <w:tab w:pos="445" w:val="left"/>
        </w:tabs>
        <w:bidi w:val="0"/>
        <w:spacing w:before="0" w:after="0" w:line="316" w:lineRule="exact"/>
        <w:ind w:left="0" w:right="0" w:firstLine="0"/>
        <w:jc w:val="both"/>
      </w:pPr>
      <w:bookmarkStart w:id="1160" w:name="bookmark1160"/>
      <w:bookmarkEnd w:id="1160"/>
      <w:r>
        <w:rPr>
          <w:color w:val="000000"/>
          <w:spacing w:val="0"/>
          <w:w w:val="100"/>
          <w:position w:val="0"/>
        </w:rPr>
        <w:t>具体方法</w:t>
      </w:r>
    </w:p>
    <w:p>
      <w:pPr>
        <w:pStyle w:val="Style32"/>
        <w:keepNext w:val="0"/>
        <w:keepLines w:val="0"/>
        <w:widowControl w:val="0"/>
        <w:shd w:val="clear" w:color="auto" w:fill="auto"/>
        <w:bidi w:val="0"/>
        <w:spacing w:before="0" w:after="0" w:line="316" w:lineRule="exact"/>
        <w:ind w:left="0" w:right="0" w:firstLine="0"/>
        <w:jc w:val="both"/>
      </w:pPr>
      <w:r>
        <w:rPr>
          <w:color w:val="000000"/>
          <w:spacing w:val="0"/>
          <w:w w:val="100"/>
          <w:position w:val="0"/>
        </w:rPr>
        <w:t>本公司收入确认的具体方法如下：</w:t>
      </w:r>
    </w:p>
    <w:p>
      <w:pPr>
        <w:pStyle w:val="Style32"/>
        <w:keepNext w:val="0"/>
        <w:keepLines w:val="0"/>
        <w:widowControl w:val="0"/>
        <w:numPr>
          <w:ilvl w:val="0"/>
          <w:numId w:val="123"/>
        </w:numPr>
        <w:shd w:val="clear" w:color="auto" w:fill="auto"/>
        <w:tabs>
          <w:tab w:pos="373" w:val="left"/>
        </w:tabs>
        <w:bidi w:val="0"/>
        <w:spacing w:before="0" w:after="0" w:line="316" w:lineRule="exact"/>
        <w:ind w:left="0" w:right="0" w:firstLine="0"/>
        <w:jc w:val="both"/>
      </w:pPr>
      <w:bookmarkStart w:id="1161" w:name="bookmark1161"/>
      <w:bookmarkEnd w:id="1161"/>
      <w:r>
        <w:rPr>
          <w:color w:val="000000"/>
          <w:spacing w:val="0"/>
          <w:w w:val="100"/>
          <w:position w:val="0"/>
        </w:rPr>
        <w:t>商品销售合同</w:t>
      </w:r>
    </w:p>
    <w:p>
      <w:pPr>
        <w:pStyle w:val="Style32"/>
        <w:keepNext w:val="0"/>
        <w:keepLines w:val="0"/>
        <w:widowControl w:val="0"/>
        <w:shd w:val="clear" w:color="auto" w:fill="auto"/>
        <w:bidi w:val="0"/>
        <w:spacing w:before="0" w:after="0" w:line="316" w:lineRule="exact"/>
        <w:ind w:left="0" w:right="0" w:firstLine="0"/>
        <w:jc w:val="both"/>
      </w:pPr>
      <w:r>
        <w:rPr>
          <w:color w:val="000000"/>
          <w:spacing w:val="0"/>
          <w:w w:val="100"/>
          <w:position w:val="0"/>
        </w:rPr>
        <w:t>本公司商品销售主要包括产品化软件销售收入和系统集成收入，其收入的具体确认原则如下：</w:t>
      </w:r>
    </w:p>
    <w:p>
      <w:pPr>
        <w:pStyle w:val="Style32"/>
        <w:keepNext w:val="0"/>
        <w:keepLines w:val="0"/>
        <w:widowControl w:val="0"/>
        <w:shd w:val="clear" w:color="auto" w:fill="auto"/>
        <w:tabs>
          <w:tab w:pos="354" w:val="left"/>
        </w:tabs>
        <w:bidi w:val="0"/>
        <w:spacing w:before="0" w:after="0" w:line="316" w:lineRule="exact"/>
        <w:ind w:left="0" w:right="0" w:firstLine="0"/>
        <w:jc w:val="both"/>
      </w:pPr>
      <w:bookmarkStart w:id="1162" w:name="bookmark1162"/>
      <w:r>
        <w:rPr>
          <w:color w:val="000000"/>
          <w:spacing w:val="0"/>
          <w:w w:val="100"/>
          <w:position w:val="0"/>
          <w:sz w:val="18"/>
          <w:szCs w:val="18"/>
        </w:rPr>
        <w:t>A</w:t>
      </w:r>
      <w:bookmarkEnd w:id="1162"/>
      <w:r>
        <w:rPr>
          <w:color w:val="000000"/>
          <w:spacing w:val="0"/>
          <w:w w:val="100"/>
          <w:position w:val="0"/>
        </w:rPr>
        <w:t>、</w:t>
        <w:tab/>
      </w:r>
      <w:r>
        <w:rPr>
          <w:color w:val="000000"/>
          <w:spacing w:val="0"/>
          <w:w w:val="100"/>
          <w:position w:val="0"/>
        </w:rPr>
        <w:t>产品化软件销售收入是指本公司销售自主研发的软件产品收入。公司自主研发的软件产品是指具有较强的行业通用性， 客户需求差异性较小，并且可以批量复制销售的应用软件。</w:t>
      </w:r>
    </w:p>
    <w:p>
      <w:pPr>
        <w:pStyle w:val="Style32"/>
        <w:keepNext w:val="0"/>
        <w:keepLines w:val="0"/>
        <w:widowControl w:val="0"/>
        <w:shd w:val="clear" w:color="auto" w:fill="auto"/>
        <w:bidi w:val="0"/>
        <w:spacing w:before="0" w:after="0" w:line="316" w:lineRule="exact"/>
        <w:ind w:left="0" w:right="0" w:firstLine="0"/>
        <w:jc w:val="both"/>
      </w:pPr>
      <w:r>
        <w:rPr>
          <w:color w:val="000000"/>
          <w:spacing w:val="0"/>
          <w:w w:val="100"/>
          <w:position w:val="0"/>
        </w:rPr>
        <w:t>对于产品化软件销售，需要安装调试的，本公司在按照合同约定内容向购买方移交，并完成安装、调试工作，取得了购买方 安装确认单，并同时满足上述销售商品收入确认条件时确认软件产品销售收入；不需要安装调试的，本公司在按照合同约定 内容向购买方移交，取得了购买方签收确认，并同时满足上述销售商品收入确认条件时确认软件产品销售收入。</w:t>
      </w:r>
    </w:p>
    <w:p>
      <w:pPr>
        <w:pStyle w:val="Style32"/>
        <w:keepNext w:val="0"/>
        <w:keepLines w:val="0"/>
        <w:widowControl w:val="0"/>
        <w:shd w:val="clear" w:color="auto" w:fill="auto"/>
        <w:tabs>
          <w:tab w:pos="354" w:val="left"/>
        </w:tabs>
        <w:bidi w:val="0"/>
        <w:spacing w:before="0" w:after="0" w:line="316" w:lineRule="exact"/>
        <w:ind w:left="0" w:right="0" w:firstLine="0"/>
        <w:jc w:val="both"/>
      </w:pPr>
      <w:bookmarkStart w:id="1163" w:name="bookmark1163"/>
      <w:r>
        <w:rPr>
          <w:color w:val="000000"/>
          <w:spacing w:val="0"/>
          <w:w w:val="100"/>
          <w:position w:val="0"/>
          <w:sz w:val="18"/>
          <w:szCs w:val="18"/>
        </w:rPr>
        <w:t>B</w:t>
      </w:r>
      <w:bookmarkEnd w:id="1163"/>
      <w:r>
        <w:rPr>
          <w:color w:val="000000"/>
          <w:spacing w:val="0"/>
          <w:w w:val="100"/>
          <w:position w:val="0"/>
        </w:rPr>
        <w:t>、</w:t>
        <w:tab/>
      </w:r>
      <w:r>
        <w:rPr>
          <w:color w:val="000000"/>
          <w:spacing w:val="0"/>
          <w:w w:val="100"/>
          <w:position w:val="0"/>
        </w:rPr>
        <w:t>系统集成收入是指公司为客户实施系统集成项目时，应客户要求代其外购硬件系统及相关第三方软件，并安装集成所获 得的收入。系统集成是根据客户的需求选择各种软硬件设备，经过集成设计、集成、安装调试等大量技术性工作使系统能够 满足用户的实际需求。</w:t>
      </w:r>
    </w:p>
    <w:p>
      <w:pPr>
        <w:pStyle w:val="Style32"/>
        <w:keepNext w:val="0"/>
        <w:keepLines w:val="0"/>
        <w:widowControl w:val="0"/>
        <w:shd w:val="clear" w:color="auto" w:fill="auto"/>
        <w:bidi w:val="0"/>
        <w:spacing w:before="0" w:after="0" w:line="316" w:lineRule="exact"/>
        <w:ind w:left="0" w:right="0" w:firstLine="0"/>
        <w:jc w:val="both"/>
      </w:pPr>
      <w:r>
        <w:rPr>
          <w:color w:val="000000"/>
          <w:spacing w:val="0"/>
          <w:w w:val="100"/>
          <w:position w:val="0"/>
        </w:rPr>
        <w:t>系统集成在按照合同约定内容向购买方移交了所提供的软件产品和软件开发相关的、以及代购硬件设备或第三方软件的所有 权，取得了购买方的验收单，并同时满足上述销售商品收入确认条件时确认系统集成收入。</w:t>
      </w:r>
    </w:p>
    <w:p>
      <w:pPr>
        <w:pStyle w:val="Style32"/>
        <w:keepNext w:val="0"/>
        <w:keepLines w:val="0"/>
        <w:widowControl w:val="0"/>
        <w:numPr>
          <w:ilvl w:val="0"/>
          <w:numId w:val="123"/>
        </w:numPr>
        <w:shd w:val="clear" w:color="auto" w:fill="auto"/>
        <w:tabs>
          <w:tab w:pos="373" w:val="left"/>
        </w:tabs>
        <w:bidi w:val="0"/>
        <w:spacing w:before="0" w:after="0" w:line="316" w:lineRule="exact"/>
        <w:ind w:left="0" w:right="0" w:firstLine="0"/>
        <w:jc w:val="both"/>
      </w:pPr>
      <w:bookmarkStart w:id="1164" w:name="bookmark1164"/>
      <w:bookmarkEnd w:id="1164"/>
      <w:r>
        <w:rPr>
          <w:color w:val="000000"/>
          <w:spacing w:val="0"/>
          <w:w w:val="100"/>
          <w:position w:val="0"/>
        </w:rPr>
        <w:t>提供服务合同</w:t>
      </w:r>
      <w:r>
        <w:br w:type="page"/>
      </w:r>
    </w:p>
    <w:p>
      <w:pPr>
        <w:pStyle w:val="Style5"/>
        <w:keepNext w:val="0"/>
        <w:keepLines w:val="0"/>
        <w:widowControl w:val="0"/>
        <w:shd w:val="clear" w:color="auto" w:fill="auto"/>
        <w:bidi w:val="0"/>
        <w:spacing w:before="0" w:after="0" w:line="240" w:lineRule="auto"/>
        <w:ind w:left="0" w:right="0" w:firstLine="0"/>
        <w:jc w:val="left"/>
      </w:pPr>
      <w:r>
        <w:drawing>
          <wp:anchor distT="0" distB="0" distL="0" distR="0" simplePos="0" relativeHeight="125829591" behindDoc="0" locked="0" layoutInCell="1" allowOverlap="1">
            <wp:simplePos x="0" y="0"/>
            <wp:positionH relativeFrom="page">
              <wp:posOffset>621030</wp:posOffset>
            </wp:positionH>
            <wp:positionV relativeFrom="margin">
              <wp:posOffset>-207010</wp:posOffset>
            </wp:positionV>
            <wp:extent cx="1298575" cy="518160"/>
            <wp:wrapTight wrapText="right">
              <wp:wrapPolygon>
                <wp:start x="0" y="0"/>
                <wp:lineTo x="8589" y="0"/>
                <wp:lineTo x="8589" y="254"/>
                <wp:lineTo x="21600" y="254"/>
                <wp:lineTo x="21600" y="11054"/>
                <wp:lineTo x="8589" y="11054"/>
                <wp:lineTo x="8589" y="21600"/>
                <wp:lineTo x="0" y="21600"/>
                <wp:lineTo x="0" y="0"/>
              </wp:wrapPolygon>
            </wp:wrapTight>
            <wp:docPr id="799" name="Shape 799"/>
            <a:graphic xmlns:a="http://schemas.openxmlformats.org/drawingml/2006/main">
              <a:graphicData uri="http://schemas.openxmlformats.org/drawingml/2006/picture">
                <pic:pic xmlns:pic="http://schemas.openxmlformats.org/drawingml/2006/picture">
                  <pic:nvPicPr>
                    <pic:cNvPr id="800" name="Picture box 800"/>
                    <pic:cNvPicPr/>
                  </pic:nvPicPr>
                  <pic:blipFill>
                    <a:blip r:embed="rId329"/>
                    <a:stretch/>
                  </pic:blipFill>
                  <pic:spPr>
                    <a:xfrm>
                      <a:ext cx="1298575" cy="518160"/>
                    </a:xfrm>
                    <a:prstGeom prst="rect"/>
                  </pic:spPr>
                </pic:pic>
              </a:graphicData>
            </a:graphic>
          </wp:anchor>
        </w:drawing>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0"/>
        <w:jc w:val="left"/>
      </w:pP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本公司提供劳务主要包括定制化软件开发收入和技术服务收入，其收入的具体确认原则如下：</w:t>
      </w:r>
    </w:p>
    <w:p>
      <w:pPr>
        <w:pStyle w:val="Style32"/>
        <w:keepNext w:val="0"/>
        <w:keepLines w:val="0"/>
        <w:widowControl w:val="0"/>
        <w:shd w:val="clear" w:color="auto" w:fill="auto"/>
        <w:tabs>
          <w:tab w:pos="322" w:val="left"/>
        </w:tabs>
        <w:bidi w:val="0"/>
        <w:spacing w:before="0" w:after="0" w:line="313" w:lineRule="exact"/>
        <w:ind w:left="0" w:right="0" w:firstLine="0"/>
        <w:jc w:val="both"/>
      </w:pPr>
      <w:bookmarkStart w:id="1165" w:name="bookmark1165"/>
      <w:r>
        <w:rPr>
          <w:color w:val="000000"/>
          <w:spacing w:val="0"/>
          <w:w w:val="100"/>
          <w:position w:val="0"/>
          <w:sz w:val="18"/>
          <w:szCs w:val="18"/>
        </w:rPr>
        <w:t>A</w:t>
      </w:r>
      <w:bookmarkEnd w:id="1165"/>
      <w:r>
        <w:rPr>
          <w:color w:val="000000"/>
          <w:spacing w:val="0"/>
          <w:w w:val="100"/>
          <w:position w:val="0"/>
        </w:rPr>
        <w:t>、</w:t>
        <w:tab/>
      </w:r>
      <w:r>
        <w:rPr>
          <w:color w:val="000000"/>
          <w:spacing w:val="0"/>
          <w:w w:val="100"/>
          <w:position w:val="0"/>
        </w:rPr>
        <w:t>定制化软件开发收入是指公司接受客户委托，针对客户提出的软件需求进行研究开发所获得的收入。定制化软件一般是 公司基于自主研发的软件平台基础上，按照客户的特定需求，进行定制化开发而形成的应用软件。该类软件一般不具有通用 性，该类业务实质上属于提供劳务。</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对于定制化软件开发收入，基于合同条款及适用于合同的法律规定，公司可选择在某一时段内确认收入或者某一时点确认收 入，当客户能够控制公司履约过程中在建的商品或者公司履约过程中所产出的商品具有不可替代用途，且公司在整个合同期 间内有权就累计至今已完成的履约部分收取款项时，公司选择在某一时段内确认收入，否则，公司选择在某一时点确认收入。</w:t>
      </w:r>
    </w:p>
    <w:p>
      <w:pPr>
        <w:pStyle w:val="Style32"/>
        <w:keepNext w:val="0"/>
        <w:keepLines w:val="0"/>
        <w:widowControl w:val="0"/>
        <w:shd w:val="clear" w:color="auto" w:fill="auto"/>
        <w:tabs>
          <w:tab w:pos="322" w:val="left"/>
        </w:tabs>
        <w:bidi w:val="0"/>
        <w:spacing w:before="0" w:after="0" w:line="313" w:lineRule="exact"/>
        <w:ind w:left="0" w:right="0" w:firstLine="0"/>
        <w:jc w:val="both"/>
      </w:pPr>
      <w:bookmarkStart w:id="1166" w:name="bookmark1166"/>
      <w:r>
        <w:rPr>
          <w:color w:val="000000"/>
          <w:spacing w:val="0"/>
          <w:w w:val="100"/>
          <w:position w:val="0"/>
          <w:sz w:val="18"/>
          <w:szCs w:val="18"/>
        </w:rPr>
        <w:t>B</w:t>
      </w:r>
      <w:bookmarkEnd w:id="1166"/>
      <w:r>
        <w:rPr>
          <w:color w:val="000000"/>
          <w:spacing w:val="0"/>
          <w:w w:val="100"/>
          <w:position w:val="0"/>
        </w:rPr>
        <w:t>、</w:t>
        <w:tab/>
      </w:r>
      <w:r>
        <w:rPr>
          <w:color w:val="000000"/>
          <w:spacing w:val="0"/>
          <w:w w:val="100"/>
          <w:position w:val="0"/>
        </w:rPr>
        <w:t>技术服务收入是指公司向客户提供专业的技术服务实现的收入。本公司的技术服务收入通常包含但不限于向客户提供的 与</w:t>
      </w:r>
      <w:r>
        <w:rPr>
          <w:color w:val="000000"/>
          <w:spacing w:val="0"/>
          <w:w w:val="100"/>
          <w:position w:val="0"/>
          <w:sz w:val="18"/>
          <w:szCs w:val="18"/>
        </w:rPr>
        <w:t>IT</w:t>
      </w:r>
      <w:r>
        <w:rPr>
          <w:color w:val="000000"/>
          <w:spacing w:val="0"/>
          <w:w w:val="100"/>
          <w:position w:val="0"/>
        </w:rPr>
        <w:t>运维管理相关的技术支持、技术咨询、系统维护、运营管理等服务内容。</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对于按期提供劳务的技术服务，公司在按照合同约定内容提供了劳务，并满足上述提供劳务收入确认条件时按期确认技术服 务收入；对于按次提供劳务的技术服务，公司在劳务已经提供，并符合合同约定的服务条款，同时满足提供劳务收入确认条 件时确认技术服务收入。</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合同中涉及两项以上业务，如合同中能明确区分各项业务合同金额时，按照上述业务收入确认原则分别确认收入；如合同中 未能明确区分各项业务金额时，按照合同主要业务归属收入确认原则确认收入。</w:t>
      </w:r>
    </w:p>
    <w:p>
      <w:pPr>
        <w:pStyle w:val="Style32"/>
        <w:keepNext w:val="0"/>
        <w:keepLines w:val="0"/>
        <w:widowControl w:val="0"/>
        <w:shd w:val="clear" w:color="auto" w:fill="auto"/>
        <w:tabs>
          <w:tab w:pos="322" w:val="left"/>
        </w:tabs>
        <w:bidi w:val="0"/>
        <w:spacing w:before="0" w:after="0" w:line="313" w:lineRule="exact"/>
        <w:ind w:left="0" w:right="0" w:firstLine="0"/>
        <w:jc w:val="both"/>
      </w:pPr>
      <w:bookmarkStart w:id="1167" w:name="bookmark1167"/>
      <w:r>
        <w:rPr>
          <w:color w:val="000000"/>
          <w:spacing w:val="0"/>
          <w:w w:val="100"/>
          <w:position w:val="0"/>
          <w:sz w:val="18"/>
          <w:szCs w:val="18"/>
        </w:rPr>
        <w:t>C</w:t>
      </w:r>
      <w:bookmarkEnd w:id="1167"/>
      <w:r>
        <w:rPr>
          <w:color w:val="000000"/>
          <w:spacing w:val="0"/>
          <w:w w:val="100"/>
          <w:position w:val="0"/>
        </w:rPr>
        <w:t>、</w:t>
        <w:tab/>
      </w:r>
      <w:r>
        <w:rPr>
          <w:color w:val="000000"/>
          <w:spacing w:val="0"/>
          <w:w w:val="100"/>
          <w:position w:val="0"/>
        </w:rPr>
        <w:t>让渡资产使用权</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本公司在与让渡资产使用权相关的经济利益能够流入和收入的金额能够可靠的计量时确认让渡资产使用权收入。</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以下收入会计政策适用于</w:t>
      </w:r>
      <w:r>
        <w:rPr>
          <w:color w:val="000000"/>
          <w:spacing w:val="0"/>
          <w:w w:val="100"/>
          <w:position w:val="0"/>
          <w:sz w:val="18"/>
          <w:szCs w:val="18"/>
        </w:rPr>
        <w:t>2019</w:t>
      </w:r>
      <w:r>
        <w:rPr>
          <w:color w:val="000000"/>
          <w:spacing w:val="0"/>
          <w:w w:val="100"/>
          <w:position w:val="0"/>
        </w:rPr>
        <w:t>年度及以前</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公司向客户提供的服务包括：健康数据服务、智能融合云服务。健康数据服务，主要是基于临床信息化细分产品和健康大数 据平台，为客户提供标准、高效的医疗信息化软件产品、系统集成和运维服务；智能融合云服务，主要是依托于智能融合云 平台与大数据云中心服务，为面向互联网+时代的关键行业客户提供全方位的智能化的融合云解决方案和服务，涵盖了系统 集成、运行维护服务、软件及硬件销售、软件开发服务等业务。本公司对收入的具体确认原则如下：</w:t>
      </w:r>
    </w:p>
    <w:p>
      <w:pPr>
        <w:pStyle w:val="Style32"/>
        <w:keepNext w:val="0"/>
        <w:keepLines w:val="0"/>
        <w:widowControl w:val="0"/>
        <w:numPr>
          <w:ilvl w:val="0"/>
          <w:numId w:val="125"/>
        </w:numPr>
        <w:shd w:val="clear" w:color="auto" w:fill="auto"/>
        <w:tabs>
          <w:tab w:pos="322" w:val="left"/>
        </w:tabs>
        <w:bidi w:val="0"/>
        <w:spacing w:before="0" w:after="0" w:line="313" w:lineRule="exact"/>
        <w:ind w:left="0" w:right="0" w:firstLine="0"/>
        <w:jc w:val="both"/>
      </w:pPr>
      <w:bookmarkStart w:id="1168" w:name="bookmark1168"/>
      <w:bookmarkEnd w:id="1168"/>
      <w:r>
        <w:rPr>
          <w:color w:val="000000"/>
          <w:spacing w:val="0"/>
          <w:w w:val="100"/>
          <w:position w:val="0"/>
        </w:rPr>
        <w:t>销售商品收入</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公司已将商品所有权上的主要风险和报酬转移给购货方；公司既没有保留通常与所有权相联系的继续管理权，也没有对已售 出的商品实施有效控制；收入的金额能够可靠地计量；相关的经济利益很可能流入公司；相关的已发生或将发生的成本能够 可靠地计量时，确认为销售收入的实现。</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本公司商品销售主要包括产品化软件销售收入和系统集成收入，其收入的具体确认原则如下：</w:t>
      </w:r>
    </w:p>
    <w:p>
      <w:pPr>
        <w:pStyle w:val="Style32"/>
        <w:keepNext w:val="0"/>
        <w:keepLines w:val="0"/>
        <w:widowControl w:val="0"/>
        <w:numPr>
          <w:ilvl w:val="0"/>
          <w:numId w:val="127"/>
        </w:numPr>
        <w:shd w:val="clear" w:color="auto" w:fill="auto"/>
        <w:tabs>
          <w:tab w:pos="503" w:val="left"/>
        </w:tabs>
        <w:bidi w:val="0"/>
        <w:spacing w:before="0" w:after="0" w:line="313" w:lineRule="exact"/>
        <w:ind w:left="0" w:right="0" w:firstLine="0"/>
        <w:jc w:val="both"/>
      </w:pPr>
      <w:bookmarkStart w:id="1169" w:name="bookmark1169"/>
      <w:bookmarkEnd w:id="1169"/>
      <w:r>
        <w:rPr>
          <w:color w:val="000000"/>
          <w:spacing w:val="0"/>
          <w:w w:val="100"/>
          <w:position w:val="0"/>
        </w:rPr>
        <w:t>产品化软件销售收入是指本公司销售自主研发的软件产品收入。公司自主研发的软件产品是指具有较强的行业通用性， 客户需求差异性较小，并且可以批量复制销售的应用软件。</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对于产品化软件销售，需要安装调试的，本公司在按照合同约定内容向购买方移交，并完成安装、调试工作，取得了购买方 安装确认单，并同时满足上述销售商品收入确认条件时确认软件产品销售收入；不需要安装调试的，本公司在按照合同约定 内容向购买方移交，取得了购买方签收确认，并同时满足上述销售商品收入确认条件时确认软件产品销售收入。</w:t>
      </w:r>
    </w:p>
    <w:p>
      <w:pPr>
        <w:pStyle w:val="Style32"/>
        <w:keepNext w:val="0"/>
        <w:keepLines w:val="0"/>
        <w:widowControl w:val="0"/>
        <w:numPr>
          <w:ilvl w:val="0"/>
          <w:numId w:val="127"/>
        </w:numPr>
        <w:shd w:val="clear" w:color="auto" w:fill="auto"/>
        <w:tabs>
          <w:tab w:pos="503" w:val="left"/>
        </w:tabs>
        <w:bidi w:val="0"/>
        <w:spacing w:before="0" w:after="0" w:line="313" w:lineRule="exact"/>
        <w:ind w:left="0" w:right="0" w:firstLine="0"/>
        <w:jc w:val="both"/>
      </w:pPr>
      <w:bookmarkStart w:id="1170" w:name="bookmark1170"/>
      <w:bookmarkEnd w:id="1170"/>
      <w:r>
        <w:rPr>
          <w:color w:val="000000"/>
          <w:spacing w:val="0"/>
          <w:w w:val="100"/>
          <w:position w:val="0"/>
        </w:rPr>
        <w:t>系统集成收入是指公司为客户实施系统集成项目时，应客户要求代其外购硬件系统及相关第三方软件，并安装集成所 获得的收入。系统集成是根据客户的需求选择各种软硬件设备，经过集成设计、集成、安装调试等大量技术性工作使系统能 够满足用户的实际需求。</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系统集成在按照合同约定内容向购买方移交了所提供的软件产品和软件开发相关的、以及代购硬件设备或第三方软件的所有 权，取得了购买方的验收单，并同时满足上述销售商品收入确认条件时确认系统集成收入。</w:t>
      </w:r>
    </w:p>
    <w:p>
      <w:pPr>
        <w:pStyle w:val="Style32"/>
        <w:keepNext w:val="0"/>
        <w:keepLines w:val="0"/>
        <w:widowControl w:val="0"/>
        <w:numPr>
          <w:ilvl w:val="0"/>
          <w:numId w:val="125"/>
        </w:numPr>
        <w:shd w:val="clear" w:color="auto" w:fill="auto"/>
        <w:tabs>
          <w:tab w:pos="322" w:val="left"/>
        </w:tabs>
        <w:bidi w:val="0"/>
        <w:spacing w:before="0" w:after="0" w:line="313" w:lineRule="exact"/>
        <w:ind w:left="0" w:right="0" w:firstLine="0"/>
        <w:jc w:val="both"/>
      </w:pPr>
      <w:bookmarkStart w:id="1171" w:name="bookmark1171"/>
      <w:bookmarkEnd w:id="1171"/>
      <w:r>
        <w:rPr>
          <w:color w:val="000000"/>
          <w:spacing w:val="0"/>
          <w:w w:val="100"/>
          <w:position w:val="0"/>
        </w:rPr>
        <w:t>提供劳务收入</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在资产负债表日提供劳务交易的结果能够可靠估计，采用完工百分比法确认提供劳务收入。提供劳务交易的结果能够可靠估 计，是指同时满足下列条件：收入的金额能够可靠地计量；相关的经济利益很可能流入企业；交易的完工进度能够可靠地确 定；交易中已发生和将发生的成本能够可靠地计量时，确认为提供劳务收入的实现。</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本公司提供劳务主要包括定制化软件开发收入和技术服务收入，其收入的具体确认原则如下：</w:t>
      </w:r>
    </w:p>
    <w:p>
      <w:pPr>
        <w:pStyle w:val="Style32"/>
        <w:keepNext w:val="0"/>
        <w:keepLines w:val="0"/>
        <w:widowControl w:val="0"/>
        <w:shd w:val="clear" w:color="auto" w:fill="auto"/>
        <w:bidi w:val="0"/>
        <w:spacing w:before="0" w:after="0" w:line="313" w:lineRule="exact"/>
        <w:ind w:left="0" w:right="0" w:firstLine="0"/>
        <w:jc w:val="both"/>
        <w:sectPr>
          <w:headerReference w:type="default" r:id="rId331"/>
          <w:footerReference w:type="default" r:id="rId332"/>
          <w:headerReference w:type="even" r:id="rId333"/>
          <w:footerReference w:type="even" r:id="rId334"/>
          <w:footnotePr>
            <w:pos w:val="pageBottom"/>
            <w:numFmt w:val="decimal"/>
            <w:numRestart w:val="continuous"/>
          </w:footnotePr>
          <w:pgSz w:w="11900" w:h="16840"/>
          <w:pgMar w:top="992" w:right="811" w:bottom="1146" w:left="567" w:header="0" w:footer="3" w:gutter="0"/>
          <w:cols w:space="720"/>
          <w:noEndnote/>
          <w:rtlGutter w:val="0"/>
          <w:docGrid w:linePitch="360"/>
        </w:sectPr>
      </w:pPr>
      <w:r>
        <w:rPr>
          <w:color w:val="000000"/>
          <w:spacing w:val="0"/>
          <w:w w:val="100"/>
          <w:position w:val="0"/>
          <w:sz w:val="18"/>
          <w:szCs w:val="18"/>
        </w:rPr>
        <w:t>(1)</w:t>
      </w:r>
      <w:r>
        <w:rPr>
          <w:color w:val="000000"/>
          <w:spacing w:val="0"/>
          <w:w w:val="100"/>
          <w:position w:val="0"/>
        </w:rPr>
        <w:t>定制化软件开发收入是指公司接受客户委托，针对客户提出的软件需求进行研究开发所获得的收入。定制化软件一般 是公司基于自主研发的软件平台基础上，按照客户的特定需求，进行定制化开发而形成的应用软件。该类软件一般不具有通 用性，该类业务实质上属于提供劳务。</w:t>
      </w:r>
    </w:p>
    <w:p>
      <w:pPr>
        <w:pStyle w:val="Style32"/>
        <w:keepNext w:val="0"/>
        <w:keepLines w:val="0"/>
        <w:widowControl w:val="0"/>
        <w:shd w:val="clear" w:color="auto" w:fill="auto"/>
        <w:bidi w:val="0"/>
        <w:spacing w:before="0" w:after="100" w:line="240" w:lineRule="auto"/>
        <w:ind w:left="0" w:right="0" w:firstLine="0"/>
        <w:jc w:val="left"/>
      </w:pPr>
      <w:r>
        <mc:AlternateContent>
          <mc:Choice Requires="wps">
            <w:drawing>
              <wp:anchor distT="0" distB="0" distL="114300" distR="114300" simplePos="0" relativeHeight="125829592" behindDoc="0" locked="0" layoutInCell="1" allowOverlap="1">
                <wp:simplePos x="0" y="0"/>
                <wp:positionH relativeFrom="page">
                  <wp:posOffset>698500</wp:posOffset>
                </wp:positionH>
                <wp:positionV relativeFrom="margin">
                  <wp:posOffset>29210</wp:posOffset>
                </wp:positionV>
                <wp:extent cx="1243330" cy="283210"/>
                <wp:wrapTopAndBottom/>
                <wp:docPr id="811" name="Shape 811"/>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837" type="#_x0000_t202" style="position:absolute;margin-left:55.pt;margin-top:2.3000000000000003pt;width:97.900000000000006pt;height:22.300000000000001pt;z-index:-125829161;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 xml:space="preserve">对于专业程度较高且能够取得客户确认的完工进度依据的定制化软件开发收入，提供定制软件劳务交易的结果在资产负债表 </w:t>
      </w:r>
      <w:r>
        <w:rPr>
          <w:color w:val="000000"/>
          <w:spacing w:val="0"/>
          <w:w w:val="100"/>
          <w:position w:val="0"/>
        </w:rPr>
        <w:t xml:space="preserve">日能够可靠估计的，采用完工百分比法确认提供劳务的收入，并按已经发生的成本占估计总成本的比例确定提供劳务交易的 </w:t>
      </w:r>
      <w:r>
        <w:rPr>
          <w:color w:val="000000"/>
          <w:spacing w:val="0"/>
          <w:w w:val="100"/>
          <w:position w:val="0"/>
        </w:rPr>
        <w:t xml:space="preserve">完工进度；提供定制软件劳务交易的结果在资产负债表日不能够可靠估计的，若已经发生的劳务成本预计能够得到补偿，按 </w:t>
      </w:r>
      <w:r>
        <w:rPr>
          <w:color w:val="000000"/>
          <w:spacing w:val="0"/>
          <w:w w:val="100"/>
          <w:position w:val="0"/>
        </w:rPr>
        <w:t xml:space="preserve">已经发生的劳务成本金额确认提供劳务收入，并按相同金额结转劳务成本；若已经发生的劳务成本预计不能够得到补偿，将 </w:t>
      </w:r>
      <w:r>
        <w:rPr>
          <w:color w:val="000000"/>
          <w:spacing w:val="0"/>
          <w:w w:val="100"/>
          <w:position w:val="0"/>
        </w:rPr>
        <w:t xml:space="preserve">已经发生的劳务成本计入当期损益，不确认劳务收入。对于其他的定制化软件开发收入，本公司在按照合同约定内容实施了 </w:t>
      </w:r>
      <w:r>
        <w:rPr>
          <w:color w:val="000000"/>
          <w:spacing w:val="0"/>
          <w:w w:val="100"/>
          <w:position w:val="0"/>
        </w:rPr>
        <w:t xml:space="preserve">开发工作，为购买方完成了安装、调试工作，取得购买方的验收，并同时满足上述提供劳务收入确认条件时确认定制化软件 </w:t>
      </w:r>
      <w:r>
        <w:rPr>
          <w:color w:val="000000"/>
          <w:spacing w:val="0"/>
          <w:w w:val="100"/>
          <w:position w:val="0"/>
        </w:rPr>
        <w:t>开发收入。</w:t>
      </w:r>
    </w:p>
    <w:p>
      <w:pPr>
        <w:pStyle w:val="Style32"/>
        <w:keepNext w:val="0"/>
        <w:keepLines w:val="0"/>
        <w:widowControl w:val="0"/>
        <w:shd w:val="clear" w:color="auto" w:fill="auto"/>
        <w:bidi w:val="0"/>
        <w:spacing w:before="0" w:after="100" w:line="240" w:lineRule="auto"/>
        <w:ind w:left="0" w:right="0" w:firstLine="0"/>
        <w:jc w:val="both"/>
      </w:pPr>
      <w:r>
        <w:rPr>
          <w:color w:val="000000"/>
          <w:spacing w:val="0"/>
          <w:w w:val="100"/>
          <w:position w:val="0"/>
          <w:sz w:val="18"/>
          <w:szCs w:val="18"/>
        </w:rPr>
        <w:t>(2)</w:t>
      </w:r>
      <w:r>
        <w:rPr>
          <w:color w:val="000000"/>
          <w:spacing w:val="0"/>
          <w:w w:val="100"/>
          <w:position w:val="0"/>
        </w:rPr>
        <w:t xml:space="preserve">技术服务收入是指公司向客户提供专业的技术服务实现的收入。本公司的技术服务收入通常包含但不限于向客户提供 </w:t>
      </w:r>
      <w:r>
        <w:rPr>
          <w:color w:val="000000"/>
          <w:spacing w:val="0"/>
          <w:w w:val="100"/>
          <w:position w:val="0"/>
        </w:rPr>
        <w:t>的与</w:t>
      </w:r>
      <w:r>
        <w:rPr>
          <w:color w:val="000000"/>
          <w:spacing w:val="0"/>
          <w:w w:val="100"/>
          <w:position w:val="0"/>
          <w:sz w:val="18"/>
          <w:szCs w:val="18"/>
        </w:rPr>
        <w:t>IT</w:t>
      </w:r>
      <w:r>
        <w:rPr>
          <w:color w:val="000000"/>
          <w:spacing w:val="0"/>
          <w:w w:val="100"/>
          <w:position w:val="0"/>
        </w:rPr>
        <w:t>运维管理相关的技术支持、技术咨询、系统维护、运营管理等服务内容。</w:t>
      </w:r>
    </w:p>
    <w:p>
      <w:pPr>
        <w:pStyle w:val="Style32"/>
        <w:keepNext w:val="0"/>
        <w:keepLines w:val="0"/>
        <w:widowControl w:val="0"/>
        <w:shd w:val="clear" w:color="auto" w:fill="auto"/>
        <w:bidi w:val="0"/>
        <w:spacing w:before="0" w:after="100" w:line="240" w:lineRule="auto"/>
        <w:ind w:left="0" w:right="0" w:firstLine="0"/>
        <w:jc w:val="both"/>
      </w:pPr>
      <w:r>
        <w:rPr>
          <w:color w:val="000000"/>
          <w:spacing w:val="0"/>
          <w:w w:val="100"/>
          <w:position w:val="0"/>
        </w:rPr>
        <w:t xml:space="preserve">对于按期提供劳务的技术服务，公司在按照合同约定内容提供了劳务，并满足上述提供劳务收入确认条件时按期确认技术服 </w:t>
      </w:r>
      <w:r>
        <w:rPr>
          <w:color w:val="000000"/>
          <w:spacing w:val="0"/>
          <w:w w:val="100"/>
          <w:position w:val="0"/>
        </w:rPr>
        <w:t xml:space="preserve">务收入；对于按次提供劳务的技术服务，公司在劳务已经提供，并符合合同约定的服务条款，同时满足提供劳务收入确认条 </w:t>
      </w:r>
      <w:r>
        <w:rPr>
          <w:color w:val="000000"/>
          <w:spacing w:val="0"/>
          <w:w w:val="100"/>
          <w:position w:val="0"/>
        </w:rPr>
        <w:t>件时确认技术服务收入。</w:t>
      </w:r>
    </w:p>
    <w:p>
      <w:pPr>
        <w:pStyle w:val="Style32"/>
        <w:keepNext w:val="0"/>
        <w:keepLines w:val="0"/>
        <w:widowControl w:val="0"/>
        <w:shd w:val="clear" w:color="auto" w:fill="auto"/>
        <w:bidi w:val="0"/>
        <w:spacing w:before="0" w:after="100" w:line="240" w:lineRule="auto"/>
        <w:ind w:left="0" w:right="0" w:firstLine="0"/>
        <w:jc w:val="both"/>
      </w:pPr>
      <w:r>
        <w:rPr>
          <w:color w:val="000000"/>
          <w:spacing w:val="0"/>
          <w:w w:val="100"/>
          <w:position w:val="0"/>
        </w:rPr>
        <w:t xml:space="preserve">合同中涉及两项以上业务，如合同中能明确区分各项业务合同金额时，按照上述业务收入确认原则分别确认收入；如合同中 </w:t>
      </w:r>
      <w:r>
        <w:rPr>
          <w:color w:val="000000"/>
          <w:spacing w:val="0"/>
          <w:w w:val="100"/>
          <w:position w:val="0"/>
        </w:rPr>
        <w:t>未能明确区分各项业务金额时，按照合同主要业务归属收入确认原则确认收入。</w:t>
      </w:r>
    </w:p>
    <w:p>
      <w:pPr>
        <w:pStyle w:val="Style32"/>
        <w:keepNext w:val="0"/>
        <w:keepLines w:val="0"/>
        <w:widowControl w:val="0"/>
        <w:numPr>
          <w:ilvl w:val="0"/>
          <w:numId w:val="125"/>
        </w:numPr>
        <w:shd w:val="clear" w:color="auto" w:fill="auto"/>
        <w:bidi w:val="0"/>
        <w:spacing w:before="0" w:after="380" w:line="240" w:lineRule="auto"/>
        <w:ind w:left="0" w:right="0" w:firstLine="0"/>
        <w:jc w:val="both"/>
      </w:pPr>
      <w:bookmarkStart w:id="1172" w:name="bookmark1172"/>
      <w:bookmarkEnd w:id="1172"/>
      <w:r>
        <w:rPr>
          <w:color w:val="000000"/>
          <w:spacing w:val="0"/>
          <w:w w:val="100"/>
          <w:position w:val="0"/>
        </w:rPr>
        <w:t xml:space="preserve">让渡资产使用权 </w:t>
      </w:r>
      <w:r>
        <w:rPr>
          <w:color w:val="000000"/>
          <w:spacing w:val="0"/>
          <w:w w:val="100"/>
          <w:position w:val="0"/>
        </w:rPr>
        <w:t>本公司在与让渡资产使用权相关的经济利益能够流入和收入的金额能够可靠的计量时确认让渡资产使用权收入。</w:t>
      </w:r>
    </w:p>
    <w:p>
      <w:pPr>
        <w:pStyle w:val="Style55"/>
        <w:keepNext/>
        <w:keepLines/>
        <w:widowControl w:val="0"/>
        <w:shd w:val="clear" w:color="auto" w:fill="auto"/>
        <w:bidi w:val="0"/>
        <w:spacing w:before="0" w:after="260" w:line="240" w:lineRule="auto"/>
        <w:ind w:left="0" w:right="0" w:firstLine="0"/>
        <w:jc w:val="both"/>
      </w:pPr>
      <w:bookmarkStart w:id="1173" w:name="bookmark1173"/>
      <w:bookmarkStart w:id="1174" w:name="bookmark1174"/>
      <w:bookmarkStart w:id="1175" w:name="bookmark1175"/>
      <w:bookmarkStart w:id="1176" w:name="bookmark1176"/>
      <w:r>
        <w:rPr>
          <w:rFonts w:ascii="Times New Roman" w:eastAsia="Times New Roman" w:hAnsi="Times New Roman" w:cs="Times New Roman"/>
          <w:color w:val="000000"/>
          <w:spacing w:val="0"/>
          <w:w w:val="100"/>
          <w:position w:val="0"/>
        </w:rPr>
        <w:t>4</w:t>
      </w:r>
      <w:bookmarkEnd w:id="1175"/>
      <w:r>
        <w:rPr>
          <w:rFonts w:ascii="Times New Roman" w:eastAsia="Times New Roman" w:hAnsi="Times New Roman" w:cs="Times New Roman"/>
          <w:color w:val="000000"/>
          <w:spacing w:val="0"/>
          <w:w w:val="100"/>
          <w:position w:val="0"/>
        </w:rPr>
        <w:t>0</w:t>
      </w:r>
      <w:r>
        <w:rPr>
          <w:color w:val="000000"/>
          <w:spacing w:val="0"/>
          <w:w w:val="100"/>
          <w:position w:val="0"/>
        </w:rPr>
        <w:t>、政府补助</w:t>
      </w:r>
      <w:bookmarkEnd w:id="1173"/>
      <w:bookmarkEnd w:id="1174"/>
      <w:bookmarkEnd w:id="1176"/>
    </w:p>
    <w:p>
      <w:pPr>
        <w:pStyle w:val="Style32"/>
        <w:keepNext w:val="0"/>
        <w:keepLines w:val="0"/>
        <w:widowControl w:val="0"/>
        <w:numPr>
          <w:ilvl w:val="0"/>
          <w:numId w:val="129"/>
        </w:numPr>
        <w:shd w:val="clear" w:color="auto" w:fill="auto"/>
        <w:tabs>
          <w:tab w:pos="445" w:val="left"/>
        </w:tabs>
        <w:bidi w:val="0"/>
        <w:spacing w:before="0" w:after="0" w:line="313" w:lineRule="exact"/>
        <w:ind w:left="0" w:right="0" w:firstLine="0"/>
        <w:jc w:val="both"/>
      </w:pPr>
      <w:bookmarkStart w:id="1177" w:name="bookmark1177"/>
      <w:bookmarkEnd w:id="1177"/>
      <w:r>
        <w:rPr>
          <w:color w:val="000000"/>
          <w:spacing w:val="0"/>
          <w:w w:val="100"/>
          <w:position w:val="0"/>
        </w:rPr>
        <w:t>政府补助的确认</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政府补助同时满足下列条件的，才能予以确认：</w:t>
      </w:r>
    </w:p>
    <w:p>
      <w:pPr>
        <w:pStyle w:val="Style32"/>
        <w:keepNext w:val="0"/>
        <w:keepLines w:val="0"/>
        <w:widowControl w:val="0"/>
        <w:numPr>
          <w:ilvl w:val="0"/>
          <w:numId w:val="131"/>
        </w:numPr>
        <w:shd w:val="clear" w:color="auto" w:fill="auto"/>
        <w:tabs>
          <w:tab w:pos="373" w:val="left"/>
        </w:tabs>
        <w:bidi w:val="0"/>
        <w:spacing w:before="0" w:after="0" w:line="313" w:lineRule="exact"/>
        <w:ind w:left="0" w:right="0" w:firstLine="0"/>
        <w:jc w:val="both"/>
      </w:pPr>
      <w:bookmarkStart w:id="1178" w:name="bookmark1178"/>
      <w:bookmarkEnd w:id="1178"/>
      <w:r>
        <w:rPr>
          <w:color w:val="000000"/>
          <w:spacing w:val="0"/>
          <w:w w:val="100"/>
          <w:position w:val="0"/>
        </w:rPr>
        <w:t>本公司能够满足政府补助所附条件；</w:t>
      </w:r>
    </w:p>
    <w:p>
      <w:pPr>
        <w:pStyle w:val="Style32"/>
        <w:keepNext w:val="0"/>
        <w:keepLines w:val="0"/>
        <w:widowControl w:val="0"/>
        <w:numPr>
          <w:ilvl w:val="0"/>
          <w:numId w:val="131"/>
        </w:numPr>
        <w:shd w:val="clear" w:color="auto" w:fill="auto"/>
        <w:tabs>
          <w:tab w:pos="373" w:val="left"/>
        </w:tabs>
        <w:bidi w:val="0"/>
        <w:spacing w:before="0" w:after="0" w:line="313" w:lineRule="exact"/>
        <w:ind w:left="0" w:right="0" w:firstLine="0"/>
        <w:jc w:val="both"/>
      </w:pPr>
      <w:bookmarkStart w:id="1179" w:name="bookmark1179"/>
      <w:bookmarkEnd w:id="1179"/>
      <w:r>
        <w:rPr>
          <w:color w:val="000000"/>
          <w:spacing w:val="0"/>
          <w:w w:val="100"/>
          <w:position w:val="0"/>
        </w:rPr>
        <w:t>本公司能够收到政府补助。</w:t>
      </w:r>
    </w:p>
    <w:p>
      <w:pPr>
        <w:pStyle w:val="Style32"/>
        <w:keepNext w:val="0"/>
        <w:keepLines w:val="0"/>
        <w:widowControl w:val="0"/>
        <w:numPr>
          <w:ilvl w:val="0"/>
          <w:numId w:val="129"/>
        </w:numPr>
        <w:shd w:val="clear" w:color="auto" w:fill="auto"/>
        <w:tabs>
          <w:tab w:pos="445" w:val="left"/>
        </w:tabs>
        <w:bidi w:val="0"/>
        <w:spacing w:before="0" w:after="0" w:line="313" w:lineRule="exact"/>
        <w:ind w:left="0" w:right="0" w:firstLine="0"/>
        <w:jc w:val="both"/>
      </w:pPr>
      <w:bookmarkStart w:id="1180" w:name="bookmark1180"/>
      <w:bookmarkEnd w:id="1180"/>
      <w:r>
        <w:rPr>
          <w:color w:val="000000"/>
          <w:spacing w:val="0"/>
          <w:w w:val="100"/>
          <w:position w:val="0"/>
        </w:rPr>
        <w:t>政府补助的计量</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政府补助为货币性资产的，按照收到或应收的金额计量。政府补助为非货币性资产的，按照公允价值计量；公允价值不能可 靠取得的，按照名义金额计量。</w:t>
      </w:r>
    </w:p>
    <w:p>
      <w:pPr>
        <w:pStyle w:val="Style32"/>
        <w:keepNext w:val="0"/>
        <w:keepLines w:val="0"/>
        <w:widowControl w:val="0"/>
        <w:numPr>
          <w:ilvl w:val="0"/>
          <w:numId w:val="129"/>
        </w:numPr>
        <w:shd w:val="clear" w:color="auto" w:fill="auto"/>
        <w:tabs>
          <w:tab w:pos="445" w:val="left"/>
        </w:tabs>
        <w:bidi w:val="0"/>
        <w:spacing w:before="0" w:after="0" w:line="313" w:lineRule="exact"/>
        <w:ind w:left="0" w:right="0" w:firstLine="0"/>
        <w:jc w:val="both"/>
      </w:pPr>
      <w:bookmarkStart w:id="1181" w:name="bookmark1181"/>
      <w:bookmarkEnd w:id="1181"/>
      <w:r>
        <w:rPr>
          <w:color w:val="000000"/>
          <w:spacing w:val="0"/>
          <w:w w:val="100"/>
          <w:position w:val="0"/>
        </w:rPr>
        <w:t>政府补助的会计处理</w:t>
      </w:r>
    </w:p>
    <w:p>
      <w:pPr>
        <w:pStyle w:val="Style32"/>
        <w:keepNext w:val="0"/>
        <w:keepLines w:val="0"/>
        <w:widowControl w:val="0"/>
        <w:numPr>
          <w:ilvl w:val="0"/>
          <w:numId w:val="133"/>
        </w:numPr>
        <w:shd w:val="clear" w:color="auto" w:fill="auto"/>
        <w:tabs>
          <w:tab w:pos="373" w:val="left"/>
        </w:tabs>
        <w:bidi w:val="0"/>
        <w:spacing w:before="0" w:after="0" w:line="313" w:lineRule="exact"/>
        <w:ind w:left="0" w:right="0" w:firstLine="0"/>
        <w:jc w:val="both"/>
      </w:pPr>
      <w:bookmarkStart w:id="1182" w:name="bookmark1182"/>
      <w:bookmarkEnd w:id="1182"/>
      <w:r>
        <w:rPr>
          <w:color w:val="000000"/>
          <w:spacing w:val="0"/>
          <w:w w:val="100"/>
          <w:position w:val="0"/>
        </w:rPr>
        <w:t>与资产相关的政府补助</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公司取得的、用于购建或以其他方式形成长期资产的政府补助划分为与资产相关的政府补助。与资产相关的政府补助确认为 递延收益，在相关资产使用期限内按照合理、系统的方法分期计入损益。按照名义金额计量的政府补助，直接计入当期损益。 相关资产在使用寿命结束前被出售、转让、报废或发生毁损的，将尚未分配的相关递延收益余额转入资产处置当期的损益。</w:t>
      </w:r>
    </w:p>
    <w:p>
      <w:pPr>
        <w:pStyle w:val="Style32"/>
        <w:keepNext w:val="0"/>
        <w:keepLines w:val="0"/>
        <w:widowControl w:val="0"/>
        <w:numPr>
          <w:ilvl w:val="0"/>
          <w:numId w:val="133"/>
        </w:numPr>
        <w:shd w:val="clear" w:color="auto" w:fill="auto"/>
        <w:tabs>
          <w:tab w:pos="373" w:val="left"/>
        </w:tabs>
        <w:bidi w:val="0"/>
        <w:spacing w:before="0" w:after="0" w:line="313" w:lineRule="exact"/>
        <w:ind w:left="0" w:right="0" w:firstLine="0"/>
        <w:jc w:val="both"/>
      </w:pPr>
      <w:bookmarkStart w:id="1183" w:name="bookmark1183"/>
      <w:bookmarkEnd w:id="1183"/>
      <w:r>
        <w:rPr>
          <w:color w:val="000000"/>
          <w:spacing w:val="0"/>
          <w:w w:val="100"/>
          <w:position w:val="0"/>
        </w:rPr>
        <w:t>与收益相关的政府补助</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除与资产相关的政府补助之外的政府补助划分为与收益相关的政府补助。与收益相关的政府补助，分情况按照以下规定进行 会计处理：</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用于补偿本公司以后期间的相关成本费用或损失的，确认为递延收益，并在确认相关成本费用或损失的期间，计入当期损益； 用于补偿本公司已发生的相关成本费用或损失的，直接计入当期损益。</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对于同时包含与资产相关部分和与收益相关部分的政府补助，区分不同部分分别进行会计处理；难以区分的，整体归类为与 收益相关的政府补助。</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与本公司日常活动相关的政府补助，按照经济业务实质，计入其他收益。与本公司日常活动无关的政府补助，计入营业外收 支。</w:t>
      </w:r>
    </w:p>
    <w:p>
      <w:pPr>
        <w:pStyle w:val="Style32"/>
        <w:keepNext w:val="0"/>
        <w:keepLines w:val="0"/>
        <w:widowControl w:val="0"/>
        <w:numPr>
          <w:ilvl w:val="0"/>
          <w:numId w:val="133"/>
        </w:numPr>
        <w:shd w:val="clear" w:color="auto" w:fill="auto"/>
        <w:tabs>
          <w:tab w:pos="373" w:val="left"/>
        </w:tabs>
        <w:bidi w:val="0"/>
        <w:spacing w:before="0" w:after="0" w:line="313" w:lineRule="exact"/>
        <w:ind w:left="0" w:right="0" w:firstLine="0"/>
        <w:jc w:val="both"/>
      </w:pPr>
      <w:bookmarkStart w:id="1184" w:name="bookmark1184"/>
      <w:bookmarkEnd w:id="1184"/>
      <w:r>
        <w:rPr>
          <w:color w:val="000000"/>
          <w:spacing w:val="0"/>
          <w:w w:val="100"/>
          <w:position w:val="0"/>
        </w:rPr>
        <w:t>政策性优惠贷款贴息</w:t>
      </w:r>
    </w:p>
    <w:p>
      <w:pPr>
        <w:pStyle w:val="Style32"/>
        <w:keepNext w:val="0"/>
        <w:keepLines w:val="0"/>
        <w:widowControl w:val="0"/>
        <w:shd w:val="clear" w:color="auto" w:fill="auto"/>
        <w:bidi w:val="0"/>
        <w:spacing w:before="0" w:after="0" w:line="313" w:lineRule="exact"/>
        <w:ind w:left="0" w:right="0" w:firstLine="0"/>
        <w:jc w:val="both"/>
      </w:pPr>
      <w:r>
        <w:rPr>
          <w:color w:val="000000"/>
          <w:spacing w:val="0"/>
          <w:w w:val="100"/>
          <w:position w:val="0"/>
        </w:rPr>
        <w:t>财政将贴息资金拨付给贷款银行，由贷款银行以政策性优惠利率向本公司提供贷款的，以实际收到的借款金额作为借款的入 账价值，按照借款本金和该政策性优惠利率计算相关借款费用。</w:t>
      </w:r>
    </w:p>
    <w:p>
      <w:pPr>
        <w:pStyle w:val="Style32"/>
        <w:keepNext w:val="0"/>
        <w:keepLines w:val="0"/>
        <w:widowControl w:val="0"/>
        <w:shd w:val="clear" w:color="auto" w:fill="auto"/>
        <w:bidi w:val="0"/>
        <w:spacing w:before="0" w:after="100" w:line="313" w:lineRule="exact"/>
        <w:ind w:left="0" w:right="0" w:firstLine="0"/>
        <w:jc w:val="both"/>
      </w:pPr>
      <w:r>
        <w:rPr>
          <w:color w:val="000000"/>
          <w:spacing w:val="0"/>
          <w:w w:val="100"/>
          <w:position w:val="0"/>
        </w:rPr>
        <w:t>财政将贴息资金直接拨付给本公司，本公司将对应的贴息冲减相关借款费用。</w:t>
      </w:r>
      <w:r>
        <w:br w:type="page"/>
      </w:r>
    </w:p>
    <w:p>
      <w:pPr>
        <w:pStyle w:val="Style5"/>
        <w:keepNext w:val="0"/>
        <w:keepLines w:val="0"/>
        <w:widowControl w:val="0"/>
        <w:shd w:val="clear" w:color="auto" w:fill="auto"/>
        <w:tabs>
          <w:tab w:pos="764" w:val="left"/>
        </w:tabs>
        <w:bidi w:val="0"/>
        <w:spacing w:before="0" w:after="0"/>
        <w:ind w:left="140" w:right="0" w:firstLine="20"/>
        <w:jc w:val="left"/>
        <w:rPr>
          <w:sz w:val="18"/>
          <w:szCs w:val="18"/>
        </w:rPr>
      </w:pPr>
      <w:r>
        <mc:AlternateContent>
          <mc:Choice Requires="wps">
            <w:drawing>
              <wp:anchor distT="0" distB="0" distL="114300" distR="114300" simplePos="0" relativeHeight="125829594" behindDoc="0" locked="0" layoutInCell="1" allowOverlap="1">
                <wp:simplePos x="0" y="0"/>
                <wp:positionH relativeFrom="page">
                  <wp:posOffset>601345</wp:posOffset>
                </wp:positionH>
                <wp:positionV relativeFrom="paragraph">
                  <wp:posOffset>279400</wp:posOffset>
                </wp:positionV>
                <wp:extent cx="829310" cy="143510"/>
                <wp:wrapTopAndBottom/>
                <wp:docPr id="813" name="Shape 813"/>
                <a:graphic xmlns:a="http://schemas.openxmlformats.org/drawingml/2006/main">
                  <a:graphicData uri="http://schemas.microsoft.com/office/word/2010/wordprocessingShape">
                    <wps:wsp>
                      <wps:cNvSpPr txBox="1"/>
                      <wps:spPr>
                        <a:xfrm>
                          <a:ext cx="829310" cy="14351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④政府补助退回</w:t>
                            </w:r>
                          </w:p>
                        </w:txbxContent>
                      </wps:txbx>
                      <wps:bodyPr wrap="none" lIns="0" tIns="0" rIns="0" bIns="0">
                        <a:noAutoFit/>
                      </wps:bodyPr>
                    </wps:wsp>
                  </a:graphicData>
                </a:graphic>
              </wp:anchor>
            </w:drawing>
          </mc:Choice>
          <mc:Fallback>
            <w:pict>
              <v:shape id="_x0000_s1839" type="#_x0000_t202" style="position:absolute;margin-left:47.350000000000001pt;margin-top:22.pt;width:65.299999999999997pt;height:11.300000000000001pt;z-index:-125829159;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④政府补助退回</w:t>
                      </w:r>
                    </w:p>
                  </w:txbxContent>
                </v:textbox>
                <w10:wrap type="topAndBottom" anchorx="page"/>
              </v:shape>
            </w:pict>
          </mc:Fallback>
        </mc:AlternateContent>
      </w: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32"/>
        <w:keepNext w:val="0"/>
        <w:keepLines w:val="0"/>
        <w:widowControl w:val="0"/>
        <w:shd w:val="clear" w:color="auto" w:fill="auto"/>
        <w:bidi w:val="0"/>
        <w:spacing w:before="80" w:after="380" w:line="240" w:lineRule="auto"/>
        <w:ind w:left="0" w:right="0" w:firstLine="0"/>
        <w:jc w:val="both"/>
      </w:pPr>
      <w:r>
        <w:rPr>
          <w:color w:val="000000"/>
          <w:spacing w:val="0"/>
          <w:w w:val="100"/>
          <w:position w:val="0"/>
        </w:rPr>
        <w:t xml:space="preserve">已确认的政府补助需要返还时，初始确认时冲减相关资产账面价值的，调整资产账面价值；存在相关递延收益余额的，冲减 </w:t>
      </w:r>
      <w:r>
        <w:rPr>
          <w:color w:val="000000"/>
          <w:spacing w:val="0"/>
          <w:w w:val="100"/>
          <w:position w:val="0"/>
        </w:rPr>
        <w:t>相关递延收益账面余额，超出部分计入当期损益；属于其他情况的，直接计入当期损益。</w:t>
      </w:r>
    </w:p>
    <w:p>
      <w:pPr>
        <w:pStyle w:val="Style55"/>
        <w:keepNext/>
        <w:keepLines/>
        <w:widowControl w:val="0"/>
        <w:shd w:val="clear" w:color="auto" w:fill="auto"/>
        <w:bidi w:val="0"/>
        <w:spacing w:before="0" w:after="260" w:line="240" w:lineRule="auto"/>
        <w:ind w:left="0" w:right="0" w:firstLine="0"/>
        <w:jc w:val="both"/>
      </w:pPr>
      <w:bookmarkStart w:id="1185" w:name="bookmark1185"/>
      <w:bookmarkStart w:id="1186" w:name="bookmark1186"/>
      <w:bookmarkStart w:id="1187" w:name="bookmark1187"/>
      <w:bookmarkStart w:id="1188" w:name="bookmark1188"/>
      <w:r>
        <w:rPr>
          <w:rFonts w:ascii="Times New Roman" w:eastAsia="Times New Roman" w:hAnsi="Times New Roman" w:cs="Times New Roman"/>
          <w:color w:val="000000"/>
          <w:spacing w:val="0"/>
          <w:w w:val="100"/>
          <w:position w:val="0"/>
        </w:rPr>
        <w:t>4</w:t>
      </w:r>
      <w:bookmarkEnd w:id="1187"/>
      <w:r>
        <w:rPr>
          <w:rFonts w:ascii="Times New Roman" w:eastAsia="Times New Roman" w:hAnsi="Times New Roman" w:cs="Times New Roman"/>
          <w:color w:val="000000"/>
          <w:spacing w:val="0"/>
          <w:w w:val="100"/>
          <w:position w:val="0"/>
        </w:rPr>
        <w:t>1</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185"/>
      <w:bookmarkEnd w:id="1186"/>
      <w:bookmarkEnd w:id="1188"/>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本公司通常根据资产与负债在资产负债表日的账面价值与计税基础之间的暂时性差异，采用资产负债表债务法将应纳税暂时 性差异或可抵扣暂时性差异对所得税的影响额确认和计量递延所得税负债或递延所得税资产。本公司不对递延所得税资产和 递延所得税负债进行折现。</w:t>
      </w:r>
    </w:p>
    <w:p>
      <w:pPr>
        <w:pStyle w:val="Style32"/>
        <w:keepNext w:val="0"/>
        <w:keepLines w:val="0"/>
        <w:widowControl w:val="0"/>
        <w:shd w:val="clear" w:color="auto" w:fill="auto"/>
        <w:tabs>
          <w:tab w:pos="445" w:val="left"/>
        </w:tabs>
        <w:bidi w:val="0"/>
        <w:spacing w:before="0" w:after="0" w:line="314" w:lineRule="exact"/>
        <w:ind w:left="0" w:right="0" w:firstLine="0"/>
        <w:jc w:val="both"/>
      </w:pPr>
      <w:bookmarkStart w:id="1189" w:name="bookmark1189"/>
      <w:r>
        <w:rPr>
          <w:color w:val="000000"/>
          <w:spacing w:val="0"/>
          <w:w w:val="100"/>
          <w:position w:val="0"/>
          <w:sz w:val="18"/>
          <w:szCs w:val="18"/>
        </w:rPr>
        <w:t>（</w:t>
      </w:r>
      <w:bookmarkEnd w:id="1189"/>
      <w:r>
        <w:rPr>
          <w:color w:val="000000"/>
          <w:spacing w:val="0"/>
          <w:w w:val="100"/>
          <w:position w:val="0"/>
          <w:sz w:val="18"/>
          <w:szCs w:val="18"/>
        </w:rPr>
        <w:t>1）</w:t>
        <w:tab/>
      </w:r>
      <w:r>
        <w:rPr>
          <w:color w:val="000000"/>
          <w:spacing w:val="0"/>
          <w:w w:val="100"/>
          <w:position w:val="0"/>
        </w:rPr>
        <w:t>递延所得税资产的确认</w:t>
      </w:r>
    </w:p>
    <w:p>
      <w:pPr>
        <w:pStyle w:val="Style32"/>
        <w:keepNext w:val="0"/>
        <w:keepLines w:val="0"/>
        <w:widowControl w:val="0"/>
        <w:shd w:val="clear" w:color="auto" w:fill="auto"/>
        <w:bidi w:val="0"/>
        <w:spacing w:before="0" w:after="0" w:line="278" w:lineRule="exact"/>
        <w:ind w:left="0" w:right="0" w:firstLine="0"/>
        <w:jc w:val="both"/>
      </w:pPr>
      <w:r>
        <w:rPr>
          <w:color w:val="000000"/>
          <w:spacing w:val="0"/>
          <w:w w:val="100"/>
          <w:position w:val="0"/>
        </w:rPr>
        <w:t>对于可抵扣暂时性差异，其对所得税的影响额按预计转回期间的所得税税率计算，并将该影响额确认为递延所得税资产，但 是以本公司很可能取得用来抵扣可抵扣暂时性差异、可抵扣亏损和税款抵减的未来应纳税所得额为限。</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同时具有下列特征的交易或事项中因资产或负债的初始确认所产生的可抵扣暂时性差异对所得税的影响额不确认为递延所 得税资产：</w:t>
      </w:r>
    </w:p>
    <w:p>
      <w:pPr>
        <w:pStyle w:val="Style32"/>
        <w:keepNext w:val="0"/>
        <w:keepLines w:val="0"/>
        <w:widowControl w:val="0"/>
        <w:numPr>
          <w:ilvl w:val="0"/>
          <w:numId w:val="135"/>
        </w:numPr>
        <w:shd w:val="clear" w:color="auto" w:fill="auto"/>
        <w:tabs>
          <w:tab w:pos="373" w:val="left"/>
        </w:tabs>
        <w:bidi w:val="0"/>
        <w:spacing w:before="0" w:after="0" w:line="314" w:lineRule="exact"/>
        <w:ind w:left="0" w:right="0" w:firstLine="0"/>
        <w:jc w:val="both"/>
      </w:pPr>
      <w:bookmarkStart w:id="1190" w:name="bookmark1190"/>
      <w:bookmarkEnd w:id="1190"/>
      <w:r>
        <w:rPr>
          <w:color w:val="000000"/>
          <w:spacing w:val="0"/>
          <w:w w:val="100"/>
          <w:position w:val="0"/>
        </w:rPr>
        <w:t>该项交易不是企业合并；</w:t>
      </w:r>
    </w:p>
    <w:p>
      <w:pPr>
        <w:pStyle w:val="Style32"/>
        <w:keepNext w:val="0"/>
        <w:keepLines w:val="0"/>
        <w:widowControl w:val="0"/>
        <w:numPr>
          <w:ilvl w:val="0"/>
          <w:numId w:val="135"/>
        </w:numPr>
        <w:shd w:val="clear" w:color="auto" w:fill="auto"/>
        <w:tabs>
          <w:tab w:pos="373" w:val="left"/>
        </w:tabs>
        <w:bidi w:val="0"/>
        <w:spacing w:before="0" w:after="0" w:line="314" w:lineRule="exact"/>
        <w:ind w:left="0" w:right="0" w:firstLine="0"/>
        <w:jc w:val="both"/>
      </w:pPr>
      <w:bookmarkStart w:id="1191" w:name="bookmark1191"/>
      <w:bookmarkEnd w:id="1191"/>
      <w:r>
        <w:rPr>
          <w:color w:val="000000"/>
          <w:spacing w:val="0"/>
          <w:w w:val="100"/>
          <w:position w:val="0"/>
        </w:rPr>
        <w:t>交易发生时既不影响会计利润也不影响应纳税所得额（或可抵扣亏损）。</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本公司对与子公司、联营公司及合营企业投资相关的可抵扣暂时性差异，同时满足下列两项条件的，其对所得税的影响额（才 能）确认为递延所得税资产：</w:t>
      </w:r>
    </w:p>
    <w:p>
      <w:pPr>
        <w:pStyle w:val="Style32"/>
        <w:keepNext w:val="0"/>
        <w:keepLines w:val="0"/>
        <w:widowControl w:val="0"/>
        <w:numPr>
          <w:ilvl w:val="0"/>
          <w:numId w:val="137"/>
        </w:numPr>
        <w:shd w:val="clear" w:color="auto" w:fill="auto"/>
        <w:tabs>
          <w:tab w:pos="373" w:val="left"/>
        </w:tabs>
        <w:bidi w:val="0"/>
        <w:spacing w:before="0" w:after="0" w:line="314" w:lineRule="exact"/>
        <w:ind w:left="0" w:right="0" w:firstLine="0"/>
        <w:jc w:val="both"/>
      </w:pPr>
      <w:bookmarkStart w:id="1192" w:name="bookmark1192"/>
      <w:bookmarkEnd w:id="1192"/>
      <w:r>
        <w:rPr>
          <w:color w:val="000000"/>
          <w:spacing w:val="0"/>
          <w:w w:val="100"/>
          <w:position w:val="0"/>
        </w:rPr>
        <w:t>暂时性差异在可预见的未来很可能转回；</w:t>
      </w:r>
    </w:p>
    <w:p>
      <w:pPr>
        <w:pStyle w:val="Style32"/>
        <w:keepNext w:val="0"/>
        <w:keepLines w:val="0"/>
        <w:widowControl w:val="0"/>
        <w:numPr>
          <w:ilvl w:val="0"/>
          <w:numId w:val="137"/>
        </w:numPr>
        <w:shd w:val="clear" w:color="auto" w:fill="auto"/>
        <w:tabs>
          <w:tab w:pos="373" w:val="left"/>
        </w:tabs>
        <w:bidi w:val="0"/>
        <w:spacing w:before="0" w:after="0" w:line="314" w:lineRule="exact"/>
        <w:ind w:left="0" w:right="0" w:firstLine="0"/>
        <w:jc w:val="both"/>
      </w:pPr>
      <w:bookmarkStart w:id="1193" w:name="bookmark1193"/>
      <w:bookmarkEnd w:id="1193"/>
      <w:r>
        <w:rPr>
          <w:color w:val="000000"/>
          <w:spacing w:val="0"/>
          <w:w w:val="100"/>
          <w:position w:val="0"/>
        </w:rPr>
        <w:t>未来很可能获得用来抵扣可抵扣暂时性差异的应纳税所得额；</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资产负债表日，有确凿证据表明未来期间很可能获得足够的应纳税所得额用来抵扣可抵扣暂时性差异的，确认以前期间未确 认的递延所得税资产。</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在资产负债表日，本公司对递延所得税资产的账面价值进行复核。如果未来期间很可能无法获得足够的应纳税所得额用以抵 扣递延所得税资产的利益，减记递延所得税资产的账面价值。在很可能获得足够的应纳税所得额时，减记的金额予以转回。</w:t>
      </w:r>
    </w:p>
    <w:p>
      <w:pPr>
        <w:pStyle w:val="Style32"/>
        <w:keepNext w:val="0"/>
        <w:keepLines w:val="0"/>
        <w:widowControl w:val="0"/>
        <w:shd w:val="clear" w:color="auto" w:fill="auto"/>
        <w:tabs>
          <w:tab w:pos="445" w:val="left"/>
        </w:tabs>
        <w:bidi w:val="0"/>
        <w:spacing w:before="0" w:after="0" w:line="314" w:lineRule="exact"/>
        <w:ind w:left="0" w:right="0" w:firstLine="0"/>
        <w:jc w:val="both"/>
      </w:pPr>
      <w:bookmarkStart w:id="1194" w:name="bookmark1194"/>
      <w:r>
        <w:rPr>
          <w:color w:val="000000"/>
          <w:spacing w:val="0"/>
          <w:w w:val="100"/>
          <w:position w:val="0"/>
          <w:sz w:val="18"/>
          <w:szCs w:val="18"/>
        </w:rPr>
        <w:t>（</w:t>
      </w:r>
      <w:bookmarkEnd w:id="1194"/>
      <w:r>
        <w:rPr>
          <w:color w:val="000000"/>
          <w:spacing w:val="0"/>
          <w:w w:val="100"/>
          <w:position w:val="0"/>
          <w:sz w:val="18"/>
          <w:szCs w:val="18"/>
        </w:rPr>
        <w:t>2）</w:t>
        <w:tab/>
      </w:r>
      <w:r>
        <w:rPr>
          <w:color w:val="000000"/>
          <w:spacing w:val="0"/>
          <w:w w:val="100"/>
          <w:position w:val="0"/>
        </w:rPr>
        <w:t>递延所得税负债的确认</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本公司所有应纳税暂时性差异均按预计转回期间的所得税税率计量对所得税的影响，并将该影响额确认为递延所得税负债， 但下列情况的除外：</w:t>
      </w:r>
    </w:p>
    <w:p>
      <w:pPr>
        <w:pStyle w:val="Style32"/>
        <w:keepNext w:val="0"/>
        <w:keepLines w:val="0"/>
        <w:widowControl w:val="0"/>
        <w:shd w:val="clear" w:color="auto" w:fill="auto"/>
        <w:tabs>
          <w:tab w:pos="349" w:val="left"/>
        </w:tabs>
        <w:bidi w:val="0"/>
        <w:spacing w:before="0" w:after="0" w:line="314" w:lineRule="exact"/>
        <w:ind w:left="0" w:right="0" w:firstLine="0"/>
        <w:jc w:val="both"/>
      </w:pPr>
      <w:bookmarkStart w:id="1195" w:name="bookmark1195"/>
      <w:r>
        <w:rPr>
          <w:color w:val="000000"/>
          <w:spacing w:val="0"/>
          <w:w w:val="100"/>
          <w:position w:val="0"/>
          <w:sz w:val="18"/>
          <w:szCs w:val="18"/>
        </w:rPr>
        <w:t>1</w:t>
      </w:r>
      <w:bookmarkEnd w:id="1195"/>
      <w:r>
        <w:rPr>
          <w:color w:val="000000"/>
          <w:spacing w:val="0"/>
          <w:w w:val="100"/>
          <w:position w:val="0"/>
          <w:sz w:val="18"/>
          <w:szCs w:val="18"/>
        </w:rPr>
        <w:t>）</w:t>
        <w:tab/>
      </w:r>
      <w:r>
        <w:rPr>
          <w:color w:val="000000"/>
          <w:spacing w:val="0"/>
          <w:w w:val="100"/>
          <w:position w:val="0"/>
        </w:rPr>
        <w:t>因下列交易或事项中产生的应纳税暂时性差异对所得税的影响不确认为递延所得税负债：</w:t>
      </w:r>
    </w:p>
    <w:p>
      <w:pPr>
        <w:pStyle w:val="Style32"/>
        <w:keepNext w:val="0"/>
        <w:keepLines w:val="0"/>
        <w:widowControl w:val="0"/>
        <w:numPr>
          <w:ilvl w:val="0"/>
          <w:numId w:val="139"/>
        </w:numPr>
        <w:shd w:val="clear" w:color="auto" w:fill="auto"/>
        <w:tabs>
          <w:tab w:pos="373" w:val="left"/>
        </w:tabs>
        <w:bidi w:val="0"/>
        <w:spacing w:before="0" w:after="0" w:line="314" w:lineRule="exact"/>
        <w:ind w:left="0" w:right="0" w:firstLine="0"/>
        <w:jc w:val="both"/>
      </w:pPr>
      <w:bookmarkStart w:id="1196" w:name="bookmark1196"/>
      <w:bookmarkEnd w:id="1196"/>
      <w:r>
        <w:rPr>
          <w:color w:val="000000"/>
          <w:spacing w:val="0"/>
          <w:w w:val="100"/>
          <w:position w:val="0"/>
        </w:rPr>
        <w:t>商誉的初始确认；</w:t>
      </w:r>
    </w:p>
    <w:p>
      <w:pPr>
        <w:pStyle w:val="Style32"/>
        <w:keepNext w:val="0"/>
        <w:keepLines w:val="0"/>
        <w:widowControl w:val="0"/>
        <w:numPr>
          <w:ilvl w:val="0"/>
          <w:numId w:val="139"/>
        </w:numPr>
        <w:shd w:val="clear" w:color="auto" w:fill="auto"/>
        <w:tabs>
          <w:tab w:pos="373" w:val="left"/>
        </w:tabs>
        <w:bidi w:val="0"/>
        <w:spacing w:before="0" w:after="0" w:line="314" w:lineRule="exact"/>
        <w:ind w:left="0" w:right="0" w:firstLine="0"/>
        <w:jc w:val="both"/>
      </w:pPr>
      <w:bookmarkStart w:id="1197" w:name="bookmark1197"/>
      <w:bookmarkEnd w:id="1197"/>
      <w:r>
        <w:rPr>
          <w:color w:val="000000"/>
          <w:spacing w:val="0"/>
          <w:w w:val="100"/>
          <w:position w:val="0"/>
        </w:rPr>
        <w:t>具有以下特征的交易中产生的资产或负债的初始确认：该交易不是企业合并，并且交易发生时既不影响会计利润也不影响 应纳税所得额或可抵扣亏损。</w:t>
      </w:r>
    </w:p>
    <w:p>
      <w:pPr>
        <w:pStyle w:val="Style32"/>
        <w:keepNext w:val="0"/>
        <w:keepLines w:val="0"/>
        <w:widowControl w:val="0"/>
        <w:shd w:val="clear" w:color="auto" w:fill="auto"/>
        <w:tabs>
          <w:tab w:pos="358" w:val="left"/>
        </w:tabs>
        <w:bidi w:val="0"/>
        <w:spacing w:before="0" w:after="0" w:line="314" w:lineRule="exact"/>
        <w:ind w:left="0" w:right="0" w:firstLine="0"/>
        <w:jc w:val="both"/>
      </w:pPr>
      <w:bookmarkStart w:id="1198" w:name="bookmark1198"/>
      <w:r>
        <w:rPr>
          <w:color w:val="000000"/>
          <w:spacing w:val="0"/>
          <w:w w:val="100"/>
          <w:position w:val="0"/>
          <w:sz w:val="18"/>
          <w:szCs w:val="18"/>
        </w:rPr>
        <w:t>2</w:t>
      </w:r>
      <w:bookmarkEnd w:id="1198"/>
      <w:r>
        <w:rPr>
          <w:color w:val="000000"/>
          <w:spacing w:val="0"/>
          <w:w w:val="100"/>
          <w:position w:val="0"/>
          <w:sz w:val="18"/>
          <w:szCs w:val="18"/>
        </w:rPr>
        <w:t>）</w:t>
        <w:tab/>
      </w:r>
      <w:r>
        <w:rPr>
          <w:color w:val="000000"/>
          <w:spacing w:val="0"/>
          <w:w w:val="100"/>
          <w:position w:val="0"/>
        </w:rPr>
        <w:t>本公司对与子公司、合营企业及联营企业投资相关的应纳税暂时性差异，其对所得税的影响额一般确认为递延所得税负 债，但同时满足以下两项条件的除外：</w:t>
      </w:r>
    </w:p>
    <w:p>
      <w:pPr>
        <w:pStyle w:val="Style32"/>
        <w:keepNext w:val="0"/>
        <w:keepLines w:val="0"/>
        <w:widowControl w:val="0"/>
        <w:numPr>
          <w:ilvl w:val="0"/>
          <w:numId w:val="141"/>
        </w:numPr>
        <w:shd w:val="clear" w:color="auto" w:fill="auto"/>
        <w:tabs>
          <w:tab w:pos="373" w:val="left"/>
        </w:tabs>
        <w:bidi w:val="0"/>
        <w:spacing w:before="0" w:after="0" w:line="314" w:lineRule="exact"/>
        <w:ind w:left="0" w:right="0" w:firstLine="0"/>
        <w:jc w:val="both"/>
      </w:pPr>
      <w:bookmarkStart w:id="1199" w:name="bookmark1199"/>
      <w:bookmarkEnd w:id="1199"/>
      <w:r>
        <w:rPr>
          <w:color w:val="000000"/>
          <w:spacing w:val="0"/>
          <w:w w:val="100"/>
          <w:position w:val="0"/>
        </w:rPr>
        <w:t>本公司能够控制暂时性差异转回的时间；</w:t>
      </w:r>
    </w:p>
    <w:p>
      <w:pPr>
        <w:pStyle w:val="Style32"/>
        <w:keepNext w:val="0"/>
        <w:keepLines w:val="0"/>
        <w:widowControl w:val="0"/>
        <w:numPr>
          <w:ilvl w:val="0"/>
          <w:numId w:val="141"/>
        </w:numPr>
        <w:shd w:val="clear" w:color="auto" w:fill="auto"/>
        <w:tabs>
          <w:tab w:pos="373" w:val="left"/>
        </w:tabs>
        <w:bidi w:val="0"/>
        <w:spacing w:before="0" w:after="0" w:line="314" w:lineRule="exact"/>
        <w:ind w:left="0" w:right="0" w:firstLine="0"/>
        <w:jc w:val="both"/>
      </w:pPr>
      <w:bookmarkStart w:id="1200" w:name="bookmark1200"/>
      <w:bookmarkEnd w:id="1200"/>
      <w:r>
        <w:rPr>
          <w:color w:val="000000"/>
          <w:spacing w:val="0"/>
          <w:w w:val="100"/>
          <w:position w:val="0"/>
        </w:rPr>
        <w:t>该暂时性差异在可预见的未来很可能不会转回。</w:t>
      </w:r>
    </w:p>
    <w:p>
      <w:pPr>
        <w:pStyle w:val="Style32"/>
        <w:keepNext w:val="0"/>
        <w:keepLines w:val="0"/>
        <w:widowControl w:val="0"/>
        <w:shd w:val="clear" w:color="auto" w:fill="auto"/>
        <w:tabs>
          <w:tab w:pos="445" w:val="left"/>
        </w:tabs>
        <w:bidi w:val="0"/>
        <w:spacing w:before="0" w:after="0" w:line="314" w:lineRule="exact"/>
        <w:ind w:left="0" w:right="0" w:firstLine="0"/>
        <w:jc w:val="both"/>
      </w:pPr>
      <w:bookmarkStart w:id="1201" w:name="bookmark1201"/>
      <w:r>
        <w:rPr>
          <w:color w:val="000000"/>
          <w:spacing w:val="0"/>
          <w:w w:val="100"/>
          <w:position w:val="0"/>
          <w:sz w:val="18"/>
          <w:szCs w:val="18"/>
        </w:rPr>
        <w:t>（</w:t>
      </w:r>
      <w:bookmarkEnd w:id="1201"/>
      <w:r>
        <w:rPr>
          <w:color w:val="000000"/>
          <w:spacing w:val="0"/>
          <w:w w:val="100"/>
          <w:position w:val="0"/>
          <w:sz w:val="18"/>
          <w:szCs w:val="18"/>
        </w:rPr>
        <w:t>3）</w:t>
        <w:tab/>
      </w:r>
      <w:r>
        <w:rPr>
          <w:color w:val="000000"/>
          <w:spacing w:val="0"/>
          <w:w w:val="100"/>
          <w:position w:val="0"/>
        </w:rPr>
        <w:t>特定交易或事项所涉及的递延所得税负债或资产的确认</w:t>
      </w:r>
    </w:p>
    <w:p>
      <w:pPr>
        <w:pStyle w:val="Style32"/>
        <w:keepNext w:val="0"/>
        <w:keepLines w:val="0"/>
        <w:widowControl w:val="0"/>
        <w:shd w:val="clear" w:color="auto" w:fill="auto"/>
        <w:tabs>
          <w:tab w:pos="349" w:val="left"/>
        </w:tabs>
        <w:bidi w:val="0"/>
        <w:spacing w:before="0" w:after="0" w:line="314" w:lineRule="exact"/>
        <w:ind w:left="0" w:right="0" w:firstLine="0"/>
        <w:jc w:val="both"/>
      </w:pPr>
      <w:bookmarkStart w:id="1202" w:name="bookmark1202"/>
      <w:r>
        <w:rPr>
          <w:color w:val="000000"/>
          <w:spacing w:val="0"/>
          <w:w w:val="100"/>
          <w:position w:val="0"/>
          <w:sz w:val="18"/>
          <w:szCs w:val="18"/>
        </w:rPr>
        <w:t>1</w:t>
      </w:r>
      <w:bookmarkEnd w:id="1202"/>
      <w:r>
        <w:rPr>
          <w:color w:val="000000"/>
          <w:spacing w:val="0"/>
          <w:w w:val="100"/>
          <w:position w:val="0"/>
          <w:sz w:val="18"/>
          <w:szCs w:val="18"/>
        </w:rPr>
        <w:t>）</w:t>
        <w:tab/>
      </w:r>
      <w:r>
        <w:rPr>
          <w:color w:val="000000"/>
          <w:spacing w:val="0"/>
          <w:w w:val="100"/>
          <w:position w:val="0"/>
        </w:rPr>
        <w:t>与企业合并相关的递延所得税负债或资产</w:t>
      </w:r>
    </w:p>
    <w:p>
      <w:pPr>
        <w:pStyle w:val="Style32"/>
        <w:keepNext w:val="0"/>
        <w:keepLines w:val="0"/>
        <w:widowControl w:val="0"/>
        <w:shd w:val="clear" w:color="auto" w:fill="auto"/>
        <w:bidi w:val="0"/>
        <w:spacing w:before="0" w:after="0" w:line="314" w:lineRule="exact"/>
        <w:ind w:left="0" w:right="0" w:firstLine="0"/>
        <w:jc w:val="both"/>
      </w:pPr>
      <w:r>
        <w:rPr>
          <w:color w:val="000000"/>
          <w:spacing w:val="0"/>
          <w:w w:val="100"/>
          <w:position w:val="0"/>
        </w:rPr>
        <w:t>非同一控制下企业合并产生的应纳税暂时性差异或可抵扣暂时性差异，在确认递延所得税负债或递延所得税资产的同时，相 关的递延所得税费用（或收益），通常调整企业合并中所确认的商誉。</w:t>
      </w:r>
    </w:p>
    <w:p>
      <w:pPr>
        <w:pStyle w:val="Style32"/>
        <w:keepNext w:val="0"/>
        <w:keepLines w:val="0"/>
        <w:widowControl w:val="0"/>
        <w:shd w:val="clear" w:color="auto" w:fill="auto"/>
        <w:tabs>
          <w:tab w:pos="358" w:val="left"/>
        </w:tabs>
        <w:bidi w:val="0"/>
        <w:spacing w:before="0" w:after="0" w:line="314" w:lineRule="exact"/>
        <w:ind w:left="0" w:right="0" w:firstLine="0"/>
        <w:jc w:val="both"/>
      </w:pPr>
      <w:bookmarkStart w:id="1203" w:name="bookmark1203"/>
      <w:r>
        <w:rPr>
          <w:color w:val="000000"/>
          <w:spacing w:val="0"/>
          <w:w w:val="100"/>
          <w:position w:val="0"/>
          <w:sz w:val="18"/>
          <w:szCs w:val="18"/>
        </w:rPr>
        <w:t>2</w:t>
      </w:r>
      <w:bookmarkEnd w:id="1203"/>
      <w:r>
        <w:rPr>
          <w:color w:val="000000"/>
          <w:spacing w:val="0"/>
          <w:w w:val="100"/>
          <w:position w:val="0"/>
          <w:sz w:val="18"/>
          <w:szCs w:val="18"/>
        </w:rPr>
        <w:t>）</w:t>
        <w:tab/>
      </w:r>
      <w:r>
        <w:rPr>
          <w:color w:val="000000"/>
          <w:spacing w:val="0"/>
          <w:w w:val="100"/>
          <w:position w:val="0"/>
        </w:rPr>
        <w:t>直接计入所有者权益的项目</w:t>
      </w:r>
    </w:p>
    <w:p>
      <w:pPr>
        <w:pStyle w:val="Style32"/>
        <w:keepNext w:val="0"/>
        <w:keepLines w:val="0"/>
        <w:widowControl w:val="0"/>
        <w:shd w:val="clear" w:color="auto" w:fill="auto"/>
        <w:bidi w:val="0"/>
        <w:spacing w:before="0" w:after="0" w:line="314" w:lineRule="exact"/>
        <w:ind w:left="0" w:right="0" w:firstLine="0"/>
        <w:jc w:val="both"/>
        <w:sectPr>
          <w:headerReference w:type="default" r:id="rId335"/>
          <w:footerReference w:type="default" r:id="rId336"/>
          <w:headerReference w:type="even" r:id="rId337"/>
          <w:footerReference w:type="even" r:id="rId338"/>
          <w:footnotePr>
            <w:pos w:val="pageBottom"/>
            <w:numFmt w:val="decimal"/>
            <w:numRestart w:val="continuous"/>
          </w:footnotePr>
          <w:pgSz w:w="11900" w:h="16840"/>
          <w:pgMar w:top="992" w:right="811" w:bottom="1146" w:left="567" w:header="0" w:footer="3" w:gutter="0"/>
          <w:cols w:space="720"/>
          <w:noEndnote/>
          <w:rtlGutter w:val="0"/>
          <w:docGrid w:linePitch="360"/>
        </w:sectPr>
      </w:pPr>
      <w:r>
        <w:rPr>
          <w:color w:val="000000"/>
          <w:spacing w:val="0"/>
          <w:w w:val="100"/>
          <w:position w:val="0"/>
        </w:rPr>
        <w:t>与直接计入所有者权益的交易或者事项相关的当期所得税和递延所得税，计入所有者权益。暂时性差异对所得税的影响计入 所有者权益的交易或事项包括：可供出售金融资产公允价值变动等形成的其他综合收益、会计政策变更采用追溯调整法或对 前期（重要）会计差错更正差异追溯重述法调整期初留存收益、同时包含负债成份及权益成份的混合金融工具在初始确认时 计入所有者权益等。</w:t>
      </w:r>
    </w:p>
    <w:p>
      <w:pPr>
        <w:pStyle w:val="Style5"/>
        <w:keepNext w:val="0"/>
        <w:keepLines w:val="0"/>
        <w:widowControl w:val="0"/>
        <w:shd w:val="clear" w:color="auto" w:fill="auto"/>
        <w:bidi w:val="0"/>
        <w:spacing w:before="0" w:after="0" w:line="173" w:lineRule="exact"/>
        <w:ind w:left="0" w:right="0" w:firstLine="0"/>
        <w:jc w:val="left"/>
        <w:rPr>
          <w:sz w:val="18"/>
          <w:szCs w:val="18"/>
        </w:rPr>
      </w:pPr>
      <w:r>
        <w:drawing>
          <wp:anchor distT="0" distB="0" distL="0" distR="0" simplePos="0" relativeHeight="125829596" behindDoc="0" locked="0" layoutInCell="1" allowOverlap="1">
            <wp:simplePos x="0" y="0"/>
            <wp:positionH relativeFrom="page">
              <wp:posOffset>862965</wp:posOffset>
            </wp:positionH>
            <wp:positionV relativeFrom="margin">
              <wp:posOffset>0</wp:posOffset>
            </wp:positionV>
            <wp:extent cx="1298575" cy="518160"/>
            <wp:wrapTight wrapText="right">
              <wp:wrapPolygon>
                <wp:start x="0" y="0"/>
                <wp:lineTo x="8589" y="0"/>
                <wp:lineTo x="8589" y="254"/>
                <wp:lineTo x="21600" y="254"/>
                <wp:lineTo x="21600" y="11054"/>
                <wp:lineTo x="8589" y="11054"/>
                <wp:lineTo x="8589" y="21600"/>
                <wp:lineTo x="0" y="21600"/>
                <wp:lineTo x="0" y="0"/>
              </wp:wrapPolygon>
            </wp:wrapTight>
            <wp:docPr id="823" name="Shape 823"/>
            <a:graphic xmlns:a="http://schemas.openxmlformats.org/drawingml/2006/main">
              <a:graphicData uri="http://schemas.openxmlformats.org/drawingml/2006/picture">
                <pic:pic xmlns:pic="http://schemas.openxmlformats.org/drawingml/2006/picture">
                  <pic:nvPicPr>
                    <pic:cNvPr id="824" name="Picture box 824"/>
                    <pic:cNvPicPr/>
                  </pic:nvPicPr>
                  <pic:blipFill>
                    <a:blip r:embed="rId339"/>
                    <a:stretch/>
                  </pic:blipFill>
                  <pic:spPr>
                    <a:xfrm>
                      <a:ext cx="1298575" cy="518160"/>
                    </a:xfrm>
                    <a:prstGeom prst="rect"/>
                  </pic:spPr>
                </pic:pic>
              </a:graphicData>
            </a:graphic>
          </wp:anchor>
        </w:drawing>
      </w: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pStyle w:val="Style32"/>
        <w:keepNext w:val="0"/>
        <w:keepLines w:val="0"/>
        <w:widowControl w:val="0"/>
        <w:shd w:val="clear" w:color="auto" w:fill="auto"/>
        <w:tabs>
          <w:tab w:pos="1095" w:val="left"/>
        </w:tabs>
        <w:bidi w:val="0"/>
        <w:spacing w:before="0" w:after="0" w:line="240" w:lineRule="auto"/>
        <w:ind w:left="0" w:right="0" w:firstLine="780"/>
        <w:jc w:val="both"/>
      </w:pPr>
      <w:bookmarkStart w:id="1204" w:name="bookmark1204"/>
      <w:r>
        <w:rPr>
          <w:color w:val="000000"/>
          <w:spacing w:val="0"/>
          <w:w w:val="100"/>
          <w:position w:val="0"/>
          <w:sz w:val="18"/>
          <w:szCs w:val="18"/>
        </w:rPr>
        <w:t>3</w:t>
      </w:r>
      <w:bookmarkEnd w:id="1204"/>
      <w:r>
        <w:rPr>
          <w:color w:val="000000"/>
          <w:spacing w:val="0"/>
          <w:w w:val="100"/>
          <w:position w:val="0"/>
          <w:sz w:val="18"/>
          <w:szCs w:val="18"/>
        </w:rPr>
        <w:t>）</w:t>
        <w:tab/>
      </w:r>
      <w:r>
        <w:rPr>
          <w:color w:val="000000"/>
          <w:spacing w:val="0"/>
          <w:w w:val="100"/>
          <w:position w:val="0"/>
        </w:rPr>
        <w:t>可弥补亏损和税款抵减</w:t>
      </w:r>
    </w:p>
    <w:p>
      <w:pPr>
        <w:pStyle w:val="Style32"/>
        <w:keepNext w:val="0"/>
        <w:keepLines w:val="0"/>
        <w:widowControl w:val="0"/>
        <w:numPr>
          <w:ilvl w:val="0"/>
          <w:numId w:val="143"/>
        </w:numPr>
        <w:shd w:val="clear" w:color="auto" w:fill="auto"/>
        <w:tabs>
          <w:tab w:pos="1109" w:val="left"/>
        </w:tabs>
        <w:bidi w:val="0"/>
        <w:spacing w:before="0" w:after="0" w:line="311" w:lineRule="exact"/>
        <w:ind w:left="0" w:right="0" w:firstLine="780"/>
        <w:jc w:val="both"/>
      </w:pPr>
      <w:bookmarkStart w:id="1205" w:name="bookmark1205"/>
      <w:bookmarkEnd w:id="1205"/>
      <w:r>
        <w:rPr>
          <w:color w:val="000000"/>
          <w:spacing w:val="0"/>
          <w:w w:val="100"/>
          <w:position w:val="0"/>
        </w:rPr>
        <w:t>本公司自身经营产生的可弥补亏损以及税款抵减</w:t>
      </w:r>
    </w:p>
    <w:p>
      <w:pPr>
        <w:pStyle w:val="Style32"/>
        <w:keepNext w:val="0"/>
        <w:keepLines w:val="0"/>
        <w:widowControl w:val="0"/>
        <w:shd w:val="clear" w:color="auto" w:fill="auto"/>
        <w:bidi w:val="0"/>
        <w:spacing w:before="0" w:after="0" w:line="311" w:lineRule="exact"/>
        <w:ind w:left="780" w:right="0" w:firstLine="0"/>
        <w:jc w:val="both"/>
      </w:pPr>
      <w:r>
        <w:rPr>
          <w:color w:val="000000"/>
          <w:spacing w:val="0"/>
          <w:w w:val="100"/>
          <w:position w:val="0"/>
        </w:rPr>
        <w:t>可抵扣亏损是指按照税法规定计算确定的准予用以后年度的应纳税所得额弥补的亏损。对于按照税法规定可以结转以后年度 的未弥补亏损（可抵扣亏损）和税款抵减，视同可抵扣暂时性差异处理。在预计可利用可弥补亏损或税款抵减的未来期间内 很可能取得足够的应纳税所得额时，以很可能取得的应纳税所得额为限，确认相应的递延所得税资产，同时减少当期利润表 中的所得税费用。</w:t>
      </w:r>
    </w:p>
    <w:p>
      <w:pPr>
        <w:pStyle w:val="Style32"/>
        <w:keepNext w:val="0"/>
        <w:keepLines w:val="0"/>
        <w:widowControl w:val="0"/>
        <w:numPr>
          <w:ilvl w:val="0"/>
          <w:numId w:val="143"/>
        </w:numPr>
        <w:shd w:val="clear" w:color="auto" w:fill="auto"/>
        <w:tabs>
          <w:tab w:pos="1109" w:val="left"/>
        </w:tabs>
        <w:bidi w:val="0"/>
        <w:spacing w:before="0" w:after="0" w:line="311" w:lineRule="exact"/>
        <w:ind w:left="0" w:right="0" w:firstLine="780"/>
        <w:jc w:val="both"/>
      </w:pPr>
      <w:bookmarkStart w:id="1206" w:name="bookmark1206"/>
      <w:bookmarkEnd w:id="1206"/>
      <w:r>
        <w:rPr>
          <w:color w:val="000000"/>
          <w:spacing w:val="0"/>
          <w:w w:val="100"/>
          <w:position w:val="0"/>
        </w:rPr>
        <w:t>因企业合并而形成的可弥补的被合并企业的未弥补亏损</w:t>
      </w:r>
    </w:p>
    <w:p>
      <w:pPr>
        <w:pStyle w:val="Style32"/>
        <w:keepNext w:val="0"/>
        <w:keepLines w:val="0"/>
        <w:widowControl w:val="0"/>
        <w:shd w:val="clear" w:color="auto" w:fill="auto"/>
        <w:bidi w:val="0"/>
        <w:spacing w:before="0" w:after="0" w:line="311" w:lineRule="exact"/>
        <w:ind w:left="780" w:right="0" w:firstLine="0"/>
        <w:jc w:val="both"/>
      </w:pPr>
      <w:r>
        <w:rPr>
          <w:color w:val="000000"/>
          <w:spacing w:val="0"/>
          <w:w w:val="100"/>
          <w:position w:val="0"/>
        </w:rPr>
        <w:t>在企业合并中，本公司取得被购买方的可抵扣暂时性差异，在购买日不符合递延所得税资产确认条件的，不予以确认。购买 日后</w:t>
      </w:r>
      <w:r>
        <w:rPr>
          <w:color w:val="000000"/>
          <w:spacing w:val="0"/>
          <w:w w:val="100"/>
          <w:position w:val="0"/>
          <w:sz w:val="18"/>
          <w:szCs w:val="18"/>
        </w:rPr>
        <w:t>12</w:t>
      </w:r>
      <w:r>
        <w:rPr>
          <w:color w:val="000000"/>
          <w:spacing w:val="0"/>
          <w:w w:val="100"/>
          <w:position w:val="0"/>
        </w:rPr>
        <w:t>个月内，如取得新的或进一步的信息表明购买日的相关情况已经存在，预期被购买方在购买日可抵扣暂时性差异带来 的经济利益能够实现的，确认相关的递延所得税资产，同时减少商誉，商誉不足冲减的，差额部分确认为当期损益；除上述 情况以外，确认与企业合并相关的递延所得税资产，计入当期损益。</w:t>
      </w:r>
    </w:p>
    <w:p>
      <w:pPr>
        <w:pStyle w:val="Style32"/>
        <w:keepNext w:val="0"/>
        <w:keepLines w:val="0"/>
        <w:widowControl w:val="0"/>
        <w:shd w:val="clear" w:color="auto" w:fill="auto"/>
        <w:tabs>
          <w:tab w:pos="1100" w:val="left"/>
        </w:tabs>
        <w:bidi w:val="0"/>
        <w:spacing w:before="0" w:after="0" w:line="311" w:lineRule="exact"/>
        <w:ind w:left="0" w:right="0" w:firstLine="780"/>
        <w:jc w:val="both"/>
      </w:pPr>
      <w:bookmarkStart w:id="1207" w:name="bookmark1207"/>
      <w:r>
        <w:rPr>
          <w:color w:val="000000"/>
          <w:spacing w:val="0"/>
          <w:w w:val="100"/>
          <w:position w:val="0"/>
          <w:sz w:val="18"/>
          <w:szCs w:val="18"/>
        </w:rPr>
        <w:t>4</w:t>
      </w:r>
      <w:bookmarkEnd w:id="1207"/>
      <w:r>
        <w:rPr>
          <w:color w:val="000000"/>
          <w:spacing w:val="0"/>
          <w:w w:val="100"/>
          <w:position w:val="0"/>
          <w:sz w:val="18"/>
          <w:szCs w:val="18"/>
        </w:rPr>
        <w:t>）</w:t>
        <w:tab/>
      </w:r>
      <w:r>
        <w:rPr>
          <w:color w:val="000000"/>
          <w:spacing w:val="0"/>
          <w:w w:val="100"/>
          <w:position w:val="0"/>
        </w:rPr>
        <w:t>合并抵销形成的暂时性差异</w:t>
      </w:r>
    </w:p>
    <w:p>
      <w:pPr>
        <w:pStyle w:val="Style32"/>
        <w:keepNext w:val="0"/>
        <w:keepLines w:val="0"/>
        <w:widowControl w:val="0"/>
        <w:shd w:val="clear" w:color="auto" w:fill="auto"/>
        <w:bidi w:val="0"/>
        <w:spacing w:before="0" w:after="0" w:line="311" w:lineRule="exact"/>
        <w:ind w:left="780" w:right="0" w:firstLine="0"/>
        <w:jc w:val="both"/>
      </w:pPr>
      <w:r>
        <w:rPr>
          <w:color w:val="000000"/>
          <w:spacing w:val="0"/>
          <w:w w:val="100"/>
          <w:position w:val="0"/>
        </w:rPr>
        <w:t>本公司在编制合并财务报表时，因抵销未实现内部销售损益导致合并资产负债表中资产、负债的账面价值与其在所属纳税主 体的计税基础之间产生暂时性差异的，在合并资产负债表中确认递延所得税资产或递延所得税负债，同时调整合并利润表中 的所得税费用，但与直接计入所有者权益的交易或事项及企业合并相关的递延所得税除外。</w:t>
      </w:r>
    </w:p>
    <w:p>
      <w:pPr>
        <w:pStyle w:val="Style32"/>
        <w:keepNext w:val="0"/>
        <w:keepLines w:val="0"/>
        <w:widowControl w:val="0"/>
        <w:shd w:val="clear" w:color="auto" w:fill="auto"/>
        <w:tabs>
          <w:tab w:pos="1100" w:val="left"/>
        </w:tabs>
        <w:bidi w:val="0"/>
        <w:spacing w:before="0" w:after="0" w:line="311" w:lineRule="exact"/>
        <w:ind w:left="0" w:right="0" w:firstLine="780"/>
        <w:jc w:val="both"/>
      </w:pPr>
      <w:bookmarkStart w:id="1208" w:name="bookmark1208"/>
      <w:r>
        <w:rPr>
          <w:color w:val="000000"/>
          <w:spacing w:val="0"/>
          <w:w w:val="100"/>
          <w:position w:val="0"/>
          <w:sz w:val="18"/>
          <w:szCs w:val="18"/>
        </w:rPr>
        <w:t>5</w:t>
      </w:r>
      <w:bookmarkEnd w:id="1208"/>
      <w:r>
        <w:rPr>
          <w:color w:val="000000"/>
          <w:spacing w:val="0"/>
          <w:w w:val="100"/>
          <w:position w:val="0"/>
          <w:sz w:val="18"/>
          <w:szCs w:val="18"/>
        </w:rPr>
        <w:t>）</w:t>
        <w:tab/>
      </w:r>
      <w:r>
        <w:rPr>
          <w:color w:val="000000"/>
          <w:spacing w:val="0"/>
          <w:w w:val="100"/>
          <w:position w:val="0"/>
        </w:rPr>
        <w:t>以权益结算的股份支付</w:t>
      </w:r>
    </w:p>
    <w:p>
      <w:pPr>
        <w:pStyle w:val="Style32"/>
        <w:keepNext w:val="0"/>
        <w:keepLines w:val="0"/>
        <w:widowControl w:val="0"/>
        <w:shd w:val="clear" w:color="auto" w:fill="auto"/>
        <w:bidi w:val="0"/>
        <w:spacing w:before="0" w:after="380" w:line="311" w:lineRule="exact"/>
        <w:ind w:left="780" w:right="0" w:firstLine="0"/>
        <w:jc w:val="both"/>
      </w:pPr>
      <w:r>
        <w:rPr>
          <w:color w:val="000000"/>
          <w:spacing w:val="0"/>
          <w:w w:val="100"/>
          <w:position w:val="0"/>
        </w:rPr>
        <w:t>如果税法规定与股份支付相关的支出允许税前扣除，在按照会计准则规定确认成本费用的期间内，本公司根据会计期末取得 信息估计可税前扣除的金额计算确定其计税基础及由此产生的暂时性差异，符合确认条件的情况下确认相关的递延所得税。 其中预计未来期间可税前扣除的金额超过按照会计准则规定确认的与股份支付相关的成本费用，超过部分的所得税影响应直 接计入所有者权益。</w:t>
      </w:r>
    </w:p>
    <w:p>
      <w:pPr>
        <w:pStyle w:val="Style55"/>
        <w:keepNext/>
        <w:keepLines/>
        <w:widowControl w:val="0"/>
        <w:shd w:val="clear" w:color="auto" w:fill="auto"/>
        <w:bidi w:val="0"/>
        <w:spacing w:before="0" w:after="380" w:line="240" w:lineRule="auto"/>
        <w:ind w:left="0" w:right="0" w:firstLine="780"/>
        <w:jc w:val="both"/>
      </w:pPr>
      <w:bookmarkStart w:id="1209" w:name="bookmark1209"/>
      <w:bookmarkStart w:id="1210" w:name="bookmark1210"/>
      <w:bookmarkStart w:id="1211" w:name="bookmark1211"/>
      <w:bookmarkStart w:id="1212" w:name="bookmark1212"/>
      <w:r>
        <w:rPr>
          <w:rFonts w:ascii="Times New Roman" w:eastAsia="Times New Roman" w:hAnsi="Times New Roman" w:cs="Times New Roman"/>
          <w:color w:val="000000"/>
          <w:spacing w:val="0"/>
          <w:w w:val="100"/>
          <w:position w:val="0"/>
        </w:rPr>
        <w:t>4</w:t>
      </w:r>
      <w:bookmarkEnd w:id="1211"/>
      <w:r>
        <w:rPr>
          <w:rFonts w:ascii="Times New Roman" w:eastAsia="Times New Roman" w:hAnsi="Times New Roman" w:cs="Times New Roman"/>
          <w:color w:val="000000"/>
          <w:spacing w:val="0"/>
          <w:w w:val="100"/>
          <w:position w:val="0"/>
        </w:rPr>
        <w:t>2</w:t>
      </w:r>
      <w:r>
        <w:rPr>
          <w:color w:val="000000"/>
          <w:spacing w:val="0"/>
          <w:w w:val="100"/>
          <w:position w:val="0"/>
        </w:rPr>
        <w:t>、租赁</w:t>
      </w:r>
      <w:bookmarkEnd w:id="1209"/>
      <w:bookmarkEnd w:id="1210"/>
      <w:bookmarkEnd w:id="1212"/>
    </w:p>
    <w:p>
      <w:pPr>
        <w:pStyle w:val="Style55"/>
        <w:keepNext/>
        <w:keepLines/>
        <w:widowControl w:val="0"/>
        <w:shd w:val="clear" w:color="auto" w:fill="auto"/>
        <w:bidi w:val="0"/>
        <w:spacing w:before="0" w:after="240" w:line="240" w:lineRule="auto"/>
        <w:ind w:left="0" w:right="0" w:firstLine="780"/>
        <w:jc w:val="both"/>
      </w:pPr>
      <w:bookmarkStart w:id="1209" w:name="bookmark1209"/>
      <w:bookmarkStart w:id="1210" w:name="bookmark1210"/>
      <w:bookmarkStart w:id="1213" w:name="bookmark1213"/>
      <w:bookmarkStart w:id="1214" w:name="bookmark1214"/>
      <w:r>
        <w:rPr>
          <w:color w:val="000000"/>
          <w:spacing w:val="0"/>
          <w:w w:val="100"/>
          <w:position w:val="0"/>
        </w:rPr>
        <w:t>（</w:t>
      </w:r>
      <w:bookmarkEnd w:id="1213"/>
      <w:r>
        <w:rPr>
          <w:rFonts w:ascii="Times New Roman" w:eastAsia="Times New Roman" w:hAnsi="Times New Roman" w:cs="Times New Roman"/>
          <w:color w:val="000000"/>
          <w:spacing w:val="0"/>
          <w:w w:val="100"/>
          <w:position w:val="0"/>
        </w:rPr>
        <w:t>1</w:t>
      </w:r>
      <w:r>
        <w:rPr>
          <w:color w:val="000000"/>
          <w:spacing w:val="0"/>
          <w:w w:val="100"/>
          <w:position w:val="0"/>
        </w:rPr>
        <w:t>）经营租赁的会计处理方法</w:t>
      </w:r>
      <w:bookmarkEnd w:id="1209"/>
      <w:bookmarkEnd w:id="1210"/>
      <w:bookmarkEnd w:id="1214"/>
    </w:p>
    <w:p>
      <w:pPr>
        <w:pStyle w:val="Style32"/>
        <w:keepNext w:val="0"/>
        <w:keepLines w:val="0"/>
        <w:widowControl w:val="0"/>
        <w:numPr>
          <w:ilvl w:val="0"/>
          <w:numId w:val="145"/>
        </w:numPr>
        <w:shd w:val="clear" w:color="auto" w:fill="auto"/>
        <w:tabs>
          <w:tab w:pos="1109" w:val="left"/>
        </w:tabs>
        <w:bidi w:val="0"/>
        <w:spacing w:before="0" w:after="0" w:line="317" w:lineRule="exact"/>
        <w:ind w:left="780" w:right="0" w:firstLine="0"/>
        <w:jc w:val="both"/>
      </w:pPr>
      <w:bookmarkStart w:id="1215" w:name="bookmark1215"/>
      <w:bookmarkEnd w:id="1215"/>
      <w:r>
        <w:rPr>
          <w:color w:val="000000"/>
          <w:spacing w:val="0"/>
          <w:w w:val="100"/>
          <w:position w:val="0"/>
        </w:rPr>
        <w:t>本公司作为经营租赁承租人时，将经营租赁的租金支出，在租赁期内各个期间按照直线法或根据租赁资产的使用量计入当 期损益。出租人提供免租期的，本公司将租金总额在不扣除免租期的整个租赁期内，按直线法或其他合理的方法进行分摊， 免租期内确认租金费用及相应的负债。出租人承担了承租人某些费用的，本公司按该费用从租金费用总额中扣除后的租金费 用余额在租赁期内进行分摊。</w:t>
      </w:r>
    </w:p>
    <w:p>
      <w:pPr>
        <w:pStyle w:val="Style32"/>
        <w:keepNext w:val="0"/>
        <w:keepLines w:val="0"/>
        <w:widowControl w:val="0"/>
        <w:shd w:val="clear" w:color="auto" w:fill="auto"/>
        <w:bidi w:val="0"/>
        <w:spacing w:before="0" w:after="0" w:line="317" w:lineRule="exact"/>
        <w:ind w:left="780" w:right="0" w:firstLine="0"/>
        <w:jc w:val="both"/>
      </w:pPr>
      <w:r>
        <w:rPr>
          <w:color w:val="000000"/>
          <w:spacing w:val="0"/>
          <w:w w:val="100"/>
          <w:position w:val="0"/>
        </w:rPr>
        <w:t>初始直接费用，计入当期损益。如协议约定或有租金的在实际发生时计入当期损益。</w:t>
      </w:r>
    </w:p>
    <w:p>
      <w:pPr>
        <w:pStyle w:val="Style32"/>
        <w:keepNext w:val="0"/>
        <w:keepLines w:val="0"/>
        <w:widowControl w:val="0"/>
        <w:numPr>
          <w:ilvl w:val="0"/>
          <w:numId w:val="145"/>
        </w:numPr>
        <w:shd w:val="clear" w:color="auto" w:fill="auto"/>
        <w:tabs>
          <w:tab w:pos="1109" w:val="left"/>
        </w:tabs>
        <w:bidi w:val="0"/>
        <w:spacing w:before="0" w:after="0" w:line="318" w:lineRule="exact"/>
        <w:ind w:left="780" w:right="0" w:firstLine="0"/>
        <w:jc w:val="both"/>
      </w:pPr>
      <w:bookmarkStart w:id="1216" w:name="bookmark1216"/>
      <w:bookmarkEnd w:id="1216"/>
      <w:r>
        <w:rPr>
          <w:color w:val="000000"/>
          <w:spacing w:val="0"/>
          <w:w w:val="100"/>
          <w:position w:val="0"/>
        </w:rPr>
        <w:t>本公司作为经营租赁出租人时，采用直线法将收到的租金在租赁期内确认为收益。出租人提供免租期的，出租人将租金总 额在不扣除免租期的整个租赁期内，按直线法或其他合理的方法进行分配，免租期内出租人也确认租金收入。承担了承租人 某些费用的，本公司按该费用自租金收入总额中扣除后的租金收入余额在租赁期内进行分配。</w:t>
      </w:r>
    </w:p>
    <w:p>
      <w:pPr>
        <w:pStyle w:val="Style32"/>
        <w:keepNext w:val="0"/>
        <w:keepLines w:val="0"/>
        <w:widowControl w:val="0"/>
        <w:shd w:val="clear" w:color="auto" w:fill="auto"/>
        <w:bidi w:val="0"/>
        <w:spacing w:before="0" w:after="380" w:line="318" w:lineRule="exact"/>
        <w:ind w:left="780" w:right="0" w:firstLine="0"/>
        <w:jc w:val="both"/>
      </w:pPr>
      <w:r>
        <w:rPr>
          <w:color w:val="000000"/>
          <w:spacing w:val="0"/>
          <w:w w:val="100"/>
          <w:position w:val="0"/>
        </w:rPr>
        <w:t>初始直接费用，计入当期损益。金额较大的予以资本化，在整个经营租赁期内按照与确认租金收入相同的基础分期计入当期 损益。如协议约定或有租金的在实际发生时计入当期收益。</w:t>
      </w:r>
    </w:p>
    <w:p>
      <w:pPr>
        <w:pStyle w:val="Style55"/>
        <w:keepNext/>
        <w:keepLines/>
        <w:widowControl w:val="0"/>
        <w:shd w:val="clear" w:color="auto" w:fill="auto"/>
        <w:bidi w:val="0"/>
        <w:spacing w:before="0" w:after="240" w:line="240" w:lineRule="auto"/>
        <w:ind w:left="780" w:right="0" w:firstLine="0"/>
        <w:jc w:val="both"/>
      </w:pPr>
      <w:bookmarkStart w:id="1217" w:name="bookmark1217"/>
      <w:bookmarkStart w:id="1218" w:name="bookmark1218"/>
      <w:bookmarkStart w:id="1219" w:name="bookmark1219"/>
      <w:bookmarkStart w:id="1220" w:name="bookmark1220"/>
      <w:r>
        <w:rPr>
          <w:color w:val="000000"/>
          <w:spacing w:val="0"/>
          <w:w w:val="100"/>
          <w:position w:val="0"/>
        </w:rPr>
        <w:t>（</w:t>
      </w:r>
      <w:bookmarkEnd w:id="1219"/>
      <w:r>
        <w:rPr>
          <w:rFonts w:ascii="Times New Roman" w:eastAsia="Times New Roman" w:hAnsi="Times New Roman" w:cs="Times New Roman"/>
          <w:color w:val="000000"/>
          <w:spacing w:val="0"/>
          <w:w w:val="100"/>
          <w:position w:val="0"/>
        </w:rPr>
        <w:t>2</w:t>
      </w:r>
      <w:r>
        <w:rPr>
          <w:color w:val="000000"/>
          <w:spacing w:val="0"/>
          <w:w w:val="100"/>
          <w:position w:val="0"/>
        </w:rPr>
        <w:t>）融资租赁的会计处理方法</w:t>
      </w:r>
      <w:bookmarkEnd w:id="1217"/>
      <w:bookmarkEnd w:id="1218"/>
      <w:bookmarkEnd w:id="1220"/>
    </w:p>
    <w:p>
      <w:pPr>
        <w:pStyle w:val="Style32"/>
        <w:keepNext w:val="0"/>
        <w:keepLines w:val="0"/>
        <w:widowControl w:val="0"/>
        <w:shd w:val="clear" w:color="auto" w:fill="auto"/>
        <w:bidi w:val="0"/>
        <w:spacing w:before="0" w:after="0" w:line="319" w:lineRule="exact"/>
        <w:ind w:left="780" w:right="0" w:firstLine="0"/>
        <w:jc w:val="both"/>
      </w:pPr>
      <w:r>
        <w:rPr>
          <w:color w:val="000000"/>
          <w:spacing w:val="0"/>
          <w:w w:val="100"/>
          <w:position w:val="0"/>
        </w:rPr>
        <w:t>①本公司作为融资租赁承租人时，在租赁期开始日，将租赁开始日租赁资产公允价值与最低租赁付款额现值两者中较低者作 为租入资产的入账价值，将最低租赁付款额作为长期应付款的入账价值，其差额作为未确认融资费用。在租赁期内各个期间 采用实际利率法进行分摊，确认为当期融资费用，计入财务费用。</w:t>
      </w:r>
    </w:p>
    <w:p>
      <w:pPr>
        <w:pStyle w:val="Style32"/>
        <w:keepNext w:val="0"/>
        <w:keepLines w:val="0"/>
        <w:widowControl w:val="0"/>
        <w:shd w:val="clear" w:color="auto" w:fill="auto"/>
        <w:bidi w:val="0"/>
        <w:spacing w:before="0" w:after="0" w:line="319" w:lineRule="exact"/>
        <w:ind w:left="0" w:right="0" w:firstLine="780"/>
        <w:jc w:val="both"/>
      </w:pPr>
      <w:r>
        <w:rPr>
          <w:color w:val="000000"/>
          <w:spacing w:val="0"/>
          <w:w w:val="100"/>
          <w:position w:val="0"/>
        </w:rPr>
        <w:t>发生的初始直接费用，计入租入资产价值。</w:t>
      </w:r>
    </w:p>
    <w:p>
      <w:pPr>
        <w:pStyle w:val="Style32"/>
        <w:keepNext w:val="0"/>
        <w:keepLines w:val="0"/>
        <w:widowControl w:val="0"/>
        <w:shd w:val="clear" w:color="auto" w:fill="auto"/>
        <w:bidi w:val="0"/>
        <w:spacing w:before="0" w:after="240" w:line="319" w:lineRule="exact"/>
        <w:ind w:left="780" w:right="0" w:firstLine="0"/>
        <w:jc w:val="both"/>
      </w:pPr>
      <w:r>
        <w:rPr>
          <w:color w:val="000000"/>
          <w:spacing w:val="0"/>
          <w:w w:val="100"/>
          <w:position w:val="0"/>
        </w:rPr>
        <w:t>在计提融资租赁资产折旧时，本公司采用与自有应折旧资产相一致的折旧政策，折旧期间以租赁合同而定。如果能够合理确 定租赁期届满时本公司将会取得租赁资产所有权，以租赁期开始日租赁资产的寿命作为折旧期间；如果无法合理确定租赁期 届满后本公司是否能够取得租赁资产的所有权，以租赁期与租赁资产寿命两者中较短者作为折旧期间。</w:t>
      </w:r>
      <w:r>
        <w:br w:type="page"/>
      </w:r>
    </w:p>
    <w:p>
      <w:pPr>
        <w:pStyle w:val="Style32"/>
        <w:keepNext w:val="0"/>
        <w:keepLines w:val="0"/>
        <w:widowControl w:val="0"/>
        <w:shd w:val="clear" w:color="auto" w:fill="auto"/>
        <w:bidi w:val="0"/>
        <w:spacing w:before="0" w:after="120" w:line="240" w:lineRule="auto"/>
        <w:ind w:left="0" w:right="0" w:firstLine="840"/>
        <w:jc w:val="left"/>
      </w:pPr>
      <w:r>
        <mc:AlternateContent>
          <mc:Choice Requires="wps">
            <w:drawing>
              <wp:anchor distT="0" distB="0" distL="114300" distR="114300" simplePos="0" relativeHeight="125829597" behindDoc="0" locked="0" layoutInCell="1" allowOverlap="1">
                <wp:simplePos x="0" y="0"/>
                <wp:positionH relativeFrom="page">
                  <wp:posOffset>991235</wp:posOffset>
                </wp:positionH>
                <wp:positionV relativeFrom="margin">
                  <wp:posOffset>29210</wp:posOffset>
                </wp:positionV>
                <wp:extent cx="1243330" cy="283210"/>
                <wp:wrapTopAndBottom/>
                <wp:docPr id="825" name="Shape 825"/>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851" type="#_x0000_t202" style="position:absolute;margin-left:78.049999999999997pt;margin-top:2.3000000000000003pt;width:97.900000000000006pt;height:22.300000000000001pt;z-index:-125829156;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②本公司作为融资租赁出租人时,于租赁期开始日将租赁开始日最低租赁应收款额与初始直接费用之和作为应收融资租赁款</w:t>
      </w:r>
    </w:p>
    <w:p>
      <w:pPr>
        <w:pStyle w:val="Style32"/>
        <w:keepNext w:val="0"/>
        <w:keepLines w:val="0"/>
        <w:widowControl w:val="0"/>
        <w:shd w:val="clear" w:color="auto" w:fill="auto"/>
        <w:bidi w:val="0"/>
        <w:spacing w:before="0" w:after="120" w:line="240" w:lineRule="auto"/>
        <w:ind w:left="0" w:right="0" w:firstLine="840"/>
        <w:jc w:val="left"/>
      </w:pPr>
      <w:r>
        <w:rPr>
          <w:color w:val="000000"/>
          <w:spacing w:val="0"/>
          <w:w w:val="100"/>
          <w:position w:val="0"/>
        </w:rPr>
        <w:t>的入账价值，计入资产负债表的长期应收款，同时记录未担保余值；将最低租赁应收款额、初始直接费用及未担保余值之和</w:t>
      </w:r>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与其现值之和的差额作为未实现融资收益，在租赁期内各个期间采用实际利率法确认为租赁收入。</w:t>
      </w:r>
    </w:p>
    <w:p>
      <w:pPr>
        <w:pStyle w:val="Style55"/>
        <w:keepNext/>
        <w:keepLines/>
        <w:widowControl w:val="0"/>
        <w:shd w:val="clear" w:color="auto" w:fill="auto"/>
        <w:bidi w:val="0"/>
        <w:spacing w:before="0" w:after="360" w:line="240" w:lineRule="auto"/>
        <w:ind w:left="0" w:right="0" w:firstLine="840"/>
        <w:jc w:val="left"/>
      </w:pPr>
      <w:bookmarkStart w:id="1221" w:name="bookmark1221"/>
      <w:bookmarkStart w:id="1222" w:name="bookmark1222"/>
      <w:bookmarkStart w:id="1223" w:name="bookmark1223"/>
      <w:bookmarkStart w:id="1224" w:name="bookmark1224"/>
      <w:r>
        <w:rPr>
          <w:rFonts w:ascii="Times New Roman" w:eastAsia="Times New Roman" w:hAnsi="Times New Roman" w:cs="Times New Roman"/>
          <w:color w:val="000000"/>
          <w:spacing w:val="0"/>
          <w:w w:val="100"/>
          <w:position w:val="0"/>
        </w:rPr>
        <w:t>4</w:t>
      </w:r>
      <w:bookmarkEnd w:id="1223"/>
      <w:r>
        <w:rPr>
          <w:rFonts w:ascii="Times New Roman" w:eastAsia="Times New Roman" w:hAnsi="Times New Roman" w:cs="Times New Roman"/>
          <w:color w:val="000000"/>
          <w:spacing w:val="0"/>
          <w:w w:val="100"/>
          <w:position w:val="0"/>
        </w:rPr>
        <w:t>3</w:t>
      </w:r>
      <w:r>
        <w:rPr>
          <w:color w:val="000000"/>
          <w:spacing w:val="0"/>
          <w:w w:val="100"/>
          <w:position w:val="0"/>
        </w:rPr>
        <w:t>、其他重要的会计政策和会计估计</w:t>
      </w:r>
      <w:bookmarkEnd w:id="1221"/>
      <w:bookmarkEnd w:id="1222"/>
      <w:bookmarkEnd w:id="1224"/>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无</w:t>
      </w:r>
    </w:p>
    <w:p>
      <w:pPr>
        <w:pStyle w:val="Style55"/>
        <w:keepNext/>
        <w:keepLines/>
        <w:widowControl w:val="0"/>
        <w:shd w:val="clear" w:color="auto" w:fill="auto"/>
        <w:bidi w:val="0"/>
        <w:spacing w:before="0" w:after="360" w:line="240" w:lineRule="auto"/>
        <w:ind w:left="0" w:right="0" w:firstLine="840"/>
        <w:jc w:val="left"/>
      </w:pPr>
      <w:bookmarkStart w:id="1225" w:name="bookmark1225"/>
      <w:bookmarkStart w:id="1226" w:name="bookmark1226"/>
      <w:bookmarkStart w:id="1227" w:name="bookmark1227"/>
      <w:bookmarkStart w:id="1228" w:name="bookmark1228"/>
      <w:r>
        <w:rPr>
          <w:rFonts w:ascii="Times New Roman" w:eastAsia="Times New Roman" w:hAnsi="Times New Roman" w:cs="Times New Roman"/>
          <w:color w:val="000000"/>
          <w:spacing w:val="0"/>
          <w:w w:val="100"/>
          <w:position w:val="0"/>
        </w:rPr>
        <w:t>4</w:t>
      </w:r>
      <w:bookmarkEnd w:id="1227"/>
      <w:r>
        <w:rPr>
          <w:rFonts w:ascii="Times New Roman" w:eastAsia="Times New Roman" w:hAnsi="Times New Roman" w:cs="Times New Roman"/>
          <w:color w:val="000000"/>
          <w:spacing w:val="0"/>
          <w:w w:val="100"/>
          <w:position w:val="0"/>
        </w:rPr>
        <w:t>4</w:t>
      </w:r>
      <w:r>
        <w:rPr>
          <w:color w:val="000000"/>
          <w:spacing w:val="0"/>
          <w:w w:val="100"/>
          <w:position w:val="0"/>
        </w:rPr>
        <w:t>、重要会计政策和会计估计变更</w:t>
      </w:r>
      <w:bookmarkEnd w:id="1225"/>
      <w:bookmarkEnd w:id="1226"/>
      <w:bookmarkEnd w:id="1228"/>
    </w:p>
    <w:p>
      <w:pPr>
        <w:pStyle w:val="Style55"/>
        <w:keepNext/>
        <w:keepLines/>
        <w:widowControl w:val="0"/>
        <w:shd w:val="clear" w:color="auto" w:fill="auto"/>
        <w:bidi w:val="0"/>
        <w:spacing w:before="0" w:after="360" w:line="240" w:lineRule="auto"/>
        <w:ind w:left="0" w:right="0" w:firstLine="840"/>
        <w:jc w:val="left"/>
      </w:pPr>
      <w:bookmarkStart w:id="1225" w:name="bookmark1225"/>
      <w:bookmarkStart w:id="1226" w:name="bookmark1226"/>
      <w:bookmarkStart w:id="1229" w:name="bookmark1229"/>
      <w:bookmarkStart w:id="1230" w:name="bookmark1230"/>
      <w:r>
        <w:rPr>
          <w:color w:val="000000"/>
          <w:spacing w:val="0"/>
          <w:w w:val="100"/>
          <w:position w:val="0"/>
        </w:rPr>
        <w:t>（</w:t>
      </w:r>
      <w:bookmarkEnd w:id="1229"/>
      <w:r>
        <w:rPr>
          <w:rFonts w:ascii="Times New Roman" w:eastAsia="Times New Roman" w:hAnsi="Times New Roman" w:cs="Times New Roman"/>
          <w:color w:val="000000"/>
          <w:spacing w:val="0"/>
          <w:w w:val="100"/>
          <w:position w:val="0"/>
        </w:rPr>
        <w:t>1</w:t>
      </w:r>
      <w:r>
        <w:rPr>
          <w:color w:val="000000"/>
          <w:spacing w:val="0"/>
          <w:w w:val="100"/>
          <w:position w:val="0"/>
        </w:rPr>
        <w:t>）重要会计政策变更</w:t>
      </w:r>
      <w:bookmarkEnd w:id="1225"/>
      <w:bookmarkEnd w:id="1226"/>
      <w:bookmarkEnd w:id="1230"/>
    </w:p>
    <w:p>
      <w:pPr>
        <w:pStyle w:val="Style49"/>
        <w:keepNext w:val="0"/>
        <w:keepLines w:val="0"/>
        <w:widowControl w:val="0"/>
        <w:shd w:val="clear" w:color="auto" w:fill="auto"/>
        <w:bidi w:val="0"/>
        <w:spacing w:before="0" w:after="0" w:line="240" w:lineRule="auto"/>
        <w:ind w:left="84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4051"/>
        <w:gridCol w:w="2338"/>
        <w:gridCol w:w="4046"/>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会计政策变更的内容和原因</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审批程序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197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 xml:space="preserve">日，财政部发布了《企业会计准则第 </w:t>
            </w:r>
            <w:r>
              <w:rPr>
                <w:rFonts w:ascii="Times New Roman" w:eastAsia="Times New Roman" w:hAnsi="Times New Roman" w:cs="Times New Roman"/>
                <w:color w:val="000000"/>
                <w:spacing w:val="0"/>
                <w:w w:val="100"/>
                <w:position w:val="0"/>
              </w:rPr>
              <w:t>14</w:t>
            </w:r>
            <w:r>
              <w:rPr>
                <w:color w:val="000000"/>
                <w:spacing w:val="0"/>
                <w:w w:val="100"/>
                <w:position w:val="0"/>
              </w:rPr>
              <w:t>号一收入》（财会【</w:t>
            </w:r>
            <w:r>
              <w:rPr>
                <w:rFonts w:ascii="Times New Roman" w:eastAsia="Times New Roman" w:hAnsi="Times New Roman" w:cs="Times New Roman"/>
                <w:color w:val="000000"/>
                <w:spacing w:val="0"/>
                <w:w w:val="100"/>
                <w:position w:val="0"/>
              </w:rPr>
              <w:t>2017</w:t>
            </w:r>
            <w:r>
              <w:rPr>
                <w:color w:val="000000"/>
                <w:spacing w:val="0"/>
                <w:w w:val="100"/>
                <w:position w:val="0"/>
              </w:rPr>
              <w:t>】</w:t>
            </w:r>
            <w:r>
              <w:rPr>
                <w:rFonts w:ascii="Times New Roman" w:eastAsia="Times New Roman" w:hAnsi="Times New Roman" w:cs="Times New Roman"/>
                <w:color w:val="000000"/>
                <w:spacing w:val="0"/>
                <w:w w:val="100"/>
                <w:position w:val="0"/>
              </w:rPr>
              <w:t>22</w:t>
            </w:r>
            <w:r>
              <w:rPr>
                <w:color w:val="000000"/>
                <w:spacing w:val="0"/>
                <w:w w:val="100"/>
                <w:position w:val="0"/>
              </w:rPr>
              <w:t>号）（以下简称“新 收入准则要求境内上市企业自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 起执行新收入准则。本公司于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日执行 新收入准则，对会计政策的相关内容进行调整，详 见第十二节、五、</w:t>
            </w:r>
            <w:r>
              <w:rPr>
                <w:color w:val="000000"/>
                <w:spacing w:val="0"/>
                <w:w w:val="100"/>
                <w:position w:val="0"/>
                <w:sz w:val="18"/>
                <w:szCs w:val="18"/>
              </w:rPr>
              <w:t>39</w:t>
            </w:r>
            <w:r>
              <w:rPr>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left"/>
            </w:pPr>
            <w:r>
              <w:rPr>
                <w:color w:val="000000"/>
                <w:spacing w:val="0"/>
                <w:w w:val="100"/>
                <w:position w:val="0"/>
              </w:rPr>
              <w:t>本次会计政策变更已经本公 司第四届董事会第十六次会 议审核批准。</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315" w:lineRule="exact"/>
              <w:ind w:left="0" w:right="0" w:firstLine="0"/>
              <w:jc w:val="both"/>
            </w:pPr>
            <w:r>
              <w:rPr>
                <w:color w:val="000000"/>
                <w:spacing w:val="0"/>
                <w:w w:val="100"/>
                <w:position w:val="0"/>
              </w:rPr>
              <w:t>本公司于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日起执行上述新收入准则。 新收入准则要求首次执行该准则的累积影响数调整 首次执行当年年初</w:t>
            </w:r>
            <w:r>
              <w:rPr>
                <w:rFonts w:ascii="Times New Roman" w:eastAsia="Times New Roman" w:hAnsi="Times New Roman" w:cs="Times New Roman"/>
                <w:color w:val="000000"/>
                <w:spacing w:val="0"/>
                <w:w w:val="100"/>
                <w:position w:val="0"/>
              </w:rPr>
              <w:t>（</w:t>
            </w:r>
            <w:r>
              <w:rPr>
                <w:color w:val="000000"/>
                <w:spacing w:val="0"/>
                <w:w w:val="100"/>
                <w:position w:val="0"/>
              </w:rPr>
              <w:t>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w:t>
            </w:r>
            <w:r>
              <w:rPr>
                <w:rFonts w:ascii="Times New Roman" w:eastAsia="Times New Roman" w:hAnsi="Times New Roman" w:cs="Times New Roman"/>
                <w:color w:val="000000"/>
                <w:spacing w:val="0"/>
                <w:w w:val="100"/>
                <w:position w:val="0"/>
              </w:rPr>
              <w:t>）</w:t>
            </w:r>
            <w:r>
              <w:rPr>
                <w:color w:val="000000"/>
                <w:spacing w:val="0"/>
                <w:w w:val="100"/>
                <w:position w:val="0"/>
              </w:rPr>
              <w:t>留存收益及 财务报表其他相关项目金额，对可比期间信息不予 调整。在执行新收入准则时，本公司仅对首次执行 日尚未完成的合同的累计影响数进行调整。</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960"/>
        <w:jc w:val="left"/>
      </w:pPr>
      <w:bookmarkStart w:id="1231" w:name="bookmark1231"/>
      <w:bookmarkStart w:id="1232" w:name="bookmark1232"/>
      <w:bookmarkStart w:id="1233" w:name="bookmark1233"/>
      <w:bookmarkStart w:id="1234" w:name="bookmark1234"/>
      <w:r>
        <w:rPr>
          <w:rFonts w:ascii="Times New Roman" w:eastAsia="Times New Roman" w:hAnsi="Times New Roman" w:cs="Times New Roman"/>
          <w:color w:val="000000"/>
          <w:spacing w:val="0"/>
          <w:w w:val="100"/>
          <w:position w:val="0"/>
        </w:rPr>
        <w:t>（</w:t>
      </w:r>
      <w:bookmarkEnd w:id="1233"/>
      <w:r>
        <w:rPr>
          <w:rFonts w:ascii="Times New Roman" w:eastAsia="Times New Roman" w:hAnsi="Times New Roman" w:cs="Times New Roman"/>
          <w:color w:val="000000"/>
          <w:spacing w:val="0"/>
          <w:w w:val="100"/>
          <w:position w:val="0"/>
        </w:rPr>
        <w:t>2</w:t>
      </w:r>
      <w:r>
        <w:rPr>
          <w:color w:val="000000"/>
          <w:spacing w:val="0"/>
          <w:w w:val="100"/>
          <w:position w:val="0"/>
        </w:rPr>
        <w:t>）重要会计估计变更</w:t>
      </w:r>
      <w:bookmarkEnd w:id="1231"/>
      <w:bookmarkEnd w:id="1232"/>
      <w:bookmarkEnd w:id="1234"/>
    </w:p>
    <w:p>
      <w:pPr>
        <w:pStyle w:val="Style32"/>
        <w:keepNext w:val="0"/>
        <w:keepLines w:val="0"/>
        <w:widowControl w:val="0"/>
        <w:shd w:val="clear" w:color="auto" w:fill="auto"/>
        <w:bidi w:val="0"/>
        <w:spacing w:before="0" w:after="360" w:line="240" w:lineRule="auto"/>
        <w:ind w:left="0" w:right="0" w:firstLine="84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tabs>
          <w:tab w:pos="1453" w:val="left"/>
        </w:tabs>
        <w:bidi w:val="0"/>
        <w:spacing w:before="0" w:after="360" w:line="240" w:lineRule="auto"/>
        <w:ind w:left="0" w:right="0" w:firstLine="960"/>
        <w:jc w:val="left"/>
      </w:pPr>
      <w:bookmarkStart w:id="1235" w:name="bookmark1235"/>
      <w:bookmarkStart w:id="1236" w:name="bookmark1236"/>
      <w:bookmarkStart w:id="1237" w:name="bookmark1237"/>
      <w:bookmarkStart w:id="1238" w:name="bookmark1238"/>
      <w:r>
        <w:rPr>
          <w:rFonts w:ascii="Times New Roman" w:eastAsia="Times New Roman" w:hAnsi="Times New Roman" w:cs="Times New Roman"/>
          <w:color w:val="000000"/>
          <w:spacing w:val="0"/>
          <w:w w:val="100"/>
          <w:position w:val="0"/>
          <w:shd w:val="clear" w:color="auto" w:fill="FFFFFF"/>
        </w:rPr>
        <w:t>（</w:t>
      </w:r>
      <w:bookmarkEnd w:id="1237"/>
      <w:r>
        <w:rPr>
          <w:rFonts w:ascii="Times New Roman" w:eastAsia="Times New Roman" w:hAnsi="Times New Roman" w:cs="Times New Roman"/>
          <w:color w:val="000000"/>
          <w:spacing w:val="0"/>
          <w:w w:val="100"/>
          <w:position w:val="0"/>
          <w:shd w:val="clear" w:color="auto" w:fill="FFFFFF"/>
        </w:rPr>
        <w:t>3</w:t>
      </w:r>
      <w:r>
        <w:rPr>
          <w:color w:val="000000"/>
          <w:spacing w:val="0"/>
          <w:w w:val="100"/>
          <w:position w:val="0"/>
          <w:shd w:val="clear" w:color="auto" w:fill="FFFFFF"/>
        </w:rPr>
        <w:t>）</w:t>
      </w:r>
      <w:r>
        <w:rPr>
          <w:color w:val="000000"/>
          <w:spacing w:val="0"/>
          <w:w w:val="100"/>
          <w:position w:val="0"/>
        </w:rPr>
        <w:tab/>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年起首次执行新收入准则、新租赁准则调整执行当年年初财务报表相关项目情况</w:t>
      </w:r>
      <w:bookmarkEnd w:id="1235"/>
      <w:bookmarkEnd w:id="1236"/>
      <w:bookmarkEnd w:id="1238"/>
    </w:p>
    <w:p>
      <w:pPr>
        <w:pStyle w:val="Style32"/>
        <w:keepNext w:val="0"/>
        <w:keepLines w:val="0"/>
        <w:widowControl w:val="0"/>
        <w:shd w:val="clear" w:color="auto" w:fill="auto"/>
        <w:bidi w:val="0"/>
        <w:spacing w:before="0" w:after="120" w:line="240" w:lineRule="auto"/>
        <w:ind w:left="0" w:right="0" w:firstLine="840"/>
        <w:jc w:val="left"/>
      </w:pPr>
      <w:r>
        <w:rPr>
          <w:color w:val="000000"/>
          <w:spacing w:val="0"/>
          <w:w w:val="100"/>
          <w:position w:val="0"/>
        </w:rPr>
        <w:t>适用</w:t>
      </w:r>
    </w:p>
    <w:p>
      <w:pPr>
        <w:pStyle w:val="Style32"/>
        <w:keepNext w:val="0"/>
        <w:keepLines w:val="0"/>
        <w:widowControl w:val="0"/>
        <w:shd w:val="clear" w:color="auto" w:fill="auto"/>
        <w:bidi w:val="0"/>
        <w:spacing w:before="0" w:after="120" w:line="240" w:lineRule="auto"/>
        <w:ind w:left="0" w:right="0" w:firstLine="840"/>
        <w:jc w:val="left"/>
      </w:pPr>
      <w:r>
        <w:rPr>
          <w:color w:val="000000"/>
          <w:spacing w:val="0"/>
          <w:w w:val="100"/>
          <w:position w:val="0"/>
        </w:rPr>
        <w:t>是否需要调整年初资产负债表科目</w:t>
      </w:r>
    </w:p>
    <w:p>
      <w:pPr>
        <w:pStyle w:val="Style32"/>
        <w:keepNext w:val="0"/>
        <w:keepLines w:val="0"/>
        <w:widowControl w:val="0"/>
        <w:shd w:val="clear" w:color="auto" w:fill="auto"/>
        <w:bidi w:val="0"/>
        <w:spacing w:before="0" w:after="120" w:line="240" w:lineRule="auto"/>
        <w:ind w:left="0" w:right="0" w:firstLine="840"/>
        <w:jc w:val="left"/>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32"/>
        <w:keepNext w:val="0"/>
        <w:keepLines w:val="0"/>
        <w:widowControl w:val="0"/>
        <w:shd w:val="clear" w:color="auto" w:fill="auto"/>
        <w:bidi w:val="0"/>
        <w:spacing w:before="0" w:after="120" w:line="240" w:lineRule="auto"/>
        <w:ind w:left="0" w:right="0" w:firstLine="840"/>
        <w:jc w:val="left"/>
      </w:pPr>
      <w:r>
        <w:rPr>
          <w:color w:val="000000"/>
          <w:spacing w:val="0"/>
          <w:w w:val="100"/>
          <w:position w:val="0"/>
        </w:rPr>
        <w:t>合并资产负债表</w:t>
      </w:r>
    </w:p>
    <w:p>
      <w:pPr>
        <w:pStyle w:val="Style3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3062"/>
        <w:gridCol w:w="2453"/>
        <w:gridCol w:w="2458"/>
        <w:gridCol w:w="2462"/>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调整数</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285,888,396.42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285,888,396.42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1,984,111.00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1,984,111.00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应收账款</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color w:val="000000"/>
                <w:spacing w:val="0"/>
                <w:w w:val="100"/>
                <w:position w:val="0"/>
              </w:rPr>
              <w:t>517,422,554.17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471,472,230.23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-45,950,323.94</w:t>
            </w:r>
          </w:p>
        </w:tc>
      </w:tr>
    </w:tbl>
    <w:p>
      <w:pPr>
        <w:widowControl w:val="0"/>
        <w:spacing w:line="1" w:lineRule="exact"/>
      </w:pPr>
      <w:r>
        <w:br w:type="page"/>
      </w:r>
    </w:p>
    <w:tbl>
      <w:tblPr>
        <w:tblOverlap w:val="never"/>
        <w:jc w:val="left"/>
        <w:tblLayout w:type="fixed"/>
      </w:tblPr>
      <w:tblGrid>
        <w:gridCol w:w="3062"/>
        <w:gridCol w:w="2453"/>
        <w:gridCol w:w="2458"/>
        <w:gridCol w:w="2462"/>
      </w:tblGrid>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251,000.00</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251,000.00</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11,416,842.29</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11,416,842.29</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应收保费</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应收分保账款</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应收分保合同准备金</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11,850,355.35</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11,850,355.35</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580"/>
              <w:jc w:val="left"/>
            </w:pPr>
            <w:r>
              <w:rPr>
                <w:color w:val="000000"/>
                <w:spacing w:val="0"/>
                <w:w w:val="100"/>
                <w:position w:val="0"/>
              </w:rPr>
              <w:t>其中：应收利息</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110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买入返售金融资产</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存货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92,197,042.30</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96,567,129.62</w:t>
            </w:r>
          </w:p>
        </w:tc>
        <w:tc>
          <w:tcPr>
            <w:tcBorders>
              <w:top w:val="single" w:sz="4"/>
              <w:left w:val="single" w:sz="4"/>
              <w:righ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4,370,087.32</w:t>
            </w: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合同资产</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22,857,214.29</w:t>
            </w:r>
          </w:p>
        </w:tc>
        <w:tc>
          <w:tcPr>
            <w:tcBorders>
              <w:top w:val="single" w:sz="4"/>
              <w:left w:val="single" w:sz="4"/>
              <w:righ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22,857,214.29</w:t>
            </w: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持有待售资产</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一年内到期的非流动资产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4,609,559.36</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5,235,789.31</w:t>
            </w:r>
          </w:p>
        </w:tc>
        <w:tc>
          <w:tcPr>
            <w:tcBorders>
              <w:top w:val="single" w:sz="4"/>
              <w:left w:val="single" w:sz="4"/>
              <w:righ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626,229.95</w:t>
            </w: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7,181,792.81</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7,181,792.81</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932,801,653.70</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914,704,861.32</w:t>
            </w:r>
          </w:p>
        </w:tc>
        <w:tc>
          <w:tcPr>
            <w:tcBorders>
              <w:top w:val="single" w:sz="4"/>
              <w:left w:val="single" w:sz="4"/>
              <w:righ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-18,096,792.38</w:t>
            </w: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4D4D4"/>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D4D4D4"/>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D4D4D4"/>
            <w:vAlign w:val="top"/>
          </w:tcPr>
          <w:p>
            <w:pPr>
              <w:framePr w:w="10435" w:h="13680"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发放贷款和垫款</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债权投资</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其他债权投资</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长期应收款</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9,133,358.28</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9,133,358.28</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长期股权投资</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81,434,696.40</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81,434,696.40</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其他非流动金融资产</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6,379,939.53</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6,379,939.53</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118,445,101.06</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118,445,101.06</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3,723,101.47</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3,723,101.47</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生产性生物资产</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油气资产</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使用权资产</w:t>
            </w: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47,201,433.14</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47,201,433.14</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16,362,963.50</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16,362,963.50</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商誉</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329,950,878.75</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329,950,878.75</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922,734.18</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922,734.18</w:t>
            </w:r>
          </w:p>
        </w:tc>
        <w:tc>
          <w:tcPr>
            <w:tcBorders>
              <w:top w:val="single" w:sz="4"/>
              <w:left w:val="single" w:sz="4"/>
              <w:right w:val="single" w:sz="4"/>
            </w:tcBorders>
            <w:shd w:val="clear" w:color="auto" w:fill="FFFFFF"/>
            <w:vAlign w:val="top"/>
          </w:tcPr>
          <w:p>
            <w:pPr>
              <w:framePr w:w="10435" w:h="13680" w:vSpace="365" w:wrap="notBeside" w:vAnchor="text" w:hAnchor="text" w:x="44" w:y="366"/>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递延所得税资产</w:t>
            </w:r>
          </w:p>
        </w:tc>
        <w:tc>
          <w:tcPr>
            <w:tcBorders>
              <w:top w:val="single" w:sz="4"/>
              <w:left w:val="single" w:sz="4"/>
              <w:bottom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26,620,689.11</w:t>
            </w:r>
          </w:p>
        </w:tc>
        <w:tc>
          <w:tcPr>
            <w:tcBorders>
              <w:top w:val="single" w:sz="4"/>
              <w:left w:val="single" w:sz="4"/>
              <w:bottom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28,797,365.16</w:t>
            </w:r>
          </w:p>
        </w:tc>
        <w:tc>
          <w:tcPr>
            <w:tcBorders>
              <w:top w:val="single" w:sz="4"/>
              <w:left w:val="single" w:sz="4"/>
              <w:bottom w:val="single" w:sz="4"/>
              <w:right w:val="single" w:sz="4"/>
            </w:tcBorders>
            <w:shd w:val="clear" w:color="auto" w:fill="FFFFFF"/>
            <w:vAlign w:val="center"/>
          </w:tcPr>
          <w:p>
            <w:pPr>
              <w:pStyle w:val="Style44"/>
              <w:keepNext w:val="0"/>
              <w:keepLines w:val="0"/>
              <w:framePr w:w="10435" w:h="13680"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2,176,676.05</w:t>
            </w:r>
          </w:p>
        </w:tc>
      </w:tr>
    </w:tbl>
    <w:p>
      <w:pPr>
        <w:pStyle w:val="Style49"/>
        <w:keepNext w:val="0"/>
        <w:keepLines w:val="0"/>
        <w:framePr w:w="1291" w:h="365" w:hSpace="43" w:wrap="notBeside" w:vAnchor="text" w:hAnchor="text" w:x="1695"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sectPr>
          <w:headerReference w:type="default" r:id="rId341"/>
          <w:footerReference w:type="default" r:id="rId342"/>
          <w:headerReference w:type="even" r:id="rId343"/>
          <w:footerReference w:type="even" r:id="rId344"/>
          <w:headerReference w:type="first" r:id="rId345"/>
          <w:footerReference w:type="first" r:id="rId346"/>
          <w:footnotePr>
            <w:pos w:val="pageBottom"/>
            <w:numFmt w:val="decimal"/>
            <w:numRestart w:val="continuous"/>
          </w:footnotePr>
          <w:pgSz w:w="11900" w:h="16840"/>
          <w:pgMar w:top="992" w:right="811" w:bottom="1146" w:left="567" w:header="0" w:footer="3" w:gutter="0"/>
          <w:cols w:space="720"/>
          <w:noEndnote/>
          <w:titlePg/>
          <w:rtlGutter w:val="0"/>
          <w:docGrid w:linePitch="360"/>
        </w:sectPr>
      </w:pPr>
      <w:r>
        <w:drawing>
          <wp:anchor distT="0" distB="0" distL="0" distR="0" simplePos="0" relativeHeight="125829599" behindDoc="0" locked="0" layoutInCell="1" allowOverlap="1">
            <wp:simplePos x="0" y="0"/>
            <wp:positionH relativeFrom="page">
              <wp:posOffset>948690</wp:posOffset>
            </wp:positionH>
            <wp:positionV relativeFrom="margin">
              <wp:posOffset>29210</wp:posOffset>
            </wp:positionV>
            <wp:extent cx="487680" cy="237490"/>
            <wp:wrapTight wrapText="bothSides">
              <wp:wrapPolygon>
                <wp:start x="0" y="0"/>
                <wp:lineTo x="21600" y="0"/>
                <wp:lineTo x="21600" y="21600"/>
                <wp:lineTo x="0" y="21600"/>
                <wp:lineTo x="0" y="0"/>
              </wp:wrapPolygon>
            </wp:wrapTight>
            <wp:docPr id="840" name="Shape 840"/>
            <a:graphic xmlns:a="http://schemas.openxmlformats.org/drawingml/2006/main">
              <a:graphicData uri="http://schemas.openxmlformats.org/drawingml/2006/picture">
                <pic:pic xmlns:pic="http://schemas.openxmlformats.org/drawingml/2006/picture">
                  <pic:nvPicPr>
                    <pic:cNvPr id="841" name="Picture box 841"/>
                    <pic:cNvPicPr/>
                  </pic:nvPicPr>
                  <pic:blipFill>
                    <a:blip r:embed="rId347"/>
                    <a:stretch/>
                  </pic:blipFill>
                  <pic:spPr>
                    <a:xfrm>
                      <a:ext cx="487680" cy="237490"/>
                    </a:xfrm>
                    <a:prstGeom prst="rect"/>
                  </pic:spPr>
                </pic:pic>
              </a:graphicData>
            </a:graphic>
          </wp:anchor>
        </w:drawing>
      </w:r>
    </w:p>
    <w:p>
      <w:pPr>
        <w:widowControl w:val="0"/>
        <w:jc w:val="center"/>
        <w:rPr>
          <w:sz w:val="2"/>
          <w:szCs w:val="2"/>
        </w:rPr>
      </w:pPr>
      <w:r>
        <w:drawing>
          <wp:inline>
            <wp:extent cx="1298575" cy="481330"/>
            <wp:docPr id="842" name="Picutre 842"/>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349"/>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168" w:lineRule="exact"/>
        <w:ind w:left="782"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line="1" w:lineRule="exact"/>
      </w:pPr>
    </w:p>
    <w:tbl>
      <w:tblPr>
        <w:tblOverlap w:val="never"/>
        <w:jc w:val="center"/>
        <w:tblLayout w:type="fixed"/>
      </w:tblPr>
      <w:tblGrid>
        <w:gridCol w:w="3062"/>
        <w:gridCol w:w="2453"/>
        <w:gridCol w:w="2458"/>
        <w:gridCol w:w="2462"/>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25,000,000.00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29,108,062.60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4,108,062.60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665,174,895.42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671,459,634.07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6,284,738.65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1,597,976,549.12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1,586,164,495.39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-11,812,053.73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76,827,924.93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76,827,924.93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25,745,753.10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25,745,753.10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153,463,464.58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153,463,464.58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82,181,735.72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-82,181,735.72</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80,657,844.43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80,657,844.43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22,934,015.79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22,934,015.79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21,035,386.93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21,035,386.93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20,446,609.46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20,446,609.46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27,588,500.00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27,588,500.00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1,523,891.29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1,523,891.29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430,223,390.51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430,223,390.51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52,234,500.00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52,234,500.00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51"/>
          <w:footerReference w:type="default" r:id="rId352"/>
          <w:headerReference w:type="even" r:id="rId353"/>
          <w:footerReference w:type="even" r:id="rId354"/>
          <w:footnotePr>
            <w:pos w:val="pageBottom"/>
            <w:numFmt w:val="decimal"/>
            <w:numRestart w:val="continuous"/>
          </w:footnotePr>
          <w:pgSz w:w="11900" w:h="16840"/>
          <w:pgMar w:top="992" w:right="811" w:bottom="1146" w:left="567" w:header="0" w:footer="3" w:gutter="0"/>
          <w:cols w:space="720"/>
          <w:noEndnote/>
          <w:rtlGutter w:val="0"/>
          <w:docGrid w:linePitch="360"/>
        </w:sectPr>
      </w:pPr>
    </w:p>
    <w:p>
      <w:pPr>
        <w:widowControl w:val="0"/>
        <w:jc w:val="center"/>
        <w:rPr>
          <w:sz w:val="2"/>
          <w:szCs w:val="2"/>
        </w:rPr>
      </w:pPr>
      <w:r>
        <w:drawing>
          <wp:inline>
            <wp:extent cx="1298575" cy="481330"/>
            <wp:docPr id="853" name="Picutre 853"/>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355"/>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3062"/>
        <w:gridCol w:w="2453"/>
        <w:gridCol w:w="2458"/>
        <w:gridCol w:w="2462"/>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18,309,696.00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18,309,696.00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955,217.52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955,217.52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71,499,413.52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71,499,413.52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501,722,804.03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501,722,804.03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股本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553,756,711.00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553,756,711.00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219,797,391.29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219,797,391.29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减：库存股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8,394,400.00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8,394,400.00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5,157,066.15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5,157,066.15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31,862,016.33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31,862,016.33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287,637,529.29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275,825,475.56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-11,812,053.73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归属于母公司所有者权益合计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1,089,816,314.06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1,078,004,260.33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-11,812,053.73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6,437,431.03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6,437,431.03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1,096,253,745.09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1,084,441,691.36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-11,812,053.73</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1,597,976,549.12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1,586,164,495.39</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-11,812,053.73</w:t>
            </w:r>
          </w:p>
        </w:tc>
      </w:tr>
    </w:tbl>
    <w:p>
      <w:pPr>
        <w:pStyle w:val="Style49"/>
        <w:keepNext w:val="0"/>
        <w:keepLines w:val="0"/>
        <w:widowControl w:val="0"/>
        <w:shd w:val="clear" w:color="auto" w:fill="auto"/>
        <w:bidi w:val="0"/>
        <w:spacing w:before="0" w:after="0" w:line="240" w:lineRule="auto"/>
        <w:ind w:left="840" w:right="0" w:firstLine="0"/>
        <w:jc w:val="left"/>
      </w:pPr>
      <w:r>
        <w:rPr>
          <w:color w:val="000000"/>
          <w:spacing w:val="0"/>
          <w:w w:val="100"/>
          <w:position w:val="0"/>
        </w:rPr>
        <w:t>调整情况说明</w:t>
      </w:r>
    </w:p>
    <w:p>
      <w:pPr>
        <w:pStyle w:val="Style32"/>
        <w:keepNext w:val="0"/>
        <w:keepLines w:val="0"/>
        <w:widowControl w:val="0"/>
        <w:shd w:val="clear" w:color="auto" w:fill="auto"/>
        <w:bidi w:val="0"/>
        <w:spacing w:before="0" w:after="500" w:line="312" w:lineRule="exact"/>
        <w:ind w:left="840" w:right="0" w:firstLine="20"/>
        <w:jc w:val="left"/>
      </w:pPr>
      <w:r>
        <w:rPr>
          <w:color w:val="000000"/>
          <w:spacing w:val="0"/>
          <w:w w:val="100"/>
          <w:position w:val="0"/>
        </w:rPr>
        <w:t>新收入准则要求首次执行该准则的累积影响数调整首次执行当年年初（即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w:t>
      </w:r>
      <w:r>
        <w:rPr>
          <w:color w:val="000000"/>
          <w:spacing w:val="0"/>
          <w:w w:val="100"/>
          <w:position w:val="0"/>
          <w:sz w:val="18"/>
          <w:szCs w:val="18"/>
        </w:rPr>
        <w:t>）</w:t>
      </w:r>
      <w:r>
        <w:rPr>
          <w:color w:val="000000"/>
          <w:spacing w:val="0"/>
          <w:w w:val="100"/>
          <w:position w:val="0"/>
        </w:rPr>
        <w:t>留存收益及财务报表其他相关项目 金额，对可比期间信息不予调整。在执行新收入准则时，本公司仅对首次执行日尚未完成的合同的累计影响数进行调整。</w:t>
      </w:r>
    </w:p>
    <w:p>
      <w:pPr>
        <w:pStyle w:val="Style32"/>
        <w:keepNext w:val="0"/>
        <w:keepLines w:val="0"/>
        <w:widowControl w:val="0"/>
        <w:shd w:val="clear" w:color="auto" w:fill="auto"/>
        <w:bidi w:val="0"/>
        <w:spacing w:before="0" w:after="140" w:line="240" w:lineRule="auto"/>
        <w:ind w:left="0" w:right="0" w:firstLine="840"/>
        <w:jc w:val="left"/>
      </w:pPr>
      <w:r>
        <w:rPr>
          <w:color w:val="000000"/>
          <w:spacing w:val="0"/>
          <w:w w:val="100"/>
          <w:position w:val="0"/>
        </w:rPr>
        <w:t>母公司资产负债表</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062"/>
        <w:gridCol w:w="2453"/>
        <w:gridCol w:w="2458"/>
        <w:gridCol w:w="2462"/>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调整数</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148,124,244.12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148,124,244.12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57"/>
          <w:footerReference w:type="default" r:id="rId358"/>
          <w:headerReference w:type="even" r:id="rId359"/>
          <w:footerReference w:type="even" r:id="rId360"/>
          <w:footnotePr>
            <w:pos w:val="pageBottom"/>
            <w:numFmt w:val="decimal"/>
            <w:numRestart w:val="continuous"/>
          </w:footnotePr>
          <w:pgSz w:w="11900" w:h="16840"/>
          <w:pgMar w:top="692" w:right="1107" w:bottom="1158" w:left="272" w:header="0" w:footer="3" w:gutter="0"/>
          <w:cols w:space="720"/>
          <w:noEndnote/>
          <w:rtlGutter w:val="0"/>
          <w:docGrid w:linePitch="360"/>
        </w:sectPr>
      </w:pPr>
    </w:p>
    <w:tbl>
      <w:tblPr>
        <w:tblOverlap w:val="never"/>
        <w:jc w:val="left"/>
        <w:tblLayout w:type="fixed"/>
      </w:tblPr>
      <w:tblGrid>
        <w:gridCol w:w="3062"/>
        <w:gridCol w:w="2453"/>
        <w:gridCol w:w="2458"/>
        <w:gridCol w:w="2462"/>
      </w:tblGrid>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衍生金融资产</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249,220.66</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249,220.66</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261,110,456.67</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239,992,400.08</w:t>
            </w:r>
          </w:p>
        </w:tc>
        <w:tc>
          <w:tcPr>
            <w:tcBorders>
              <w:top w:val="single" w:sz="4"/>
              <w:left w:val="single" w:sz="4"/>
              <w:righ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-21,118,056.59</w:t>
            </w: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251,000.00</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251,000.00</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1,147,551.57</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1,147,551.57</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98,974,593.01</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98,974,593.01</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580"/>
              <w:jc w:val="left"/>
            </w:pPr>
            <w:r>
              <w:rPr>
                <w:color w:val="000000"/>
                <w:spacing w:val="0"/>
                <w:w w:val="100"/>
                <w:position w:val="0"/>
              </w:rPr>
              <w:t>其中：应收利息</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100" w:right="0" w:firstLine="0"/>
              <w:jc w:val="left"/>
            </w:pPr>
            <w:r>
              <w:rPr>
                <w:color w:val="000000"/>
                <w:spacing w:val="0"/>
                <w:w w:val="100"/>
                <w:position w:val="0"/>
              </w:rPr>
              <w:t>应收股利</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85,000,000.00</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85,000,000.00</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存货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25,849,925.86</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25,849,925.86</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合同资产</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18,368,022.04</w:t>
            </w:r>
          </w:p>
        </w:tc>
        <w:tc>
          <w:tcPr>
            <w:tcBorders>
              <w:top w:val="single" w:sz="4"/>
              <w:left w:val="single" w:sz="4"/>
              <w:righ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18,368,022.04</w:t>
            </w: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持有待售资产</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一年内到期的非流动资产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4,609,559.36</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5,192,039.31</w:t>
            </w:r>
          </w:p>
        </w:tc>
        <w:tc>
          <w:tcPr>
            <w:tcBorders>
              <w:top w:val="single" w:sz="4"/>
              <w:left w:val="single" w:sz="4"/>
              <w:righ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582,479.95</w:t>
            </w: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1,003,632.33</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1,003,632.33</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541,320,183.58</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539,152,628.98</w:t>
            </w:r>
          </w:p>
        </w:tc>
        <w:tc>
          <w:tcPr>
            <w:tcBorders>
              <w:top w:val="single" w:sz="4"/>
              <w:left w:val="single" w:sz="4"/>
              <w:righ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-2,167,554.60</w:t>
            </w: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4D4D4"/>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D4D4D4"/>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D4D4D4"/>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债权投资</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其他债权投资</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长期应收款</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9,133,358.28</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9,133,358.28</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766,475,762.08</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766,475,762.08</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81,434,696.40</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81,434,696.40</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其他非流动金融资产</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投资性房地产</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92,675,292.93</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92,675,292.93</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在建工程</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生产性生物资产</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油气资产</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使用权资产</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15,246,341.04</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15,246,341.04</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开发支出</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商誉</w:t>
            </w: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tcBorders>
            <w:shd w:val="clear" w:color="auto" w:fill="FFFFFF"/>
            <w:vAlign w:val="top"/>
          </w:tcPr>
          <w:p>
            <w:pPr>
              <w:framePr w:w="10435" w:h="13680" w:vSpace="365" w:wrap="notBeside" w:vAnchor="text" w:hAnchor="text" w:y="366"/>
              <w:widowControl w:val="0"/>
              <w:rPr>
                <w:sz w:val="10"/>
                <w:szCs w:val="10"/>
              </w:rPr>
            </w:pP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1,558.22</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1,558.22</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19,990,032.94</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19,990,032.94</w:t>
            </w:r>
          </w:p>
        </w:tc>
        <w:tc>
          <w:tcPr>
            <w:tcBorders>
              <w:top w:val="single" w:sz="4"/>
              <w:left w:val="single" w:sz="4"/>
              <w:right w:val="single" w:sz="4"/>
            </w:tcBorders>
            <w:shd w:val="clear" w:color="auto" w:fill="FFFFFF"/>
            <w:vAlign w:val="top"/>
          </w:tcPr>
          <w:p>
            <w:pPr>
              <w:framePr w:w="10435" w:h="13680" w:vSpace="365" w:wrap="notBeside" w:vAnchor="text" w:hAnchor="text"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38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25,000,000.00</w:t>
            </w:r>
          </w:p>
        </w:tc>
        <w:tc>
          <w:tcPr>
            <w:tcBorders>
              <w:top w:val="single" w:sz="4"/>
              <w:lef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27,167,554.60</w:t>
            </w:r>
          </w:p>
        </w:tc>
        <w:tc>
          <w:tcPr>
            <w:tcBorders>
              <w:top w:val="single" w:sz="4"/>
              <w:left w:val="single" w:sz="4"/>
              <w:righ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2,167,554.60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bottom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1,009,957,041.89</w:t>
            </w:r>
          </w:p>
        </w:tc>
        <w:tc>
          <w:tcPr>
            <w:tcBorders>
              <w:top w:val="single" w:sz="4"/>
              <w:left w:val="single" w:sz="4"/>
              <w:bottom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1,012,124,596.49</w:t>
            </w:r>
          </w:p>
        </w:tc>
        <w:tc>
          <w:tcPr>
            <w:tcBorders>
              <w:top w:val="single" w:sz="4"/>
              <w:left w:val="single" w:sz="4"/>
              <w:bottom w:val="single" w:sz="4"/>
              <w:right w:val="single" w:sz="4"/>
            </w:tcBorders>
            <w:shd w:val="clear" w:color="auto" w:fill="FFFFFF"/>
            <w:vAlign w:val="center"/>
          </w:tcPr>
          <w:p>
            <w:pPr>
              <w:pStyle w:val="Style44"/>
              <w:keepNext w:val="0"/>
              <w:keepLines w:val="0"/>
              <w:framePr w:w="10435" w:h="13680" w:vSpace="365" w:wrap="notBeside" w:vAnchor="text" w:hAnchor="text"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2,167,554.60</w:t>
            </w:r>
          </w:p>
        </w:tc>
      </w:tr>
    </w:tbl>
    <w:p>
      <w:pPr>
        <w:pStyle w:val="Style49"/>
        <w:keepNext w:val="0"/>
        <w:keepLines w:val="0"/>
        <w:framePr w:w="1291" w:h="365" w:hSpace="9144" w:wrap="notBeside" w:vAnchor="text" w:hAnchor="text" w:x="1652"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r>
        <w:drawing>
          <wp:anchor distT="0" distB="0" distL="0" distR="0" simplePos="0" relativeHeight="125829600" behindDoc="0" locked="0" layoutInCell="1" allowOverlap="1">
            <wp:simplePos x="0" y="0"/>
            <wp:positionH relativeFrom="page">
              <wp:posOffset>733425</wp:posOffset>
            </wp:positionH>
            <wp:positionV relativeFrom="margin">
              <wp:posOffset>-29210</wp:posOffset>
            </wp:positionV>
            <wp:extent cx="487680" cy="237490"/>
            <wp:wrapTight wrapText="bothSides">
              <wp:wrapPolygon>
                <wp:start x="0" y="0"/>
                <wp:lineTo x="21600" y="0"/>
                <wp:lineTo x="21600" y="21600"/>
                <wp:lineTo x="0" y="21600"/>
                <wp:lineTo x="0" y="0"/>
              </wp:wrapPolygon>
            </wp:wrapTight>
            <wp:docPr id="863" name="Shape 863"/>
            <a:graphic xmlns:a="http://schemas.openxmlformats.org/drawingml/2006/main">
              <a:graphicData uri="http://schemas.openxmlformats.org/drawingml/2006/picture">
                <pic:pic xmlns:pic="http://schemas.openxmlformats.org/drawingml/2006/picture">
                  <pic:nvPicPr>
                    <pic:cNvPr id="864" name="Picture box 864"/>
                    <pic:cNvPicPr/>
                  </pic:nvPicPr>
                  <pic:blipFill>
                    <a:blip r:embed="rId361"/>
                    <a:stretch/>
                  </pic:blipFill>
                  <pic:spPr>
                    <a:xfrm>
                      <a:ext cx="487680" cy="237490"/>
                    </a:xfrm>
                    <a:prstGeom prst="rect"/>
                  </pic:spPr>
                </pic:pic>
              </a:graphicData>
            </a:graphic>
          </wp:anchor>
        </w:drawing>
      </w:r>
      <w:r>
        <w:br w:type="page"/>
      </w:r>
    </w:p>
    <w:p>
      <w:pPr>
        <w:widowControl w:val="0"/>
        <w:jc w:val="center"/>
        <w:rPr>
          <w:sz w:val="2"/>
          <w:szCs w:val="2"/>
        </w:rPr>
      </w:pPr>
      <w:r>
        <w:drawing>
          <wp:inline>
            <wp:extent cx="1298575" cy="481330"/>
            <wp:docPr id="865" name="Picutre 865"/>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63"/>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168" w:lineRule="exact"/>
        <w:ind w:left="782"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line="1" w:lineRule="exact"/>
      </w:pPr>
    </w:p>
    <w:tbl>
      <w:tblPr>
        <w:tblOverlap w:val="never"/>
        <w:jc w:val="center"/>
        <w:tblLayout w:type="fixed"/>
      </w:tblPr>
      <w:tblGrid>
        <w:gridCol w:w="3062"/>
        <w:gridCol w:w="2453"/>
        <w:gridCol w:w="2458"/>
        <w:gridCol w:w="2462"/>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1,551,277,225.47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1,551,277,225.47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56,837,924.93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56,837,924.93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19,818,691.60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19,818,691.60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142,794,693.87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142,794,693.87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13,175,180.86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-13,175,180.86</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13,151,035.31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13,151,035.31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1,078,042.20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1,078,042.20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179,811.39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179,811.39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45,050,112.58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45,050,112.58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27,588,500.00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27,588,500.00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24,145.55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24,145.55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306,522,957.43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306,522,957.43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both"/>
            </w:pPr>
            <w:r>
              <w:rPr>
                <w:color w:val="000000"/>
                <w:spacing w:val="0"/>
                <w:w w:val="100"/>
                <w:position w:val="0"/>
              </w:rPr>
              <w:t>长期借款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52,234,500.00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52,234,500.00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10,769,696.00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10,769,696.00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63,004,196.00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63,004,196.00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负债合计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369,527,153.43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369,527,153.43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所有者权益：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股本</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553,756,711.00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553,756,711.00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footnotePr>
            <w:pos w:val="pageBottom"/>
            <w:numFmt w:val="decimal"/>
            <w:numRestart w:val="continuous"/>
          </w:footnotePr>
          <w:pgSz w:w="11900" w:h="16840"/>
          <w:pgMar w:top="971" w:right="1193" w:bottom="1349" w:left="272" w:header="0" w:footer="3" w:gutter="0"/>
          <w:cols w:space="720"/>
          <w:noEndnote/>
          <w:rtlGutter w:val="0"/>
          <w:docGrid w:linePitch="360"/>
        </w:sectPr>
      </w:pPr>
    </w:p>
    <w:p>
      <w:pPr>
        <w:widowControl w:val="0"/>
        <w:jc w:val="center"/>
        <w:rPr>
          <w:sz w:val="2"/>
          <w:szCs w:val="2"/>
        </w:rPr>
      </w:pPr>
      <w:r>
        <w:drawing>
          <wp:inline>
            <wp:extent cx="1298575" cy="481330"/>
            <wp:docPr id="866" name="Picutre 866"/>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365"/>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168" w:lineRule="exact"/>
        <w:ind w:left="782"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line="1" w:lineRule="exact"/>
      </w:pPr>
    </w:p>
    <w:tbl>
      <w:tblPr>
        <w:tblOverlap w:val="never"/>
        <w:jc w:val="center"/>
        <w:tblLayout w:type="fixed"/>
      </w:tblPr>
      <w:tblGrid>
        <w:gridCol w:w="3062"/>
        <w:gridCol w:w="2453"/>
        <w:gridCol w:w="2458"/>
        <w:gridCol w:w="2462"/>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398,439,739.89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398,439,739.89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减：库存股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8,394,400.00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8,394,400.00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4,200,807.40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4,200,807.40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31,862,016.33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31,862,016.33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201,885,197.42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201,885,197.42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1,181,750,072.04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1,181,750,072.04</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1,551,277,225.47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1,551,277,225.47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9"/>
        <w:keepNext w:val="0"/>
        <w:keepLines w:val="0"/>
        <w:widowControl w:val="0"/>
        <w:shd w:val="clear" w:color="auto" w:fill="auto"/>
        <w:bidi w:val="0"/>
        <w:spacing w:before="0" w:after="0" w:line="240" w:lineRule="auto"/>
        <w:ind w:left="840" w:right="0" w:firstLine="0"/>
        <w:jc w:val="left"/>
      </w:pPr>
      <w:r>
        <w:rPr>
          <w:color w:val="000000"/>
          <w:spacing w:val="0"/>
          <w:w w:val="100"/>
          <w:position w:val="0"/>
        </w:rPr>
        <w:t>调整情况说明</w:t>
      </w:r>
    </w:p>
    <w:p>
      <w:pPr>
        <w:pStyle w:val="Style32"/>
        <w:keepNext w:val="0"/>
        <w:keepLines w:val="0"/>
        <w:widowControl w:val="0"/>
        <w:shd w:val="clear" w:color="auto" w:fill="auto"/>
        <w:bidi w:val="0"/>
        <w:spacing w:before="0" w:after="380" w:line="312" w:lineRule="exact"/>
        <w:ind w:left="840" w:right="0" w:firstLine="0"/>
        <w:jc w:val="both"/>
      </w:pPr>
      <w:r>
        <w:rPr>
          <w:color w:val="000000"/>
          <w:spacing w:val="0"/>
          <w:w w:val="100"/>
          <w:position w:val="0"/>
        </w:rPr>
        <w:t>新收入准则要求首次执行该准则的累积影响数调整首次执行当年年初(即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w:t>
      </w:r>
      <w:r>
        <w:rPr>
          <w:color w:val="000000"/>
          <w:spacing w:val="0"/>
          <w:w w:val="100"/>
          <w:position w:val="0"/>
          <w:sz w:val="18"/>
          <w:szCs w:val="18"/>
        </w:rPr>
        <w:t>)</w:t>
      </w:r>
      <w:r>
        <w:rPr>
          <w:color w:val="000000"/>
          <w:spacing w:val="0"/>
          <w:w w:val="100"/>
          <w:position w:val="0"/>
        </w:rPr>
        <w:t>留存收益及财务报表其他相关项目 金额，对可比期间信息不予调整。在执行新收入准则时，本公司仅对首次执行日尚未完成的合同的累计影响数进行调整。</w:t>
      </w:r>
    </w:p>
    <w:p>
      <w:pPr>
        <w:pStyle w:val="Style55"/>
        <w:keepNext/>
        <w:keepLines/>
        <w:widowControl w:val="0"/>
        <w:numPr>
          <w:ilvl w:val="0"/>
          <w:numId w:val="147"/>
        </w:numPr>
        <w:shd w:val="clear" w:color="auto" w:fill="auto"/>
        <w:tabs>
          <w:tab w:pos="1453" w:val="left"/>
        </w:tabs>
        <w:bidi w:val="0"/>
        <w:spacing w:before="0" w:after="380" w:line="240" w:lineRule="auto"/>
        <w:ind w:left="0" w:right="0" w:firstLine="960"/>
        <w:jc w:val="left"/>
      </w:pPr>
      <w:bookmarkStart w:id="1239" w:name="bookmark1239"/>
      <w:bookmarkStart w:id="1240" w:name="bookmark1240"/>
      <w:bookmarkStart w:id="1241" w:name="bookmark1241"/>
      <w:bookmarkStart w:id="1242" w:name="bookmark1242"/>
      <w:bookmarkEnd w:id="1241"/>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年起首次执行新收入准则、新租赁准则追溯调整前期比较数据说明</w:t>
      </w:r>
      <w:bookmarkEnd w:id="1239"/>
      <w:bookmarkEnd w:id="1240"/>
      <w:bookmarkEnd w:id="1242"/>
    </w:p>
    <w:p>
      <w:pPr>
        <w:pStyle w:val="Style32"/>
        <w:keepNext w:val="0"/>
        <w:keepLines w:val="0"/>
        <w:widowControl w:val="0"/>
        <w:shd w:val="clear" w:color="auto" w:fill="auto"/>
        <w:bidi w:val="0"/>
        <w:spacing w:before="0" w:after="380" w:line="240" w:lineRule="auto"/>
        <w:ind w:left="0" w:right="0" w:firstLine="8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55"/>
        <w:keepNext/>
        <w:keepLines/>
        <w:widowControl w:val="0"/>
        <w:shd w:val="clear" w:color="auto" w:fill="auto"/>
        <w:bidi w:val="0"/>
        <w:spacing w:before="0" w:after="960" w:line="240" w:lineRule="auto"/>
        <w:ind w:left="0" w:right="0" w:firstLine="840"/>
        <w:jc w:val="left"/>
      </w:pPr>
      <w:bookmarkStart w:id="1243" w:name="bookmark1243"/>
      <w:bookmarkStart w:id="1244" w:name="bookmark1244"/>
      <w:bookmarkStart w:id="1245" w:name="bookmark1245"/>
      <w:bookmarkStart w:id="1246" w:name="bookmark1246"/>
      <w:r>
        <w:rPr>
          <w:rFonts w:ascii="Times New Roman" w:eastAsia="Times New Roman" w:hAnsi="Times New Roman" w:cs="Times New Roman"/>
          <w:color w:val="000000"/>
          <w:spacing w:val="0"/>
          <w:w w:val="100"/>
          <w:position w:val="0"/>
        </w:rPr>
        <w:t>4</w:t>
      </w:r>
      <w:bookmarkEnd w:id="1245"/>
      <w:r>
        <w:rPr>
          <w:rFonts w:ascii="Times New Roman" w:eastAsia="Times New Roman" w:hAnsi="Times New Roman" w:cs="Times New Roman"/>
          <w:color w:val="000000"/>
          <w:spacing w:val="0"/>
          <w:w w:val="100"/>
          <w:position w:val="0"/>
        </w:rPr>
        <w:t>5</w:t>
      </w:r>
      <w:r>
        <w:rPr>
          <w:color w:val="000000"/>
          <w:spacing w:val="0"/>
          <w:w w:val="100"/>
          <w:position w:val="0"/>
        </w:rPr>
        <w:t>、其他</w:t>
      </w:r>
      <w:bookmarkEnd w:id="1243"/>
      <w:bookmarkEnd w:id="1244"/>
      <w:bookmarkEnd w:id="1246"/>
    </w:p>
    <w:p>
      <w:pPr>
        <w:pStyle w:val="Style47"/>
        <w:keepNext/>
        <w:keepLines/>
        <w:widowControl w:val="0"/>
        <w:shd w:val="clear" w:color="auto" w:fill="auto"/>
        <w:bidi w:val="0"/>
        <w:spacing w:before="0" w:after="380" w:line="240" w:lineRule="auto"/>
        <w:ind w:left="0" w:right="0" w:firstLine="840"/>
        <w:jc w:val="left"/>
      </w:pPr>
      <w:bookmarkStart w:id="1247" w:name="bookmark1247"/>
      <w:bookmarkStart w:id="1248" w:name="bookmark1248"/>
      <w:bookmarkStart w:id="1249" w:name="bookmark1249"/>
      <w:bookmarkStart w:id="1250" w:name="bookmark1250"/>
      <w:r>
        <w:rPr>
          <w:color w:val="000000"/>
          <w:spacing w:val="0"/>
          <w:w w:val="100"/>
          <w:position w:val="0"/>
          <w:sz w:val="24"/>
          <w:szCs w:val="24"/>
        </w:rPr>
        <w:t>六</w:t>
      </w:r>
      <w:bookmarkEnd w:id="1249"/>
      <w:r>
        <w:rPr>
          <w:color w:val="000000"/>
          <w:spacing w:val="0"/>
          <w:w w:val="100"/>
          <w:position w:val="0"/>
          <w:sz w:val="24"/>
          <w:szCs w:val="24"/>
        </w:rPr>
        <w:t>、税项</w:t>
      </w:r>
      <w:bookmarkEnd w:id="1247"/>
      <w:bookmarkEnd w:id="1248"/>
      <w:bookmarkEnd w:id="1250"/>
    </w:p>
    <w:p>
      <w:pPr>
        <w:pStyle w:val="Style55"/>
        <w:keepNext/>
        <w:keepLines/>
        <w:widowControl w:val="0"/>
        <w:shd w:val="clear" w:color="auto" w:fill="auto"/>
        <w:bidi w:val="0"/>
        <w:spacing w:before="0" w:after="300" w:line="240" w:lineRule="auto"/>
        <w:ind w:left="0" w:right="0" w:firstLine="840"/>
        <w:jc w:val="left"/>
      </w:pPr>
      <w:bookmarkStart w:id="1251" w:name="bookmark1251"/>
      <w:bookmarkStart w:id="1252" w:name="bookmark1252"/>
      <w:bookmarkStart w:id="1253" w:name="bookmark1253"/>
      <w:bookmarkStart w:id="1254" w:name="bookmark1254"/>
      <w:r>
        <w:rPr>
          <w:rFonts w:ascii="Times New Roman" w:eastAsia="Times New Roman" w:hAnsi="Times New Roman" w:cs="Times New Roman"/>
          <w:color w:val="000000"/>
          <w:spacing w:val="0"/>
          <w:w w:val="100"/>
          <w:position w:val="0"/>
        </w:rPr>
        <w:t>1</w:t>
      </w:r>
      <w:bookmarkEnd w:id="1253"/>
      <w:r>
        <w:rPr>
          <w:color w:val="000000"/>
          <w:spacing w:val="0"/>
          <w:w w:val="100"/>
          <w:position w:val="0"/>
        </w:rPr>
        <w:t>、主要税种及税率</w:t>
      </w:r>
      <w:bookmarkEnd w:id="1251"/>
      <w:bookmarkEnd w:id="1252"/>
      <w:bookmarkEnd w:id="1254"/>
    </w:p>
    <w:tbl>
      <w:tblPr>
        <w:tblOverlap w:val="never"/>
        <w:jc w:val="right"/>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税种</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税率</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商品销售业务收入、安装工程收入、不 动产经营租赁服务收入、应税劳务收入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w:t>
            </w:r>
            <w:r>
              <w:rPr>
                <w:color w:val="000000"/>
                <w:spacing w:val="0"/>
                <w:w w:val="100"/>
                <w:position w:val="0"/>
              </w:rPr>
              <w:t>、</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6%</w:t>
            </w:r>
            <w:r>
              <w:rPr>
                <w:color w:val="000000"/>
                <w:spacing w:val="0"/>
                <w:w w:val="100"/>
                <w:position w:val="0"/>
              </w:rPr>
              <w:t>、</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w:t>
            </w: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实际缴纳的流转税额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5%</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应纳税所得额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w:t>
            </w:r>
            <w:r>
              <w:rPr>
                <w:color w:val="000000"/>
                <w:spacing w:val="0"/>
                <w:w w:val="100"/>
                <w:position w:val="0"/>
              </w:rPr>
              <w:t>、</w:t>
            </w:r>
            <w:r>
              <w:rPr>
                <w:rFonts w:ascii="Times New Roman" w:eastAsia="Times New Roman" w:hAnsi="Times New Roman" w:cs="Times New Roman"/>
                <w:color w:val="000000"/>
                <w:spacing w:val="0"/>
                <w:w w:val="100"/>
                <w:position w:val="0"/>
              </w:rPr>
              <w:t>20%</w:t>
            </w:r>
            <w:r>
              <w:rPr>
                <w:color w:val="000000"/>
                <w:spacing w:val="0"/>
                <w:w w:val="100"/>
                <w:position w:val="0"/>
              </w:rPr>
              <w:t>、</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实际缴纳的流转税额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实际缴纳的流转税额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r>
            <w:r>
              <w:rPr>
                <w:rFonts w:ascii="Times New Roman" w:eastAsia="Times New Roman" w:hAnsi="Times New Roman" w:cs="Times New Roman"/>
                <w:color w:val="000000"/>
                <w:spacing w:val="0"/>
                <w:w w:val="100"/>
                <w:position w:val="0"/>
              </w:rPr>
              <w:t>1%</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租金收入及房产原值</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12%</w:t>
            </w:r>
            <w:r>
              <w:rPr>
                <w:color w:val="000000"/>
                <w:spacing w:val="0"/>
                <w:w w:val="100"/>
                <w:position w:val="0"/>
              </w:rPr>
              <w:t>、</w:t>
            </w:r>
            <w:r>
              <w:rPr>
                <w:rFonts w:ascii="Times New Roman" w:eastAsia="Times New Roman" w:hAnsi="Times New Roman" w:cs="Times New Roman"/>
                <w:color w:val="000000"/>
                <w:spacing w:val="0"/>
                <w:w w:val="100"/>
                <w:position w:val="0"/>
              </w:rPr>
              <w:t>1.2%</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存在不同企业所得税税率纳税主体的，披露情况说明</w:t>
      </w:r>
    </w:p>
    <w:p>
      <w:pPr>
        <w:widowControl w:val="0"/>
        <w:spacing w:after="79" w:line="1" w:lineRule="exact"/>
      </w:pPr>
    </w:p>
    <w:p>
      <w:pPr>
        <w:widowControl w:val="0"/>
        <w:spacing w:line="1" w:lineRule="exact"/>
      </w:pPr>
    </w:p>
    <w:tbl>
      <w:tblPr>
        <w:tblOverlap w:val="never"/>
        <w:jc w:val="right"/>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纳税主体名称</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所得税税率</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辽宁荣科金融服务有限公司</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w:t>
            </w:r>
          </w:p>
        </w:tc>
      </w:tr>
    </w:tbl>
    <w:p>
      <w:pPr>
        <w:sectPr>
          <w:headerReference w:type="default" r:id="rId367"/>
          <w:footerReference w:type="default" r:id="rId368"/>
          <w:headerReference w:type="even" r:id="rId369"/>
          <w:footerReference w:type="even" r:id="rId370"/>
          <w:footnotePr>
            <w:pos w:val="pageBottom"/>
            <w:numFmt w:val="decimal"/>
            <w:numRestart w:val="continuous"/>
          </w:footnotePr>
          <w:pgSz w:w="11900" w:h="16840"/>
          <w:pgMar w:top="971" w:right="1193" w:bottom="1349" w:left="272" w:header="0" w:footer="3" w:gutter="0"/>
          <w:cols w:space="720"/>
          <w:noEndnote/>
          <w:rtlGutter w:val="0"/>
          <w:docGrid w:linePitch="360"/>
        </w:sectPr>
      </w:pPr>
    </w:p>
    <w:p>
      <w:pPr>
        <w:widowControl w:val="0"/>
        <w:jc w:val="center"/>
        <w:rPr>
          <w:sz w:val="2"/>
          <w:szCs w:val="2"/>
        </w:rPr>
      </w:pPr>
      <w:r>
        <w:drawing>
          <wp:inline>
            <wp:extent cx="1134110" cy="262255"/>
            <wp:docPr id="877" name="Picutre 877"/>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371"/>
                    <a:stretch/>
                  </pic:blipFill>
                  <pic:spPr>
                    <a:xfrm>
                      <a:ext cx="1134110" cy="262255"/>
                    </a:xfrm>
                    <a:prstGeom prst="rect"/>
                  </pic:spPr>
                </pic:pic>
              </a:graphicData>
            </a:graphic>
          </wp:inline>
        </w:drawing>
      </w:r>
    </w:p>
    <w:p>
      <w:pPr>
        <w:pStyle w:val="Style26"/>
        <w:keepNext w:val="0"/>
        <w:keepLines w:val="0"/>
        <w:widowControl w:val="0"/>
        <w:shd w:val="clear" w:color="auto" w:fill="auto"/>
        <w:bidi w:val="0"/>
        <w:spacing w:before="0" w:after="0" w:line="240" w:lineRule="auto"/>
        <w:ind w:left="0" w:right="0" w:firstLine="0"/>
        <w:jc w:val="left"/>
      </w:pPr>
      <w:r>
        <w:rPr>
          <w:color w:val="245994"/>
          <w:spacing w:val="0"/>
          <w:w w:val="100"/>
          <w:position w:val="0"/>
          <w:sz w:val="30"/>
          <w:szCs w:val="30"/>
        </w:rPr>
        <w:t>，广</w:t>
      </w:r>
      <w:r>
        <w:rPr>
          <w:color w:val="2D2B2E"/>
          <w:spacing w:val="0"/>
          <w:w w:val="100"/>
          <w:position w:val="0"/>
          <w:sz w:val="30"/>
          <w:szCs w:val="30"/>
        </w:rPr>
        <w:t>i</w:t>
      </w: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i/>
          <w:iCs/>
          <w:color w:val="245994"/>
          <w:spacing w:val="0"/>
          <w:w w:val="100"/>
          <w:position w:val="0"/>
          <w:sz w:val="24"/>
          <w:szCs w:val="24"/>
        </w:rPr>
        <w:t>，</w:t>
      </w:r>
      <w:r>
        <w:rPr>
          <w:rFonts w:ascii="Times New Roman" w:eastAsia="Times New Roman" w:hAnsi="Times New Roman" w:cs="Times New Roman"/>
          <w:color w:val="245994"/>
          <w:spacing w:val="0"/>
          <w:w w:val="100"/>
          <w:position w:val="0"/>
          <w:sz w:val="16"/>
          <w:szCs w:val="16"/>
        </w:rPr>
        <w:t xml:space="preserve">I </w:t>
      </w:r>
      <w:r>
        <w:rPr>
          <w:color w:val="245994"/>
          <w:spacing w:val="0"/>
          <w:w w:val="100"/>
          <w:position w:val="0"/>
          <w:sz w:val="15"/>
          <w:szCs w:val="15"/>
        </w:rPr>
        <w:t>股票代码：</w:t>
      </w:r>
      <w:r>
        <w:rPr>
          <w:rFonts w:ascii="Times New Roman" w:eastAsia="Times New Roman" w:hAnsi="Times New Roman" w:cs="Times New Roman"/>
          <w:color w:val="245994"/>
          <w:spacing w:val="0"/>
          <w:w w:val="100"/>
          <w:position w:val="0"/>
          <w:sz w:val="16"/>
          <w:szCs w:val="16"/>
        </w:rPr>
        <w:t>300290</w:t>
      </w:r>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北京荣科爱信科技有限公司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苏州易健医疗信息技术有限公司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上海米健健康科技有限公司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武汉视界物联科技有限公司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广州市聚点电子科技有限公司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东莞益视智能设备有限公司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上海今创软件技术有限公司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辽宁荣科智维云科技有限公司</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w:t>
            </w:r>
          </w:p>
        </w:tc>
      </w:tr>
    </w:tbl>
    <w:p>
      <w:pPr>
        <w:widowControl w:val="0"/>
        <w:spacing w:after="319" w:line="1" w:lineRule="exact"/>
      </w:pPr>
    </w:p>
    <w:p>
      <w:pPr>
        <w:pStyle w:val="Style55"/>
        <w:keepNext/>
        <w:keepLines/>
        <w:widowControl w:val="0"/>
        <w:shd w:val="clear" w:color="auto" w:fill="auto"/>
        <w:bidi w:val="0"/>
        <w:spacing w:before="0" w:after="280" w:line="240" w:lineRule="auto"/>
        <w:ind w:left="0" w:right="0" w:firstLine="660"/>
        <w:jc w:val="left"/>
      </w:pPr>
      <w:bookmarkStart w:id="1255" w:name="bookmark1255"/>
      <w:bookmarkStart w:id="1256" w:name="bookmark1256"/>
      <w:bookmarkStart w:id="1257" w:name="bookmark1257"/>
      <w:bookmarkStart w:id="1258" w:name="bookmark1258"/>
      <w:r>
        <w:rPr>
          <w:rFonts w:ascii="Times New Roman" w:eastAsia="Times New Roman" w:hAnsi="Times New Roman" w:cs="Times New Roman"/>
          <w:color w:val="000000"/>
          <w:spacing w:val="0"/>
          <w:w w:val="100"/>
          <w:position w:val="0"/>
        </w:rPr>
        <w:t>2</w:t>
      </w:r>
      <w:bookmarkEnd w:id="1257"/>
      <w:r>
        <w:rPr>
          <w:color w:val="000000"/>
          <w:spacing w:val="0"/>
          <w:w w:val="100"/>
          <w:position w:val="0"/>
        </w:rPr>
        <w:t>、税收优惠</w:t>
      </w:r>
      <w:bookmarkEnd w:id="1255"/>
      <w:bookmarkEnd w:id="1256"/>
      <w:bookmarkEnd w:id="1258"/>
    </w:p>
    <w:p>
      <w:pPr>
        <w:pStyle w:val="Style32"/>
        <w:keepNext w:val="0"/>
        <w:keepLines w:val="0"/>
        <w:widowControl w:val="0"/>
        <w:shd w:val="clear" w:color="auto" w:fill="auto"/>
        <w:tabs>
          <w:tab w:pos="1141" w:val="left"/>
        </w:tabs>
        <w:bidi w:val="0"/>
        <w:spacing w:before="0" w:line="312" w:lineRule="exact"/>
        <w:ind w:left="660" w:right="0" w:firstLine="20"/>
        <w:jc w:val="both"/>
      </w:pPr>
      <w:bookmarkStart w:id="1259" w:name="bookmark1259"/>
      <w:r>
        <w:rPr>
          <w:color w:val="000000"/>
          <w:spacing w:val="0"/>
          <w:w w:val="100"/>
          <w:position w:val="0"/>
        </w:rPr>
        <w:t>（</w:t>
      </w:r>
      <w:bookmarkEnd w:id="1259"/>
      <w:r>
        <w:rPr>
          <w:rFonts w:ascii="Times New Roman" w:eastAsia="Times New Roman" w:hAnsi="Times New Roman" w:cs="Times New Roman"/>
          <w:color w:val="000000"/>
          <w:spacing w:val="0"/>
          <w:w w:val="100"/>
          <w:position w:val="0"/>
        </w:rPr>
        <w:t>1</w:t>
      </w:r>
      <w:r>
        <w:rPr>
          <w:color w:val="000000"/>
          <w:spacing w:val="0"/>
          <w:w w:val="100"/>
          <w:position w:val="0"/>
        </w:rPr>
        <w:t>）</w:t>
        <w:tab/>
        <w:t>本公司经辽宁省科学技术厅、辽宁省财政厅、国家税务总局辽宁省税务局联合认证为高新技术企业，并于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 xml:space="preserve">9 </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日取得</w:t>
      </w:r>
      <w:r>
        <w:rPr>
          <w:rFonts w:ascii="Times New Roman" w:eastAsia="Times New Roman" w:hAnsi="Times New Roman" w:cs="Times New Roman"/>
          <w:color w:val="000000"/>
          <w:spacing w:val="0"/>
          <w:w w:val="100"/>
          <w:position w:val="0"/>
        </w:rPr>
        <w:t>GR202021000083</w:t>
      </w:r>
      <w:r>
        <w:rPr>
          <w:color w:val="000000"/>
          <w:spacing w:val="0"/>
          <w:w w:val="100"/>
          <w:position w:val="0"/>
        </w:rPr>
        <w:t>号高新技术企业证书，有效期至</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月。根据《中华人民共和国企业所得税法》及其 实施条例的有关规定，本报告期末享受高新技术企业</w:t>
      </w:r>
      <w:r>
        <w:rPr>
          <w:rFonts w:ascii="Times New Roman" w:eastAsia="Times New Roman" w:hAnsi="Times New Roman" w:cs="Times New Roman"/>
          <w:color w:val="000000"/>
          <w:spacing w:val="0"/>
          <w:w w:val="100"/>
          <w:position w:val="0"/>
        </w:rPr>
        <w:t>15%</w:t>
      </w:r>
      <w:r>
        <w:rPr>
          <w:color w:val="000000"/>
          <w:spacing w:val="0"/>
          <w:w w:val="100"/>
          <w:position w:val="0"/>
        </w:rPr>
        <w:t>的企业所得税率优惠。。</w:t>
      </w:r>
    </w:p>
    <w:p>
      <w:pPr>
        <w:pStyle w:val="Style32"/>
        <w:keepNext w:val="0"/>
        <w:keepLines w:val="0"/>
        <w:widowControl w:val="0"/>
        <w:shd w:val="clear" w:color="auto" w:fill="auto"/>
        <w:tabs>
          <w:tab w:pos="1141" w:val="left"/>
        </w:tabs>
        <w:bidi w:val="0"/>
        <w:spacing w:before="0" w:after="0" w:line="312" w:lineRule="exact"/>
        <w:ind w:left="660" w:right="0" w:firstLine="20"/>
        <w:jc w:val="both"/>
      </w:pPr>
      <w:bookmarkStart w:id="1260" w:name="bookmark1260"/>
      <w:r>
        <w:rPr>
          <w:color w:val="000000"/>
          <w:spacing w:val="0"/>
          <w:w w:val="100"/>
          <w:position w:val="0"/>
        </w:rPr>
        <w:t>（</w:t>
      </w:r>
      <w:bookmarkEnd w:id="1260"/>
      <w:r>
        <w:rPr>
          <w:rFonts w:ascii="Times New Roman" w:eastAsia="Times New Roman" w:hAnsi="Times New Roman" w:cs="Times New Roman"/>
          <w:color w:val="000000"/>
          <w:spacing w:val="0"/>
          <w:w w:val="100"/>
          <w:position w:val="0"/>
        </w:rPr>
        <w:t>2</w:t>
      </w:r>
      <w:r>
        <w:rPr>
          <w:color w:val="000000"/>
          <w:spacing w:val="0"/>
          <w:w w:val="100"/>
          <w:position w:val="0"/>
        </w:rPr>
        <w:t>）</w:t>
        <w:tab/>
        <w:t>本公司之子公司北京神州视翰科技有限公司经北京市科学技术委员会、北京市财政局、国家税务总局北京市税务局联 合认证为高新技术企业，并于</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日取得</w:t>
      </w:r>
      <w:r>
        <w:rPr>
          <w:rFonts w:ascii="Times New Roman" w:eastAsia="Times New Roman" w:hAnsi="Times New Roman" w:cs="Times New Roman"/>
          <w:color w:val="000000"/>
          <w:spacing w:val="0"/>
          <w:w w:val="100"/>
          <w:position w:val="0"/>
        </w:rPr>
        <w:t>GR201811003255</w:t>
      </w:r>
      <w:r>
        <w:rPr>
          <w:color w:val="000000"/>
          <w:spacing w:val="0"/>
          <w:w w:val="100"/>
          <w:position w:val="0"/>
        </w:rPr>
        <w:t>号高新技术企业证书，有效期至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月。根据</w:t>
      </w:r>
    </w:p>
    <w:p>
      <w:pPr>
        <w:pStyle w:val="Style32"/>
        <w:keepNext w:val="0"/>
        <w:keepLines w:val="0"/>
        <w:widowControl w:val="0"/>
        <w:shd w:val="clear" w:color="auto" w:fill="auto"/>
        <w:bidi w:val="0"/>
        <w:spacing w:before="0" w:line="312" w:lineRule="exact"/>
        <w:ind w:left="660" w:right="0" w:firstLine="20"/>
        <w:jc w:val="both"/>
      </w:pPr>
      <w:r>
        <w:rPr>
          <w:color w:val="000000"/>
          <w:spacing w:val="0"/>
          <w:w w:val="100"/>
          <w:position w:val="0"/>
        </w:rPr>
        <w:t>《中华人民共和国企业所得税法》及其实施条例的有关规定，本报告期内享受高新技术企业</w:t>
      </w:r>
      <w:r>
        <w:rPr>
          <w:rFonts w:ascii="Times New Roman" w:eastAsia="Times New Roman" w:hAnsi="Times New Roman" w:cs="Times New Roman"/>
          <w:color w:val="000000"/>
          <w:spacing w:val="0"/>
          <w:w w:val="100"/>
          <w:position w:val="0"/>
        </w:rPr>
        <w:t>15%</w:t>
      </w:r>
      <w:r>
        <w:rPr>
          <w:color w:val="000000"/>
          <w:spacing w:val="0"/>
          <w:w w:val="100"/>
          <w:position w:val="0"/>
        </w:rPr>
        <w:t>的企业所得税率优惠。</w:t>
      </w:r>
    </w:p>
    <w:p>
      <w:pPr>
        <w:pStyle w:val="Style32"/>
        <w:keepNext w:val="0"/>
        <w:keepLines w:val="0"/>
        <w:widowControl w:val="0"/>
        <w:shd w:val="clear" w:color="auto" w:fill="auto"/>
        <w:tabs>
          <w:tab w:pos="1146" w:val="left"/>
        </w:tabs>
        <w:bidi w:val="0"/>
        <w:spacing w:before="0" w:line="314" w:lineRule="exact"/>
        <w:ind w:left="660" w:right="0" w:firstLine="20"/>
        <w:jc w:val="both"/>
      </w:pPr>
      <w:bookmarkStart w:id="1261" w:name="bookmark1261"/>
      <w:r>
        <w:rPr>
          <w:color w:val="000000"/>
          <w:spacing w:val="0"/>
          <w:w w:val="100"/>
          <w:position w:val="0"/>
        </w:rPr>
        <w:t>（</w:t>
      </w:r>
      <w:bookmarkEnd w:id="1261"/>
      <w:r>
        <w:rPr>
          <w:rFonts w:ascii="Times New Roman" w:eastAsia="Times New Roman" w:hAnsi="Times New Roman" w:cs="Times New Roman"/>
          <w:color w:val="000000"/>
          <w:spacing w:val="0"/>
          <w:w w:val="100"/>
          <w:position w:val="0"/>
        </w:rPr>
        <w:t>3</w:t>
      </w:r>
      <w:r>
        <w:rPr>
          <w:color w:val="000000"/>
          <w:spacing w:val="0"/>
          <w:w w:val="100"/>
          <w:position w:val="0"/>
        </w:rPr>
        <w:t>）</w:t>
        <w:tab/>
        <w:t>本公司之子公司上海今创信息技术有限公司经上海市科学技术委员会、上海市财政局、国家税务总局上海市水务局联 合认证为高新技术企业，并于</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日取得</w:t>
      </w:r>
      <w:r>
        <w:rPr>
          <w:rFonts w:ascii="Times New Roman" w:eastAsia="Times New Roman" w:hAnsi="Times New Roman" w:cs="Times New Roman"/>
          <w:color w:val="000000"/>
          <w:spacing w:val="0"/>
          <w:w w:val="100"/>
          <w:position w:val="0"/>
        </w:rPr>
        <w:t>GR201831000811</w:t>
      </w:r>
      <w:r>
        <w:rPr>
          <w:color w:val="000000"/>
          <w:spacing w:val="0"/>
          <w:w w:val="100"/>
          <w:position w:val="0"/>
        </w:rPr>
        <w:t>号高新技术企业证书，有效期三年。根据《中华人民 共和国企业所得税法》及其实施条例的有关规定，本报告期内享受高新技术企业</w:t>
      </w:r>
      <w:r>
        <w:rPr>
          <w:rFonts w:ascii="Times New Roman" w:eastAsia="Times New Roman" w:hAnsi="Times New Roman" w:cs="Times New Roman"/>
          <w:color w:val="000000"/>
          <w:spacing w:val="0"/>
          <w:w w:val="100"/>
          <w:position w:val="0"/>
        </w:rPr>
        <w:t>15%</w:t>
      </w:r>
      <w:r>
        <w:rPr>
          <w:color w:val="000000"/>
          <w:spacing w:val="0"/>
          <w:w w:val="100"/>
          <w:position w:val="0"/>
        </w:rPr>
        <w:t>的企业所得税率优惠。</w:t>
      </w:r>
    </w:p>
    <w:p>
      <w:pPr>
        <w:pStyle w:val="Style32"/>
        <w:keepNext w:val="0"/>
        <w:keepLines w:val="0"/>
        <w:widowControl w:val="0"/>
        <w:shd w:val="clear" w:color="auto" w:fill="auto"/>
        <w:tabs>
          <w:tab w:pos="1131" w:val="left"/>
        </w:tabs>
        <w:bidi w:val="0"/>
        <w:spacing w:before="0" w:line="317" w:lineRule="exact"/>
        <w:ind w:left="660" w:right="0" w:firstLine="20"/>
        <w:jc w:val="both"/>
      </w:pPr>
      <w:bookmarkStart w:id="1262" w:name="bookmark1262"/>
      <w:r>
        <w:rPr>
          <w:color w:val="000000"/>
          <w:spacing w:val="0"/>
          <w:w w:val="100"/>
          <w:position w:val="0"/>
        </w:rPr>
        <w:t>（</w:t>
      </w:r>
      <w:bookmarkEnd w:id="1262"/>
      <w:r>
        <w:rPr>
          <w:rFonts w:ascii="Times New Roman" w:eastAsia="Times New Roman" w:hAnsi="Times New Roman" w:cs="Times New Roman"/>
          <w:color w:val="000000"/>
          <w:spacing w:val="0"/>
          <w:w w:val="100"/>
          <w:position w:val="0"/>
        </w:rPr>
        <w:t>4</w:t>
      </w:r>
      <w:r>
        <w:rPr>
          <w:color w:val="000000"/>
          <w:spacing w:val="0"/>
          <w:w w:val="100"/>
          <w:position w:val="0"/>
        </w:rPr>
        <w:t>）</w:t>
        <w:tab/>
        <w:t>根据西藏自治区人民政府《西藏自治区企业所得税政策实施办法》（藏政发</w:t>
      </w:r>
      <w:r>
        <w:rPr>
          <w:rFonts w:ascii="Times New Roman" w:eastAsia="Times New Roman" w:hAnsi="Times New Roman" w:cs="Times New Roman"/>
          <w:color w:val="000000"/>
          <w:spacing w:val="0"/>
          <w:w w:val="100"/>
          <w:position w:val="0"/>
        </w:rPr>
        <w:t>[2014]51</w:t>
      </w:r>
      <w:r>
        <w:rPr>
          <w:color w:val="000000"/>
          <w:spacing w:val="0"/>
          <w:w w:val="100"/>
          <w:position w:val="0"/>
        </w:rPr>
        <w:t>号）文件规定，本公司之二级子公 司西藏米健信息技术有限公司按</w:t>
      </w:r>
      <w:r>
        <w:rPr>
          <w:rFonts w:ascii="Times New Roman" w:eastAsia="Times New Roman" w:hAnsi="Times New Roman" w:cs="Times New Roman"/>
          <w:color w:val="000000"/>
          <w:spacing w:val="0"/>
          <w:w w:val="100"/>
          <w:position w:val="0"/>
        </w:rPr>
        <w:t>15%</w:t>
      </w:r>
      <w:r>
        <w:rPr>
          <w:color w:val="000000"/>
          <w:spacing w:val="0"/>
          <w:w w:val="100"/>
          <w:position w:val="0"/>
        </w:rPr>
        <w:t>的税率征收企业所得税。</w:t>
      </w:r>
    </w:p>
    <w:p>
      <w:pPr>
        <w:pStyle w:val="Style32"/>
        <w:keepNext w:val="0"/>
        <w:keepLines w:val="0"/>
        <w:widowControl w:val="0"/>
        <w:shd w:val="clear" w:color="auto" w:fill="auto"/>
        <w:tabs>
          <w:tab w:pos="1146" w:val="left"/>
        </w:tabs>
        <w:bidi w:val="0"/>
        <w:spacing w:before="0" w:line="314" w:lineRule="exact"/>
        <w:ind w:left="660" w:right="0" w:firstLine="20"/>
        <w:jc w:val="both"/>
      </w:pPr>
      <w:bookmarkStart w:id="1263" w:name="bookmark1263"/>
      <w:r>
        <w:rPr>
          <w:color w:val="000000"/>
          <w:spacing w:val="0"/>
          <w:w w:val="100"/>
          <w:position w:val="0"/>
        </w:rPr>
        <w:t>（</w:t>
      </w:r>
      <w:bookmarkEnd w:id="1263"/>
      <w:r>
        <w:rPr>
          <w:rFonts w:ascii="Times New Roman" w:eastAsia="Times New Roman" w:hAnsi="Times New Roman" w:cs="Times New Roman"/>
          <w:color w:val="000000"/>
          <w:spacing w:val="0"/>
          <w:w w:val="100"/>
          <w:position w:val="0"/>
        </w:rPr>
        <w:t>5</w:t>
      </w:r>
      <w:r>
        <w:rPr>
          <w:color w:val="000000"/>
          <w:spacing w:val="0"/>
          <w:w w:val="100"/>
          <w:position w:val="0"/>
        </w:rPr>
        <w:t>）</w:t>
        <w:tab/>
        <w:t>本公司之子公司上海米健信息技术有限公司经上海市科学技术委员会、上海市财政局、国家税务总局上海市税务局联 合认证为高新技术企业，并于</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日取得</w:t>
      </w:r>
      <w:r>
        <w:rPr>
          <w:rFonts w:ascii="Times New Roman" w:eastAsia="Times New Roman" w:hAnsi="Times New Roman" w:cs="Times New Roman"/>
          <w:color w:val="000000"/>
          <w:spacing w:val="0"/>
          <w:w w:val="100"/>
          <w:position w:val="0"/>
        </w:rPr>
        <w:t>GR201831000649</w:t>
      </w:r>
      <w:r>
        <w:rPr>
          <w:color w:val="000000"/>
          <w:spacing w:val="0"/>
          <w:w w:val="100"/>
          <w:position w:val="0"/>
        </w:rPr>
        <w:t>号高新技术企业证书，有效期三年。根据《中华人民 共和国企业所得税法》及其实施条例的有关规定，本报告期内享受高新技术企业</w:t>
      </w:r>
      <w:r>
        <w:rPr>
          <w:rFonts w:ascii="Times New Roman" w:eastAsia="Times New Roman" w:hAnsi="Times New Roman" w:cs="Times New Roman"/>
          <w:color w:val="000000"/>
          <w:spacing w:val="0"/>
          <w:w w:val="100"/>
          <w:position w:val="0"/>
        </w:rPr>
        <w:t>15%</w:t>
      </w:r>
      <w:r>
        <w:rPr>
          <w:color w:val="000000"/>
          <w:spacing w:val="0"/>
          <w:w w:val="100"/>
          <w:position w:val="0"/>
        </w:rPr>
        <w:t>的企业所得税率优惠。</w:t>
      </w:r>
    </w:p>
    <w:p>
      <w:pPr>
        <w:pStyle w:val="Style32"/>
        <w:keepNext w:val="0"/>
        <w:keepLines w:val="0"/>
        <w:widowControl w:val="0"/>
        <w:shd w:val="clear" w:color="auto" w:fill="auto"/>
        <w:tabs>
          <w:tab w:pos="1141" w:val="left"/>
        </w:tabs>
        <w:bidi w:val="0"/>
        <w:spacing w:before="0" w:line="316" w:lineRule="exact"/>
        <w:ind w:left="660" w:right="0" w:firstLine="20"/>
        <w:jc w:val="both"/>
      </w:pPr>
      <w:bookmarkStart w:id="1264" w:name="bookmark1264"/>
      <w:r>
        <w:rPr>
          <w:color w:val="000000"/>
          <w:spacing w:val="0"/>
          <w:w w:val="100"/>
          <w:position w:val="0"/>
        </w:rPr>
        <w:t>（</w:t>
      </w:r>
      <w:bookmarkEnd w:id="1264"/>
      <w:r>
        <w:rPr>
          <w:rFonts w:ascii="Times New Roman" w:eastAsia="Times New Roman" w:hAnsi="Times New Roman" w:cs="Times New Roman"/>
          <w:color w:val="000000"/>
          <w:spacing w:val="0"/>
          <w:w w:val="100"/>
          <w:position w:val="0"/>
        </w:rPr>
        <w:t>6</w:t>
      </w:r>
      <w:r>
        <w:rPr>
          <w:color w:val="000000"/>
          <w:spacing w:val="0"/>
          <w:w w:val="100"/>
          <w:position w:val="0"/>
        </w:rPr>
        <w:t>）</w:t>
        <w:tab/>
        <w:t>根据财税（</w:t>
      </w:r>
      <w:r>
        <w:rPr>
          <w:rFonts w:ascii="Times New Roman" w:eastAsia="Times New Roman" w:hAnsi="Times New Roman" w:cs="Times New Roman"/>
          <w:color w:val="000000"/>
          <w:spacing w:val="0"/>
          <w:w w:val="100"/>
          <w:position w:val="0"/>
        </w:rPr>
        <w:t>[2019]13</w:t>
      </w:r>
      <w:r>
        <w:rPr>
          <w:color w:val="000000"/>
          <w:spacing w:val="0"/>
          <w:w w:val="100"/>
          <w:position w:val="0"/>
        </w:rPr>
        <w:t>号）《关于实施小微企业普惠性税收减免政策的通知》的规定，对小型微利企业年应纳税所得额不 超过</w:t>
      </w:r>
      <w:r>
        <w:rPr>
          <w:rFonts w:ascii="Times New Roman" w:eastAsia="Times New Roman" w:hAnsi="Times New Roman" w:cs="Times New Roman"/>
          <w:color w:val="000000"/>
          <w:spacing w:val="0"/>
          <w:w w:val="100"/>
          <w:position w:val="0"/>
        </w:rPr>
        <w:t>100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计入应纳税所得额，按</w:t>
      </w:r>
      <w:r>
        <w:rPr>
          <w:rFonts w:ascii="Times New Roman" w:eastAsia="Times New Roman" w:hAnsi="Times New Roman" w:cs="Times New Roman"/>
          <w:color w:val="000000"/>
          <w:spacing w:val="0"/>
          <w:w w:val="100"/>
          <w:position w:val="0"/>
        </w:rPr>
        <w:t>20%</w:t>
      </w:r>
      <w:r>
        <w:rPr>
          <w:color w:val="000000"/>
          <w:spacing w:val="0"/>
          <w:w w:val="100"/>
          <w:position w:val="0"/>
        </w:rPr>
        <w:t>的税率缴纳企业所得税；对年应纳税所得额超过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 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计入应纳税所得额，按</w:t>
      </w:r>
      <w:r>
        <w:rPr>
          <w:rFonts w:ascii="Times New Roman" w:eastAsia="Times New Roman" w:hAnsi="Times New Roman" w:cs="Times New Roman"/>
          <w:color w:val="000000"/>
          <w:spacing w:val="0"/>
          <w:w w:val="100"/>
          <w:position w:val="0"/>
        </w:rPr>
        <w:t>20%</w:t>
      </w:r>
      <w:r>
        <w:rPr>
          <w:color w:val="000000"/>
          <w:spacing w:val="0"/>
          <w:w w:val="100"/>
          <w:position w:val="0"/>
        </w:rPr>
        <w:t>的税率缴纳企业所得税。公司之二级子公司东莞益视智能设备 有限公司、武汉视界物联科技有限公司、上海今创软件技术有限公司、广州市聚点电子科技有限公司所得税享受前述优惠政 策。</w:t>
      </w:r>
    </w:p>
    <w:p>
      <w:pPr>
        <w:pStyle w:val="Style32"/>
        <w:keepNext w:val="0"/>
        <w:keepLines w:val="0"/>
        <w:widowControl w:val="0"/>
        <w:shd w:val="clear" w:color="auto" w:fill="auto"/>
        <w:bidi w:val="0"/>
        <w:spacing w:before="0" w:line="312" w:lineRule="exact"/>
        <w:ind w:left="660" w:right="0" w:firstLine="20"/>
        <w:jc w:val="both"/>
      </w:pPr>
      <w:bookmarkStart w:id="1265" w:name="bookmark1265"/>
      <w:r>
        <w:rPr>
          <w:color w:val="000000"/>
          <w:spacing w:val="0"/>
          <w:w w:val="100"/>
          <w:position w:val="0"/>
        </w:rPr>
        <w:t>（</w:t>
      </w:r>
      <w:bookmarkEnd w:id="1265"/>
      <w:r>
        <w:rPr>
          <w:rFonts w:ascii="Times New Roman" w:eastAsia="Times New Roman" w:hAnsi="Times New Roman" w:cs="Times New Roman"/>
          <w:color w:val="000000"/>
          <w:spacing w:val="0"/>
          <w:w w:val="100"/>
          <w:position w:val="0"/>
        </w:rPr>
        <w:t>7</w:t>
      </w:r>
      <w:r>
        <w:rPr>
          <w:color w:val="000000"/>
          <w:spacing w:val="0"/>
          <w:w w:val="100"/>
          <w:position w:val="0"/>
        </w:rPr>
        <w:t>） 《国务院关于印发鼓励软件产业和集成电路产业发展若干政策的通知》（国发</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2000]18</w:t>
      </w:r>
      <w:r>
        <w:rPr>
          <w:color w:val="000000"/>
          <w:spacing w:val="0"/>
          <w:w w:val="100"/>
          <w:position w:val="0"/>
        </w:rPr>
        <w:t>号）第六条，及《国务院关于印 发进一步鼓励软件产业和集成电路产业发展若干政策的通知》（国发</w:t>
      </w:r>
      <w:r>
        <w:rPr>
          <w:rFonts w:ascii="Times New Roman" w:eastAsia="Times New Roman" w:hAnsi="Times New Roman" w:cs="Times New Roman"/>
          <w:color w:val="000000"/>
          <w:spacing w:val="0"/>
          <w:w w:val="100"/>
          <w:position w:val="0"/>
        </w:rPr>
        <w:t>[2011]4</w:t>
      </w:r>
      <w:r>
        <w:rPr>
          <w:color w:val="000000"/>
          <w:spacing w:val="0"/>
          <w:w w:val="100"/>
          <w:position w:val="0"/>
        </w:rPr>
        <w:t>号）的规定，新创办软件企业经认定后，自获利 年度起，享受企业所得税</w:t>
      </w:r>
      <w:r>
        <w:rPr>
          <w:rFonts w:ascii="Times New Roman" w:eastAsia="Times New Roman" w:hAnsi="Times New Roman" w:cs="Times New Roman"/>
          <w:color w:val="000000"/>
          <w:spacing w:val="0"/>
          <w:w w:val="100"/>
          <w:position w:val="0"/>
        </w:rPr>
        <w:t>“</w:t>
      </w:r>
      <w:r>
        <w:rPr>
          <w:color w:val="000000"/>
          <w:spacing w:val="0"/>
          <w:w w:val="100"/>
          <w:position w:val="0"/>
        </w:rPr>
        <w:t>两免三减半</w:t>
      </w:r>
      <w:r>
        <w:rPr>
          <w:rFonts w:ascii="Times New Roman" w:eastAsia="Times New Roman" w:hAnsi="Times New Roman" w:cs="Times New Roman"/>
          <w:color w:val="000000"/>
          <w:spacing w:val="0"/>
          <w:w w:val="100"/>
          <w:position w:val="0"/>
        </w:rPr>
        <w:t>”</w:t>
      </w:r>
      <w:r>
        <w:rPr>
          <w:color w:val="000000"/>
          <w:spacing w:val="0"/>
          <w:w w:val="100"/>
          <w:position w:val="0"/>
        </w:rPr>
        <w:t>的优惠政策，</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年为公司之子公司辽宁荣科智维云科技有限公司获利第一个年度， </w:t>
      </w:r>
      <w:r>
        <w:rPr>
          <w:rFonts w:ascii="Times New Roman" w:eastAsia="Times New Roman" w:hAnsi="Times New Roman" w:cs="Times New Roman"/>
          <w:color w:val="000000"/>
          <w:spacing w:val="0"/>
          <w:w w:val="100"/>
          <w:position w:val="0"/>
        </w:rPr>
        <w:t>2020</w:t>
      </w:r>
      <w:r>
        <w:rPr>
          <w:color w:val="000000"/>
          <w:spacing w:val="0"/>
          <w:w w:val="100"/>
          <w:position w:val="0"/>
        </w:rPr>
        <w:t>年享受免税政策。</w:t>
      </w:r>
    </w:p>
    <w:p>
      <w:pPr>
        <w:pStyle w:val="Style32"/>
        <w:keepNext w:val="0"/>
        <w:keepLines w:val="0"/>
        <w:widowControl w:val="0"/>
        <w:shd w:val="clear" w:color="auto" w:fill="auto"/>
        <w:bidi w:val="0"/>
        <w:spacing w:before="0" w:line="319" w:lineRule="exact"/>
        <w:ind w:left="660" w:right="0" w:firstLine="20"/>
        <w:jc w:val="both"/>
      </w:pPr>
      <w:bookmarkStart w:id="1266" w:name="bookmark1266"/>
      <w:r>
        <w:rPr>
          <w:color w:val="000000"/>
          <w:spacing w:val="0"/>
          <w:w w:val="100"/>
          <w:position w:val="0"/>
        </w:rPr>
        <w:t>（</w:t>
      </w:r>
      <w:bookmarkEnd w:id="1266"/>
      <w:r>
        <w:rPr>
          <w:rFonts w:ascii="Times New Roman" w:eastAsia="Times New Roman" w:hAnsi="Times New Roman" w:cs="Times New Roman"/>
          <w:color w:val="000000"/>
          <w:spacing w:val="0"/>
          <w:w w:val="100"/>
          <w:position w:val="0"/>
        </w:rPr>
        <w:t>8</w:t>
      </w:r>
      <w:r>
        <w:rPr>
          <w:color w:val="000000"/>
          <w:spacing w:val="0"/>
          <w:w w:val="100"/>
          <w:position w:val="0"/>
        </w:rPr>
        <w:t>） 根据财政部、国家税务总局财税</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2016]36</w:t>
      </w:r>
      <w:r>
        <w:rPr>
          <w:color w:val="000000"/>
          <w:spacing w:val="0"/>
          <w:w w:val="100"/>
          <w:position w:val="0"/>
        </w:rPr>
        <w:t>号《财政部国家税务总局关于全面推开营业税改征增值税试点的通知》之附 件</w:t>
      </w:r>
      <w:r>
        <w:rPr>
          <w:rFonts w:ascii="Times New Roman" w:eastAsia="Times New Roman" w:hAnsi="Times New Roman" w:cs="Times New Roman"/>
          <w:color w:val="000000"/>
          <w:spacing w:val="0"/>
          <w:w w:val="100"/>
          <w:position w:val="0"/>
        </w:rPr>
        <w:t>3</w:t>
      </w:r>
      <w:r>
        <w:rPr>
          <w:color w:val="000000"/>
          <w:spacing w:val="0"/>
          <w:w w:val="100"/>
          <w:position w:val="0"/>
        </w:rPr>
        <w:t>《营业税改征增值税试点过渡政策的规定》之规定，试点纳税人提供技术转让、技术开发和与之相关的技术咨询、技术 服务免征增值税，公司软件开发收入享受前述税收优惠政策。</w:t>
      </w:r>
    </w:p>
    <w:p>
      <w:pPr>
        <w:pStyle w:val="Style32"/>
        <w:keepNext w:val="0"/>
        <w:keepLines w:val="0"/>
        <w:widowControl w:val="0"/>
        <w:shd w:val="clear" w:color="auto" w:fill="auto"/>
        <w:tabs>
          <w:tab w:pos="1146" w:val="left"/>
        </w:tabs>
        <w:bidi w:val="0"/>
        <w:spacing w:before="0" w:line="314" w:lineRule="exact"/>
        <w:ind w:left="660" w:right="0" w:firstLine="20"/>
        <w:jc w:val="both"/>
      </w:pPr>
      <w:bookmarkStart w:id="1267" w:name="bookmark1267"/>
      <w:r>
        <w:rPr>
          <w:color w:val="000000"/>
          <w:spacing w:val="0"/>
          <w:w w:val="100"/>
          <w:position w:val="0"/>
        </w:rPr>
        <w:t>（</w:t>
      </w:r>
      <w:bookmarkEnd w:id="1267"/>
      <w:r>
        <w:rPr>
          <w:rFonts w:ascii="Times New Roman" w:eastAsia="Times New Roman" w:hAnsi="Times New Roman" w:cs="Times New Roman"/>
          <w:color w:val="000000"/>
          <w:spacing w:val="0"/>
          <w:w w:val="100"/>
          <w:position w:val="0"/>
        </w:rPr>
        <w:t>9</w:t>
      </w:r>
      <w:r>
        <w:rPr>
          <w:color w:val="000000"/>
          <w:spacing w:val="0"/>
          <w:w w:val="100"/>
          <w:position w:val="0"/>
        </w:rPr>
        <w:t>）</w:t>
        <w:tab/>
        <w:t>根据《国务院关于印发进一步鼓励软件产业和集成电路产业发展若干政策的通知》（国发</w:t>
      </w:r>
      <w:r>
        <w:rPr>
          <w:rFonts w:ascii="Times New Roman" w:eastAsia="Times New Roman" w:hAnsi="Times New Roman" w:cs="Times New Roman"/>
          <w:color w:val="000000"/>
          <w:spacing w:val="0"/>
          <w:w w:val="100"/>
          <w:position w:val="0"/>
        </w:rPr>
        <w:t>[2011]4</w:t>
      </w:r>
      <w:r>
        <w:rPr>
          <w:color w:val="000000"/>
          <w:spacing w:val="0"/>
          <w:w w:val="100"/>
          <w:position w:val="0"/>
        </w:rPr>
        <w:t>号）和《财政部国家 税务总局关于软件产品增值税政策的通知》（财税</w:t>
      </w:r>
      <w:r>
        <w:rPr>
          <w:rFonts w:ascii="Times New Roman" w:eastAsia="Times New Roman" w:hAnsi="Times New Roman" w:cs="Times New Roman"/>
          <w:color w:val="000000"/>
          <w:spacing w:val="0"/>
          <w:w w:val="100"/>
          <w:position w:val="0"/>
        </w:rPr>
        <w:t>[2011]100</w:t>
      </w:r>
      <w:r>
        <w:rPr>
          <w:color w:val="000000"/>
          <w:spacing w:val="0"/>
          <w:w w:val="100"/>
          <w:position w:val="0"/>
        </w:rPr>
        <w:t>号）的规定，增值税一般纳税人销售其自行开发生产的软件产品， 按</w:t>
      </w:r>
      <w:r>
        <w:rPr>
          <w:rFonts w:ascii="Times New Roman" w:eastAsia="Times New Roman" w:hAnsi="Times New Roman" w:cs="Times New Roman"/>
          <w:color w:val="000000"/>
          <w:spacing w:val="0"/>
          <w:w w:val="100"/>
          <w:position w:val="0"/>
        </w:rPr>
        <w:t xml:space="preserve">17% </w:t>
      </w:r>
      <w:r>
        <w:rPr>
          <w:color w:val="000000"/>
          <w:spacing w:val="0"/>
          <w:w w:val="100"/>
          <w:position w:val="0"/>
        </w:rPr>
        <w:t>（税改后</w:t>
      </w:r>
      <w:r>
        <w:rPr>
          <w:rFonts w:ascii="Times New Roman" w:eastAsia="Times New Roman" w:hAnsi="Times New Roman" w:cs="Times New Roman"/>
          <w:color w:val="000000"/>
          <w:spacing w:val="0"/>
          <w:w w:val="100"/>
          <w:position w:val="0"/>
        </w:rPr>
        <w:t>13%</w:t>
      </w:r>
      <w:r>
        <w:rPr>
          <w:color w:val="000000"/>
          <w:spacing w:val="0"/>
          <w:w w:val="100"/>
          <w:position w:val="0"/>
        </w:rPr>
        <w:t>）税率征收增值税后，对其增值税实际税负超过</w:t>
      </w:r>
      <w:r>
        <w:rPr>
          <w:rFonts w:ascii="Times New Roman" w:eastAsia="Times New Roman" w:hAnsi="Times New Roman" w:cs="Times New Roman"/>
          <w:color w:val="000000"/>
          <w:spacing w:val="0"/>
          <w:w w:val="100"/>
          <w:position w:val="0"/>
        </w:rPr>
        <w:t>3%</w:t>
      </w:r>
      <w:r>
        <w:rPr>
          <w:color w:val="000000"/>
          <w:spacing w:val="0"/>
          <w:w w:val="100"/>
          <w:position w:val="0"/>
        </w:rPr>
        <w:t>的部分实行即征即退政策。</w:t>
      </w:r>
    </w:p>
    <w:p>
      <w:pPr>
        <w:pStyle w:val="Style32"/>
        <w:keepNext w:val="0"/>
        <w:keepLines w:val="0"/>
        <w:widowControl w:val="0"/>
        <w:shd w:val="clear" w:color="auto" w:fill="auto"/>
        <w:tabs>
          <w:tab w:pos="1156" w:val="left"/>
        </w:tabs>
        <w:bidi w:val="0"/>
        <w:spacing w:before="0" w:line="314" w:lineRule="exact"/>
        <w:ind w:left="660" w:right="0" w:firstLine="20"/>
        <w:jc w:val="both"/>
        <w:sectPr>
          <w:footnotePr>
            <w:pos w:val="pageBottom"/>
            <w:numFmt w:val="decimal"/>
            <w:numRestart w:val="continuous"/>
          </w:footnotePr>
          <w:pgSz w:w="11900" w:h="16840"/>
          <w:pgMar w:top="678" w:right="1021" w:bottom="1163" w:left="444" w:header="0" w:footer="3" w:gutter="0"/>
          <w:cols w:space="720"/>
          <w:noEndnote/>
          <w:rtlGutter w:val="0"/>
          <w:docGrid w:linePitch="360"/>
        </w:sectPr>
      </w:pPr>
      <w:bookmarkStart w:id="1268" w:name="bookmark1268"/>
      <w:r>
        <w:rPr>
          <w:color w:val="000000"/>
          <w:spacing w:val="0"/>
          <w:w w:val="100"/>
          <w:position w:val="0"/>
        </w:rPr>
        <w:t>（</w:t>
      </w:r>
      <w:bookmarkEnd w:id="1268"/>
      <w:r>
        <w:rPr>
          <w:rFonts w:ascii="Times New Roman" w:eastAsia="Times New Roman" w:hAnsi="Times New Roman" w:cs="Times New Roman"/>
          <w:color w:val="000000"/>
          <w:spacing w:val="0"/>
          <w:w w:val="100"/>
          <w:position w:val="0"/>
        </w:rPr>
        <w:t>10</w:t>
      </w:r>
      <w:r>
        <w:rPr>
          <w:color w:val="000000"/>
          <w:spacing w:val="0"/>
          <w:w w:val="100"/>
          <w:position w:val="0"/>
        </w:rPr>
        <w:t>）</w:t>
        <w:tab/>
        <w:t>根据《财政部税务总局海关总署公告</w:t>
      </w:r>
      <w:r>
        <w:rPr>
          <w:rFonts w:ascii="Times New Roman" w:eastAsia="Times New Roman" w:hAnsi="Times New Roman" w:cs="Times New Roman"/>
          <w:color w:val="000000"/>
          <w:spacing w:val="0"/>
          <w:w w:val="100"/>
          <w:position w:val="0"/>
        </w:rPr>
        <w:t>2019</w:t>
      </w:r>
      <w:r>
        <w:rPr>
          <w:color w:val="000000"/>
          <w:spacing w:val="0"/>
          <w:w w:val="100"/>
          <w:position w:val="0"/>
        </w:rPr>
        <w:t>年第</w:t>
      </w:r>
      <w:r>
        <w:rPr>
          <w:rFonts w:ascii="Times New Roman" w:eastAsia="Times New Roman" w:hAnsi="Times New Roman" w:cs="Times New Roman"/>
          <w:color w:val="000000"/>
          <w:spacing w:val="0"/>
          <w:w w:val="100"/>
          <w:position w:val="0"/>
        </w:rPr>
        <w:t>39</w:t>
      </w:r>
      <w:r>
        <w:rPr>
          <w:color w:val="000000"/>
          <w:spacing w:val="0"/>
          <w:w w:val="100"/>
          <w:position w:val="0"/>
        </w:rPr>
        <w:t>号》的规定，自</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日期间，符合</w:t>
      </w:r>
    </w:p>
    <w:p>
      <w:pPr>
        <w:framePr w:w="768" w:h="437" w:hSpace="1296" w:wrap="notBeside" w:vAnchor="text" w:hAnchor="text" w:x="711" w:y="1"/>
        <w:widowControl w:val="0"/>
        <w:rPr>
          <w:sz w:val="2"/>
          <w:szCs w:val="2"/>
        </w:rPr>
      </w:pPr>
      <w:r>
        <w:drawing>
          <wp:inline>
            <wp:extent cx="487680" cy="280670"/>
            <wp:docPr id="878" name="Picutre 878"/>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373"/>
                    <a:stretch/>
                  </pic:blipFill>
                  <pic:spPr>
                    <a:xfrm>
                      <a:ext cx="487680" cy="280670"/>
                    </a:xfrm>
                    <a:prstGeom prst="rect"/>
                  </pic:spPr>
                </pic:pic>
              </a:graphicData>
            </a:graphic>
          </wp:inline>
        </w:drawing>
      </w:r>
    </w:p>
    <w:p>
      <w:pPr>
        <w:widowControl w:val="0"/>
        <w:spacing w:line="1" w:lineRule="exact"/>
      </w:pPr>
      <w:r>
        <mc:AlternateContent>
          <mc:Choice Requires="wps">
            <w:drawing>
              <wp:anchor distT="0" distB="0" distL="450850" distR="4864735" simplePos="0" relativeHeight="125829601" behindDoc="0" locked="0" layoutInCell="1" allowOverlap="1">
                <wp:simplePos x="0" y="0"/>
                <wp:positionH relativeFrom="column">
                  <wp:posOffset>938530</wp:posOffset>
                </wp:positionH>
                <wp:positionV relativeFrom="paragraph">
                  <wp:posOffset>6350</wp:posOffset>
                </wp:positionV>
                <wp:extent cx="822960" cy="250190"/>
                <wp:wrapTopAndBottom/>
                <wp:docPr id="879" name="Shape 879"/>
                <a:graphic xmlns:a="http://schemas.openxmlformats.org/drawingml/2006/main">
                  <a:graphicData uri="http://schemas.microsoft.com/office/word/2010/wordprocessingShape">
                    <wps:wsp>
                      <wps:cNvSpPr txBox="1"/>
                      <wps:spPr>
                        <a:xfrm>
                          <a:ext cx="822960"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905" type="#_x0000_t202" style="position:absolute;margin-left:73.900000000000006pt;margin-top:0.5pt;width:64.799999999999997pt;height:19.699999999999999pt;z-index:-125829152;mso-wrap-distance-left:35.5pt;mso-wrap-distance-right:383.05000000000001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32"/>
        <w:keepNext w:val="0"/>
        <w:keepLines w:val="0"/>
        <w:widowControl w:val="0"/>
        <w:shd w:val="clear" w:color="auto" w:fill="auto"/>
        <w:bidi w:val="0"/>
        <w:spacing w:before="0" w:after="80" w:line="240" w:lineRule="auto"/>
        <w:ind w:left="0" w:right="0" w:firstLine="660"/>
        <w:jc w:val="both"/>
      </w:pPr>
      <w:r>
        <w:rPr>
          <w:color w:val="000000"/>
          <w:spacing w:val="0"/>
          <w:w w:val="100"/>
          <w:position w:val="0"/>
        </w:rPr>
        <w:t>条件的从事生产、生活性服务业纳税人按照当期增值税可抵扣进项税额加计</w:t>
      </w:r>
      <w:r>
        <w:rPr>
          <w:rFonts w:ascii="Times New Roman" w:eastAsia="Times New Roman" w:hAnsi="Times New Roman" w:cs="Times New Roman"/>
          <w:color w:val="000000"/>
          <w:spacing w:val="0"/>
          <w:w w:val="100"/>
          <w:position w:val="0"/>
        </w:rPr>
        <w:t>10%</w:t>
      </w:r>
      <w:r>
        <w:rPr>
          <w:color w:val="000000"/>
          <w:spacing w:val="0"/>
          <w:w w:val="100"/>
          <w:position w:val="0"/>
        </w:rPr>
        <w:t>，用于抵减应纳增值税额，公司之子公司</w:t>
      </w:r>
    </w:p>
    <w:p>
      <w:pPr>
        <w:pStyle w:val="Style32"/>
        <w:keepNext w:val="0"/>
        <w:keepLines w:val="0"/>
        <w:widowControl w:val="0"/>
        <w:shd w:val="clear" w:color="auto" w:fill="auto"/>
        <w:bidi w:val="0"/>
        <w:spacing w:before="0" w:after="380" w:line="240" w:lineRule="auto"/>
        <w:ind w:left="0" w:right="0" w:firstLine="660"/>
        <w:jc w:val="both"/>
      </w:pPr>
      <w:r>
        <w:rPr>
          <w:color w:val="000000"/>
          <w:spacing w:val="0"/>
          <w:w w:val="100"/>
          <w:position w:val="0"/>
        </w:rPr>
        <w:t>辽宁荣科金融服务有限公司适用前述税收优惠政策。</w:t>
      </w:r>
    </w:p>
    <w:p>
      <w:pPr>
        <w:pStyle w:val="Style32"/>
        <w:keepNext w:val="0"/>
        <w:keepLines w:val="0"/>
        <w:widowControl w:val="0"/>
        <w:shd w:val="clear" w:color="auto" w:fill="auto"/>
        <w:bidi w:val="0"/>
        <w:spacing w:before="0" w:after="380" w:line="302" w:lineRule="exact"/>
        <w:ind w:left="660" w:right="0" w:firstLine="20"/>
        <w:jc w:val="left"/>
      </w:pPr>
      <w:r>
        <w:rPr>
          <w:color w:val="000000"/>
          <w:spacing w:val="0"/>
          <w:w w:val="100"/>
          <w:position w:val="0"/>
        </w:rPr>
        <w:t>公司因享受增值税优惠政策而影响损益的事项包括：因增值税加计抵减影响其他收益</w:t>
      </w:r>
      <w:r>
        <w:rPr>
          <w:rFonts w:ascii="Times New Roman" w:eastAsia="Times New Roman" w:hAnsi="Times New Roman" w:cs="Times New Roman"/>
          <w:color w:val="000000"/>
          <w:spacing w:val="0"/>
          <w:w w:val="100"/>
          <w:position w:val="0"/>
        </w:rPr>
        <w:t>5,538.34</w:t>
      </w:r>
      <w:r>
        <w:rPr>
          <w:color w:val="000000"/>
          <w:spacing w:val="0"/>
          <w:w w:val="100"/>
          <w:position w:val="0"/>
        </w:rPr>
        <w:t>元，因软件产品增值税即征即 退影响其他收益</w:t>
      </w:r>
      <w:r>
        <w:rPr>
          <w:rFonts w:ascii="Times New Roman" w:eastAsia="Times New Roman" w:hAnsi="Times New Roman" w:cs="Times New Roman"/>
          <w:color w:val="000000"/>
          <w:spacing w:val="0"/>
          <w:w w:val="100"/>
          <w:position w:val="0"/>
        </w:rPr>
        <w:t>24,824,430.08</w:t>
      </w:r>
      <w:r>
        <w:rPr>
          <w:color w:val="000000"/>
          <w:spacing w:val="0"/>
          <w:w w:val="100"/>
          <w:position w:val="0"/>
        </w:rPr>
        <w:t>元。</w:t>
      </w:r>
    </w:p>
    <w:p>
      <w:pPr>
        <w:pStyle w:val="Style55"/>
        <w:keepNext/>
        <w:keepLines/>
        <w:widowControl w:val="0"/>
        <w:shd w:val="clear" w:color="auto" w:fill="auto"/>
        <w:bidi w:val="0"/>
        <w:spacing w:before="0" w:after="260" w:line="240" w:lineRule="auto"/>
        <w:ind w:left="0" w:right="0" w:firstLine="660"/>
        <w:jc w:val="left"/>
      </w:pPr>
      <w:bookmarkStart w:id="1269" w:name="bookmark1269"/>
      <w:bookmarkStart w:id="1270" w:name="bookmark1270"/>
      <w:bookmarkStart w:id="1271" w:name="bookmark1271"/>
      <w:bookmarkStart w:id="1272" w:name="bookmark1272"/>
      <w:r>
        <w:rPr>
          <w:rFonts w:ascii="Times New Roman" w:eastAsia="Times New Roman" w:hAnsi="Times New Roman" w:cs="Times New Roman"/>
          <w:color w:val="000000"/>
          <w:spacing w:val="0"/>
          <w:w w:val="100"/>
          <w:position w:val="0"/>
        </w:rPr>
        <w:t>3</w:t>
      </w:r>
      <w:bookmarkEnd w:id="1271"/>
      <w:r>
        <w:rPr>
          <w:color w:val="000000"/>
          <w:spacing w:val="0"/>
          <w:w w:val="100"/>
          <w:position w:val="0"/>
        </w:rPr>
        <w:t>、其他</w:t>
      </w:r>
      <w:bookmarkEnd w:id="1269"/>
      <w:bookmarkEnd w:id="1270"/>
      <w:bookmarkEnd w:id="1272"/>
    </w:p>
    <w:p>
      <w:pPr>
        <w:pStyle w:val="Style32"/>
        <w:keepNext w:val="0"/>
        <w:keepLines w:val="0"/>
        <w:widowControl w:val="0"/>
        <w:shd w:val="clear" w:color="auto" w:fill="auto"/>
        <w:bidi w:val="0"/>
        <w:spacing w:before="0" w:after="380" w:line="302" w:lineRule="exact"/>
        <w:ind w:left="0" w:right="0" w:firstLine="660"/>
        <w:jc w:val="left"/>
      </w:pPr>
      <w:r>
        <w:rPr>
          <w:color w:val="000000"/>
          <w:spacing w:val="0"/>
          <w:w w:val="100"/>
          <w:position w:val="0"/>
        </w:rPr>
        <w:t>无</w:t>
      </w:r>
    </w:p>
    <w:p>
      <w:pPr>
        <w:pStyle w:val="Style47"/>
        <w:keepNext/>
        <w:keepLines/>
        <w:widowControl w:val="0"/>
        <w:shd w:val="clear" w:color="auto" w:fill="auto"/>
        <w:bidi w:val="0"/>
        <w:spacing w:before="0" w:after="380" w:line="240" w:lineRule="auto"/>
        <w:ind w:left="0" w:right="0" w:firstLine="660"/>
        <w:jc w:val="left"/>
      </w:pPr>
      <w:bookmarkStart w:id="1273" w:name="bookmark1273"/>
      <w:bookmarkStart w:id="1274" w:name="bookmark1274"/>
      <w:bookmarkStart w:id="1275" w:name="bookmark1275"/>
      <w:bookmarkStart w:id="1276" w:name="bookmark1276"/>
      <w:r>
        <w:rPr>
          <w:color w:val="000000"/>
          <w:spacing w:val="0"/>
          <w:w w:val="100"/>
          <w:position w:val="0"/>
          <w:sz w:val="24"/>
          <w:szCs w:val="24"/>
        </w:rPr>
        <w:t>七</w:t>
      </w:r>
      <w:bookmarkEnd w:id="1275"/>
      <w:r>
        <w:rPr>
          <w:color w:val="000000"/>
          <w:spacing w:val="0"/>
          <w:w w:val="100"/>
          <w:position w:val="0"/>
          <w:sz w:val="24"/>
          <w:szCs w:val="24"/>
        </w:rPr>
        <w:t>、合并财务报表项目注释</w:t>
      </w:r>
      <w:bookmarkEnd w:id="1273"/>
      <w:bookmarkEnd w:id="1274"/>
      <w:bookmarkEnd w:id="1276"/>
    </w:p>
    <w:p>
      <w:pPr>
        <w:pStyle w:val="Style55"/>
        <w:keepNext/>
        <w:keepLines/>
        <w:widowControl w:val="0"/>
        <w:shd w:val="clear" w:color="auto" w:fill="auto"/>
        <w:bidi w:val="0"/>
        <w:spacing w:before="0" w:after="380" w:line="240" w:lineRule="auto"/>
        <w:ind w:left="0" w:right="0" w:firstLine="660"/>
        <w:jc w:val="left"/>
      </w:pPr>
      <w:bookmarkStart w:id="1277" w:name="bookmark1277"/>
      <w:bookmarkStart w:id="1278" w:name="bookmark1278"/>
      <w:bookmarkStart w:id="1279" w:name="bookmark1279"/>
      <w:bookmarkStart w:id="1280" w:name="bookmark1280"/>
      <w:r>
        <w:rPr>
          <w:rFonts w:ascii="Times New Roman" w:eastAsia="Times New Roman" w:hAnsi="Times New Roman" w:cs="Times New Roman"/>
          <w:color w:val="000000"/>
          <w:spacing w:val="0"/>
          <w:w w:val="100"/>
          <w:position w:val="0"/>
        </w:rPr>
        <w:t>1</w:t>
      </w:r>
      <w:bookmarkEnd w:id="1279"/>
      <w:r>
        <w:rPr>
          <w:color w:val="000000"/>
          <w:spacing w:val="0"/>
          <w:w w:val="100"/>
          <w:position w:val="0"/>
        </w:rPr>
        <w:t>、货币资金</w:t>
      </w:r>
      <w:bookmarkEnd w:id="1277"/>
      <w:bookmarkEnd w:id="1278"/>
      <w:bookmarkEnd w:id="1280"/>
    </w:p>
    <w:p>
      <w:pPr>
        <w:pStyle w:val="Style32"/>
        <w:keepNext w:val="0"/>
        <w:keepLines w:val="0"/>
        <w:widowControl w:val="0"/>
        <w:shd w:val="clear" w:color="auto" w:fill="auto"/>
        <w:bidi w:val="0"/>
        <w:spacing w:before="0" w:after="80" w:line="240" w:lineRule="auto"/>
        <w:ind w:left="960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库存现金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23,872.44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17,010.04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381,616,044.09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281,958,208.86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其他货币资金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2,210,347.44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3,913,177.52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383,850,263.97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285,888,396.42</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其中：存放在境外的款项总额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128,414.12</w:t>
            </w:r>
          </w:p>
        </w:tc>
      </w:tr>
    </w:tbl>
    <w:p>
      <w:pPr>
        <w:pStyle w:val="Style32"/>
        <w:keepNext w:val="0"/>
        <w:keepLines w:val="0"/>
        <w:widowControl w:val="0"/>
        <w:shd w:val="clear" w:color="auto" w:fill="auto"/>
        <w:bidi w:val="0"/>
        <w:spacing w:before="0" w:after="0" w:line="322" w:lineRule="exact"/>
        <w:ind w:left="0" w:right="0" w:firstLine="660"/>
        <w:jc w:val="left"/>
      </w:pPr>
      <w:r>
        <w:rPr>
          <w:color w:val="000000"/>
          <w:spacing w:val="0"/>
          <w:w w:val="100"/>
          <w:position w:val="0"/>
        </w:rPr>
        <w:t>其他说明</w:t>
      </w:r>
    </w:p>
    <w:p>
      <w:pPr>
        <w:pStyle w:val="Style32"/>
        <w:keepNext w:val="0"/>
        <w:keepLines w:val="0"/>
        <w:widowControl w:val="0"/>
        <w:shd w:val="clear" w:color="auto" w:fill="auto"/>
        <w:bidi w:val="0"/>
        <w:spacing w:before="0" w:after="380" w:line="322" w:lineRule="exact"/>
        <w:ind w:left="660" w:right="0" w:firstLine="20"/>
        <w:jc w:val="left"/>
      </w:pPr>
      <w:r>
        <w:rPr>
          <w:color w:val="000000"/>
          <w:spacing w:val="0"/>
          <w:w w:val="100"/>
          <w:position w:val="0"/>
        </w:rPr>
        <w:t>本项目其他货币资金期末余额中包含</w:t>
      </w:r>
      <w:r>
        <w:rPr>
          <w:rFonts w:ascii="Times New Roman" w:eastAsia="Times New Roman" w:hAnsi="Times New Roman" w:cs="Times New Roman"/>
          <w:color w:val="000000"/>
          <w:spacing w:val="0"/>
          <w:w w:val="100"/>
          <w:position w:val="0"/>
        </w:rPr>
        <w:t>1,665,386.29</w:t>
      </w:r>
      <w:r>
        <w:rPr>
          <w:color w:val="000000"/>
          <w:spacing w:val="0"/>
          <w:w w:val="100"/>
          <w:position w:val="0"/>
        </w:rPr>
        <w:t>元保函保证金存款，除保函保证金外，本公司无其他因抵押或冻结等对使 用有限制、有潜在回收风险的款项。</w:t>
      </w:r>
    </w:p>
    <w:p>
      <w:pPr>
        <w:pStyle w:val="Style55"/>
        <w:keepNext/>
        <w:keepLines/>
        <w:widowControl w:val="0"/>
        <w:shd w:val="clear" w:color="auto" w:fill="auto"/>
        <w:tabs>
          <w:tab w:pos="1038" w:val="left"/>
        </w:tabs>
        <w:bidi w:val="0"/>
        <w:spacing w:before="0" w:after="260" w:line="240" w:lineRule="auto"/>
        <w:ind w:left="0" w:right="0" w:firstLine="660"/>
        <w:jc w:val="left"/>
      </w:pPr>
      <w:bookmarkStart w:id="1281" w:name="bookmark1281"/>
      <w:bookmarkStart w:id="1282" w:name="bookmark1282"/>
      <w:bookmarkStart w:id="1283" w:name="bookmark1283"/>
      <w:bookmarkStart w:id="1284" w:name="bookmark1284"/>
      <w:r>
        <w:rPr>
          <w:rFonts w:ascii="Times New Roman" w:eastAsia="Times New Roman" w:hAnsi="Times New Roman" w:cs="Times New Roman"/>
          <w:color w:val="000000"/>
          <w:spacing w:val="0"/>
          <w:w w:val="100"/>
          <w:position w:val="0"/>
        </w:rPr>
        <w:t>2</w:t>
      </w:r>
      <w:bookmarkEnd w:id="1283"/>
      <w:r>
        <w:rPr>
          <w:color w:val="000000"/>
          <w:spacing w:val="0"/>
          <w:w w:val="100"/>
          <w:position w:val="0"/>
        </w:rPr>
        <w:t>、</w:t>
        <w:tab/>
        <w:t>交易性金融资产</w:t>
      </w:r>
      <w:bookmarkEnd w:id="1281"/>
      <w:bookmarkEnd w:id="1282"/>
      <w:bookmarkEnd w:id="1284"/>
    </w:p>
    <w:p>
      <w:pPr>
        <w:pStyle w:val="Style32"/>
        <w:keepNext w:val="0"/>
        <w:keepLines w:val="0"/>
        <w:widowControl w:val="0"/>
        <w:shd w:val="clear" w:color="auto" w:fill="auto"/>
        <w:bidi w:val="0"/>
        <w:spacing w:before="0" w:after="380" w:line="322" w:lineRule="exact"/>
        <w:ind w:left="0" w:right="0" w:firstLine="660"/>
        <w:jc w:val="left"/>
      </w:pPr>
      <w:r>
        <w:rPr>
          <w:color w:val="000000"/>
          <w:spacing w:val="0"/>
          <w:w w:val="100"/>
          <w:position w:val="0"/>
        </w:rPr>
        <w:t>无</w:t>
      </w:r>
    </w:p>
    <w:p>
      <w:pPr>
        <w:pStyle w:val="Style55"/>
        <w:keepNext/>
        <w:keepLines/>
        <w:widowControl w:val="0"/>
        <w:shd w:val="clear" w:color="auto" w:fill="auto"/>
        <w:tabs>
          <w:tab w:pos="1038" w:val="left"/>
        </w:tabs>
        <w:bidi w:val="0"/>
        <w:spacing w:before="0" w:after="260" w:line="240" w:lineRule="auto"/>
        <w:ind w:left="0" w:right="0" w:firstLine="660"/>
        <w:jc w:val="left"/>
      </w:pPr>
      <w:bookmarkStart w:id="1285" w:name="bookmark1285"/>
      <w:bookmarkStart w:id="1286" w:name="bookmark1286"/>
      <w:bookmarkStart w:id="1287" w:name="bookmark1287"/>
      <w:bookmarkStart w:id="1288" w:name="bookmark1288"/>
      <w:r>
        <w:rPr>
          <w:rFonts w:ascii="Times New Roman" w:eastAsia="Times New Roman" w:hAnsi="Times New Roman" w:cs="Times New Roman"/>
          <w:color w:val="000000"/>
          <w:spacing w:val="0"/>
          <w:w w:val="100"/>
          <w:position w:val="0"/>
        </w:rPr>
        <w:t>3</w:t>
      </w:r>
      <w:bookmarkEnd w:id="1287"/>
      <w:r>
        <w:rPr>
          <w:color w:val="000000"/>
          <w:spacing w:val="0"/>
          <w:w w:val="100"/>
          <w:position w:val="0"/>
        </w:rPr>
        <w:t>、</w:t>
        <w:tab/>
        <w:t>衍生金融资产</w:t>
      </w:r>
      <w:bookmarkEnd w:id="1285"/>
      <w:bookmarkEnd w:id="1286"/>
      <w:bookmarkEnd w:id="1288"/>
    </w:p>
    <w:p>
      <w:pPr>
        <w:pStyle w:val="Style32"/>
        <w:keepNext w:val="0"/>
        <w:keepLines w:val="0"/>
        <w:widowControl w:val="0"/>
        <w:shd w:val="clear" w:color="auto" w:fill="auto"/>
        <w:bidi w:val="0"/>
        <w:spacing w:before="0" w:after="380" w:line="322" w:lineRule="exact"/>
        <w:ind w:left="0" w:right="0" w:firstLine="660"/>
        <w:jc w:val="left"/>
      </w:pPr>
      <w:r>
        <w:rPr>
          <w:color w:val="000000"/>
          <w:spacing w:val="0"/>
          <w:w w:val="100"/>
          <w:position w:val="0"/>
        </w:rPr>
        <w:t>无</w:t>
      </w:r>
    </w:p>
    <w:p>
      <w:pPr>
        <w:pStyle w:val="Style55"/>
        <w:keepNext/>
        <w:keepLines/>
        <w:widowControl w:val="0"/>
        <w:shd w:val="clear" w:color="auto" w:fill="auto"/>
        <w:tabs>
          <w:tab w:pos="1038" w:val="left"/>
        </w:tabs>
        <w:bidi w:val="0"/>
        <w:spacing w:before="0" w:after="380" w:line="240" w:lineRule="auto"/>
        <w:ind w:left="0" w:right="0" w:firstLine="660"/>
        <w:jc w:val="left"/>
      </w:pPr>
      <w:bookmarkStart w:id="1289" w:name="bookmark1289"/>
      <w:bookmarkStart w:id="1290" w:name="bookmark1290"/>
      <w:bookmarkStart w:id="1291" w:name="bookmark1291"/>
      <w:bookmarkStart w:id="1292" w:name="bookmark1292"/>
      <w:r>
        <w:rPr>
          <w:rFonts w:ascii="Times New Roman" w:eastAsia="Times New Roman" w:hAnsi="Times New Roman" w:cs="Times New Roman"/>
          <w:color w:val="000000"/>
          <w:spacing w:val="0"/>
          <w:w w:val="100"/>
          <w:position w:val="0"/>
        </w:rPr>
        <w:t>4</w:t>
      </w:r>
      <w:bookmarkEnd w:id="1291"/>
      <w:r>
        <w:rPr>
          <w:color w:val="000000"/>
          <w:spacing w:val="0"/>
          <w:w w:val="100"/>
          <w:position w:val="0"/>
        </w:rPr>
        <w:t>、</w:t>
        <w:tab/>
        <w:t>应收票据</w:t>
      </w:r>
      <w:bookmarkEnd w:id="1289"/>
      <w:bookmarkEnd w:id="1290"/>
      <w:bookmarkEnd w:id="1292"/>
    </w:p>
    <w:p>
      <w:pPr>
        <w:pStyle w:val="Style55"/>
        <w:keepNext/>
        <w:keepLines/>
        <w:widowControl w:val="0"/>
        <w:shd w:val="clear" w:color="auto" w:fill="auto"/>
        <w:bidi w:val="0"/>
        <w:spacing w:before="0" w:after="380" w:line="240" w:lineRule="auto"/>
        <w:ind w:left="0" w:right="0" w:firstLine="660"/>
        <w:jc w:val="left"/>
      </w:pPr>
      <w:bookmarkStart w:id="1289" w:name="bookmark1289"/>
      <w:bookmarkStart w:id="1290" w:name="bookmark1290"/>
      <w:bookmarkStart w:id="1293" w:name="bookmark1293"/>
      <w:bookmarkStart w:id="1294" w:name="bookmark1294"/>
      <w:r>
        <w:rPr>
          <w:color w:val="000000"/>
          <w:spacing w:val="0"/>
          <w:w w:val="100"/>
          <w:position w:val="0"/>
        </w:rPr>
        <w:t>（</w:t>
      </w:r>
      <w:bookmarkEnd w:id="1293"/>
      <w:r>
        <w:rPr>
          <w:rFonts w:ascii="Times New Roman" w:eastAsia="Times New Roman" w:hAnsi="Times New Roman" w:cs="Times New Roman"/>
          <w:color w:val="000000"/>
          <w:spacing w:val="0"/>
          <w:w w:val="100"/>
          <w:position w:val="0"/>
        </w:rPr>
        <w:t>1</w:t>
      </w:r>
      <w:r>
        <w:rPr>
          <w:color w:val="000000"/>
          <w:spacing w:val="0"/>
          <w:w w:val="100"/>
          <w:position w:val="0"/>
        </w:rPr>
        <w:t>）应收票据分类列示</w:t>
      </w:r>
      <w:bookmarkEnd w:id="1289"/>
      <w:bookmarkEnd w:id="1290"/>
      <w:bookmarkEnd w:id="1294"/>
    </w:p>
    <w:p>
      <w:pPr>
        <w:pStyle w:val="Style32"/>
        <w:keepNext w:val="0"/>
        <w:keepLines w:val="0"/>
        <w:widowControl w:val="0"/>
        <w:shd w:val="clear" w:color="auto" w:fill="auto"/>
        <w:bidi w:val="0"/>
        <w:spacing w:before="0" w:after="80" w:line="240" w:lineRule="auto"/>
        <w:ind w:left="960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3,264,647.60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1,555,486.80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6,202,238.07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428,624.20</w:t>
            </w:r>
          </w:p>
        </w:tc>
      </w:tr>
    </w:tbl>
    <w:p>
      <w:pPr>
        <w:widowControl w:val="0"/>
        <w:spacing w:line="1" w:lineRule="exact"/>
      </w:pPr>
      <w:r>
        <w:br w:type="page"/>
      </w:r>
    </w:p>
    <w:tbl>
      <w:tblPr>
        <w:tblOverlap w:val="never"/>
        <w:jc w:val="left"/>
        <w:tblLayout w:type="fixed"/>
      </w:tblPr>
      <w:tblGrid>
        <w:gridCol w:w="3197"/>
        <w:gridCol w:w="3192"/>
        <w:gridCol w:w="3197"/>
      </w:tblGrid>
      <w:tr>
        <w:trPr>
          <w:trHeight w:val="418" w:hRule="exact"/>
        </w:trPr>
        <w:tc>
          <w:tcPr>
            <w:tcBorders>
              <w:top w:val="single" w:sz="4"/>
              <w:left w:val="single" w:sz="4"/>
              <w:bottom w:val="single" w:sz="4"/>
            </w:tcBorders>
            <w:shd w:val="clear" w:color="auto" w:fill="D4D4D4"/>
            <w:vAlign w:val="center"/>
          </w:tcPr>
          <w:p>
            <w:pPr>
              <w:pStyle w:val="Style44"/>
              <w:keepNext w:val="0"/>
              <w:keepLines w:val="0"/>
              <w:framePr w:w="9586" w:h="418" w:vSpace="365" w:wrap="notBeside" w:vAnchor="text" w:hAnchor="text" w:x="1076"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framePr w:w="9586" w:h="418" w:vSpace="365" w:wrap="notBeside" w:vAnchor="text" w:hAnchor="text" w:x="107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9,466,885.67</w:t>
            </w:r>
          </w:p>
        </w:tc>
        <w:tc>
          <w:tcPr>
            <w:tcBorders>
              <w:top w:val="single" w:sz="4"/>
              <w:left w:val="single" w:sz="4"/>
              <w:bottom w:val="single" w:sz="4"/>
              <w:right w:val="single" w:sz="4"/>
            </w:tcBorders>
            <w:shd w:val="clear" w:color="auto" w:fill="FFFFFF"/>
            <w:vAlign w:val="center"/>
          </w:tcPr>
          <w:p>
            <w:pPr>
              <w:pStyle w:val="Style44"/>
              <w:keepNext w:val="0"/>
              <w:keepLines w:val="0"/>
              <w:framePr w:w="9586" w:h="418" w:vSpace="365" w:wrap="notBeside" w:vAnchor="text" w:hAnchor="text" w:x="107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1,984,111.00</w:t>
            </w:r>
          </w:p>
        </w:tc>
      </w:tr>
    </w:tbl>
    <w:p>
      <w:pPr>
        <w:pStyle w:val="Style49"/>
        <w:keepNext w:val="0"/>
        <w:keepLines w:val="0"/>
        <w:framePr w:w="1296" w:h="365" w:hSpace="1075" w:wrap="notBeside" w:vAnchor="text" w:hAnchor="text" w:x="1878" w:y="1"/>
        <w:widowControl w:val="0"/>
        <w:shd w:val="clear" w:color="auto" w:fill="auto"/>
        <w:bidi w:val="0"/>
        <w:spacing w:before="0" w:after="0" w:line="173"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32"/>
        <w:keepNext w:val="0"/>
        <w:keepLines w:val="0"/>
        <w:widowControl w:val="0"/>
        <w:shd w:val="clear" w:color="auto" w:fill="auto"/>
        <w:bidi w:val="0"/>
        <w:spacing w:before="0" w:after="80" w:line="240" w:lineRule="auto"/>
        <w:ind w:left="0" w:right="0" w:firstLine="0"/>
        <w:jc w:val="right"/>
      </w:pPr>
      <w:r>
        <w:drawing>
          <wp:anchor distT="0" distB="0" distL="0" distR="0" simplePos="0" relativeHeight="125829603" behindDoc="0" locked="0" layoutInCell="1" allowOverlap="1">
            <wp:simplePos x="0" y="0"/>
            <wp:positionH relativeFrom="page">
              <wp:posOffset>796925</wp:posOffset>
            </wp:positionH>
            <wp:positionV relativeFrom="margin">
              <wp:posOffset>-60325</wp:posOffset>
            </wp:positionV>
            <wp:extent cx="487680" cy="237490"/>
            <wp:wrapTight wrapText="bothSides">
              <wp:wrapPolygon>
                <wp:start x="0" y="0"/>
                <wp:lineTo x="21600" y="0"/>
                <wp:lineTo x="21600" y="21600"/>
                <wp:lineTo x="0" y="21600"/>
                <wp:lineTo x="0" y="0"/>
              </wp:wrapPolygon>
            </wp:wrapTight>
            <wp:docPr id="881" name="Shape 881"/>
            <a:graphic xmlns:a="http://schemas.openxmlformats.org/drawingml/2006/main">
              <a:graphicData uri="http://schemas.openxmlformats.org/drawingml/2006/picture">
                <pic:pic xmlns:pic="http://schemas.openxmlformats.org/drawingml/2006/picture">
                  <pic:nvPicPr>
                    <pic:cNvPr id="882" name="Picture box 882"/>
                    <pic:cNvPicPr/>
                  </pic:nvPicPr>
                  <pic:blipFill>
                    <a:blip r:embed="rId375"/>
                    <a:stretch/>
                  </pic:blipFill>
                  <pic:spPr>
                    <a:xfrm>
                      <a:ext cx="487680" cy="237490"/>
                    </a:xfrm>
                    <a:prstGeom prst="rect"/>
                  </pic:spPr>
                </pic:pic>
              </a:graphicData>
            </a:graphic>
          </wp:anchor>
        </w:drawing>
      </w:r>
      <w:r>
        <w:rPr>
          <w:color w:val="000000"/>
          <w:spacing w:val="0"/>
          <w:w w:val="100"/>
          <w:position w:val="0"/>
        </w:rPr>
        <w:t>单位：元</w:t>
      </w:r>
    </w:p>
    <w:tbl>
      <w:tblPr>
        <w:tblOverlap w:val="never"/>
        <w:jc w:val="center"/>
        <w:tblLayout w:type="fixed"/>
      </w:tblPr>
      <w:tblGrid>
        <w:gridCol w:w="1565"/>
        <w:gridCol w:w="994"/>
        <w:gridCol w:w="706"/>
        <w:gridCol w:w="854"/>
        <w:gridCol w:w="850"/>
        <w:gridCol w:w="994"/>
        <w:gridCol w:w="989"/>
        <w:gridCol w:w="710"/>
        <w:gridCol w:w="850"/>
        <w:gridCol w:w="850"/>
        <w:gridCol w:w="1147"/>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类别</w:t>
            </w:r>
          </w:p>
        </w:tc>
        <w:tc>
          <w:tcPr>
            <w:gridSpan w:val="5"/>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4D4D4"/>
            <w:vAlign w:val="center"/>
          </w:tcPr>
          <w:p>
            <w:pP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账面价值</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00" w:firstLine="0"/>
              <w:jc w:val="right"/>
            </w:pPr>
            <w:r>
              <w:rPr>
                <w:color w:val="000000"/>
                <w:spacing w:val="0"/>
                <w:w w:val="100"/>
                <w:position w:val="0"/>
              </w:rPr>
              <w:t>账面价值</w:t>
            </w:r>
          </w:p>
        </w:tc>
      </w:tr>
      <w:tr>
        <w:trPr>
          <w:trHeight w:val="398"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80"/>
              <w:jc w:val="both"/>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p>
        </w:tc>
        <w:tc>
          <w:tcPr>
            <w:vMerge/>
            <w:tcBorders>
              <w:left w:val="single" w:sz="4"/>
              <w:right w:val="single" w:sz="4"/>
            </w:tcBorders>
            <w:shd w:val="clear" w:color="auto" w:fill="D4D4D4"/>
            <w:vAlign w:val="center"/>
          </w:tcPr>
          <w:p>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按组合计提坏账准备的</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应收票据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9,606,341.10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5"/>
                <w:szCs w:val="15"/>
              </w:rPr>
            </w:pPr>
            <w:r>
              <w:rPr>
                <w:rFonts w:ascii="Times New Roman" w:eastAsia="Times New Roman" w:hAnsi="Times New Roman" w:cs="Times New Roman"/>
                <w:color w:val="000000"/>
                <w:spacing w:val="0"/>
                <w:w w:val="100"/>
                <w:position w:val="0"/>
                <w:sz w:val="15"/>
                <w:szCs w:val="15"/>
              </w:rPr>
              <w:t>139,455.43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rPr>
                <w:sz w:val="15"/>
                <w:szCs w:val="15"/>
              </w:rPr>
            </w:pPr>
            <w:r>
              <w:rPr>
                <w:rFonts w:ascii="Times New Roman" w:eastAsia="Times New Roman" w:hAnsi="Times New Roman" w:cs="Times New Roman"/>
                <w:color w:val="000000"/>
                <w:spacing w:val="0"/>
                <w:w w:val="100"/>
                <w:position w:val="0"/>
                <w:sz w:val="15"/>
                <w:szCs w:val="15"/>
              </w:rPr>
              <w:t>1.45%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9,466,885.67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1,996,369.80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12,258.80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0.61%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rPr>
              <w:t>1,984,111.00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5"/>
                <w:szCs w:val="15"/>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组合</w:t>
            </w: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:商业承兑汇票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6,341,693.50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66.02%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5"/>
                <w:szCs w:val="15"/>
              </w:rPr>
            </w:pPr>
            <w:r>
              <w:rPr>
                <w:rFonts w:ascii="Times New Roman" w:eastAsia="Times New Roman" w:hAnsi="Times New Roman" w:cs="Times New Roman"/>
                <w:color w:val="000000"/>
                <w:spacing w:val="0"/>
                <w:w w:val="100"/>
                <w:position w:val="0"/>
                <w:sz w:val="15"/>
                <w:szCs w:val="15"/>
              </w:rPr>
              <w:t>139,455.43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rPr>
                <w:sz w:val="15"/>
                <w:szCs w:val="15"/>
              </w:rPr>
            </w:pPr>
            <w:r>
              <w:rPr>
                <w:rFonts w:ascii="Times New Roman" w:eastAsia="Times New Roman" w:hAnsi="Times New Roman" w:cs="Times New Roman"/>
                <w:color w:val="000000"/>
                <w:spacing w:val="0"/>
                <w:w w:val="100"/>
                <w:position w:val="0"/>
                <w:sz w:val="15"/>
                <w:szCs w:val="15"/>
              </w:rPr>
              <w:t>2.20%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6,202,238.07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440,883.00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22.08%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12,258.80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2.78%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428,624.20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组合</w:t>
            </w:r>
            <w:r>
              <w:rPr>
                <w:rFonts w:ascii="Times New Roman" w:eastAsia="Times New Roman" w:hAnsi="Times New Roman" w:cs="Times New Roman"/>
                <w:color w:val="000000"/>
                <w:spacing w:val="0"/>
                <w:w w:val="100"/>
                <w:position w:val="0"/>
                <w:sz w:val="15"/>
                <w:szCs w:val="15"/>
              </w:rPr>
              <w:t>2</w:t>
            </w:r>
            <w:r>
              <w:rPr>
                <w:color w:val="000000"/>
                <w:spacing w:val="0"/>
                <w:w w:val="100"/>
                <w:position w:val="0"/>
                <w:sz w:val="15"/>
                <w:szCs w:val="15"/>
              </w:rPr>
              <w:t>：银行承兑汇票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3,264,647.60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33.98%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3,264,647.60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1,555,486.80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77.92%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rPr>
              <w:t>1,555,486.80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9,606,341.10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5"/>
                <w:szCs w:val="15"/>
              </w:rPr>
            </w:pPr>
            <w:r>
              <w:rPr>
                <w:rFonts w:ascii="Times New Roman" w:eastAsia="Times New Roman" w:hAnsi="Times New Roman" w:cs="Times New Roman"/>
                <w:color w:val="000000"/>
                <w:spacing w:val="0"/>
                <w:w w:val="100"/>
                <w:position w:val="0"/>
                <w:sz w:val="15"/>
                <w:szCs w:val="15"/>
              </w:rPr>
              <w:t>139,455.43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rPr>
                <w:sz w:val="15"/>
                <w:szCs w:val="15"/>
              </w:rPr>
            </w:pPr>
            <w:r>
              <w:rPr>
                <w:rFonts w:ascii="Times New Roman" w:eastAsia="Times New Roman" w:hAnsi="Times New Roman" w:cs="Times New Roman"/>
                <w:color w:val="000000"/>
                <w:spacing w:val="0"/>
                <w:w w:val="100"/>
                <w:position w:val="0"/>
                <w:sz w:val="15"/>
                <w:szCs w:val="15"/>
              </w:rPr>
              <w:t>1.45%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9,466,885.67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1,996,369.80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12,258.80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0.61%</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color w:val="000000"/>
                <w:spacing w:val="0"/>
                <w:w w:val="100"/>
                <w:position w:val="0"/>
                <w:sz w:val="15"/>
                <w:szCs w:val="15"/>
              </w:rPr>
              <w:t>1,984,111.00</w:t>
            </w:r>
          </w:p>
        </w:tc>
      </w:tr>
    </w:tbl>
    <w:p>
      <w:pPr>
        <w:pStyle w:val="Style49"/>
        <w:keepNext w:val="0"/>
        <w:keepLines w:val="0"/>
        <w:widowControl w:val="0"/>
        <w:shd w:val="clear" w:color="auto" w:fill="auto"/>
        <w:bidi w:val="0"/>
        <w:spacing w:before="0" w:after="0" w:line="240" w:lineRule="auto"/>
        <w:ind w:left="1075"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)按单项计提坏账准备：于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日，公司无按单项计提坏账准备的应收票据。</w:t>
      </w:r>
    </w:p>
    <w:p>
      <w:pPr>
        <w:widowControl w:val="0"/>
        <w:spacing w:after="79" w:line="1" w:lineRule="exact"/>
      </w:pPr>
    </w:p>
    <w:p>
      <w:pPr>
        <w:pStyle w:val="Style32"/>
        <w:keepNext w:val="0"/>
        <w:keepLines w:val="0"/>
        <w:widowControl w:val="0"/>
        <w:shd w:val="clear" w:color="auto" w:fill="auto"/>
        <w:bidi w:val="0"/>
        <w:spacing w:before="0" w:after="140" w:line="240" w:lineRule="auto"/>
        <w:ind w:left="110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日，按组合</w:t>
      </w:r>
      <w:r>
        <w:rPr>
          <w:rFonts w:ascii="Times New Roman" w:eastAsia="Times New Roman" w:hAnsi="Times New Roman" w:cs="Times New Roman"/>
          <w:color w:val="000000"/>
          <w:spacing w:val="0"/>
          <w:w w:val="100"/>
          <w:position w:val="0"/>
        </w:rPr>
        <w:t>1</w:t>
      </w:r>
      <w:r>
        <w:rPr>
          <w:color w:val="000000"/>
          <w:spacing w:val="0"/>
          <w:w w:val="100"/>
          <w:position w:val="0"/>
        </w:rPr>
        <w:t>计提坏账准备的应收票据如下:</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right"/>
        <w:tblLayout w:type="fixed"/>
      </w:tblPr>
      <w:tblGrid>
        <w:gridCol w:w="2400"/>
        <w:gridCol w:w="2390"/>
        <w:gridCol w:w="2395"/>
        <w:gridCol w:w="2400"/>
      </w:tblGrid>
      <w:tr>
        <w:trPr>
          <w:trHeight w:val="403"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组合</w:t>
            </w: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：商业承兑汇票</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6,341,693.50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139,455.43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2.20%</w:t>
            </w:r>
          </w:p>
        </w:tc>
      </w:tr>
    </w:tbl>
    <w:p>
      <w:pPr>
        <w:pStyle w:val="Style32"/>
        <w:keepNext w:val="0"/>
        <w:keepLines w:val="0"/>
        <w:widowControl w:val="0"/>
        <w:shd w:val="clear" w:color="auto" w:fill="auto"/>
        <w:bidi w:val="0"/>
        <w:spacing w:before="0" w:after="0" w:line="322" w:lineRule="exact"/>
        <w:ind w:left="98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)按组合</w:t>
      </w:r>
      <w:r>
        <w:rPr>
          <w:rFonts w:ascii="Times New Roman" w:eastAsia="Times New Roman" w:hAnsi="Times New Roman" w:cs="Times New Roman"/>
          <w:color w:val="000000"/>
          <w:spacing w:val="0"/>
          <w:w w:val="100"/>
          <w:position w:val="0"/>
        </w:rPr>
        <w:t>2</w:t>
      </w:r>
      <w:r>
        <w:rPr>
          <w:color w:val="000000"/>
          <w:spacing w:val="0"/>
          <w:w w:val="100"/>
          <w:position w:val="0"/>
        </w:rPr>
        <w:t>计提坏账准备：于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日，本公司按照整个存续期预期信用损失计量银行 承兑汇票坏账准备。本公司认为所持有的银行承兑汇票不存在重大的信用风险，不会因银行或其他出票人违约而产生重大损 失。</w:t>
      </w:r>
    </w:p>
    <w:p>
      <w:pPr>
        <w:pStyle w:val="Style32"/>
        <w:keepNext w:val="0"/>
        <w:keepLines w:val="0"/>
        <w:widowControl w:val="0"/>
        <w:shd w:val="clear" w:color="auto" w:fill="auto"/>
        <w:bidi w:val="0"/>
        <w:spacing w:before="0" w:after="0" w:line="322" w:lineRule="exact"/>
        <w:ind w:left="0" w:right="0" w:firstLine="980"/>
        <w:jc w:val="left"/>
      </w:pPr>
      <w:r>
        <w:rPr>
          <w:color w:val="000000"/>
          <w:spacing w:val="0"/>
          <w:w w:val="100"/>
          <w:position w:val="0"/>
        </w:rPr>
        <w:t>确定该组合依据的说明：</w:t>
      </w:r>
    </w:p>
    <w:p>
      <w:pPr>
        <w:pStyle w:val="Style32"/>
        <w:keepNext w:val="0"/>
        <w:keepLines w:val="0"/>
        <w:widowControl w:val="0"/>
        <w:shd w:val="clear" w:color="auto" w:fill="auto"/>
        <w:bidi w:val="0"/>
        <w:spacing w:before="0" w:after="360" w:line="322" w:lineRule="exact"/>
        <w:ind w:left="0" w:right="0" w:firstLine="980"/>
        <w:jc w:val="left"/>
      </w:pPr>
      <w:r>
        <w:rPr>
          <w:color w:val="000000"/>
          <w:spacing w:val="0"/>
          <w:w w:val="100"/>
          <w:position w:val="0"/>
        </w:rPr>
        <w:t>按组合计提坏账准备的确认标准及说明见第十二节、五、</w:t>
      </w:r>
      <w:r>
        <w:rPr>
          <w:rFonts w:ascii="Times New Roman" w:eastAsia="Times New Roman" w:hAnsi="Times New Roman" w:cs="Times New Roman"/>
          <w:color w:val="000000"/>
          <w:spacing w:val="0"/>
          <w:w w:val="100"/>
          <w:position w:val="0"/>
        </w:rPr>
        <w:t>10</w:t>
      </w:r>
      <w:r>
        <w:rPr>
          <w:color w:val="000000"/>
          <w:spacing w:val="0"/>
          <w:w w:val="100"/>
          <w:position w:val="0"/>
        </w:rPr>
        <w:t>、金融工具。</w:t>
      </w:r>
    </w:p>
    <w:p>
      <w:pPr>
        <w:pStyle w:val="Style32"/>
        <w:keepNext w:val="0"/>
        <w:keepLines w:val="0"/>
        <w:widowControl w:val="0"/>
        <w:shd w:val="clear" w:color="auto" w:fill="auto"/>
        <w:bidi w:val="0"/>
        <w:spacing w:before="0" w:after="360" w:line="341" w:lineRule="exact"/>
        <w:ind w:left="980" w:right="0" w:firstLine="0"/>
        <w:jc w:val="left"/>
      </w:pPr>
      <w:r>
        <w:rPr>
          <w:color w:val="000000"/>
          <w:spacing w:val="0"/>
          <w:w w:val="100"/>
          <w:position w:val="0"/>
        </w:rPr>
        <w:t xml:space="preserve">如是按照预期信用损失一般模型计提应收票据坏账准备，请参照其他应收款的披露方式披露坏账准备的相关信息: </w:t>
      </w: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numPr>
          <w:ilvl w:val="0"/>
          <w:numId w:val="149"/>
        </w:numPr>
        <w:shd w:val="clear" w:color="auto" w:fill="auto"/>
        <w:bidi w:val="0"/>
        <w:spacing w:before="0" w:after="360" w:line="240" w:lineRule="auto"/>
        <w:ind w:left="1100" w:right="0" w:firstLine="0"/>
        <w:jc w:val="both"/>
      </w:pPr>
      <w:bookmarkStart w:id="1295" w:name="bookmark1295"/>
      <w:bookmarkStart w:id="1296" w:name="bookmark1296"/>
      <w:bookmarkStart w:id="1297" w:name="bookmark1297"/>
      <w:bookmarkStart w:id="1298" w:name="bookmark1298"/>
      <w:bookmarkEnd w:id="1297"/>
      <w:r>
        <w:rPr>
          <w:color w:val="000000"/>
          <w:spacing w:val="0"/>
          <w:w w:val="100"/>
          <w:position w:val="0"/>
        </w:rPr>
        <w:t>本期计提、收回或转回的坏账准备情况</w:t>
      </w:r>
      <w:bookmarkEnd w:id="1295"/>
      <w:bookmarkEnd w:id="1296"/>
      <w:bookmarkEnd w:id="1298"/>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本期计提坏账准备情况:</w:t>
      </w:r>
    </w:p>
    <w:p>
      <w:pPr>
        <w:pStyle w:val="Style49"/>
        <w:keepNext w:val="0"/>
        <w:keepLines w:val="0"/>
        <w:widowControl w:val="0"/>
        <w:shd w:val="clear" w:color="auto" w:fill="auto"/>
        <w:bidi w:val="0"/>
        <w:spacing w:before="0" w:after="0" w:line="240" w:lineRule="auto"/>
        <w:ind w:left="9763" w:right="0" w:firstLine="0"/>
        <w:jc w:val="left"/>
      </w:pPr>
      <w:r>
        <w:rPr>
          <w:color w:val="000000"/>
          <w:spacing w:val="0"/>
          <w:w w:val="100"/>
          <w:position w:val="0"/>
        </w:rPr>
        <w:t>单位：元</w:t>
      </w:r>
    </w:p>
    <w:tbl>
      <w:tblPr>
        <w:tblOverlap w:val="never"/>
        <w:jc w:val="center"/>
        <w:tblLayout w:type="fixed"/>
      </w:tblPr>
      <w:tblGrid>
        <w:gridCol w:w="2227"/>
        <w:gridCol w:w="1368"/>
        <w:gridCol w:w="1368"/>
        <w:gridCol w:w="1363"/>
        <w:gridCol w:w="1368"/>
        <w:gridCol w:w="1368"/>
        <w:gridCol w:w="1378"/>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期末余额</w:t>
            </w:r>
          </w:p>
        </w:tc>
      </w:tr>
      <w:tr>
        <w:trPr>
          <w:trHeight w:val="398"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计提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商业承兑汇票坏账准备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12,258.80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127,196.63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139,455.43</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12,258.80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127,196.63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139,455.43</w:t>
            </w:r>
          </w:p>
        </w:tc>
      </w:tr>
    </w:tbl>
    <w:p>
      <w:pPr>
        <w:widowControl w:val="0"/>
        <w:spacing w:after="79" w:line="1" w:lineRule="exact"/>
      </w:pP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其中本期坏账准备收回或转回金额重要的:</w:t>
      </w:r>
    </w:p>
    <w:p>
      <w:pPr>
        <w:pStyle w:val="Style32"/>
        <w:keepNext w:val="0"/>
        <w:keepLines w:val="0"/>
        <w:widowControl w:val="0"/>
        <w:shd w:val="clear" w:color="auto" w:fill="auto"/>
        <w:bidi w:val="0"/>
        <w:spacing w:before="0" w:after="80" w:line="240" w:lineRule="auto"/>
        <w:ind w:left="0" w:right="0" w:firstLine="980"/>
        <w:jc w:val="left"/>
        <w:sectPr>
          <w:headerReference w:type="default" r:id="rId377"/>
          <w:footerReference w:type="default" r:id="rId378"/>
          <w:headerReference w:type="even" r:id="rId379"/>
          <w:footerReference w:type="even" r:id="rId380"/>
          <w:footnotePr>
            <w:pos w:val="pageBottom"/>
            <w:numFmt w:val="decimal"/>
            <w:numRestart w:val="continuous"/>
          </w:footnotePr>
          <w:pgSz w:w="11900" w:h="16840"/>
          <w:pgMar w:top="1114" w:right="1006" w:bottom="1619" w:left="232" w:header="0" w:footer="3" w:gutter="0"/>
          <w:cols w:space="720"/>
          <w:noEndnote/>
          <w:rtlGutter w:val="0"/>
          <w:docGrid w:linePitch="360"/>
        </w:sectPr>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
        <w:keepNext/>
        <w:keepLines/>
        <w:widowControl w:val="0"/>
        <w:shd w:val="clear" w:color="auto" w:fill="auto"/>
        <w:bidi w:val="0"/>
        <w:spacing w:before="0" w:after="0" w:line="240" w:lineRule="auto"/>
        <w:ind w:left="0" w:right="0" w:firstLine="980"/>
        <w:jc w:val="left"/>
      </w:pPr>
      <w:bookmarkStart w:id="1299" w:name="bookmark1299"/>
      <w:bookmarkStart w:id="1300" w:name="bookmark1300"/>
      <w:bookmarkStart w:id="1301" w:name="bookmark1301"/>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某超和技</w:t>
      </w:r>
      <w:bookmarkEnd w:id="1299"/>
      <w:bookmarkEnd w:id="1300"/>
      <w:bookmarkEnd w:id="1301"/>
    </w:p>
    <w:p>
      <w:pPr>
        <w:pStyle w:val="Style5"/>
        <w:keepNext w:val="0"/>
        <w:keepLines w:val="0"/>
        <w:widowControl w:val="0"/>
        <w:shd w:val="clear" w:color="auto" w:fill="auto"/>
        <w:bidi w:val="0"/>
        <w:spacing w:before="0" w:after="0" w:line="240" w:lineRule="auto"/>
        <w:ind w:left="0" w:right="0" w:firstLine="980"/>
        <w:jc w:val="left"/>
      </w:pPr>
      <w:r>
        <w:rPr>
          <w:rFonts w:ascii="SimSun" w:eastAsia="SimSun" w:hAnsi="SimSun" w:cs="SimSun"/>
          <w:i/>
          <w:iCs/>
          <w:color w:val="245994"/>
          <w:spacing w:val="0"/>
          <w:w w:val="100"/>
          <w:position w:val="0"/>
          <w:sz w:val="24"/>
          <w:szCs w:val="24"/>
        </w:rPr>
        <w:t>，</w:t>
      </w:r>
      <w:r>
        <w:rPr>
          <w:color w:val="2D4562"/>
          <w:spacing w:val="0"/>
          <w:w w:val="100"/>
          <w:position w:val="0"/>
        </w:rPr>
        <w:t>广</w:t>
      </w:r>
      <w:r>
        <w:rPr>
          <w:color w:val="2D2B2E"/>
          <w:spacing w:val="0"/>
          <w:w w:val="100"/>
          <w:position w:val="0"/>
        </w:rPr>
        <w:t>i</w:t>
      </w:r>
      <w:r>
        <w:rPr>
          <w:spacing w:val="0"/>
          <w:w w:val="100"/>
          <w:position w:val="0"/>
        </w:rPr>
        <w:t>国家高新技术企业</w:t>
      </w:r>
    </w:p>
    <w:p>
      <w:pPr>
        <w:pStyle w:val="Style32"/>
        <w:keepNext w:val="0"/>
        <w:keepLines w:val="0"/>
        <w:widowControl w:val="0"/>
        <w:shd w:val="clear" w:color="auto" w:fill="auto"/>
        <w:tabs>
          <w:tab w:pos="1662" w:val="left"/>
        </w:tabs>
        <w:bidi w:val="0"/>
        <w:spacing w:before="0" w:after="0" w:line="240" w:lineRule="auto"/>
        <w:ind w:left="1100"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numPr>
          <w:ilvl w:val="0"/>
          <w:numId w:val="149"/>
        </w:numPr>
        <w:shd w:val="clear" w:color="auto" w:fill="auto"/>
        <w:bidi w:val="0"/>
        <w:spacing w:before="0" w:after="360" w:line="240" w:lineRule="auto"/>
        <w:ind w:left="1100" w:right="0" w:firstLine="0"/>
        <w:jc w:val="left"/>
      </w:pPr>
      <w:bookmarkStart w:id="1302" w:name="bookmark1302"/>
      <w:bookmarkStart w:id="1303" w:name="bookmark1303"/>
      <w:bookmarkStart w:id="1304" w:name="bookmark1304"/>
      <w:bookmarkStart w:id="1305" w:name="bookmark1305"/>
      <w:bookmarkEnd w:id="1304"/>
      <w:r>
        <w:rPr>
          <w:color w:val="000000"/>
          <w:spacing w:val="0"/>
          <w:w w:val="100"/>
          <w:position w:val="0"/>
        </w:rPr>
        <w:t>期末公司已质押的应收票据</w:t>
      </w:r>
      <w:bookmarkEnd w:id="1302"/>
      <w:bookmarkEnd w:id="1303"/>
      <w:bookmarkEnd w:id="1305"/>
    </w:p>
    <w:p>
      <w:pPr>
        <w:pStyle w:val="Style32"/>
        <w:keepNext w:val="0"/>
        <w:keepLines w:val="0"/>
        <w:widowControl w:val="0"/>
        <w:shd w:val="clear" w:color="auto" w:fill="auto"/>
        <w:bidi w:val="0"/>
        <w:spacing w:before="0" w:after="360" w:line="240" w:lineRule="auto"/>
        <w:ind w:left="0" w:right="0" w:firstLine="980"/>
        <w:jc w:val="left"/>
      </w:pPr>
      <w:r>
        <w:rPr>
          <w:color w:val="000000"/>
          <w:spacing w:val="0"/>
          <w:w w:val="100"/>
          <w:position w:val="0"/>
        </w:rPr>
        <w:t>无</w:t>
      </w:r>
    </w:p>
    <w:p>
      <w:pPr>
        <w:pStyle w:val="Style55"/>
        <w:keepNext/>
        <w:keepLines/>
        <w:widowControl w:val="0"/>
        <w:numPr>
          <w:ilvl w:val="0"/>
          <w:numId w:val="149"/>
        </w:numPr>
        <w:shd w:val="clear" w:color="auto" w:fill="auto"/>
        <w:bidi w:val="0"/>
        <w:spacing w:before="0" w:after="360" w:line="240" w:lineRule="auto"/>
        <w:ind w:left="0" w:right="0" w:firstLine="980"/>
        <w:jc w:val="left"/>
      </w:pPr>
      <w:bookmarkStart w:id="1306" w:name="bookmark1306"/>
      <w:bookmarkStart w:id="1307" w:name="bookmark1307"/>
      <w:bookmarkStart w:id="1308" w:name="bookmark1308"/>
      <w:bookmarkStart w:id="1309" w:name="bookmark1309"/>
      <w:bookmarkEnd w:id="1308"/>
      <w:r>
        <w:rPr>
          <w:color w:val="000000"/>
          <w:spacing w:val="0"/>
          <w:w w:val="100"/>
          <w:position w:val="0"/>
        </w:rPr>
        <w:t>期末公司已背书或贴现且在资产负债表日尚未到期的应收票据</w:t>
      </w:r>
      <w:bookmarkEnd w:id="1306"/>
      <w:bookmarkEnd w:id="1307"/>
      <w:bookmarkEnd w:id="1309"/>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right"/>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期末终止确认金额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期末未终止确认金额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330,678.40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330,678.40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w:t>
            </w:r>
          </w:p>
        </w:tc>
      </w:tr>
    </w:tbl>
    <w:p>
      <w:pPr>
        <w:widowControl w:val="0"/>
        <w:spacing w:after="359" w:line="1" w:lineRule="exact"/>
      </w:pPr>
    </w:p>
    <w:p>
      <w:pPr>
        <w:pStyle w:val="Style55"/>
        <w:keepNext/>
        <w:keepLines/>
        <w:widowControl w:val="0"/>
        <w:numPr>
          <w:ilvl w:val="0"/>
          <w:numId w:val="149"/>
        </w:numPr>
        <w:shd w:val="clear" w:color="auto" w:fill="auto"/>
        <w:bidi w:val="0"/>
        <w:spacing w:before="0" w:after="360" w:line="240" w:lineRule="auto"/>
        <w:ind w:left="1100" w:right="0" w:firstLine="0"/>
        <w:jc w:val="left"/>
      </w:pPr>
      <w:bookmarkStart w:id="1310" w:name="bookmark1310"/>
      <w:bookmarkStart w:id="1311" w:name="bookmark1311"/>
      <w:bookmarkStart w:id="1312" w:name="bookmark1312"/>
      <w:bookmarkStart w:id="1313" w:name="bookmark1313"/>
      <w:bookmarkEnd w:id="1312"/>
      <w:r>
        <w:rPr>
          <w:color w:val="000000"/>
          <w:spacing w:val="0"/>
          <w:w w:val="100"/>
          <w:position w:val="0"/>
        </w:rPr>
        <w:t>期末公司因出票人未履约而将其转应收账款的票据</w:t>
      </w:r>
      <w:bookmarkEnd w:id="1310"/>
      <w:bookmarkEnd w:id="1311"/>
      <w:bookmarkEnd w:id="1313"/>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right"/>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期末转应收账款金额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w:t>
            </w:r>
          </w:p>
        </w:tc>
      </w:tr>
    </w:tbl>
    <w:p>
      <w:pPr>
        <w:widowControl w:val="0"/>
        <w:spacing w:after="359" w:line="1" w:lineRule="exact"/>
      </w:pPr>
    </w:p>
    <w:p>
      <w:pPr>
        <w:pStyle w:val="Style55"/>
        <w:keepNext/>
        <w:keepLines/>
        <w:widowControl w:val="0"/>
        <w:numPr>
          <w:ilvl w:val="0"/>
          <w:numId w:val="149"/>
        </w:numPr>
        <w:shd w:val="clear" w:color="auto" w:fill="auto"/>
        <w:bidi w:val="0"/>
        <w:spacing w:before="0" w:after="960" w:line="240" w:lineRule="auto"/>
        <w:ind w:left="1100" w:right="0" w:firstLine="0"/>
        <w:jc w:val="left"/>
      </w:pPr>
      <w:bookmarkStart w:id="1314" w:name="bookmark1314"/>
      <w:bookmarkStart w:id="1315" w:name="bookmark1315"/>
      <w:bookmarkStart w:id="1316" w:name="bookmark1316"/>
      <w:bookmarkStart w:id="1317" w:name="bookmark1317"/>
      <w:bookmarkEnd w:id="1316"/>
      <w:r>
        <w:rPr>
          <w:color w:val="000000"/>
          <w:spacing w:val="0"/>
          <w:w w:val="100"/>
          <w:position w:val="0"/>
        </w:rPr>
        <w:t>本期实际核销的应收票据情况</w:t>
      </w:r>
      <w:bookmarkEnd w:id="1314"/>
      <w:bookmarkEnd w:id="1315"/>
      <w:bookmarkEnd w:id="1317"/>
    </w:p>
    <w:p>
      <w:pPr>
        <w:pStyle w:val="Style55"/>
        <w:keepNext/>
        <w:keepLines/>
        <w:widowControl w:val="0"/>
        <w:shd w:val="clear" w:color="auto" w:fill="auto"/>
        <w:bidi w:val="0"/>
        <w:spacing w:before="0" w:after="360" w:line="240" w:lineRule="auto"/>
        <w:ind w:left="0" w:right="0" w:firstLine="980"/>
        <w:jc w:val="left"/>
      </w:pPr>
      <w:bookmarkStart w:id="1318" w:name="bookmark1318"/>
      <w:bookmarkStart w:id="1319" w:name="bookmark1319"/>
      <w:bookmarkStart w:id="1320" w:name="bookmark1320"/>
      <w:bookmarkStart w:id="1321" w:name="bookmark1321"/>
      <w:r>
        <w:rPr>
          <w:rFonts w:ascii="Times New Roman" w:eastAsia="Times New Roman" w:hAnsi="Times New Roman" w:cs="Times New Roman"/>
          <w:color w:val="000000"/>
          <w:spacing w:val="0"/>
          <w:w w:val="100"/>
          <w:position w:val="0"/>
        </w:rPr>
        <w:t>5</w:t>
      </w:r>
      <w:bookmarkEnd w:id="1320"/>
      <w:r>
        <w:rPr>
          <w:color w:val="000000"/>
          <w:spacing w:val="0"/>
          <w:w w:val="100"/>
          <w:position w:val="0"/>
        </w:rPr>
        <w:t>、应收账款</w:t>
      </w:r>
      <w:bookmarkEnd w:id="1318"/>
      <w:bookmarkEnd w:id="1319"/>
      <w:bookmarkEnd w:id="1321"/>
    </w:p>
    <w:p>
      <w:pPr>
        <w:pStyle w:val="Style55"/>
        <w:keepNext/>
        <w:keepLines/>
        <w:widowControl w:val="0"/>
        <w:numPr>
          <w:ilvl w:val="0"/>
          <w:numId w:val="151"/>
        </w:numPr>
        <w:shd w:val="clear" w:color="auto" w:fill="auto"/>
        <w:bidi w:val="0"/>
        <w:spacing w:before="0" w:after="360" w:line="240" w:lineRule="auto"/>
        <w:ind w:left="1100" w:right="0" w:firstLine="0"/>
        <w:jc w:val="left"/>
      </w:pPr>
      <w:bookmarkStart w:id="1318" w:name="bookmark1318"/>
      <w:bookmarkStart w:id="1319" w:name="bookmark1319"/>
      <w:bookmarkStart w:id="1322" w:name="bookmark1322"/>
      <w:bookmarkStart w:id="1323" w:name="bookmark1323"/>
      <w:bookmarkEnd w:id="1322"/>
      <w:r>
        <w:rPr>
          <w:color w:val="000000"/>
          <w:spacing w:val="0"/>
          <w:w w:val="100"/>
          <w:position w:val="0"/>
        </w:rPr>
        <w:t>应收账款分类披露</w:t>
      </w:r>
      <w:bookmarkEnd w:id="1318"/>
      <w:bookmarkEnd w:id="1319"/>
      <w:bookmarkEnd w:id="1323"/>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center"/>
        <w:tblLayout w:type="fixed"/>
      </w:tblPr>
      <w:tblGrid>
        <w:gridCol w:w="1138"/>
        <w:gridCol w:w="1138"/>
        <w:gridCol w:w="706"/>
        <w:gridCol w:w="1138"/>
        <w:gridCol w:w="706"/>
        <w:gridCol w:w="1138"/>
        <w:gridCol w:w="1133"/>
        <w:gridCol w:w="706"/>
        <w:gridCol w:w="1138"/>
        <w:gridCol w:w="696"/>
        <w:gridCol w:w="1013"/>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rPr>
              <w:t>类别</w:t>
            </w:r>
          </w:p>
        </w:tc>
        <w:tc>
          <w:tcPr>
            <w:gridSpan w:val="5"/>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期末余额</w:t>
            </w:r>
          </w:p>
        </w:tc>
        <w:tc>
          <w:tcPr>
            <w:gridSpan w:val="5"/>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r>
      <w:tr>
        <w:trPr>
          <w:trHeight w:val="398" w:hRule="exact"/>
        </w:trPr>
        <w:tc>
          <w:tcPr>
            <w:vMerge/>
            <w:tcBorders>
              <w:left w:val="single" w:sz="4"/>
            </w:tcBorders>
            <w:shd w:val="clear" w:color="auto" w:fill="D4D4D4"/>
            <w:vAlign w:val="center"/>
          </w:tcPr>
          <w:p>
            <w:pP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账面价值</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账面价值</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rPr>
              <w:t>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计提比例</w:t>
            </w: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400" w:firstLine="0"/>
              <w:jc w:val="right"/>
              <w:rPr>
                <w:sz w:val="15"/>
                <w:szCs w:val="15"/>
              </w:rPr>
            </w:pPr>
            <w:r>
              <w:rPr>
                <w:color w:val="000000"/>
                <w:spacing w:val="0"/>
                <w:w w:val="100"/>
                <w:position w:val="0"/>
                <w:sz w:val="15"/>
                <w:szCs w:val="15"/>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180" w:firstLine="0"/>
              <w:jc w:val="right"/>
              <w:rPr>
                <w:sz w:val="15"/>
                <w:szCs w:val="15"/>
              </w:rPr>
            </w:pPr>
            <w:r>
              <w:rPr>
                <w:color w:val="000000"/>
                <w:spacing w:val="0"/>
                <w:w w:val="100"/>
                <w:position w:val="0"/>
                <w:sz w:val="15"/>
                <w:szCs w:val="15"/>
              </w:rPr>
              <w:t>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400" w:firstLine="0"/>
              <w:jc w:val="right"/>
              <w:rPr>
                <w:sz w:val="15"/>
                <w:szCs w:val="15"/>
              </w:rPr>
            </w:pPr>
            <w:r>
              <w:rPr>
                <w:color w:val="000000"/>
                <w:spacing w:val="0"/>
                <w:w w:val="100"/>
                <w:position w:val="0"/>
                <w:sz w:val="15"/>
                <w:szCs w:val="15"/>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计提比例</w:t>
            </w:r>
          </w:p>
        </w:tc>
        <w:tc>
          <w:tcPr>
            <w:vMerge/>
            <w:tcBorders>
              <w:left w:val="single" w:sz="4"/>
              <w:right w:val="single" w:sz="4"/>
            </w:tcBorders>
            <w:shd w:val="clear" w:color="auto" w:fill="D4D4D4"/>
            <w:vAlign w:val="center"/>
          </w:tcPr>
          <w:p>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按单项计提坏账</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准备的应收账款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rPr>
              <w:t>14,708,235.98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rPr>
                <w:sz w:val="15"/>
                <w:szCs w:val="15"/>
              </w:rPr>
            </w:pPr>
            <w:r>
              <w:rPr>
                <w:rFonts w:ascii="Times New Roman" w:eastAsia="Times New Roman" w:hAnsi="Times New Roman" w:cs="Times New Roman"/>
                <w:color w:val="000000"/>
                <w:spacing w:val="0"/>
                <w:w w:val="100"/>
                <w:position w:val="0"/>
                <w:sz w:val="15"/>
                <w:szCs w:val="15"/>
              </w:rPr>
              <w:t>2.36%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rPr>
              <w:t>14,708,235.98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12,090,105.30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2.04%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12,090,105.30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按组合计提坏账</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准备的应收账款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608,642,478.76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97.64%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rPr>
              <w:t>89,324,881.32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14.68%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519,317,597.44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581,521,390.76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both"/>
              <w:rPr>
                <w:sz w:val="15"/>
                <w:szCs w:val="15"/>
              </w:rPr>
            </w:pPr>
            <w:r>
              <w:rPr>
                <w:rFonts w:ascii="Times New Roman" w:eastAsia="Times New Roman" w:hAnsi="Times New Roman" w:cs="Times New Roman"/>
                <w:color w:val="000000"/>
                <w:spacing w:val="0"/>
                <w:w w:val="100"/>
                <w:position w:val="0"/>
                <w:sz w:val="15"/>
                <w:szCs w:val="15"/>
              </w:rPr>
              <w:t>97.96%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110,049,160.53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18.92%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471,472,230.23</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组合</w:t>
            </w: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应收客户</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608,642,478.76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97.64%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rPr>
              <w:t>89,324,881.32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14.68%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519,317,597.44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581,521,390.76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both"/>
              <w:rPr>
                <w:sz w:val="15"/>
                <w:szCs w:val="15"/>
              </w:rPr>
            </w:pPr>
            <w:r>
              <w:rPr>
                <w:rFonts w:ascii="Times New Roman" w:eastAsia="Times New Roman" w:hAnsi="Times New Roman" w:cs="Times New Roman"/>
                <w:color w:val="000000"/>
                <w:spacing w:val="0"/>
                <w:w w:val="100"/>
                <w:position w:val="0"/>
                <w:sz w:val="15"/>
                <w:szCs w:val="15"/>
              </w:rPr>
              <w:t>97.96%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110,049,160.53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18.92%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471,472,230.23</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623,350,714.74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104,033,117.30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16.69%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519,317,597.44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593,611,496.06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122,139,265.83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20.58%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471,472,230.23</w:t>
            </w:r>
          </w:p>
        </w:tc>
      </w:tr>
    </w:tbl>
    <w:p>
      <w:pPr>
        <w:widowControl w:val="0"/>
        <w:spacing w:after="79" w:line="1" w:lineRule="exact"/>
      </w:pPr>
    </w:p>
    <w:p>
      <w:pPr>
        <w:pStyle w:val="Style32"/>
        <w:keepNext w:val="0"/>
        <w:keepLines w:val="0"/>
        <w:widowControl w:val="0"/>
        <w:shd w:val="clear" w:color="auto" w:fill="auto"/>
        <w:bidi w:val="0"/>
        <w:spacing w:before="0" w:after="360" w:line="240" w:lineRule="auto"/>
        <w:ind w:left="0" w:right="0" w:firstLine="980"/>
        <w:jc w:val="left"/>
        <w:sectPr>
          <w:headerReference w:type="default" r:id="rId381"/>
          <w:footerReference w:type="default" r:id="rId382"/>
          <w:headerReference w:type="even" r:id="rId383"/>
          <w:footerReference w:type="even" r:id="rId384"/>
          <w:footnotePr>
            <w:pos w:val="pageBottom"/>
            <w:numFmt w:val="decimal"/>
            <w:numRestart w:val="continuous"/>
          </w:footnotePr>
          <w:pgSz w:w="11900" w:h="16840"/>
          <w:pgMar w:top="678" w:right="1120" w:bottom="1158" w:left="133" w:header="0" w:footer="3" w:gutter="0"/>
          <w:cols w:space="720"/>
          <w:noEndnote/>
          <w:rtlGutter w:val="0"/>
          <w:docGrid w:linePitch="360"/>
        </w:sectPr>
      </w:pPr>
      <w:r>
        <w:rPr>
          <w:color w:val="000000"/>
          <w:spacing w:val="0"/>
          <w:w w:val="100"/>
          <w:position w:val="0"/>
        </w:rPr>
        <w:t>按单项计提坏账准备:</w:t>
      </w:r>
    </w:p>
    <w:p>
      <w:pPr>
        <w:pStyle w:val="Style5"/>
        <w:keepNext w:val="0"/>
        <w:keepLines w:val="0"/>
        <w:widowControl w:val="0"/>
        <w:shd w:val="clear" w:color="auto" w:fill="auto"/>
        <w:tabs>
          <w:tab w:pos="629" w:val="left"/>
        </w:tabs>
        <w:bidi w:val="0"/>
        <w:spacing w:before="0" w:after="0" w:line="206" w:lineRule="exact"/>
        <w:ind w:left="0" w:right="0" w:firstLine="0"/>
        <w:jc w:val="center"/>
        <w:rPr>
          <w:sz w:val="18"/>
          <w:szCs w:val="18"/>
        </w:rPr>
      </w:pPr>
      <w:r>
        <w:rPr>
          <w:color w:val="245994"/>
          <w:spacing w:val="0"/>
          <w:w w:val="100"/>
          <w:position w:val="0"/>
          <w:sz w:val="30"/>
          <w:szCs w:val="30"/>
        </w:rPr>
        <w:t>七一</w:t>
      </w:r>
      <w:r>
        <w:rPr>
          <w:spacing w:val="0"/>
          <w:w w:val="100"/>
          <w:position w:val="0"/>
          <w:sz w:val="15"/>
          <w:szCs w:val="15"/>
        </w:rPr>
        <w:t>国家高新技术企业</w:t>
        <w:br/>
      </w:r>
      <w:r>
        <w:rPr>
          <w:color w:val="245994"/>
          <w:spacing w:val="0"/>
          <w:w w:val="100"/>
          <w:position w:val="0"/>
          <w:sz w:val="30"/>
          <w:szCs w:val="30"/>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计提理由</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831,600.00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831,600.00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2,734,441.50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2,734,441.50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5,204,960.88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5,204,960.88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120,000.00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客户五</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1,088,290.60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1,088,290.60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客户六</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153,600.00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客户八</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2,148,003.00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2,148,003.00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1,429,720.00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1,429,720.00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721,931.00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721,931.00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客户十一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200,689.00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200,689.00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收回可能性低</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14,708,235.98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14,708,235.98</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w:t>
            </w:r>
          </w:p>
        </w:tc>
      </w:tr>
    </w:tbl>
    <w:p>
      <w:pPr>
        <w:widowControl w:val="0"/>
        <w:spacing w:after="419" w:line="1" w:lineRule="exact"/>
      </w:pPr>
    </w:p>
    <w:p>
      <w:pPr>
        <w:pStyle w:val="Style32"/>
        <w:keepNext w:val="0"/>
        <w:keepLines w:val="0"/>
        <w:widowControl w:val="0"/>
        <w:shd w:val="clear" w:color="auto" w:fill="auto"/>
        <w:bidi w:val="0"/>
        <w:spacing w:before="0" w:after="120" w:line="240" w:lineRule="auto"/>
        <w:ind w:left="0" w:right="0" w:firstLine="960"/>
        <w:jc w:val="left"/>
      </w:pPr>
      <w:r>
        <w:rPr>
          <w:color w:val="000000"/>
          <w:spacing w:val="0"/>
          <w:w w:val="100"/>
          <w:position w:val="0"/>
        </w:rPr>
        <w:t>按组合计提坏账准备:</w:t>
      </w:r>
    </w:p>
    <w:p>
      <w:pPr>
        <w:pStyle w:val="Style32"/>
        <w:keepNext w:val="0"/>
        <w:keepLines w:val="0"/>
        <w:widowControl w:val="0"/>
        <w:shd w:val="clear" w:color="auto" w:fill="auto"/>
        <w:bidi w:val="0"/>
        <w:spacing w:before="0" w:after="120" w:line="240" w:lineRule="auto"/>
        <w:ind w:left="9900" w:right="0" w:firstLine="0"/>
        <w:jc w:val="left"/>
      </w:pPr>
      <w:r>
        <w:rPr>
          <w:color w:val="000000"/>
          <w:spacing w:val="0"/>
          <w:w w:val="100"/>
          <w:position w:val="0"/>
        </w:rPr>
        <w:t>单位：元</w:t>
      </w:r>
    </w:p>
    <w:tbl>
      <w:tblPr>
        <w:tblOverlap w:val="never"/>
        <w:jc w:val="right"/>
        <w:tblLayout w:type="fixed"/>
      </w:tblPr>
      <w:tblGrid>
        <w:gridCol w:w="2400"/>
        <w:gridCol w:w="2390"/>
        <w:gridCol w:w="2395"/>
        <w:gridCol w:w="2400"/>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98"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1</w:t>
            </w:r>
            <w:r>
              <w:rPr>
                <w:color w:val="000000"/>
                <w:spacing w:val="0"/>
                <w:w w:val="100"/>
                <w:position w:val="0"/>
              </w:rPr>
              <w:t>应收客户款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608,642,478.76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89,324,881.32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14.68%</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608,642,478.76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89,324,881.32</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960"/>
        <w:jc w:val="left"/>
      </w:pPr>
      <w:r>
        <w:rPr>
          <w:color w:val="000000"/>
          <w:spacing w:val="0"/>
          <w:w w:val="100"/>
          <w:position w:val="0"/>
        </w:rPr>
        <w:t>确定该组合依据的说明：</w:t>
      </w:r>
    </w:p>
    <w:p>
      <w:pPr>
        <w:pStyle w:val="Style32"/>
        <w:keepNext w:val="0"/>
        <w:keepLines w:val="0"/>
        <w:widowControl w:val="0"/>
        <w:shd w:val="clear" w:color="auto" w:fill="auto"/>
        <w:bidi w:val="0"/>
        <w:spacing w:before="0" w:after="500" w:line="240" w:lineRule="auto"/>
        <w:ind w:left="0" w:right="0" w:firstLine="960"/>
        <w:jc w:val="left"/>
      </w:pPr>
      <w:r>
        <w:rPr>
          <w:color w:val="000000"/>
          <w:spacing w:val="0"/>
          <w:w w:val="100"/>
          <w:position w:val="0"/>
        </w:rPr>
        <w:t>按组合计提坏账准备的确认标准及说明见第十二节、五、</w:t>
      </w:r>
      <w:r>
        <w:rPr>
          <w:rFonts w:ascii="Times New Roman" w:eastAsia="Times New Roman" w:hAnsi="Times New Roman" w:cs="Times New Roman"/>
          <w:color w:val="000000"/>
          <w:spacing w:val="0"/>
          <w:w w:val="100"/>
          <w:position w:val="0"/>
        </w:rPr>
        <w:t>10</w:t>
      </w:r>
      <w:r>
        <w:rPr>
          <w:color w:val="000000"/>
          <w:spacing w:val="0"/>
          <w:w w:val="100"/>
          <w:position w:val="0"/>
        </w:rPr>
        <w:t>。</w:t>
      </w:r>
    </w:p>
    <w:p>
      <w:pPr>
        <w:pStyle w:val="Style32"/>
        <w:keepNext w:val="0"/>
        <w:keepLines w:val="0"/>
        <w:widowControl w:val="0"/>
        <w:shd w:val="clear" w:color="auto" w:fill="auto"/>
        <w:bidi w:val="0"/>
        <w:spacing w:before="0" w:after="120" w:line="240" w:lineRule="auto"/>
        <w:ind w:left="0" w:right="0" w:firstLine="960"/>
        <w:jc w:val="left"/>
      </w:pPr>
      <w:r>
        <w:rPr>
          <w:color w:val="000000"/>
          <w:spacing w:val="0"/>
          <w:w w:val="100"/>
          <w:position w:val="0"/>
        </w:rPr>
        <w:t>如是按照预期信用损失一般模型计提应收账款坏账准备，请参照其他应收款的披露方式披露坏账准备的相关信息:</w:t>
      </w:r>
    </w:p>
    <w:p>
      <w:pPr>
        <w:pStyle w:val="Style32"/>
        <w:keepNext w:val="0"/>
        <w:keepLines w:val="0"/>
        <w:widowControl w:val="0"/>
        <w:shd w:val="clear" w:color="auto" w:fill="auto"/>
        <w:bidi w:val="0"/>
        <w:spacing w:before="0" w:after="120" w:line="240" w:lineRule="auto"/>
        <w:ind w:left="0" w:right="0" w:firstLine="9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960"/>
        <w:jc w:val="left"/>
      </w:pPr>
      <w:r>
        <w:rPr>
          <w:color w:val="000000"/>
          <w:spacing w:val="0"/>
          <w:w w:val="100"/>
          <w:position w:val="0"/>
        </w:rPr>
        <w:t>按账龄披露</w:t>
      </w:r>
    </w:p>
    <w:p>
      <w:pPr>
        <w:pStyle w:val="Style32"/>
        <w:keepNext w:val="0"/>
        <w:keepLines w:val="0"/>
        <w:widowControl w:val="0"/>
        <w:shd w:val="clear" w:color="auto" w:fill="auto"/>
        <w:bidi w:val="0"/>
        <w:spacing w:before="0" w:after="120" w:line="240" w:lineRule="auto"/>
        <w:ind w:left="9900" w:right="0" w:firstLine="0"/>
        <w:jc w:val="left"/>
      </w:pPr>
      <w:r>
        <w:rPr>
          <w:color w:val="000000"/>
          <w:spacing w:val="0"/>
          <w:w w:val="100"/>
          <w:position w:val="0"/>
        </w:rPr>
        <w:t>单位：元</w:t>
      </w:r>
    </w:p>
    <w:tbl>
      <w:tblPr>
        <w:tblOverlap w:val="never"/>
        <w:jc w:val="right"/>
        <w:tblLayout w:type="fixed"/>
      </w:tblPr>
      <w:tblGrid>
        <w:gridCol w:w="4790"/>
        <w:gridCol w:w="4795"/>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323,944,716.45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151,300,549.80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54,349,922.22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93,755,526.27</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30,605,377.51</w:t>
            </w:r>
          </w:p>
        </w:tc>
      </w:tr>
    </w:tbl>
    <w:p>
      <w:pPr>
        <w:widowControl w:val="0"/>
        <w:spacing w:line="1" w:lineRule="exact"/>
      </w:pPr>
      <w:r>
        <w:br w:type="page"/>
      </w:r>
    </w:p>
    <w:p>
      <w:pPr>
        <w:framePr w:w="768" w:h="370" w:hSpace="1291" w:vSpace="5" w:wrap="notBeside" w:vAnchor="text" w:hAnchor="text" w:x="1009" w:y="1"/>
        <w:widowControl w:val="0"/>
        <w:rPr>
          <w:sz w:val="2"/>
          <w:szCs w:val="2"/>
        </w:rPr>
      </w:pPr>
      <w:r>
        <w:drawing>
          <wp:inline>
            <wp:extent cx="487680" cy="237490"/>
            <wp:docPr id="901" name="Picutre 901"/>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385"/>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640080" distR="4812665" simplePos="0" relativeHeight="125829604" behindDoc="0" locked="0" layoutInCell="1" allowOverlap="1">
                <wp:simplePos x="0" y="0"/>
                <wp:positionH relativeFrom="column">
                  <wp:posOffset>1127760</wp:posOffset>
                </wp:positionH>
                <wp:positionV relativeFrom="paragraph">
                  <wp:posOffset>6350</wp:posOffset>
                </wp:positionV>
                <wp:extent cx="819785" cy="231775"/>
                <wp:wrapTopAndBottom/>
                <wp:docPr id="902" name="Shape 902"/>
                <a:graphic xmlns:a="http://schemas.openxmlformats.org/drawingml/2006/main">
                  <a:graphicData uri="http://schemas.microsoft.com/office/word/2010/wordprocessingShape">
                    <wps:wsp>
                      <wps:cNvSpPr txBox="1"/>
                      <wps:spPr>
                        <a:xfrm>
                          <a:ext cx="819785" cy="231775"/>
                        </a:xfrm>
                        <a:prstGeom prst="rect"/>
                        <a:noFill/>
                      </wps:spPr>
                      <wps:txbx>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928" type="#_x0000_t202" style="position:absolute;margin-left:88.799999999999997pt;margin-top:0.5pt;width:64.549999999999997pt;height:18.25pt;z-index:-125829149;mso-wrap-distance-left:50.399999999999999pt;mso-wrap-distance-right:378.94999999999999pt" filled="f" stroked="f">
                <v:textbox inset="0,0,0,0">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tbl>
      <w:tblPr>
        <w:tblOverlap w:val="never"/>
        <w:jc w:val="right"/>
        <w:tblLayout w:type="fixed"/>
      </w:tblPr>
      <w:tblGrid>
        <w:gridCol w:w="4790"/>
        <w:gridCol w:w="4795"/>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44,599,873.21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18,550,275.55</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623,350,714.74</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公司需要遵守《深圳证券交易所行业信息披露指引第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widowControl w:val="0"/>
        <w:spacing w:after="359" w:line="1" w:lineRule="exact"/>
      </w:pPr>
    </w:p>
    <w:p>
      <w:pPr>
        <w:pStyle w:val="Style55"/>
        <w:keepNext/>
        <w:keepLines/>
        <w:widowControl w:val="0"/>
        <w:numPr>
          <w:ilvl w:val="0"/>
          <w:numId w:val="151"/>
        </w:numPr>
        <w:shd w:val="clear" w:color="auto" w:fill="auto"/>
        <w:bidi w:val="0"/>
        <w:spacing w:before="0" w:after="360" w:line="240" w:lineRule="auto"/>
        <w:ind w:left="1100" w:right="0" w:firstLine="0"/>
        <w:jc w:val="left"/>
      </w:pPr>
      <w:bookmarkStart w:id="1327" w:name="bookmark1327"/>
      <w:bookmarkStart w:id="1328" w:name="bookmark1328"/>
      <w:bookmarkStart w:id="1329" w:name="bookmark1329"/>
      <w:bookmarkStart w:id="1330" w:name="bookmark1330"/>
      <w:bookmarkEnd w:id="1329"/>
      <w:r>
        <w:rPr>
          <w:color w:val="000000"/>
          <w:spacing w:val="0"/>
          <w:w w:val="100"/>
          <w:position w:val="0"/>
        </w:rPr>
        <w:t>本期计提、收回或转回的坏账准备情况</w:t>
      </w:r>
      <w:bookmarkEnd w:id="1327"/>
      <w:bookmarkEnd w:id="1328"/>
      <w:bookmarkEnd w:id="1330"/>
    </w:p>
    <w:p>
      <w:pPr>
        <w:pStyle w:val="Style32"/>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本期计提坏账准备情况:</w:t>
      </w:r>
    </w:p>
    <w:p>
      <w:pPr>
        <w:pStyle w:val="Style49"/>
        <w:keepNext w:val="0"/>
        <w:keepLines w:val="0"/>
        <w:widowControl w:val="0"/>
        <w:shd w:val="clear" w:color="auto" w:fill="auto"/>
        <w:bidi w:val="0"/>
        <w:spacing w:before="0" w:after="0" w:line="240" w:lineRule="auto"/>
        <w:ind w:left="9341" w:right="0" w:firstLine="0"/>
        <w:jc w:val="left"/>
      </w:pPr>
      <w:r>
        <w:rPr>
          <w:color w:val="000000"/>
          <w:spacing w:val="0"/>
          <w:w w:val="100"/>
          <w:position w:val="0"/>
        </w:rPr>
        <w:t>单位：元</w:t>
      </w:r>
    </w:p>
    <w:tbl>
      <w:tblPr>
        <w:tblOverlap w:val="never"/>
        <w:jc w:val="center"/>
        <w:tblLayout w:type="fixed"/>
      </w:tblPr>
      <w:tblGrid>
        <w:gridCol w:w="1805"/>
        <w:gridCol w:w="1368"/>
        <w:gridCol w:w="1368"/>
        <w:gridCol w:w="1363"/>
        <w:gridCol w:w="1368"/>
        <w:gridCol w:w="1368"/>
        <w:gridCol w:w="1378"/>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12,090,105.30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5,316,250.69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2,698,120.01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14,708,235.98</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110,049,160.53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-20,724,279.21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89,324,881.32</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122,139,265.83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-15,408,028.52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2,698,120.01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104,033,117.30</w:t>
            </w:r>
          </w:p>
        </w:tc>
      </w:tr>
    </w:tbl>
    <w:p>
      <w:pPr>
        <w:widowControl w:val="0"/>
        <w:spacing w:after="79" w:line="1" w:lineRule="exact"/>
      </w:pPr>
    </w:p>
    <w:p>
      <w:pPr>
        <w:pStyle w:val="Style32"/>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其中本期坏账准备收回或转回金额重要的:</w:t>
      </w:r>
    </w:p>
    <w:p>
      <w:pPr>
        <w:pStyle w:val="Style32"/>
        <w:keepNext w:val="0"/>
        <w:keepLines w:val="0"/>
        <w:widowControl w:val="0"/>
        <w:shd w:val="clear" w:color="auto" w:fill="auto"/>
        <w:bidi w:val="0"/>
        <w:spacing w:before="0" w:after="360" w:line="240" w:lineRule="auto"/>
        <w:ind w:left="0" w:right="0" w:firstLine="960"/>
        <w:jc w:val="left"/>
      </w:pPr>
      <w:r>
        <w:rPr>
          <w:color w:val="000000"/>
          <w:spacing w:val="0"/>
          <w:w w:val="100"/>
          <w:position w:val="0"/>
        </w:rPr>
        <w:t>无</w:t>
      </w:r>
    </w:p>
    <w:p>
      <w:pPr>
        <w:pStyle w:val="Style55"/>
        <w:keepNext/>
        <w:keepLines/>
        <w:widowControl w:val="0"/>
        <w:numPr>
          <w:ilvl w:val="0"/>
          <w:numId w:val="151"/>
        </w:numPr>
        <w:shd w:val="clear" w:color="auto" w:fill="auto"/>
        <w:bidi w:val="0"/>
        <w:spacing w:before="0" w:after="360" w:line="240" w:lineRule="auto"/>
        <w:ind w:left="1100" w:right="0" w:firstLine="0"/>
        <w:jc w:val="left"/>
      </w:pPr>
      <w:bookmarkStart w:id="1331" w:name="bookmark1331"/>
      <w:bookmarkStart w:id="1332" w:name="bookmark1332"/>
      <w:bookmarkStart w:id="1333" w:name="bookmark1333"/>
      <w:bookmarkStart w:id="1334" w:name="bookmark1334"/>
      <w:bookmarkEnd w:id="1333"/>
      <w:r>
        <w:rPr>
          <w:color w:val="000000"/>
          <w:spacing w:val="0"/>
          <w:w w:val="100"/>
          <w:position w:val="0"/>
        </w:rPr>
        <w:t>本期实际核销的应收账款情况</w:t>
      </w:r>
      <w:bookmarkEnd w:id="1331"/>
      <w:bookmarkEnd w:id="1332"/>
      <w:bookmarkEnd w:id="1334"/>
    </w:p>
    <w:p>
      <w:pPr>
        <w:pStyle w:val="Style32"/>
        <w:keepNext w:val="0"/>
        <w:keepLines w:val="0"/>
        <w:widowControl w:val="0"/>
        <w:shd w:val="clear" w:color="auto" w:fill="auto"/>
        <w:bidi w:val="0"/>
        <w:spacing w:before="0" w:after="360" w:line="240" w:lineRule="auto"/>
        <w:ind w:left="0" w:right="0" w:firstLine="960"/>
        <w:jc w:val="left"/>
      </w:pPr>
      <w:r>
        <w:rPr>
          <w:color w:val="000000"/>
          <w:spacing w:val="0"/>
          <w:w w:val="100"/>
          <w:position w:val="0"/>
        </w:rPr>
        <w:t>无</w:t>
      </w:r>
    </w:p>
    <w:p>
      <w:pPr>
        <w:pStyle w:val="Style55"/>
        <w:keepNext/>
        <w:keepLines/>
        <w:widowControl w:val="0"/>
        <w:numPr>
          <w:ilvl w:val="0"/>
          <w:numId w:val="151"/>
        </w:numPr>
        <w:shd w:val="clear" w:color="auto" w:fill="auto"/>
        <w:bidi w:val="0"/>
        <w:spacing w:before="0" w:after="360" w:line="240" w:lineRule="auto"/>
        <w:ind w:left="0" w:right="0" w:firstLine="960"/>
        <w:jc w:val="left"/>
      </w:pPr>
      <w:bookmarkStart w:id="1335" w:name="bookmark1335"/>
      <w:bookmarkStart w:id="1336" w:name="bookmark1336"/>
      <w:bookmarkStart w:id="1337" w:name="bookmark1337"/>
      <w:bookmarkStart w:id="1338" w:name="bookmark1338"/>
      <w:bookmarkEnd w:id="1337"/>
      <w:r>
        <w:rPr>
          <w:color w:val="000000"/>
          <w:spacing w:val="0"/>
          <w:w w:val="100"/>
          <w:position w:val="0"/>
        </w:rPr>
        <w:t>按欠款方归集的期末余额前五名的应收账款情况</w:t>
      </w:r>
      <w:bookmarkEnd w:id="1335"/>
      <w:bookmarkEnd w:id="1336"/>
      <w:bookmarkEnd w:id="1338"/>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right"/>
        <w:tblLayout w:type="fixed"/>
      </w:tblPr>
      <w:tblGrid>
        <w:gridCol w:w="1987"/>
        <w:gridCol w:w="2131"/>
        <w:gridCol w:w="2928"/>
        <w:gridCol w:w="2539"/>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40"/>
              <w:jc w:val="left"/>
            </w:pPr>
            <w:r>
              <w:rPr>
                <w:color w:val="000000"/>
                <w:spacing w:val="0"/>
                <w:w w:val="100"/>
                <w:position w:val="0"/>
              </w:rPr>
              <w:t>单位名称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应收账款期末余额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占应收账款期末余额合计数的比例</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40"/>
              <w:jc w:val="left"/>
            </w:pPr>
            <w:r>
              <w:rPr>
                <w:color w:val="000000"/>
                <w:spacing w:val="0"/>
                <w:w w:val="100"/>
                <w:position w:val="0"/>
              </w:rPr>
              <w:t>坏账准备期末余额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18,890,383.44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420" w:right="0" w:firstLine="0"/>
              <w:jc w:val="left"/>
            </w:pPr>
            <w:r>
              <w:rPr>
                <w:rFonts w:ascii="Times New Roman" w:eastAsia="Times New Roman" w:hAnsi="Times New Roman" w:cs="Times New Roman"/>
                <w:color w:val="000000"/>
                <w:spacing w:val="0"/>
                <w:w w:val="100"/>
                <w:position w:val="0"/>
              </w:rPr>
              <w:t>3.02%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387,918.81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18,736,810.00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420" w:right="0" w:firstLine="0"/>
              <w:jc w:val="left"/>
            </w:pPr>
            <w:r>
              <w:rPr>
                <w:rFonts w:ascii="Times New Roman" w:eastAsia="Times New Roman" w:hAnsi="Times New Roman" w:cs="Times New Roman"/>
                <w:color w:val="000000"/>
                <w:spacing w:val="0"/>
                <w:w w:val="100"/>
                <w:position w:val="0"/>
              </w:rPr>
              <w:t>3.01%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14,989,448.00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11,399,904.42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420" w:right="0" w:firstLine="0"/>
              <w:jc w:val="left"/>
            </w:pPr>
            <w:r>
              <w:rPr>
                <w:rFonts w:ascii="Times New Roman" w:eastAsia="Times New Roman" w:hAnsi="Times New Roman" w:cs="Times New Roman"/>
                <w:color w:val="000000"/>
                <w:spacing w:val="0"/>
                <w:w w:val="100"/>
                <w:position w:val="0"/>
              </w:rPr>
              <w:t>1.83%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227,998.09</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10,915,968.00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420" w:right="0" w:firstLine="0"/>
              <w:jc w:val="left"/>
            </w:pPr>
            <w:r>
              <w:rPr>
                <w:rFonts w:ascii="Times New Roman" w:eastAsia="Times New Roman" w:hAnsi="Times New Roman" w:cs="Times New Roman"/>
                <w:color w:val="000000"/>
                <w:spacing w:val="0"/>
                <w:w w:val="100"/>
                <w:position w:val="0"/>
              </w:rPr>
              <w:t>1.75%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218,319.36</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10,390,865.56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420" w:right="0" w:firstLine="0"/>
              <w:jc w:val="left"/>
            </w:pPr>
            <w:r>
              <w:rPr>
                <w:rFonts w:ascii="Times New Roman" w:eastAsia="Times New Roman" w:hAnsi="Times New Roman" w:cs="Times New Roman"/>
                <w:color w:val="000000"/>
                <w:spacing w:val="0"/>
                <w:w w:val="100"/>
                <w:position w:val="0"/>
              </w:rPr>
              <w:t>1.67%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519,543.28</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70,333,931.42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11.28%</w:t>
            </w:r>
          </w:p>
        </w:tc>
        <w:tc>
          <w:tcPr>
            <w:tcBorders>
              <w:top w:val="single" w:sz="4"/>
              <w:left w:val="single" w:sz="4"/>
              <w:bottom w:val="single" w:sz="4"/>
              <w:right w:val="single" w:sz="4"/>
            </w:tcBorders>
            <w:shd w:val="clear" w:color="auto" w:fill="D4D4D4"/>
            <w:vAlign w:val="top"/>
          </w:tcPr>
          <w:p>
            <w:pPr>
              <w:widowControl w:val="0"/>
              <w:rPr>
                <w:sz w:val="10"/>
                <w:szCs w:val="10"/>
              </w:rPr>
            </w:pPr>
          </w:p>
        </w:tc>
      </w:tr>
    </w:tbl>
    <w:p>
      <w:pPr>
        <w:widowControl w:val="0"/>
        <w:spacing w:after="359" w:line="1" w:lineRule="exact"/>
      </w:pPr>
    </w:p>
    <w:p>
      <w:pPr>
        <w:pStyle w:val="Style55"/>
        <w:keepNext/>
        <w:keepLines/>
        <w:widowControl w:val="0"/>
        <w:numPr>
          <w:ilvl w:val="0"/>
          <w:numId w:val="151"/>
        </w:numPr>
        <w:shd w:val="clear" w:color="auto" w:fill="auto"/>
        <w:bidi w:val="0"/>
        <w:spacing w:before="0" w:after="960" w:line="240" w:lineRule="auto"/>
        <w:ind w:left="1100" w:right="0" w:firstLine="0"/>
        <w:jc w:val="left"/>
      </w:pPr>
      <w:bookmarkStart w:id="1339" w:name="bookmark1339"/>
      <w:bookmarkStart w:id="1340" w:name="bookmark1340"/>
      <w:bookmarkStart w:id="1341" w:name="bookmark1341"/>
      <w:bookmarkStart w:id="1342" w:name="bookmark1342"/>
      <w:bookmarkEnd w:id="1341"/>
      <w:r>
        <w:rPr>
          <w:color w:val="000000"/>
          <w:spacing w:val="0"/>
          <w:w w:val="100"/>
          <w:position w:val="0"/>
        </w:rPr>
        <w:t>因金融资产转移而终止确认的应收账款</w:t>
      </w:r>
      <w:bookmarkEnd w:id="1339"/>
      <w:bookmarkEnd w:id="1340"/>
      <w:bookmarkEnd w:id="1342"/>
    </w:p>
    <w:p>
      <w:pPr>
        <w:pStyle w:val="Style55"/>
        <w:keepNext/>
        <w:keepLines/>
        <w:widowControl w:val="0"/>
        <w:numPr>
          <w:ilvl w:val="0"/>
          <w:numId w:val="151"/>
        </w:numPr>
        <w:shd w:val="clear" w:color="auto" w:fill="auto"/>
        <w:bidi w:val="0"/>
        <w:spacing w:before="0" w:after="360" w:line="240" w:lineRule="auto"/>
        <w:ind w:left="1100" w:right="0" w:firstLine="0"/>
        <w:jc w:val="left"/>
      </w:pPr>
      <w:bookmarkStart w:id="1343" w:name="bookmark1343"/>
      <w:bookmarkStart w:id="1344" w:name="bookmark1344"/>
      <w:bookmarkStart w:id="1345" w:name="bookmark1345"/>
      <w:bookmarkStart w:id="1346" w:name="bookmark1346"/>
      <w:bookmarkEnd w:id="1345"/>
      <w:r>
        <w:rPr>
          <w:color w:val="000000"/>
          <w:spacing w:val="0"/>
          <w:w w:val="100"/>
          <w:position w:val="0"/>
        </w:rPr>
        <w:t>转移应收账款且继续涉入形成的资产、负债金额</w:t>
      </w:r>
      <w:bookmarkEnd w:id="1343"/>
      <w:bookmarkEnd w:id="1344"/>
      <w:bookmarkEnd w:id="1346"/>
      <w:r>
        <w:br w:type="page"/>
      </w:r>
    </w:p>
    <w:p>
      <w:pPr>
        <w:widowControl w:val="0"/>
        <w:spacing w:line="1" w:lineRule="exact"/>
      </w:pPr>
      <w:r>
        <w:drawing>
          <wp:anchor distT="0" distB="344170" distL="0" distR="0" simplePos="0" relativeHeight="125829606" behindDoc="0" locked="0" layoutInCell="1" allowOverlap="1">
            <wp:simplePos x="0" y="0"/>
            <wp:positionH relativeFrom="page">
              <wp:posOffset>588645</wp:posOffset>
            </wp:positionH>
            <wp:positionV relativeFrom="paragraph">
              <wp:posOffset>0</wp:posOffset>
            </wp:positionV>
            <wp:extent cx="1298575" cy="475615"/>
            <wp:wrapTopAndBottom/>
            <wp:docPr id="904" name="Shape 904"/>
            <a:graphic xmlns:a="http://schemas.openxmlformats.org/drawingml/2006/main">
              <a:graphicData uri="http://schemas.openxmlformats.org/drawingml/2006/picture">
                <pic:pic xmlns:pic="http://schemas.openxmlformats.org/drawingml/2006/picture">
                  <pic:nvPicPr>
                    <pic:cNvPr id="905" name="Picture box 905"/>
                    <pic:cNvPicPr/>
                  </pic:nvPicPr>
                  <pic:blipFill>
                    <a:blip r:embed="rId387"/>
                    <a:stretch/>
                  </pic:blipFill>
                  <pic:spPr>
                    <a:xfrm>
                      <a:ext cx="1298575" cy="475615"/>
                    </a:xfrm>
                    <a:prstGeom prst="rect"/>
                  </pic:spPr>
                </pic:pic>
              </a:graphicData>
            </a:graphic>
          </wp:anchor>
        </w:drawing>
      </w:r>
      <w:r>
        <mc:AlternateContent>
          <mc:Choice Requires="wps">
            <w:drawing>
              <wp:anchor distT="234950" distB="151765" distL="0" distR="0" simplePos="0" relativeHeight="125829607" behindDoc="0" locked="0" layoutInCell="1" allowOverlap="1">
                <wp:simplePos x="0" y="0"/>
                <wp:positionH relativeFrom="page">
                  <wp:posOffset>567055</wp:posOffset>
                </wp:positionH>
                <wp:positionV relativeFrom="paragraph">
                  <wp:posOffset>234950</wp:posOffset>
                </wp:positionV>
                <wp:extent cx="1341120" cy="433070"/>
                <wp:wrapTopAndBottom/>
                <wp:docPr id="906" name="Shape 906"/>
                <a:graphic xmlns:a="http://schemas.openxmlformats.org/drawingml/2006/main">
                  <a:graphicData uri="http://schemas.microsoft.com/office/word/2010/wordprocessingShape">
                    <wps:wsp>
                      <wps:cNvSpPr txBox="1"/>
                      <wps:spPr>
                        <a:xfrm>
                          <a:ext cx="1341120" cy="433070"/>
                        </a:xfrm>
                        <a:prstGeom prst="rect"/>
                        <a:noFill/>
                      </wps:spPr>
                      <wps:txbx>
                        <w:txbxContent>
                          <w:p>
                            <w:pPr>
                              <w:pStyle w:val="Style5"/>
                              <w:keepNext w:val="0"/>
                              <w:keepLines w:val="0"/>
                              <w:widowControl w:val="0"/>
                              <w:shd w:val="clear" w:color="auto" w:fill="auto"/>
                              <w:bidi w:val="0"/>
                              <w:spacing w:before="0" w:after="0" w:line="211" w:lineRule="exact"/>
                              <w:ind w:left="0" w:right="0" w:firstLine="820"/>
                              <w:jc w:val="both"/>
                              <w:rPr>
                                <w:sz w:val="20"/>
                                <w:szCs w:val="20"/>
                              </w:rPr>
                            </w:pPr>
                            <w:r>
                              <w:rPr>
                                <w:spacing w:val="0"/>
                                <w:w w:val="100"/>
                                <w:position w:val="0"/>
                                <w:sz w:val="15"/>
                                <w:szCs w:val="15"/>
                              </w:rPr>
                              <w:t>国家高新技术企业 股票代码:</w:t>
                            </w:r>
                            <w:r>
                              <w:rPr>
                                <w:rFonts w:ascii="SimSun" w:eastAsia="SimSun" w:hAnsi="SimSun" w:cs="SimSun"/>
                                <w:spacing w:val="0"/>
                                <w:w w:val="100"/>
                                <w:position w:val="0"/>
                                <w:sz w:val="18"/>
                                <w:szCs w:val="18"/>
                              </w:rPr>
                              <w:t xml:space="preserve">300290 </w:t>
                            </w:r>
                            <w:r>
                              <w:rPr>
                                <w:rFonts w:ascii="Times New Roman" w:eastAsia="Times New Roman" w:hAnsi="Times New Roman" w:cs="Times New Roman"/>
                                <w:b/>
                                <w:bCs/>
                                <w:color w:val="000000"/>
                                <w:spacing w:val="0"/>
                                <w:w w:val="100"/>
                                <w:position w:val="0"/>
                                <w:sz w:val="20"/>
                                <w:szCs w:val="20"/>
                              </w:rPr>
                              <w:t>6</w:t>
                            </w:r>
                            <w:r>
                              <w:rPr>
                                <w:rFonts w:ascii="SimSun" w:eastAsia="SimSun" w:hAnsi="SimSun" w:cs="SimSun"/>
                                <w:b/>
                                <w:bCs/>
                                <w:color w:val="000000"/>
                                <w:spacing w:val="0"/>
                                <w:w w:val="100"/>
                                <w:position w:val="0"/>
                                <w:sz w:val="20"/>
                                <w:szCs w:val="20"/>
                              </w:rPr>
                              <w:t>、应收款项融资</w:t>
                            </w:r>
                          </w:p>
                        </w:txbxContent>
                      </wps:txbx>
                      <wps:bodyPr lIns="0" tIns="0" rIns="0" bIns="0">
                        <a:noAutoFit/>
                      </wps:bodyPr>
                    </wps:wsp>
                  </a:graphicData>
                </a:graphic>
              </wp:anchor>
            </w:drawing>
          </mc:Choice>
          <mc:Fallback>
            <w:pict>
              <v:shape id="_x0000_s1932" type="#_x0000_t202" style="position:absolute;margin-left:44.649999999999999pt;margin-top:18.5pt;width:105.60000000000001pt;height:34.100000000000001pt;z-index:-125829146;mso-wrap-distance-left:0;mso-wrap-distance-top:18.5pt;mso-wrap-distance-right:0;mso-wrap-distance-bottom:11.950000000000001pt;mso-position-horizontal-relative:page" filled="f" stroked="f">
                <v:textbox inset="0,0,0,0">
                  <w:txbxContent>
                    <w:p>
                      <w:pPr>
                        <w:pStyle w:val="Style5"/>
                        <w:keepNext w:val="0"/>
                        <w:keepLines w:val="0"/>
                        <w:widowControl w:val="0"/>
                        <w:shd w:val="clear" w:color="auto" w:fill="auto"/>
                        <w:bidi w:val="0"/>
                        <w:spacing w:before="0" w:after="0" w:line="211" w:lineRule="exact"/>
                        <w:ind w:left="0" w:right="0" w:firstLine="820"/>
                        <w:jc w:val="both"/>
                        <w:rPr>
                          <w:sz w:val="20"/>
                          <w:szCs w:val="20"/>
                        </w:rPr>
                      </w:pPr>
                      <w:r>
                        <w:rPr>
                          <w:spacing w:val="0"/>
                          <w:w w:val="100"/>
                          <w:position w:val="0"/>
                          <w:sz w:val="15"/>
                          <w:szCs w:val="15"/>
                        </w:rPr>
                        <w:t>国家高新技术企业 股票代码:</w:t>
                      </w:r>
                      <w:r>
                        <w:rPr>
                          <w:rFonts w:ascii="SimSun" w:eastAsia="SimSun" w:hAnsi="SimSun" w:cs="SimSun"/>
                          <w:spacing w:val="0"/>
                          <w:w w:val="100"/>
                          <w:position w:val="0"/>
                          <w:sz w:val="18"/>
                          <w:szCs w:val="18"/>
                        </w:rPr>
                        <w:t xml:space="preserve">300290 </w:t>
                      </w:r>
                      <w:r>
                        <w:rPr>
                          <w:rFonts w:ascii="Times New Roman" w:eastAsia="Times New Roman" w:hAnsi="Times New Roman" w:cs="Times New Roman"/>
                          <w:b/>
                          <w:bCs/>
                          <w:color w:val="000000"/>
                          <w:spacing w:val="0"/>
                          <w:w w:val="100"/>
                          <w:position w:val="0"/>
                          <w:sz w:val="20"/>
                          <w:szCs w:val="20"/>
                        </w:rPr>
                        <w:t>6</w:t>
                      </w:r>
                      <w:r>
                        <w:rPr>
                          <w:rFonts w:ascii="SimSun" w:eastAsia="SimSun" w:hAnsi="SimSun" w:cs="SimSun"/>
                          <w:b/>
                          <w:bCs/>
                          <w:color w:val="000000"/>
                          <w:spacing w:val="0"/>
                          <w:w w:val="100"/>
                          <w:position w:val="0"/>
                          <w:sz w:val="20"/>
                          <w:szCs w:val="20"/>
                        </w:rPr>
                        <w:t>、应收款项融资</w:t>
                      </w:r>
                    </w:p>
                  </w:txbxContent>
                </v:textbox>
                <w10:wrap type="topAndBottom" anchorx="page"/>
              </v:shape>
            </w:pict>
          </mc:Fallback>
        </mc:AlternateContent>
      </w:r>
    </w:p>
    <w:p>
      <w:pPr>
        <w:pStyle w:val="Style32"/>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4,721,135.31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251,000.00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4,721,135.31</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251,000.00</w:t>
            </w:r>
          </w:p>
        </w:tc>
      </w:tr>
    </w:tbl>
    <w:p>
      <w:pPr>
        <w:pStyle w:val="Style32"/>
        <w:keepNext w:val="0"/>
        <w:keepLines w:val="0"/>
        <w:widowControl w:val="0"/>
        <w:shd w:val="clear" w:color="auto" w:fill="auto"/>
        <w:bidi w:val="0"/>
        <w:spacing w:before="0" w:after="140" w:line="312" w:lineRule="exact"/>
        <w:ind w:left="0" w:right="0" w:firstLine="0"/>
        <w:jc w:val="left"/>
      </w:pPr>
      <w:r>
        <w:rPr>
          <w:color w:val="000000"/>
          <w:spacing w:val="0"/>
          <w:w w:val="100"/>
          <w:position w:val="0"/>
        </w:rPr>
        <w:t>应收款项融资本期增减变动及公允价值变动情况</w:t>
      </w:r>
    </w:p>
    <w:p>
      <w:pPr>
        <w:pStyle w:val="Style3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140" w:line="312" w:lineRule="exact"/>
        <w:ind w:left="0" w:right="0" w:firstLine="0"/>
        <w:jc w:val="left"/>
      </w:pPr>
      <w:r>
        <w:rPr>
          <w:color w:val="000000"/>
          <w:spacing w:val="0"/>
          <w:w w:val="100"/>
          <w:position w:val="0"/>
        </w:rPr>
        <w:t>如是按照预期信用损失一般模型计提应收款项融资减值准备，请参照其他应收款的披露方式披露减值准备的相关信息：</w:t>
      </w:r>
    </w:p>
    <w:p>
      <w:pPr>
        <w:pStyle w:val="Style3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2"/>
        <w:keepNext w:val="0"/>
        <w:keepLines w:val="0"/>
        <w:widowControl w:val="0"/>
        <w:shd w:val="clear" w:color="auto" w:fill="auto"/>
        <w:bidi w:val="0"/>
        <w:spacing w:before="0" w:after="60" w:line="312" w:lineRule="exact"/>
        <w:ind w:left="0" w:right="0" w:firstLine="0"/>
        <w:jc w:val="left"/>
      </w:pPr>
      <w:r>
        <w:rPr>
          <w:color w:val="000000"/>
          <w:spacing w:val="0"/>
          <w:w w:val="100"/>
          <w:position w:val="0"/>
        </w:rPr>
        <w:t>其他说明：</w:t>
      </w:r>
    </w:p>
    <w:p>
      <w:pPr>
        <w:pStyle w:val="Style32"/>
        <w:keepNext w:val="0"/>
        <w:keepLines w:val="0"/>
        <w:widowControl w:val="0"/>
        <w:shd w:val="clear" w:color="auto" w:fill="auto"/>
        <w:bidi w:val="0"/>
        <w:spacing w:before="0" w:after="380" w:line="312" w:lineRule="exact"/>
        <w:ind w:left="0" w:right="0" w:firstLine="0"/>
        <w:jc w:val="left"/>
      </w:pPr>
      <w:r>
        <w:rPr>
          <w:color w:val="000000"/>
          <w:spacing w:val="0"/>
          <w:w w:val="100"/>
          <w:position w:val="0"/>
        </w:rPr>
        <w:t>期末应收票据均为银行承兑汇票，其剩余期限较短，账面余额与公允价值相近。本公司认为所持有的银行承兑汇票不存在重 大的信用风险，不会因银行或其他出票人违约而产生重大损失，故未计提资产减值准备。</w:t>
      </w:r>
    </w:p>
    <w:p>
      <w:pPr>
        <w:pStyle w:val="Style55"/>
        <w:keepNext/>
        <w:keepLines/>
        <w:widowControl w:val="0"/>
        <w:shd w:val="clear" w:color="auto" w:fill="auto"/>
        <w:bidi w:val="0"/>
        <w:spacing w:before="0" w:after="380" w:line="240" w:lineRule="auto"/>
        <w:ind w:left="0" w:right="0" w:firstLine="0"/>
        <w:jc w:val="left"/>
      </w:pPr>
      <w:bookmarkStart w:id="1347" w:name="bookmark1347"/>
      <w:bookmarkStart w:id="1348" w:name="bookmark1348"/>
      <w:bookmarkStart w:id="1349" w:name="bookmark1349"/>
      <w:r>
        <w:rPr>
          <w:rFonts w:ascii="Times New Roman" w:eastAsia="Times New Roman" w:hAnsi="Times New Roman" w:cs="Times New Roman"/>
          <w:color w:val="000000"/>
          <w:spacing w:val="0"/>
          <w:w w:val="100"/>
          <w:position w:val="0"/>
        </w:rPr>
        <w:t>7</w:t>
      </w:r>
      <w:r>
        <w:rPr>
          <w:color w:val="000000"/>
          <w:spacing w:val="0"/>
          <w:w w:val="100"/>
          <w:position w:val="0"/>
        </w:rPr>
        <w:t>、预付款项</w:t>
      </w:r>
      <w:bookmarkEnd w:id="1347"/>
      <w:bookmarkEnd w:id="1348"/>
      <w:bookmarkEnd w:id="1349"/>
    </w:p>
    <w:p>
      <w:pPr>
        <w:pStyle w:val="Style55"/>
        <w:keepNext/>
        <w:keepLines/>
        <w:widowControl w:val="0"/>
        <w:shd w:val="clear" w:color="auto" w:fill="auto"/>
        <w:bidi w:val="0"/>
        <w:spacing w:before="0" w:after="320" w:line="240" w:lineRule="auto"/>
        <w:ind w:left="0" w:right="0" w:firstLine="0"/>
        <w:jc w:val="left"/>
      </w:pPr>
      <w:bookmarkStart w:id="1347" w:name="bookmark1347"/>
      <w:bookmarkStart w:id="1348" w:name="bookmark1348"/>
      <w:bookmarkStart w:id="1350" w:name="bookmark1350"/>
      <w:bookmarkStart w:id="1351" w:name="bookmark1351"/>
      <w:r>
        <w:rPr>
          <w:color w:val="000000"/>
          <w:spacing w:val="0"/>
          <w:w w:val="100"/>
          <w:position w:val="0"/>
        </w:rPr>
        <w:t>（</w:t>
      </w:r>
      <w:bookmarkEnd w:id="1350"/>
      <w:r>
        <w:rPr>
          <w:rFonts w:ascii="Times New Roman" w:eastAsia="Times New Roman" w:hAnsi="Times New Roman" w:cs="Times New Roman"/>
          <w:color w:val="000000"/>
          <w:spacing w:val="0"/>
          <w:w w:val="100"/>
          <w:position w:val="0"/>
        </w:rPr>
        <w:t>1</w:t>
      </w:r>
      <w:r>
        <w:rPr>
          <w:color w:val="000000"/>
          <w:spacing w:val="0"/>
          <w:w w:val="100"/>
          <w:position w:val="0"/>
        </w:rPr>
        <w:t>）预付款项按账龄列示</w:t>
      </w:r>
      <w:bookmarkEnd w:id="1347"/>
      <w:bookmarkEnd w:id="1348"/>
      <w:bookmarkEnd w:id="1351"/>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3"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15,055,615.42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91.13%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10,041,098.54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87.95%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281,232.53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1.70%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392,309.75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3.44%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202,314.46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1.22%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3,434.00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0.03%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080" w:right="0" w:firstLine="0"/>
              <w:jc w:val="left"/>
            </w:pPr>
            <w:r>
              <w:rPr>
                <w:rFonts w:ascii="Times New Roman" w:eastAsia="Times New Roman" w:hAnsi="Times New Roman" w:cs="Times New Roman"/>
                <w:color w:val="000000"/>
                <w:spacing w:val="0"/>
                <w:w w:val="100"/>
                <w:position w:val="0"/>
              </w:rPr>
              <w:t>983,434.00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5.95%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8.58%</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16,522,596.41</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11,416,842.29</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59" w:line="1" w:lineRule="exact"/>
      </w:pPr>
    </w:p>
    <w:p>
      <w:pPr>
        <w:widowControl w:val="0"/>
        <w:spacing w:line="1" w:lineRule="exact"/>
      </w:pP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年且金额重要的预付款项未及时结算原因的说明:</w:t>
      </w:r>
    </w:p>
    <w:tbl>
      <w:tblPr>
        <w:tblOverlap w:val="never"/>
        <w:jc w:val="left"/>
        <w:tblLayout w:type="fixed"/>
      </w:tblPr>
      <w:tblGrid>
        <w:gridCol w:w="3134"/>
        <w:gridCol w:w="2011"/>
        <w:gridCol w:w="1387"/>
        <w:gridCol w:w="2136"/>
      </w:tblGrid>
      <w:tr>
        <w:trPr>
          <w:trHeight w:val="35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未结算原因</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上海虹桥国际医疗旅游服务有限公司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rPr>
              <w:t>980,000.00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未到结算期</w:t>
            </w:r>
          </w:p>
        </w:tc>
      </w:tr>
      <w:tr>
        <w:trPr>
          <w:trHeight w:val="360"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rPr>
              <w:t>980,000.00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55"/>
        <w:keepNext/>
        <w:keepLines/>
        <w:widowControl w:val="0"/>
        <w:shd w:val="clear" w:color="auto" w:fill="auto"/>
        <w:bidi w:val="0"/>
        <w:spacing w:before="0" w:after="320" w:line="240" w:lineRule="auto"/>
        <w:ind w:left="0" w:right="0" w:firstLine="0"/>
        <w:jc w:val="left"/>
      </w:pPr>
      <w:bookmarkStart w:id="1352" w:name="bookmark1352"/>
      <w:bookmarkStart w:id="1353" w:name="bookmark1353"/>
      <w:bookmarkStart w:id="1354" w:name="bookmark1354"/>
      <w:bookmarkStart w:id="1355" w:name="bookmark1355"/>
      <w:r>
        <w:rPr>
          <w:color w:val="000000"/>
          <w:spacing w:val="0"/>
          <w:w w:val="100"/>
          <w:position w:val="0"/>
        </w:rPr>
        <w:t>（</w:t>
      </w:r>
      <w:bookmarkEnd w:id="1354"/>
      <w:r>
        <w:rPr>
          <w:rFonts w:ascii="Times New Roman" w:eastAsia="Times New Roman" w:hAnsi="Times New Roman" w:cs="Times New Roman"/>
          <w:color w:val="000000"/>
          <w:spacing w:val="0"/>
          <w:w w:val="100"/>
          <w:position w:val="0"/>
        </w:rPr>
        <w:t>2</w:t>
      </w:r>
      <w:r>
        <w:rPr>
          <w:color w:val="000000"/>
          <w:spacing w:val="0"/>
          <w:w w:val="100"/>
          <w:position w:val="0"/>
        </w:rPr>
        <w:t>）按预付对象归集的期末余额前五名的预付款情况</w:t>
      </w:r>
      <w:bookmarkEnd w:id="1352"/>
      <w:bookmarkEnd w:id="1353"/>
      <w:bookmarkEnd w:id="1355"/>
    </w:p>
    <w:tbl>
      <w:tblPr>
        <w:tblOverlap w:val="never"/>
        <w:jc w:val="left"/>
        <w:tblLayout w:type="fixed"/>
      </w:tblPr>
      <w:tblGrid>
        <w:gridCol w:w="3096"/>
        <w:gridCol w:w="2410"/>
        <w:gridCol w:w="3269"/>
      </w:tblGrid>
      <w:tr>
        <w:trPr>
          <w:trHeight w:val="35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140" w:firstLine="0"/>
              <w:jc w:val="right"/>
            </w:pPr>
            <w:r>
              <w:rPr>
                <w:color w:val="000000"/>
                <w:spacing w:val="0"/>
                <w:w w:val="100"/>
                <w:position w:val="0"/>
              </w:rPr>
              <w:t>占预付账款期末余额合计数的比例</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2,462,341.16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14.90</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1,320,000.00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920" w:right="0" w:firstLine="0"/>
              <w:jc w:val="both"/>
            </w:pPr>
            <w:r>
              <w:rPr>
                <w:rFonts w:ascii="Times New Roman" w:eastAsia="Times New Roman" w:hAnsi="Times New Roman" w:cs="Times New Roman"/>
                <w:color w:val="000000"/>
                <w:spacing w:val="0"/>
                <w:w w:val="100"/>
                <w:position w:val="0"/>
              </w:rPr>
              <w:t>7.99</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1,243,471.97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920" w:right="0" w:firstLine="0"/>
              <w:jc w:val="both"/>
            </w:pPr>
            <w:r>
              <w:rPr>
                <w:rFonts w:ascii="Times New Roman" w:eastAsia="Times New Roman" w:hAnsi="Times New Roman" w:cs="Times New Roman"/>
                <w:color w:val="000000"/>
                <w:spacing w:val="0"/>
                <w:w w:val="100"/>
                <w:position w:val="0"/>
              </w:rPr>
              <w:t>7.53</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1,230,000.00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920" w:right="0" w:firstLine="0"/>
              <w:jc w:val="both"/>
            </w:pPr>
            <w:r>
              <w:rPr>
                <w:rFonts w:ascii="Times New Roman" w:eastAsia="Times New Roman" w:hAnsi="Times New Roman" w:cs="Times New Roman"/>
                <w:color w:val="000000"/>
                <w:spacing w:val="0"/>
                <w:w w:val="100"/>
                <w:position w:val="0"/>
              </w:rPr>
              <w:t>7.44</w:t>
            </w:r>
          </w:p>
        </w:tc>
      </w:tr>
      <w:tr>
        <w:trPr>
          <w:trHeight w:val="360"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1,175,900.00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920" w:right="0" w:firstLine="0"/>
              <w:jc w:val="both"/>
            </w:pPr>
            <w:r>
              <w:rPr>
                <w:rFonts w:ascii="Times New Roman" w:eastAsia="Times New Roman" w:hAnsi="Times New Roman" w:cs="Times New Roman"/>
                <w:color w:val="000000"/>
                <w:spacing w:val="0"/>
                <w:w w:val="100"/>
                <w:position w:val="0"/>
              </w:rPr>
              <w:t>7.12</w:t>
            </w:r>
          </w:p>
        </w:tc>
      </w:tr>
    </w:tbl>
    <w:p>
      <w:pPr>
        <w:spacing w:lineRule="exact" w:line="1"/>
        <w:rPr>
          <w:sz w:val="2"/>
          <w:szCs w:val="2"/>
        </w:rPr>
      </w:pPr>
      <w:r>
        <w:br w:type="page"/>
      </w:r>
    </w:p>
    <w:p>
      <w:pPr>
        <w:widowControl w:val="0"/>
        <w:spacing w:line="1" w:lineRule="exact"/>
      </w:pPr>
      <w:r>
        <w:drawing>
          <wp:anchor distT="0" distB="923290" distL="0" distR="0" simplePos="0" relativeHeight="125829609" behindDoc="0" locked="0" layoutInCell="1" allowOverlap="1">
            <wp:simplePos x="0" y="0"/>
            <wp:positionH relativeFrom="page">
              <wp:posOffset>682625</wp:posOffset>
            </wp:positionH>
            <wp:positionV relativeFrom="paragraph">
              <wp:posOffset>0</wp:posOffset>
            </wp:positionV>
            <wp:extent cx="176530" cy="79375"/>
            <wp:wrapTopAndBottom/>
            <wp:docPr id="908" name="Shape 908"/>
            <a:graphic xmlns:a="http://schemas.openxmlformats.org/drawingml/2006/main">
              <a:graphicData uri="http://schemas.openxmlformats.org/drawingml/2006/picture">
                <pic:pic xmlns:pic="http://schemas.openxmlformats.org/drawingml/2006/picture">
                  <pic:nvPicPr>
                    <pic:cNvPr id="909" name="Picture box 909"/>
                    <pic:cNvPicPr/>
                  </pic:nvPicPr>
                  <pic:blipFill>
                    <a:blip r:embed="rId389"/>
                    <a:stretch/>
                  </pic:blipFill>
                  <pic:spPr>
                    <a:xfrm>
                      <a:ext cx="176530" cy="79375"/>
                    </a:xfrm>
                    <a:prstGeom prst="rect"/>
                  </pic:spPr>
                </pic:pic>
              </a:graphicData>
            </a:graphic>
          </wp:anchor>
        </w:drawing>
      </w:r>
      <w:r>
        <mc:AlternateContent>
          <mc:Choice Requires="wps">
            <w:drawing>
              <wp:anchor distT="6350" distB="752475" distL="0" distR="0" simplePos="0" relativeHeight="125829610" behindDoc="0" locked="0" layoutInCell="1" allowOverlap="1">
                <wp:simplePos x="0" y="0"/>
                <wp:positionH relativeFrom="page">
                  <wp:posOffset>1170305</wp:posOffset>
                </wp:positionH>
                <wp:positionV relativeFrom="paragraph">
                  <wp:posOffset>6350</wp:posOffset>
                </wp:positionV>
                <wp:extent cx="819785" cy="243840"/>
                <wp:wrapTopAndBottom/>
                <wp:docPr id="910" name="Shape 910"/>
                <a:graphic xmlns:a="http://schemas.openxmlformats.org/drawingml/2006/main">
                  <a:graphicData uri="http://schemas.microsoft.com/office/word/2010/wordprocessingShape">
                    <wps:wsp>
                      <wps:cNvSpPr txBox="1"/>
                      <wps:spPr>
                        <a:xfrm>
                          <a:ext cx="819785" cy="243840"/>
                        </a:xfrm>
                        <a:prstGeom prst="rect"/>
                        <a:noFill/>
                      </wps:spPr>
                      <wps:txbx>
                        <w:txbxContent>
                          <w:p>
                            <w:pPr>
                              <w:pStyle w:val="Style5"/>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936" type="#_x0000_t202" style="position:absolute;margin-left:92.150000000000006pt;margin-top:0.5pt;width:64.549999999999997pt;height:19.199999999999999pt;z-index:-125829143;mso-wrap-distance-left:0;mso-wrap-distance-top:0.5pt;mso-wrap-distance-right:0;mso-wrap-distance-bottom:59.25pt;mso-position-horizontal-relative:page" filled="f" stroked="f">
                <v:textbox inset="0,0,0,0">
                  <w:txbxContent>
                    <w:p>
                      <w:pPr>
                        <w:pStyle w:val="Style5"/>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anchorx="page"/>
              </v:shape>
            </w:pict>
          </mc:Fallback>
        </mc:AlternateContent>
      </w:r>
      <w:r>
        <mc:AlternateContent>
          <mc:Choice Requires="wps">
            <w:drawing>
              <wp:anchor distT="280670" distB="572770" distL="0" distR="0" simplePos="0" relativeHeight="125829612" behindDoc="0" locked="0" layoutInCell="1" allowOverlap="1">
                <wp:simplePos x="0" y="0"/>
                <wp:positionH relativeFrom="page">
                  <wp:posOffset>1520825</wp:posOffset>
                </wp:positionH>
                <wp:positionV relativeFrom="paragraph">
                  <wp:posOffset>280670</wp:posOffset>
                </wp:positionV>
                <wp:extent cx="255905" cy="149225"/>
                <wp:wrapTopAndBottom/>
                <wp:docPr id="912" name="Shape 912"/>
                <a:graphic xmlns:a="http://schemas.openxmlformats.org/drawingml/2006/main">
                  <a:graphicData uri="http://schemas.microsoft.com/office/word/2010/wordprocessingShape">
                    <wps:wsp>
                      <wps:cNvSpPr txBox="1"/>
                      <wps:spPr>
                        <a:xfrm>
                          <a:ext cx="255905"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xbxContent>
                      </wps:txbx>
                      <wps:bodyPr wrap="none" lIns="0" tIns="0" rIns="0" bIns="0">
                        <a:noAutoFit/>
                      </wps:bodyPr>
                    </wps:wsp>
                  </a:graphicData>
                </a:graphic>
              </wp:anchor>
            </w:drawing>
          </mc:Choice>
          <mc:Fallback>
            <w:pict>
              <v:shape id="_x0000_s1938" type="#_x0000_t202" style="position:absolute;margin-left:119.75pt;margin-top:22.100000000000001pt;width:20.150000000000002pt;height:11.75pt;z-index:-125829141;mso-wrap-distance-left:0;mso-wrap-distance-top:22.100000000000001pt;mso-wrap-distance-right:0;mso-wrap-distance-bottom:45.100000000000001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xbxContent>
                </v:textbox>
                <w10:wrap type="topAndBottom" anchorx="page"/>
              </v:shape>
            </w:pict>
          </mc:Fallback>
        </mc:AlternateContent>
      </w:r>
      <w:r>
        <mc:AlternateContent>
          <mc:Choice Requires="wps">
            <w:drawing>
              <wp:anchor distT="286385" distB="572770" distL="0" distR="0" simplePos="0" relativeHeight="125829614" behindDoc="0" locked="0" layoutInCell="1" allowOverlap="1">
                <wp:simplePos x="0" y="0"/>
                <wp:positionH relativeFrom="page">
                  <wp:posOffset>3535680</wp:posOffset>
                </wp:positionH>
                <wp:positionV relativeFrom="paragraph">
                  <wp:posOffset>286385</wp:posOffset>
                </wp:positionV>
                <wp:extent cx="628015" cy="143510"/>
                <wp:wrapTopAndBottom/>
                <wp:docPr id="914" name="Shape 914"/>
                <a:graphic xmlns:a="http://schemas.openxmlformats.org/drawingml/2006/main">
                  <a:graphicData uri="http://schemas.microsoft.com/office/word/2010/wordprocessingShape">
                    <wps:wsp>
                      <wps:cNvSpPr txBox="1"/>
                      <wps:spPr>
                        <a:xfrm>
                          <a:ext cx="628015" cy="143510"/>
                        </a:xfrm>
                        <a:prstGeom prst="rect"/>
                        <a:noFill/>
                      </wps:spPr>
                      <wps:txbx>
                        <w:txbxContent>
                          <w:p>
                            <w:pPr>
                              <w:pStyle w:val="Style10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7,431,713.13</w:t>
                            </w:r>
                          </w:p>
                        </w:txbxContent>
                      </wps:txbx>
                      <wps:bodyPr wrap="none" lIns="0" tIns="0" rIns="0" bIns="0">
                        <a:noAutoFit/>
                      </wps:bodyPr>
                    </wps:wsp>
                  </a:graphicData>
                </a:graphic>
              </wp:anchor>
            </w:drawing>
          </mc:Choice>
          <mc:Fallback>
            <w:pict>
              <v:shape id="_x0000_s1940" type="#_x0000_t202" style="position:absolute;margin-left:278.40000000000003pt;margin-top:22.550000000000001pt;width:49.450000000000003pt;height:11.300000000000001pt;z-index:-125829139;mso-wrap-distance-left:0;mso-wrap-distance-top:22.550000000000001pt;mso-wrap-distance-right:0;mso-wrap-distance-bottom:45.100000000000001pt;mso-position-horizontal-relative:page" filled="f" stroked="f">
                <v:textbox inset="0,0,0,0">
                  <w:txbxContent>
                    <w:p>
                      <w:pPr>
                        <w:pStyle w:val="Style10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000000"/>
                          <w:spacing w:val="0"/>
                          <w:w w:val="100"/>
                          <w:position w:val="0"/>
                        </w:rPr>
                        <w:t>7,431,713.13</w:t>
                      </w:r>
                    </w:p>
                  </w:txbxContent>
                </v:textbox>
                <w10:wrap type="topAndBottom" anchorx="page"/>
              </v:shape>
            </w:pict>
          </mc:Fallback>
        </mc:AlternateContent>
      </w:r>
      <w:r>
        <mc:AlternateContent>
          <mc:Choice Requires="wps">
            <w:drawing>
              <wp:anchor distT="286385" distB="572770" distL="0" distR="0" simplePos="0" relativeHeight="125829616" behindDoc="0" locked="0" layoutInCell="1" allowOverlap="1">
                <wp:simplePos x="0" y="0"/>
                <wp:positionH relativeFrom="page">
                  <wp:posOffset>5946775</wp:posOffset>
                </wp:positionH>
                <wp:positionV relativeFrom="paragraph">
                  <wp:posOffset>286385</wp:posOffset>
                </wp:positionV>
                <wp:extent cx="289560" cy="143510"/>
                <wp:wrapTopAndBottom/>
                <wp:docPr id="916" name="Shape 916"/>
                <a:graphic xmlns:a="http://schemas.openxmlformats.org/drawingml/2006/main">
                  <a:graphicData uri="http://schemas.microsoft.com/office/word/2010/wordprocessingShape">
                    <wps:wsp>
                      <wps:cNvSpPr txBox="1"/>
                      <wps:spPr>
                        <a:xfrm>
                          <a:ext cx="289560" cy="14351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44.98</w:t>
                            </w:r>
                          </w:p>
                        </w:txbxContent>
                      </wps:txbx>
                      <wps:bodyPr wrap="none" lIns="0" tIns="0" rIns="0" bIns="0">
                        <a:noAutoFit/>
                      </wps:bodyPr>
                    </wps:wsp>
                  </a:graphicData>
                </a:graphic>
              </wp:anchor>
            </w:drawing>
          </mc:Choice>
          <mc:Fallback>
            <w:pict>
              <v:shape id="_x0000_s1942" type="#_x0000_t202" style="position:absolute;margin-left:468.25pt;margin-top:22.550000000000001pt;width:22.800000000000001pt;height:11.300000000000001pt;z-index:-125829137;mso-wrap-distance-left:0;mso-wrap-distance-top:22.550000000000001pt;mso-wrap-distance-right:0;mso-wrap-distance-bottom:45.100000000000001pt;mso-position-horizontal-relative:page" filled="f" stroked="f">
                <v:textbox inset="0,0,0,0">
                  <w:txbxContent>
                    <w:p>
                      <w:pPr>
                        <w:pStyle w:val="Style103"/>
                        <w:keepNext w:val="0"/>
                        <w:keepLines w:val="0"/>
                        <w:widowControl w:val="0"/>
                        <w:shd w:val="clear" w:color="auto" w:fill="auto"/>
                        <w:bidi w:val="0"/>
                        <w:spacing w:before="0" w:after="0" w:line="240" w:lineRule="auto"/>
                        <w:ind w:left="0" w:right="0" w:firstLine="0"/>
                        <w:jc w:val="right"/>
                      </w:pPr>
                      <w:r>
                        <w:rPr>
                          <w:color w:val="000000"/>
                          <w:spacing w:val="0"/>
                          <w:w w:val="100"/>
                          <w:position w:val="0"/>
                        </w:rPr>
                        <w:t>44.98</w:t>
                      </w:r>
                    </w:p>
                  </w:txbxContent>
                </v:textbox>
                <w10:wrap type="topAndBottom" anchorx="page"/>
              </v:shape>
            </w:pict>
          </mc:Fallback>
        </mc:AlternateContent>
      </w:r>
      <w:r>
        <mc:AlternateContent>
          <mc:Choice Requires="wps">
            <w:drawing>
              <wp:anchor distT="676910" distB="151765" distL="0" distR="0" simplePos="0" relativeHeight="125829618" behindDoc="0" locked="0" layoutInCell="1" allowOverlap="1">
                <wp:simplePos x="0" y="0"/>
                <wp:positionH relativeFrom="page">
                  <wp:posOffset>652145</wp:posOffset>
                </wp:positionH>
                <wp:positionV relativeFrom="paragraph">
                  <wp:posOffset>676910</wp:posOffset>
                </wp:positionV>
                <wp:extent cx="902335" cy="173990"/>
                <wp:wrapTopAndBottom/>
                <wp:docPr id="918" name="Shape 918"/>
                <a:graphic xmlns:a="http://schemas.openxmlformats.org/drawingml/2006/main">
                  <a:graphicData uri="http://schemas.microsoft.com/office/word/2010/wordprocessingShape">
                    <wps:wsp>
                      <wps:cNvSpPr txBox="1"/>
                      <wps:spPr>
                        <a:xfrm>
                          <a:ext cx="902335" cy="173990"/>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1324" w:name="bookmark1324"/>
                            <w:bookmarkStart w:id="1325" w:name="bookmark1325"/>
                            <w:bookmarkStart w:id="1326" w:name="bookmark1326"/>
                            <w:r>
                              <w:rPr>
                                <w:rFonts w:ascii="Times New Roman" w:eastAsia="Times New Roman" w:hAnsi="Times New Roman" w:cs="Times New Roman"/>
                                <w:color w:val="000000"/>
                                <w:spacing w:val="0"/>
                                <w:w w:val="100"/>
                                <w:position w:val="0"/>
                              </w:rPr>
                              <w:t>8</w:t>
                            </w:r>
                            <w:r>
                              <w:rPr>
                                <w:color w:val="000000"/>
                                <w:spacing w:val="0"/>
                                <w:w w:val="100"/>
                                <w:position w:val="0"/>
                              </w:rPr>
                              <w:t>、其他应收款</w:t>
                            </w:r>
                            <w:bookmarkEnd w:id="1324"/>
                            <w:bookmarkEnd w:id="1325"/>
                            <w:bookmarkEnd w:id="1326"/>
                          </w:p>
                        </w:txbxContent>
                      </wps:txbx>
                      <wps:bodyPr wrap="none" lIns="0" tIns="0" rIns="0" bIns="0">
                        <a:noAutoFit/>
                      </wps:bodyPr>
                    </wps:wsp>
                  </a:graphicData>
                </a:graphic>
              </wp:anchor>
            </w:drawing>
          </mc:Choice>
          <mc:Fallback>
            <w:pict>
              <v:shape id="_x0000_s1944" type="#_x0000_t202" style="position:absolute;margin-left:51.350000000000001pt;margin-top:53.300000000000004pt;width:71.049999999999997pt;height:13.700000000000001pt;z-index:-125829135;mso-wrap-distance-left:0;mso-wrap-distance-top:53.300000000000004pt;mso-wrap-distance-right:0;mso-wrap-distance-bottom:11.950000000000001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1324" w:name="bookmark1324"/>
                      <w:bookmarkStart w:id="1325" w:name="bookmark1325"/>
                      <w:bookmarkStart w:id="1326" w:name="bookmark1326"/>
                      <w:r>
                        <w:rPr>
                          <w:rFonts w:ascii="Times New Roman" w:eastAsia="Times New Roman" w:hAnsi="Times New Roman" w:cs="Times New Roman"/>
                          <w:color w:val="000000"/>
                          <w:spacing w:val="0"/>
                          <w:w w:val="100"/>
                          <w:position w:val="0"/>
                        </w:rPr>
                        <w:t>8</w:t>
                      </w:r>
                      <w:r>
                        <w:rPr>
                          <w:color w:val="000000"/>
                          <w:spacing w:val="0"/>
                          <w:w w:val="100"/>
                          <w:position w:val="0"/>
                        </w:rPr>
                        <w:t>、其他应收款</w:t>
                      </w:r>
                      <w:bookmarkEnd w:id="1324"/>
                      <w:bookmarkEnd w:id="1325"/>
                      <w:bookmarkEnd w:id="1326"/>
                    </w:p>
                  </w:txbxContent>
                </v:textbox>
                <w10:wrap type="topAndBottom" anchorx="page"/>
              </v:shape>
            </w:pict>
          </mc:Fallback>
        </mc:AlternateContent>
      </w:r>
    </w:p>
    <w:p>
      <w:pPr>
        <w:pStyle w:val="Style32"/>
        <w:keepNext w:val="0"/>
        <w:keepLines w:val="0"/>
        <w:widowControl w:val="0"/>
        <w:shd w:val="clear" w:color="auto" w:fill="auto"/>
        <w:bidi w:val="0"/>
        <w:spacing w:before="0" w:after="100" w:line="240" w:lineRule="auto"/>
        <w:ind w:left="920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31,953,770.36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11,850,355.35</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31,953,770.36</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11,850,355.35</w:t>
            </w:r>
          </w:p>
        </w:tc>
      </w:tr>
    </w:tbl>
    <w:p>
      <w:pPr>
        <w:widowControl w:val="0"/>
        <w:spacing w:after="359" w:line="1" w:lineRule="exact"/>
      </w:pPr>
    </w:p>
    <w:p>
      <w:pPr>
        <w:pStyle w:val="Style55"/>
        <w:keepNext/>
        <w:keepLines/>
        <w:widowControl w:val="0"/>
        <w:shd w:val="clear" w:color="auto" w:fill="auto"/>
        <w:tabs>
          <w:tab w:pos="753" w:val="left"/>
        </w:tabs>
        <w:bidi w:val="0"/>
        <w:spacing w:before="0" w:after="360" w:line="240" w:lineRule="auto"/>
        <w:ind w:left="0" w:right="0"/>
        <w:jc w:val="left"/>
      </w:pPr>
      <w:bookmarkStart w:id="1356" w:name="bookmark1356"/>
      <w:bookmarkStart w:id="1357" w:name="bookmark1357"/>
      <w:bookmarkStart w:id="1358" w:name="bookmark1358"/>
      <w:bookmarkStart w:id="1359" w:name="bookmark1359"/>
      <w:r>
        <w:rPr>
          <w:color w:val="000000"/>
          <w:spacing w:val="0"/>
          <w:w w:val="100"/>
          <w:position w:val="0"/>
        </w:rPr>
        <w:t>（</w:t>
      </w:r>
      <w:bookmarkEnd w:id="1358"/>
      <w:r>
        <w:rPr>
          <w:rFonts w:ascii="Times New Roman" w:eastAsia="Times New Roman" w:hAnsi="Times New Roman" w:cs="Times New Roman"/>
          <w:color w:val="000000"/>
          <w:spacing w:val="0"/>
          <w:w w:val="100"/>
          <w:position w:val="0"/>
        </w:rPr>
        <w:t>1</w:t>
      </w:r>
      <w:r>
        <w:rPr>
          <w:color w:val="000000"/>
          <w:spacing w:val="0"/>
          <w:w w:val="100"/>
          <w:position w:val="0"/>
        </w:rPr>
        <w:t>）</w:t>
        <w:tab/>
        <w:t>应收利息</w:t>
      </w:r>
      <w:bookmarkEnd w:id="1356"/>
      <w:bookmarkEnd w:id="1357"/>
      <w:bookmarkEnd w:id="1359"/>
    </w:p>
    <w:p>
      <w:pPr>
        <w:pStyle w:val="Style32"/>
        <w:keepNext w:val="0"/>
        <w:keepLines w:val="0"/>
        <w:widowControl w:val="0"/>
        <w:shd w:val="clear" w:color="auto" w:fill="auto"/>
        <w:bidi w:val="0"/>
        <w:spacing w:before="0" w:after="360" w:line="240" w:lineRule="auto"/>
        <w:ind w:left="0" w:right="0" w:firstLine="260"/>
        <w:jc w:val="left"/>
      </w:pPr>
      <w:r>
        <w:rPr>
          <w:color w:val="000000"/>
          <w:spacing w:val="0"/>
          <w:w w:val="100"/>
          <w:position w:val="0"/>
        </w:rPr>
        <w:t>无</w:t>
      </w:r>
    </w:p>
    <w:p>
      <w:pPr>
        <w:pStyle w:val="Style55"/>
        <w:keepNext/>
        <w:keepLines/>
        <w:widowControl w:val="0"/>
        <w:shd w:val="clear" w:color="auto" w:fill="auto"/>
        <w:tabs>
          <w:tab w:pos="753" w:val="left"/>
        </w:tabs>
        <w:bidi w:val="0"/>
        <w:spacing w:before="0" w:after="360" w:line="240" w:lineRule="auto"/>
        <w:ind w:left="0" w:right="0"/>
        <w:jc w:val="left"/>
      </w:pPr>
      <w:bookmarkStart w:id="1360" w:name="bookmark1360"/>
      <w:bookmarkStart w:id="1361" w:name="bookmark1361"/>
      <w:bookmarkStart w:id="1362" w:name="bookmark1362"/>
      <w:bookmarkStart w:id="1363" w:name="bookmark1363"/>
      <w:r>
        <w:rPr>
          <w:color w:val="000000"/>
          <w:spacing w:val="0"/>
          <w:w w:val="100"/>
          <w:position w:val="0"/>
        </w:rPr>
        <w:t>（</w:t>
      </w:r>
      <w:bookmarkEnd w:id="1362"/>
      <w:r>
        <w:rPr>
          <w:rFonts w:ascii="Times New Roman" w:eastAsia="Times New Roman" w:hAnsi="Times New Roman" w:cs="Times New Roman"/>
          <w:color w:val="000000"/>
          <w:spacing w:val="0"/>
          <w:w w:val="100"/>
          <w:position w:val="0"/>
        </w:rPr>
        <w:t>2</w:t>
      </w:r>
      <w:r>
        <w:rPr>
          <w:color w:val="000000"/>
          <w:spacing w:val="0"/>
          <w:w w:val="100"/>
          <w:position w:val="0"/>
        </w:rPr>
        <w:t>）</w:t>
        <w:tab/>
        <w:t>应收股利</w:t>
      </w:r>
      <w:bookmarkEnd w:id="1360"/>
      <w:bookmarkEnd w:id="1361"/>
      <w:bookmarkEnd w:id="1363"/>
    </w:p>
    <w:p>
      <w:pPr>
        <w:pStyle w:val="Style32"/>
        <w:keepNext w:val="0"/>
        <w:keepLines w:val="0"/>
        <w:widowControl w:val="0"/>
        <w:shd w:val="clear" w:color="auto" w:fill="auto"/>
        <w:bidi w:val="0"/>
        <w:spacing w:before="0" w:after="360" w:line="240" w:lineRule="auto"/>
        <w:ind w:left="0" w:right="0" w:firstLine="260"/>
        <w:jc w:val="left"/>
      </w:pPr>
      <w:r>
        <w:rPr>
          <w:color w:val="000000"/>
          <w:spacing w:val="0"/>
          <w:w w:val="100"/>
          <w:position w:val="0"/>
        </w:rPr>
        <w:t>无</w:t>
      </w:r>
    </w:p>
    <w:p>
      <w:pPr>
        <w:pStyle w:val="Style55"/>
        <w:keepNext/>
        <w:keepLines/>
        <w:widowControl w:val="0"/>
        <w:shd w:val="clear" w:color="auto" w:fill="auto"/>
        <w:tabs>
          <w:tab w:pos="753" w:val="left"/>
        </w:tabs>
        <w:bidi w:val="0"/>
        <w:spacing w:before="0" w:after="360" w:line="240" w:lineRule="auto"/>
        <w:ind w:left="0" w:right="0"/>
        <w:jc w:val="left"/>
      </w:pPr>
      <w:bookmarkStart w:id="1364" w:name="bookmark1364"/>
      <w:bookmarkStart w:id="1365" w:name="bookmark1365"/>
      <w:bookmarkStart w:id="1366" w:name="bookmark1366"/>
      <w:bookmarkStart w:id="1367" w:name="bookmark1367"/>
      <w:r>
        <w:rPr>
          <w:color w:val="000000"/>
          <w:spacing w:val="0"/>
          <w:w w:val="100"/>
          <w:position w:val="0"/>
        </w:rPr>
        <w:t>（</w:t>
      </w:r>
      <w:bookmarkEnd w:id="1366"/>
      <w:r>
        <w:rPr>
          <w:rFonts w:ascii="Times New Roman" w:eastAsia="Times New Roman" w:hAnsi="Times New Roman" w:cs="Times New Roman"/>
          <w:color w:val="000000"/>
          <w:spacing w:val="0"/>
          <w:w w:val="100"/>
          <w:position w:val="0"/>
        </w:rPr>
        <w:t>3</w:t>
      </w:r>
      <w:r>
        <w:rPr>
          <w:color w:val="000000"/>
          <w:spacing w:val="0"/>
          <w:w w:val="100"/>
          <w:position w:val="0"/>
        </w:rPr>
        <w:t>）</w:t>
        <w:tab/>
        <w:t>其他应收款</w:t>
      </w:r>
      <w:bookmarkEnd w:id="1364"/>
      <w:bookmarkEnd w:id="1365"/>
      <w:bookmarkEnd w:id="1367"/>
    </w:p>
    <w:p>
      <w:pPr>
        <w:pStyle w:val="Style55"/>
        <w:keepNext/>
        <w:keepLines/>
        <w:widowControl w:val="0"/>
        <w:shd w:val="clear" w:color="auto" w:fill="auto"/>
        <w:bidi w:val="0"/>
        <w:spacing w:before="0" w:after="360" w:line="240" w:lineRule="auto"/>
        <w:ind w:left="0" w:right="0"/>
        <w:jc w:val="left"/>
      </w:pPr>
      <w:bookmarkStart w:id="1364" w:name="bookmark1364"/>
      <w:bookmarkStart w:id="1365" w:name="bookmark1365"/>
      <w:bookmarkStart w:id="1368" w:name="bookmark1368"/>
      <w:bookmarkStart w:id="1369" w:name="bookmark1369"/>
      <w:r>
        <w:rPr>
          <w:rFonts w:ascii="Times New Roman" w:eastAsia="Times New Roman" w:hAnsi="Times New Roman" w:cs="Times New Roman"/>
          <w:color w:val="000000"/>
          <w:spacing w:val="0"/>
          <w:w w:val="100"/>
          <w:position w:val="0"/>
        </w:rPr>
        <w:t>1</w:t>
      </w:r>
      <w:bookmarkEnd w:id="1368"/>
      <w:r>
        <w:rPr>
          <w:color w:val="000000"/>
          <w:spacing w:val="0"/>
          <w:w w:val="100"/>
          <w:position w:val="0"/>
        </w:rPr>
        <w:t>）其他应收款按款项性质分类情况</w:t>
      </w:r>
      <w:bookmarkEnd w:id="1364"/>
      <w:bookmarkEnd w:id="1365"/>
      <w:bookmarkEnd w:id="1369"/>
    </w:p>
    <w:p>
      <w:pPr>
        <w:pStyle w:val="Style32"/>
        <w:keepNext w:val="0"/>
        <w:keepLines w:val="0"/>
        <w:widowControl w:val="0"/>
        <w:shd w:val="clear" w:color="auto" w:fill="auto"/>
        <w:bidi w:val="0"/>
        <w:spacing w:before="0" w:after="100" w:line="240" w:lineRule="auto"/>
        <w:ind w:left="920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备用金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697,586.34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1,046,716.70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保证金、抵押金等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12,876,032.97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8,115,870.47</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代垫及代付款项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2,140,261.10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2,535,792.79</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股权及金融资产转让款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18,917,718.68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212,762.28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2,883,517.68</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34,844,361.37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14,581,897.64</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jc w:val="left"/>
      </w:pPr>
      <w:bookmarkStart w:id="1370" w:name="bookmark1370"/>
      <w:bookmarkStart w:id="1371" w:name="bookmark1371"/>
      <w:bookmarkStart w:id="1372" w:name="bookmark1372"/>
      <w:bookmarkStart w:id="1373" w:name="bookmark1373"/>
      <w:r>
        <w:rPr>
          <w:rFonts w:ascii="Times New Roman" w:eastAsia="Times New Roman" w:hAnsi="Times New Roman" w:cs="Times New Roman"/>
          <w:color w:val="000000"/>
          <w:spacing w:val="0"/>
          <w:w w:val="100"/>
          <w:position w:val="0"/>
        </w:rPr>
        <w:t>2</w:t>
      </w:r>
      <w:bookmarkEnd w:id="1372"/>
      <w:r>
        <w:rPr>
          <w:color w:val="000000"/>
          <w:spacing w:val="0"/>
          <w:w w:val="100"/>
          <w:position w:val="0"/>
        </w:rPr>
        <w:t>）坏账准备计提情况</w:t>
      </w:r>
      <w:bookmarkEnd w:id="1370"/>
      <w:bookmarkEnd w:id="1371"/>
      <w:bookmarkEnd w:id="1373"/>
    </w:p>
    <w:p>
      <w:pPr>
        <w:pStyle w:val="Style32"/>
        <w:keepNext w:val="0"/>
        <w:keepLines w:val="0"/>
        <w:widowControl w:val="0"/>
        <w:shd w:val="clear" w:color="auto" w:fill="auto"/>
        <w:bidi w:val="0"/>
        <w:spacing w:before="0" w:after="100" w:line="240" w:lineRule="auto"/>
        <w:ind w:left="9200" w:right="0" w:firstLine="0"/>
        <w:jc w:val="left"/>
      </w:pPr>
      <w:r>
        <w:rPr>
          <w:color w:val="000000"/>
          <w:spacing w:val="0"/>
          <w:w w:val="100"/>
          <w:position w:val="0"/>
        </w:rPr>
        <w:t>单位：元</w:t>
      </w:r>
    </w:p>
    <w:tbl>
      <w:tblPr>
        <w:tblOverlap w:val="never"/>
        <w:jc w:val="center"/>
        <w:tblLayout w:type="fixed"/>
      </w:tblPr>
      <w:tblGrid>
        <w:gridCol w:w="2203"/>
        <w:gridCol w:w="1651"/>
        <w:gridCol w:w="2098"/>
        <w:gridCol w:w="2098"/>
        <w:gridCol w:w="1814"/>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20"/>
              <w:jc w:val="left"/>
            </w:pPr>
            <w:r>
              <w:rPr>
                <w:color w:val="000000"/>
                <w:spacing w:val="0"/>
                <w:w w:val="100"/>
                <w:position w:val="0"/>
              </w:rPr>
              <w:t>合计</w:t>
            </w:r>
          </w:p>
        </w:tc>
      </w:tr>
      <w:tr>
        <w:trPr>
          <w:trHeight w:val="710"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个月预期信 用损失</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整个存续期预期信用损失</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未发生信用减值</w:t>
            </w: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整个存续期预期信用损失</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已发生信用减值</w:t>
            </w:r>
            <w:r>
              <w:rPr>
                <w:color w:val="000000"/>
                <w:spacing w:val="0"/>
                <w:w w:val="100"/>
                <w:position w:val="0"/>
              </w:rPr>
              <w:t>）</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1,531,542.29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2,731,542.29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日余额在本期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20"/>
              <w:jc w:val="both"/>
            </w:pPr>
            <w:r>
              <w:rPr>
                <w:color w:val="000000"/>
                <w:spacing w:val="0"/>
                <w:w w:val="100"/>
                <w:position w:val="0"/>
              </w:rPr>
              <w:t>—</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159,048.72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159,048.72</w:t>
            </w:r>
          </w:p>
        </w:tc>
      </w:tr>
    </w:tbl>
    <w:p>
      <w:pPr>
        <w:widowControl w:val="0"/>
        <w:spacing w:line="1" w:lineRule="exact"/>
        <w:sectPr>
          <w:headerReference w:type="default" r:id="rId391"/>
          <w:footerReference w:type="default" r:id="rId392"/>
          <w:headerReference w:type="even" r:id="rId393"/>
          <w:footerReference w:type="even" r:id="rId394"/>
          <w:footnotePr>
            <w:pos w:val="pageBottom"/>
            <w:numFmt w:val="decimal"/>
            <w:numRestart w:val="continuous"/>
          </w:footnotePr>
          <w:pgSz w:w="11900" w:h="16840"/>
          <w:pgMar w:top="1143" w:right="838" w:bottom="1464" w:left="415" w:header="0" w:footer="3" w:gutter="0"/>
          <w:cols w:space="720"/>
          <w:noEndnote/>
          <w:rtlGutter w:val="0"/>
          <w:docGrid w:linePitch="360"/>
        </w:sectPr>
      </w:pPr>
    </w:p>
    <w:p>
      <w:pPr>
        <w:framePr w:w="768" w:h="370" w:hSpace="1291" w:vSpace="5" w:wrap="notBeside" w:vAnchor="text" w:hAnchor="text" w:y="1"/>
        <w:widowControl w:val="0"/>
        <w:rPr>
          <w:sz w:val="2"/>
          <w:szCs w:val="2"/>
        </w:rPr>
      </w:pPr>
      <w:r>
        <w:drawing>
          <wp:inline>
            <wp:extent cx="487680" cy="237490"/>
            <wp:docPr id="929" name="Picutre 929"/>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395"/>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0" distR="5940425" simplePos="0" relativeHeight="125829620" behindDoc="0" locked="0" layoutInCell="1" allowOverlap="1">
                <wp:simplePos x="0" y="0"/>
                <wp:positionH relativeFrom="column">
                  <wp:posOffset>487680</wp:posOffset>
                </wp:positionH>
                <wp:positionV relativeFrom="paragraph">
                  <wp:posOffset>6350</wp:posOffset>
                </wp:positionV>
                <wp:extent cx="819785" cy="231775"/>
                <wp:wrapTopAndBottom/>
                <wp:docPr id="930" name="Shape 930"/>
                <a:graphic xmlns:a="http://schemas.openxmlformats.org/drawingml/2006/main">
                  <a:graphicData uri="http://schemas.microsoft.com/office/word/2010/wordprocessingShape">
                    <wps:wsp>
                      <wps:cNvSpPr txBox="1"/>
                      <wps:spPr>
                        <a:xfrm>
                          <a:ext cx="819785" cy="231775"/>
                        </a:xfrm>
                        <a:prstGeom prst="rect"/>
                        <a:noFill/>
                      </wps:spPr>
                      <wps:txbx>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956" type="#_x0000_t202" style="position:absolute;margin-left:38.399999999999999pt;margin-top:0.5pt;width:64.549999999999997pt;height:18.25pt;z-index:-125829133;mso-wrap-distance-left:0;mso-wrap-distance-right:467.75pt" filled="f" stroked="f">
                <v:textbox inset="0,0,0,0">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tbl>
      <w:tblPr>
        <w:tblOverlap w:val="never"/>
        <w:jc w:val="center"/>
        <w:tblLayout w:type="fixed"/>
      </w:tblPr>
      <w:tblGrid>
        <w:gridCol w:w="2203"/>
        <w:gridCol w:w="1651"/>
        <w:gridCol w:w="2098"/>
        <w:gridCol w:w="2098"/>
        <w:gridCol w:w="1814"/>
      </w:tblGrid>
      <w:tr>
        <w:trPr>
          <w:trHeight w:val="41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1,690,591.01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2,890,591.01</w:t>
            </w:r>
          </w:p>
        </w:tc>
      </w:tr>
    </w:tbl>
    <w:p>
      <w:pPr>
        <w:pStyle w:val="Style49"/>
        <w:keepNext w:val="0"/>
        <w:keepLines w:val="0"/>
        <w:widowControl w:val="0"/>
        <w:shd w:val="clear" w:color="auto" w:fill="auto"/>
        <w:bidi w:val="0"/>
        <w:spacing w:before="0" w:after="0" w:line="240" w:lineRule="auto"/>
        <w:ind w:left="269" w:right="0" w:firstLine="0"/>
        <w:jc w:val="left"/>
      </w:pPr>
      <w:r>
        <w:rPr>
          <w:color w:val="000000"/>
          <w:spacing w:val="0"/>
          <w:w w:val="100"/>
          <w:position w:val="0"/>
        </w:rPr>
        <w:t>损失准备本期变动金额重大的账面余额变动情况</w:t>
      </w:r>
    </w:p>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2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260"/>
        <w:jc w:val="left"/>
      </w:pPr>
      <w:r>
        <w:rPr>
          <w:color w:val="000000"/>
          <w:spacing w:val="0"/>
          <w:w w:val="100"/>
          <w:position w:val="0"/>
        </w:rPr>
        <w:t>按账龄披露</w:t>
      </w:r>
    </w:p>
    <w:p>
      <w:pPr>
        <w:pStyle w:val="Style3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28,913,850.08</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2,940,692.90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615,955.64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2,373,862.75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569,285.08</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543,637.67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1,260,940.00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34,844,361.37</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jc w:val="left"/>
      </w:pPr>
      <w:bookmarkStart w:id="1374" w:name="bookmark1374"/>
      <w:bookmarkStart w:id="1375" w:name="bookmark1375"/>
      <w:bookmarkStart w:id="1376" w:name="bookmark1376"/>
      <w:bookmarkStart w:id="1377" w:name="bookmark1377"/>
      <w:r>
        <w:rPr>
          <w:rFonts w:ascii="Times New Roman" w:eastAsia="Times New Roman" w:hAnsi="Times New Roman" w:cs="Times New Roman"/>
          <w:color w:val="000000"/>
          <w:spacing w:val="0"/>
          <w:w w:val="100"/>
          <w:position w:val="0"/>
        </w:rPr>
        <w:t>3</w:t>
      </w:r>
      <w:bookmarkEnd w:id="1376"/>
      <w:r>
        <w:rPr>
          <w:color w:val="000000"/>
          <w:spacing w:val="0"/>
          <w:w w:val="100"/>
          <w:position w:val="0"/>
        </w:rPr>
        <w:t>）本期计提、收回或转回的坏账准备情况</w:t>
      </w:r>
      <w:bookmarkEnd w:id="1374"/>
      <w:bookmarkEnd w:id="1375"/>
      <w:bookmarkEnd w:id="1377"/>
    </w:p>
    <w:p>
      <w:pPr>
        <w:pStyle w:val="Style32"/>
        <w:keepNext w:val="0"/>
        <w:keepLines w:val="0"/>
        <w:widowControl w:val="0"/>
        <w:shd w:val="clear" w:color="auto" w:fill="auto"/>
        <w:bidi w:val="0"/>
        <w:spacing w:before="0" w:after="120" w:line="240" w:lineRule="auto"/>
        <w:ind w:left="0" w:right="0" w:firstLine="260"/>
        <w:jc w:val="left"/>
      </w:pPr>
      <w:r>
        <w:rPr>
          <w:color w:val="000000"/>
          <w:spacing w:val="0"/>
          <w:w w:val="100"/>
          <w:position w:val="0"/>
        </w:rPr>
        <w:t>本期计提坏账准备情况:</w:t>
      </w:r>
    </w:p>
    <w:p>
      <w:pPr>
        <w:pStyle w:val="Style3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1704"/>
        <w:gridCol w:w="1094"/>
        <w:gridCol w:w="1339"/>
        <w:gridCol w:w="1334"/>
        <w:gridCol w:w="1330"/>
        <w:gridCol w:w="1325"/>
        <w:gridCol w:w="1738"/>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80"/>
              <w:jc w:val="left"/>
            </w:pPr>
            <w:r>
              <w:rPr>
                <w:color w:val="000000"/>
                <w:spacing w:val="0"/>
                <w:w w:val="100"/>
                <w:position w:val="0"/>
              </w:rPr>
              <w:t>计提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其他应收款坏账准备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2,731,542.29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159,048.72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2,890,591.01</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2,731,542.29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159,048.72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2,890,591.01</w:t>
            </w:r>
          </w:p>
        </w:tc>
      </w:tr>
    </w:tbl>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260"/>
        <w:jc w:val="left"/>
      </w:pPr>
      <w:r>
        <w:rPr>
          <w:color w:val="000000"/>
          <w:spacing w:val="0"/>
          <w:w w:val="100"/>
          <w:position w:val="0"/>
        </w:rPr>
        <w:t>其中本期坏账准备转回或收回金额重要的:</w:t>
      </w:r>
    </w:p>
    <w:p>
      <w:pPr>
        <w:pStyle w:val="Style32"/>
        <w:keepNext w:val="0"/>
        <w:keepLines w:val="0"/>
        <w:widowControl w:val="0"/>
        <w:shd w:val="clear" w:color="auto" w:fill="auto"/>
        <w:bidi w:val="0"/>
        <w:spacing w:before="0" w:after="360" w:line="240" w:lineRule="auto"/>
        <w:ind w:left="0" w:right="0" w:firstLine="260"/>
        <w:jc w:val="left"/>
      </w:pPr>
      <w:r>
        <w:rPr>
          <w:color w:val="000000"/>
          <w:spacing w:val="0"/>
          <w:w w:val="100"/>
          <w:position w:val="0"/>
        </w:rPr>
        <w:t>无</w:t>
      </w:r>
    </w:p>
    <w:p>
      <w:pPr>
        <w:pStyle w:val="Style55"/>
        <w:keepNext/>
        <w:keepLines/>
        <w:widowControl w:val="0"/>
        <w:shd w:val="clear" w:color="auto" w:fill="auto"/>
        <w:bidi w:val="0"/>
        <w:spacing w:before="0" w:after="980" w:line="240" w:lineRule="auto"/>
        <w:ind w:left="0" w:right="0"/>
        <w:jc w:val="left"/>
      </w:pPr>
      <w:bookmarkStart w:id="1378" w:name="bookmark1378"/>
      <w:bookmarkStart w:id="1379" w:name="bookmark1379"/>
      <w:bookmarkStart w:id="1380" w:name="bookmark1380"/>
      <w:bookmarkStart w:id="1381" w:name="bookmark1381"/>
      <w:r>
        <w:rPr>
          <w:rFonts w:ascii="Times New Roman" w:eastAsia="Times New Roman" w:hAnsi="Times New Roman" w:cs="Times New Roman"/>
          <w:color w:val="000000"/>
          <w:spacing w:val="0"/>
          <w:w w:val="100"/>
          <w:position w:val="0"/>
        </w:rPr>
        <w:t>4</w:t>
      </w:r>
      <w:bookmarkEnd w:id="1380"/>
      <w:r>
        <w:rPr>
          <w:color w:val="000000"/>
          <w:spacing w:val="0"/>
          <w:w w:val="100"/>
          <w:position w:val="0"/>
        </w:rPr>
        <w:t>）本期实际核销的其他应收款情况</w:t>
      </w:r>
      <w:bookmarkEnd w:id="1378"/>
      <w:bookmarkEnd w:id="1379"/>
      <w:bookmarkEnd w:id="1381"/>
    </w:p>
    <w:p>
      <w:pPr>
        <w:pStyle w:val="Style55"/>
        <w:keepNext/>
        <w:keepLines/>
        <w:widowControl w:val="0"/>
        <w:shd w:val="clear" w:color="auto" w:fill="auto"/>
        <w:bidi w:val="0"/>
        <w:spacing w:before="0" w:after="360" w:line="240" w:lineRule="auto"/>
        <w:ind w:left="0" w:right="0"/>
        <w:jc w:val="left"/>
      </w:pPr>
      <w:bookmarkStart w:id="1382" w:name="bookmark1382"/>
      <w:bookmarkStart w:id="1383" w:name="bookmark1383"/>
      <w:bookmarkStart w:id="1384" w:name="bookmark1384"/>
      <w:bookmarkStart w:id="1385" w:name="bookmark1385"/>
      <w:r>
        <w:rPr>
          <w:rFonts w:ascii="Times New Roman" w:eastAsia="Times New Roman" w:hAnsi="Times New Roman" w:cs="Times New Roman"/>
          <w:color w:val="000000"/>
          <w:spacing w:val="0"/>
          <w:w w:val="100"/>
          <w:position w:val="0"/>
        </w:rPr>
        <w:t>5</w:t>
      </w:r>
      <w:bookmarkEnd w:id="1384"/>
      <w:r>
        <w:rPr>
          <w:color w:val="000000"/>
          <w:spacing w:val="0"/>
          <w:w w:val="100"/>
          <w:position w:val="0"/>
        </w:rPr>
        <w:t>）按欠款方归集的期末余额前五名的其他应收款情况</w:t>
      </w:r>
      <w:bookmarkEnd w:id="1382"/>
      <w:bookmarkEnd w:id="1383"/>
      <w:bookmarkEnd w:id="1385"/>
    </w:p>
    <w:p>
      <w:pPr>
        <w:pStyle w:val="Style3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1603"/>
        <w:gridCol w:w="1594"/>
        <w:gridCol w:w="1594"/>
        <w:gridCol w:w="1594"/>
        <w:gridCol w:w="1594"/>
        <w:gridCol w:w="1608"/>
      </w:tblGrid>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单位名称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款项的性质</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账龄</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占其他应收款期末 余额合计数的比例</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坏账准备期末余额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金融资产转让款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10,517,718.68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30.18%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210,354.37</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股权转让款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8,400,000.00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168,000.00</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1,312,002.20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26,240.04</w:t>
            </w:r>
          </w:p>
        </w:tc>
      </w:tr>
    </w:tbl>
    <w:p>
      <w:pPr>
        <w:widowControl w:val="0"/>
        <w:spacing w:line="1" w:lineRule="exact"/>
      </w:pPr>
      <w:r>
        <w:br w:type="page"/>
      </w:r>
    </w:p>
    <w:tbl>
      <w:tblPr>
        <w:tblOverlap w:val="never"/>
        <w:jc w:val="left"/>
        <w:tblLayout w:type="fixed"/>
      </w:tblPr>
      <w:tblGrid>
        <w:gridCol w:w="1603"/>
        <w:gridCol w:w="1594"/>
        <w:gridCol w:w="1594"/>
        <w:gridCol w:w="1594"/>
        <w:gridCol w:w="1594"/>
        <w:gridCol w:w="1608"/>
      </w:tblGrid>
      <w:tr>
        <w:trPr>
          <w:trHeight w:val="403" w:hRule="exact"/>
        </w:trPr>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left"/>
            </w:pPr>
            <w:r>
              <w:rPr>
                <w:color w:val="000000"/>
                <w:spacing w:val="0"/>
                <w:w w:val="100"/>
                <w:position w:val="0"/>
              </w:rPr>
              <w:t>代垫及代付款项</w:t>
            </w:r>
          </w:p>
        </w:tc>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1,200,000.00</w:t>
            </w:r>
          </w:p>
        </w:tc>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3.44%</w:t>
            </w:r>
          </w:p>
        </w:tc>
        <w:tc>
          <w:tcPr>
            <w:tcBorders>
              <w:top w:val="single" w:sz="4"/>
              <w:left w:val="single" w:sz="4"/>
              <w:righ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1,200,000.00</w:t>
            </w:r>
          </w:p>
        </w:tc>
      </w:tr>
      <w:tr>
        <w:trPr>
          <w:trHeight w:val="403" w:hRule="exact"/>
        </w:trPr>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876,757.00</w:t>
            </w:r>
          </w:p>
        </w:tc>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r>
              <w:rPr>
                <w:rFonts w:ascii="Times New Roman" w:eastAsia="Times New Roman" w:hAnsi="Times New Roman" w:cs="Times New Roman"/>
                <w:color w:val="000000"/>
                <w:spacing w:val="0"/>
                <w:w w:val="100"/>
                <w:position w:val="0"/>
              </w:rPr>
              <w:t>1-2</w:t>
            </w:r>
            <w:r>
              <w:rPr>
                <w:color w:val="000000"/>
                <w:spacing w:val="0"/>
                <w:w w:val="100"/>
                <w:position w:val="0"/>
              </w:rPr>
              <w:t>年</w:t>
            </w:r>
          </w:p>
        </w:tc>
        <w:tc>
          <w:tcPr>
            <w:tcBorders>
              <w:top w:val="single" w:sz="4"/>
              <w:lef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2.52%</w:t>
            </w:r>
          </w:p>
        </w:tc>
        <w:tc>
          <w:tcPr>
            <w:tcBorders>
              <w:top w:val="single" w:sz="4"/>
              <w:left w:val="single" w:sz="4"/>
              <w:righ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17,887.64</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4D4D4"/>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22,306,477.88</w:t>
            </w:r>
          </w:p>
        </w:tc>
        <w:tc>
          <w:tcPr>
            <w:tcBorders>
              <w:top w:val="single" w:sz="4"/>
              <w:left w:val="single" w:sz="4"/>
              <w:bottom w:val="single" w:sz="4"/>
            </w:tcBorders>
            <w:shd w:val="clear" w:color="auto" w:fill="D4D4D4"/>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64.02%</w:t>
            </w:r>
          </w:p>
        </w:tc>
        <w:tc>
          <w:tcPr>
            <w:tcBorders>
              <w:top w:val="single" w:sz="4"/>
              <w:left w:val="single" w:sz="4"/>
              <w:bottom w:val="single" w:sz="4"/>
              <w:right w:val="single" w:sz="4"/>
            </w:tcBorders>
            <w:shd w:val="clear" w:color="auto" w:fill="FFFFFF"/>
            <w:vAlign w:val="center"/>
          </w:tcPr>
          <w:p>
            <w:pPr>
              <w:pStyle w:val="Style44"/>
              <w:keepNext w:val="0"/>
              <w:keepLines w:val="0"/>
              <w:framePr w:w="9586" w:h="1219" w:vSpace="365" w:wrap="notBeside" w:vAnchor="text" w:hAnchor="text" w:x="531" w:y="366"/>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1,622,482.05</w:t>
            </w:r>
          </w:p>
        </w:tc>
      </w:tr>
    </w:tbl>
    <w:p>
      <w:pPr>
        <w:pStyle w:val="Style49"/>
        <w:keepNext w:val="0"/>
        <w:keepLines w:val="0"/>
        <w:framePr w:w="1296" w:h="365" w:hSpace="530" w:wrap="notBeside" w:vAnchor="text" w:hAnchor="text" w:x="1333" w:y="1"/>
        <w:widowControl w:val="0"/>
        <w:shd w:val="clear" w:color="auto" w:fill="auto"/>
        <w:bidi w:val="0"/>
        <w:spacing w:before="0" w:after="0" w:line="173"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60" w:line="240" w:lineRule="auto"/>
        <w:ind w:left="0" w:right="0" w:firstLine="0"/>
        <w:jc w:val="left"/>
      </w:pPr>
      <w:r>
        <w:drawing>
          <wp:anchor distT="0" distB="0" distL="0" distR="0" simplePos="0" relativeHeight="125829622" behindDoc="0" locked="0" layoutInCell="1" allowOverlap="1">
            <wp:simplePos x="0" y="0"/>
            <wp:positionH relativeFrom="page">
              <wp:posOffset>598805</wp:posOffset>
            </wp:positionH>
            <wp:positionV relativeFrom="margin">
              <wp:posOffset>-60325</wp:posOffset>
            </wp:positionV>
            <wp:extent cx="487680" cy="237490"/>
            <wp:wrapTight wrapText="bothSides">
              <wp:wrapPolygon>
                <wp:start x="0" y="0"/>
                <wp:lineTo x="21600" y="0"/>
                <wp:lineTo x="21600" y="21600"/>
                <wp:lineTo x="0" y="21600"/>
                <wp:lineTo x="0" y="0"/>
              </wp:wrapPolygon>
            </wp:wrapTight>
            <wp:docPr id="932" name="Shape 932"/>
            <a:graphic xmlns:a="http://schemas.openxmlformats.org/drawingml/2006/main">
              <a:graphicData uri="http://schemas.openxmlformats.org/drawingml/2006/picture">
                <pic:pic xmlns:pic="http://schemas.openxmlformats.org/drawingml/2006/picture">
                  <pic:nvPicPr>
                    <pic:cNvPr id="933" name="Picture box 933"/>
                    <pic:cNvPicPr/>
                  </pic:nvPicPr>
                  <pic:blipFill>
                    <a:blip r:embed="rId397"/>
                    <a:stretch/>
                  </pic:blipFill>
                  <pic:spPr>
                    <a:xfrm>
                      <a:ext cx="487680" cy="237490"/>
                    </a:xfrm>
                    <a:prstGeom prst="rect"/>
                  </pic:spPr>
                </pic:pic>
              </a:graphicData>
            </a:graphic>
          </wp:anchor>
        </w:drawing>
      </w:r>
      <w:bookmarkStart w:id="1386" w:name="bookmark1386"/>
      <w:bookmarkStart w:id="1387" w:name="bookmark1387"/>
      <w:bookmarkStart w:id="1388" w:name="bookmark1388"/>
      <w:bookmarkStart w:id="1389" w:name="bookmark1389"/>
      <w:r>
        <w:rPr>
          <w:rFonts w:ascii="Times New Roman" w:eastAsia="Times New Roman" w:hAnsi="Times New Roman" w:cs="Times New Roman"/>
          <w:color w:val="000000"/>
          <w:spacing w:val="0"/>
          <w:w w:val="100"/>
          <w:position w:val="0"/>
        </w:rPr>
        <w:t>6</w:t>
      </w:r>
      <w:bookmarkEnd w:id="1388"/>
      <w:r>
        <w:rPr>
          <w:color w:val="000000"/>
          <w:spacing w:val="0"/>
          <w:w w:val="100"/>
          <w:position w:val="0"/>
        </w:rPr>
        <w:t>）涉及政府补助的应收款项</w:t>
      </w:r>
      <w:bookmarkEnd w:id="1386"/>
      <w:bookmarkEnd w:id="1387"/>
      <w:bookmarkEnd w:id="1389"/>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报告期内，公司无涉及政府补助的应收款项。</w:t>
      </w:r>
    </w:p>
    <w:p>
      <w:pPr>
        <w:pStyle w:val="Style55"/>
        <w:keepNext/>
        <w:keepLines/>
        <w:widowControl w:val="0"/>
        <w:shd w:val="clear" w:color="auto" w:fill="auto"/>
        <w:bidi w:val="0"/>
        <w:spacing w:before="0" w:after="360" w:line="240" w:lineRule="auto"/>
        <w:ind w:left="0" w:right="0" w:firstLine="0"/>
        <w:jc w:val="left"/>
      </w:pPr>
      <w:bookmarkStart w:id="1390" w:name="bookmark1390"/>
      <w:bookmarkStart w:id="1391" w:name="bookmark1391"/>
      <w:bookmarkStart w:id="1392" w:name="bookmark1392"/>
      <w:bookmarkStart w:id="1393" w:name="bookmark1393"/>
      <w:r>
        <w:rPr>
          <w:rFonts w:ascii="Times New Roman" w:eastAsia="Times New Roman" w:hAnsi="Times New Roman" w:cs="Times New Roman"/>
          <w:color w:val="000000"/>
          <w:spacing w:val="0"/>
          <w:w w:val="100"/>
          <w:position w:val="0"/>
        </w:rPr>
        <w:t>7</w:t>
      </w:r>
      <w:bookmarkEnd w:id="1392"/>
      <w:r>
        <w:rPr>
          <w:color w:val="000000"/>
          <w:spacing w:val="0"/>
          <w:w w:val="100"/>
          <w:position w:val="0"/>
        </w:rPr>
        <w:t>）因金融资产转移而终止确认的其他应收款</w:t>
      </w:r>
      <w:bookmarkEnd w:id="1390"/>
      <w:bookmarkEnd w:id="1391"/>
      <w:bookmarkEnd w:id="1393"/>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报告期内，公司无因金融资产转移而终止确认的其他应收款。</w:t>
      </w:r>
    </w:p>
    <w:p>
      <w:pPr>
        <w:pStyle w:val="Style55"/>
        <w:keepNext/>
        <w:keepLines/>
        <w:widowControl w:val="0"/>
        <w:shd w:val="clear" w:color="auto" w:fill="auto"/>
        <w:bidi w:val="0"/>
        <w:spacing w:before="0" w:after="360" w:line="240" w:lineRule="auto"/>
        <w:ind w:left="0" w:right="0" w:firstLine="0"/>
        <w:jc w:val="left"/>
      </w:pPr>
      <w:bookmarkStart w:id="1394" w:name="bookmark1394"/>
      <w:bookmarkStart w:id="1395" w:name="bookmark1395"/>
      <w:bookmarkStart w:id="1396" w:name="bookmark1396"/>
      <w:bookmarkStart w:id="1397" w:name="bookmark1397"/>
      <w:r>
        <w:rPr>
          <w:rFonts w:ascii="Times New Roman" w:eastAsia="Times New Roman" w:hAnsi="Times New Roman" w:cs="Times New Roman"/>
          <w:color w:val="000000"/>
          <w:spacing w:val="0"/>
          <w:w w:val="100"/>
          <w:position w:val="0"/>
        </w:rPr>
        <w:t>8</w:t>
      </w:r>
      <w:bookmarkEnd w:id="1396"/>
      <w:r>
        <w:rPr>
          <w:color w:val="000000"/>
          <w:spacing w:val="0"/>
          <w:w w:val="100"/>
          <w:position w:val="0"/>
        </w:rPr>
        <w:t>）转移其他应收款且继续涉入形成的资产、负债金额</w:t>
      </w:r>
      <w:bookmarkEnd w:id="1394"/>
      <w:bookmarkEnd w:id="1395"/>
      <w:bookmarkEnd w:id="1397"/>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报告期内，公司无转移其他应收款且继续涉入形成资产或负债的情况。</w:t>
      </w:r>
    </w:p>
    <w:p>
      <w:pPr>
        <w:pStyle w:val="Style55"/>
        <w:keepNext/>
        <w:keepLines/>
        <w:widowControl w:val="0"/>
        <w:shd w:val="clear" w:color="auto" w:fill="auto"/>
        <w:bidi w:val="0"/>
        <w:spacing w:before="0" w:after="360" w:line="240" w:lineRule="auto"/>
        <w:ind w:left="0" w:right="0" w:firstLine="0"/>
        <w:jc w:val="left"/>
      </w:pPr>
      <w:bookmarkStart w:id="1398" w:name="bookmark1398"/>
      <w:bookmarkStart w:id="1399" w:name="bookmark1399"/>
      <w:bookmarkStart w:id="1400" w:name="bookmark1400"/>
      <w:bookmarkStart w:id="1401" w:name="bookmark1401"/>
      <w:r>
        <w:rPr>
          <w:rFonts w:ascii="Times New Roman" w:eastAsia="Times New Roman" w:hAnsi="Times New Roman" w:cs="Times New Roman"/>
          <w:color w:val="000000"/>
          <w:spacing w:val="0"/>
          <w:w w:val="100"/>
          <w:position w:val="0"/>
        </w:rPr>
        <w:t>9</w:t>
      </w:r>
      <w:bookmarkEnd w:id="1400"/>
      <w:r>
        <w:rPr>
          <w:color w:val="000000"/>
          <w:spacing w:val="0"/>
          <w:w w:val="100"/>
          <w:position w:val="0"/>
        </w:rPr>
        <w:t>、存货</w:t>
      </w:r>
      <w:bookmarkEnd w:id="1398"/>
      <w:bookmarkEnd w:id="1399"/>
      <w:bookmarkEnd w:id="1401"/>
    </w:p>
    <w:p>
      <w:pPr>
        <w:pStyle w:val="Style55"/>
        <w:keepNext/>
        <w:keepLines/>
        <w:widowControl w:val="0"/>
        <w:shd w:val="clear" w:color="auto" w:fill="auto"/>
        <w:bidi w:val="0"/>
        <w:spacing w:before="0" w:after="360" w:line="240" w:lineRule="auto"/>
        <w:ind w:left="0" w:right="0" w:firstLine="140"/>
        <w:jc w:val="left"/>
      </w:pPr>
      <w:bookmarkStart w:id="1398" w:name="bookmark1398"/>
      <w:bookmarkStart w:id="1399" w:name="bookmark1399"/>
      <w:bookmarkStart w:id="1402" w:name="bookmark1402"/>
      <w:bookmarkStart w:id="1403" w:name="bookmark1403"/>
      <w:r>
        <w:rPr>
          <w:color w:val="000000"/>
          <w:spacing w:val="0"/>
          <w:w w:val="100"/>
          <w:position w:val="0"/>
        </w:rPr>
        <w:t>（</w:t>
      </w:r>
      <w:bookmarkEnd w:id="1402"/>
      <w:r>
        <w:rPr>
          <w:rFonts w:ascii="Times New Roman" w:eastAsia="Times New Roman" w:hAnsi="Times New Roman" w:cs="Times New Roman"/>
          <w:color w:val="000000"/>
          <w:spacing w:val="0"/>
          <w:w w:val="100"/>
          <w:position w:val="0"/>
        </w:rPr>
        <w:t>1</w:t>
      </w:r>
      <w:r>
        <w:rPr>
          <w:color w:val="000000"/>
          <w:spacing w:val="0"/>
          <w:w w:val="100"/>
          <w:position w:val="0"/>
        </w:rPr>
        <w:t>）存货分类</w:t>
      </w:r>
      <w:bookmarkEnd w:id="1398"/>
      <w:bookmarkEnd w:id="1399"/>
      <w:bookmarkEnd w:id="1403"/>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1027"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存货跌价准备或 合同履约成本减 值准备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存货跌价准备或 合同履约成本减 值准备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23,839,071.35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4,761,120.61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19,077,950.74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21,222,354.76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21,222,354.76</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11,974,262.83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11,974,262.83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11,632,932.48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11,632,932.48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周转材料</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106,947.56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106,947.56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64,401.71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64,401.71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开发成本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96,645,420.68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1,696,998.30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94,948,422.38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63,647,440.67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63,647,440.67</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132,565,702.42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6,458,118.91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126,107,583.51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96,567,129.62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96,567,129.62</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140"/>
        <w:jc w:val="left"/>
      </w:pPr>
      <w:bookmarkStart w:id="1404" w:name="bookmark1404"/>
      <w:bookmarkStart w:id="1405" w:name="bookmark1405"/>
      <w:bookmarkStart w:id="1406" w:name="bookmark1406"/>
      <w:bookmarkStart w:id="1407" w:name="bookmark1407"/>
      <w:r>
        <w:rPr>
          <w:color w:val="000000"/>
          <w:spacing w:val="0"/>
          <w:w w:val="100"/>
          <w:position w:val="0"/>
        </w:rPr>
        <w:t>（</w:t>
      </w:r>
      <w:bookmarkEnd w:id="1406"/>
      <w:r>
        <w:rPr>
          <w:rFonts w:ascii="Times New Roman" w:eastAsia="Times New Roman" w:hAnsi="Times New Roman" w:cs="Times New Roman"/>
          <w:color w:val="000000"/>
          <w:spacing w:val="0"/>
          <w:w w:val="100"/>
          <w:position w:val="0"/>
        </w:rPr>
        <w:t>2</w:t>
      </w:r>
      <w:r>
        <w:rPr>
          <w:color w:val="000000"/>
          <w:spacing w:val="0"/>
          <w:w w:val="100"/>
          <w:position w:val="0"/>
        </w:rPr>
        <w:t>）存货跌价准备和合同履约成本减值准备</w:t>
      </w:r>
      <w:bookmarkEnd w:id="1404"/>
      <w:bookmarkEnd w:id="1405"/>
      <w:bookmarkEnd w:id="1407"/>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期初余额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转回或转销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4,761,120.61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4,761,120.61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开发成本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1,696,998.30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1,696,998.30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6,458,118.91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6,458,118.91</w:t>
            </w:r>
          </w:p>
        </w:tc>
      </w:tr>
    </w:tbl>
    <w:p>
      <w:pPr>
        <w:sectPr>
          <w:headerReference w:type="default" r:id="rId399"/>
          <w:footerReference w:type="default" r:id="rId400"/>
          <w:headerReference w:type="even" r:id="rId401"/>
          <w:footerReference w:type="even" r:id="rId402"/>
          <w:footnotePr>
            <w:pos w:val="pageBottom"/>
            <w:numFmt w:val="decimal"/>
            <w:numRestart w:val="continuous"/>
          </w:footnotePr>
          <w:pgSz w:w="11900" w:h="16840"/>
          <w:pgMar w:top="1143" w:right="838" w:bottom="1464" w:left="415"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623" behindDoc="0" locked="0" layoutInCell="1" allowOverlap="1">
                <wp:simplePos x="0" y="0"/>
                <wp:positionH relativeFrom="page">
                  <wp:posOffset>747395</wp:posOffset>
                </wp:positionH>
                <wp:positionV relativeFrom="paragraph">
                  <wp:posOffset>12700</wp:posOffset>
                </wp:positionV>
                <wp:extent cx="1301750" cy="323215"/>
                <wp:wrapTopAndBottom/>
                <wp:docPr id="942" name="Shape 942"/>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1968" type="#_x0000_t202" style="position:absolute;margin-left:58.850000000000001pt;margin-top:1.pt;width:102.5pt;height:25.449999999999999pt;z-index:-125829130;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topAndBottom" anchorx="page"/>
              </v:shape>
            </w:pict>
          </mc:Fallback>
        </mc:AlternateContent>
      </w:r>
      <w:r>
        <mc:AlternateContent>
          <mc:Choice Requires="wps">
            <w:drawing>
              <wp:anchor distT="536575" distB="0" distL="114300" distR="2153285" simplePos="0" relativeHeight="125829625" behindDoc="0" locked="0" layoutInCell="1" allowOverlap="1">
                <wp:simplePos x="0" y="0"/>
                <wp:positionH relativeFrom="page">
                  <wp:posOffset>774700</wp:posOffset>
                </wp:positionH>
                <wp:positionV relativeFrom="paragraph">
                  <wp:posOffset>1286510</wp:posOffset>
                </wp:positionV>
                <wp:extent cx="259080" cy="167640"/>
                <wp:wrapTopAndBottom/>
                <wp:docPr id="944" name="Shape 944"/>
                <a:graphic xmlns:a="http://schemas.openxmlformats.org/drawingml/2006/main">
                  <a:graphicData uri="http://schemas.microsoft.com/office/word/2010/wordprocessingShape">
                    <wps:wsp>
                      <wps:cNvSpPr txBox="1"/>
                      <wps:spPr>
                        <a:xfrm>
                          <a:ext cx="259080" cy="167640"/>
                        </a:xfrm>
                        <a:prstGeom prst="rect"/>
                        <a:noFill/>
                      </wps:spPr>
                      <wps:txbx>
                        <w:txbxContent>
                          <w:p>
                            <w:pPr>
                              <w:pStyle w:val="Style55"/>
                              <w:keepNext/>
                              <w:keepLines/>
                              <w:widowControl w:val="0"/>
                              <w:shd w:val="clear" w:color="auto" w:fill="auto"/>
                              <w:bidi w:val="0"/>
                              <w:spacing w:before="0" w:after="0" w:line="240" w:lineRule="auto"/>
                              <w:ind w:left="0" w:right="0" w:firstLine="0"/>
                              <w:jc w:val="both"/>
                            </w:pPr>
                            <w:bookmarkStart w:id="1408" w:name="bookmark1408"/>
                            <w:bookmarkStart w:id="1409" w:name="bookmark1409"/>
                            <w:bookmarkStart w:id="1410" w:name="bookmark1410"/>
                            <w:r>
                              <w:rPr>
                                <w:rFonts w:ascii="Times New Roman" w:eastAsia="Times New Roman" w:hAnsi="Times New Roman" w:cs="Times New Roman"/>
                                <w:color w:val="000000"/>
                                <w:spacing w:val="0"/>
                                <w:w w:val="100"/>
                                <w:position w:val="0"/>
                              </w:rPr>
                              <w:t>(4</w:t>
                            </w:r>
                            <w:r>
                              <w:rPr>
                                <w:color w:val="000000"/>
                                <w:spacing w:val="0"/>
                                <w:w w:val="100"/>
                                <w:position w:val="0"/>
                              </w:rPr>
                              <w:t>)</w:t>
                            </w:r>
                            <w:bookmarkEnd w:id="1408"/>
                            <w:bookmarkEnd w:id="1409"/>
                            <w:bookmarkEnd w:id="1410"/>
                          </w:p>
                        </w:txbxContent>
                      </wps:txbx>
                      <wps:bodyPr wrap="none" lIns="0" tIns="0" rIns="0" bIns="0">
                        <a:noAutoFit/>
                      </wps:bodyPr>
                    </wps:wsp>
                  </a:graphicData>
                </a:graphic>
              </wp:anchor>
            </w:drawing>
          </mc:Choice>
          <mc:Fallback>
            <w:pict>
              <v:shape id="_x0000_s1970" type="#_x0000_t202" style="position:absolute;margin-left:61.pt;margin-top:101.3pt;width:20.400000000000002pt;height:13.200000000000001pt;z-index:-125829128;mso-wrap-distance-left:9.pt;mso-wrap-distance-top:42.25pt;mso-wrap-distance-right:169.55000000000001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both"/>
                      </w:pPr>
                      <w:bookmarkStart w:id="1408" w:name="bookmark1408"/>
                      <w:bookmarkStart w:id="1409" w:name="bookmark1409"/>
                      <w:bookmarkStart w:id="1410" w:name="bookmark1410"/>
                      <w:r>
                        <w:rPr>
                          <w:rFonts w:ascii="Times New Roman" w:eastAsia="Times New Roman" w:hAnsi="Times New Roman" w:cs="Times New Roman"/>
                          <w:color w:val="000000"/>
                          <w:spacing w:val="0"/>
                          <w:w w:val="100"/>
                          <w:position w:val="0"/>
                        </w:rPr>
                        <w:t>(4</w:t>
                      </w:r>
                      <w:r>
                        <w:rPr>
                          <w:color w:val="000000"/>
                          <w:spacing w:val="0"/>
                          <w:w w:val="100"/>
                          <w:position w:val="0"/>
                        </w:rPr>
                        <w:t>)</w:t>
                      </w:r>
                      <w:bookmarkEnd w:id="1408"/>
                      <w:bookmarkEnd w:id="1409"/>
                      <w:bookmarkEnd w:id="1410"/>
                    </w:p>
                  </w:txbxContent>
                </v:textbox>
                <w10:wrap type="topAndBottom" anchorx="page"/>
              </v:shape>
            </w:pict>
          </mc:Fallback>
        </mc:AlternateContent>
      </w:r>
      <w:r>
        <mc:AlternateContent>
          <mc:Choice Requires="wps">
            <w:drawing>
              <wp:anchor distT="533400" distB="0" distL="376555" distR="114300" simplePos="0" relativeHeight="125829627" behindDoc="0" locked="0" layoutInCell="1" allowOverlap="1">
                <wp:simplePos x="0" y="0"/>
                <wp:positionH relativeFrom="page">
                  <wp:posOffset>1036955</wp:posOffset>
                </wp:positionH>
                <wp:positionV relativeFrom="paragraph">
                  <wp:posOffset>1283335</wp:posOffset>
                </wp:positionV>
                <wp:extent cx="2035810" cy="170815"/>
                <wp:wrapTopAndBottom/>
                <wp:docPr id="946" name="Shape 946"/>
                <a:graphic xmlns:a="http://schemas.openxmlformats.org/drawingml/2006/main">
                  <a:graphicData uri="http://schemas.microsoft.com/office/word/2010/wordprocessingShape">
                    <wps:wsp>
                      <wps:cNvSpPr txBox="1"/>
                      <wps:spPr>
                        <a:xfrm>
                          <a:ext cx="2035810" cy="170815"/>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1411" w:name="bookmark1411"/>
                            <w:bookmarkStart w:id="1412" w:name="bookmark1412"/>
                            <w:bookmarkStart w:id="1413" w:name="bookmark1413"/>
                            <w:r>
                              <w:rPr>
                                <w:color w:val="000000"/>
                                <w:spacing w:val="0"/>
                                <w:w w:val="100"/>
                                <w:position w:val="0"/>
                              </w:rPr>
                              <w:t>合同履约成本本期摊销金额的说明</w:t>
                            </w:r>
                            <w:bookmarkEnd w:id="1411"/>
                            <w:bookmarkEnd w:id="1412"/>
                            <w:bookmarkEnd w:id="1413"/>
                          </w:p>
                        </w:txbxContent>
                      </wps:txbx>
                      <wps:bodyPr wrap="none" lIns="0" tIns="0" rIns="0" bIns="0">
                        <a:noAutoFit/>
                      </wps:bodyPr>
                    </wps:wsp>
                  </a:graphicData>
                </a:graphic>
              </wp:anchor>
            </w:drawing>
          </mc:Choice>
          <mc:Fallback>
            <w:pict>
              <v:shape id="_x0000_s1972" type="#_x0000_t202" style="position:absolute;margin-left:81.650000000000006pt;margin-top:101.05pt;width:160.30000000000001pt;height:13.450000000000001pt;z-index:-125829126;mso-wrap-distance-left:29.650000000000002pt;mso-wrap-distance-top:42.pt;mso-wrap-distance-right:9.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1411" w:name="bookmark1411"/>
                      <w:bookmarkStart w:id="1412" w:name="bookmark1412"/>
                      <w:bookmarkStart w:id="1413" w:name="bookmark1413"/>
                      <w:r>
                        <w:rPr>
                          <w:color w:val="000000"/>
                          <w:spacing w:val="0"/>
                          <w:w w:val="100"/>
                          <w:position w:val="0"/>
                        </w:rPr>
                        <w:t>合同履约成本本期摊销金额的说明</w:t>
                      </w:r>
                      <w:bookmarkEnd w:id="1411"/>
                      <w:bookmarkEnd w:id="1412"/>
                      <w:bookmarkEnd w:id="1413"/>
                    </w:p>
                  </w:txbxContent>
                </v:textbox>
                <w10:wrap type="topAndBottom" anchorx="page"/>
              </v:shape>
            </w:pict>
          </mc:Fallback>
        </mc:AlternateContent>
      </w:r>
    </w:p>
    <w:p>
      <w:pPr>
        <w:pStyle w:val="Style5"/>
        <w:keepNext w:val="0"/>
        <w:keepLines w:val="0"/>
        <w:widowControl w:val="0"/>
        <w:shd w:val="clear" w:color="auto" w:fill="auto"/>
        <w:bidi w:val="0"/>
        <w:spacing w:before="0" w:after="0" w:line="240" w:lineRule="auto"/>
        <w:ind w:left="0" w:right="0" w:firstLine="820"/>
        <w:jc w:val="left"/>
      </w:pPr>
      <w:r>
        <w:rPr>
          <w:spacing w:val="0"/>
          <w:w w:val="100"/>
          <w:position w:val="0"/>
        </w:rPr>
        <w:t>国家高新技术企业</w:t>
      </w:r>
    </w:p>
    <w:p>
      <w:pPr>
        <w:pStyle w:val="Style32"/>
        <w:keepNext w:val="0"/>
        <w:keepLines w:val="0"/>
        <w:widowControl w:val="0"/>
        <w:shd w:val="clear" w:color="auto" w:fill="auto"/>
        <w:bidi w:val="0"/>
        <w:spacing w:before="0" w:line="240" w:lineRule="auto"/>
        <w:ind w:left="0" w:right="0" w:firstLine="820"/>
        <w:jc w:val="left"/>
      </w:pP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0" w:line="240" w:lineRule="auto"/>
        <w:ind w:left="0" w:right="0" w:firstLine="540"/>
        <w:jc w:val="left"/>
        <w:sectPr>
          <w:headerReference w:type="default" r:id="rId403"/>
          <w:footerReference w:type="default" r:id="rId404"/>
          <w:headerReference w:type="even" r:id="rId405"/>
          <w:footerReference w:type="even" r:id="rId406"/>
          <w:footnotePr>
            <w:pos w:val="pageBottom"/>
            <w:numFmt w:val="decimal"/>
            <w:numRestart w:val="continuous"/>
          </w:footnotePr>
          <w:pgSz w:w="11900" w:h="16840"/>
          <w:pgMar w:top="1057" w:right="1109" w:bottom="1628" w:left="1105" w:header="0" w:footer="3" w:gutter="0"/>
          <w:cols w:space="720"/>
          <w:noEndnote/>
          <w:rtlGutter w:val="0"/>
          <w:docGrid w:linePitch="360"/>
        </w:sectPr>
      </w:pPr>
      <w:bookmarkStart w:id="1414" w:name="bookmark1414"/>
      <w:bookmarkStart w:id="1415" w:name="bookmark1415"/>
      <w:bookmarkStart w:id="1416" w:name="bookmark1416"/>
      <w:r>
        <w:rPr>
          <w:color w:val="000000"/>
          <w:spacing w:val="0"/>
          <w:w w:val="100"/>
          <w:position w:val="0"/>
        </w:rPr>
        <w:t>存货期末余额含有借款费用资本化金额的说明</w:t>
      </w:r>
      <w:bookmarkEnd w:id="1414"/>
      <w:bookmarkEnd w:id="1415"/>
      <w:bookmarkEnd w:id="1416"/>
    </w:p>
    <w:p>
      <w:pPr>
        <w:widowControl w:val="0"/>
        <w:spacing w:line="240" w:lineRule="exact"/>
        <w:rPr>
          <w:sz w:val="19"/>
          <w:szCs w:val="19"/>
        </w:rPr>
      </w:pPr>
    </w:p>
    <w:p>
      <w:pPr>
        <w:widowControl w:val="0"/>
        <w:spacing w:line="240" w:lineRule="exact"/>
        <w:rPr>
          <w:sz w:val="19"/>
          <w:szCs w:val="19"/>
        </w:rPr>
      </w:pPr>
    </w:p>
    <w:p>
      <w:pPr>
        <w:widowControl w:val="0"/>
        <w:spacing w:before="61" w:after="61"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112" w:right="0" w:bottom="1574" w:left="0" w:header="0" w:footer="3" w:gutter="0"/>
          <w:cols w:space="720"/>
          <w:noEndnote/>
          <w:rtlGutter w:val="0"/>
          <w:docGrid w:linePitch="360"/>
        </w:sectPr>
      </w:pPr>
    </w:p>
    <w:p>
      <w:pPr>
        <w:pStyle w:val="Style55"/>
        <w:keepNext/>
        <w:keepLines/>
        <w:widowControl w:val="0"/>
        <w:shd w:val="clear" w:color="auto" w:fill="auto"/>
        <w:bidi w:val="0"/>
        <w:spacing w:before="0" w:after="360" w:line="240" w:lineRule="auto"/>
        <w:ind w:left="0" w:right="0"/>
        <w:jc w:val="both"/>
      </w:pPr>
      <w:bookmarkStart w:id="1417" w:name="bookmark1417"/>
      <w:bookmarkStart w:id="1418" w:name="bookmark1418"/>
      <w:bookmarkStart w:id="1419" w:name="bookmark1419"/>
      <w:bookmarkStart w:id="1420" w:name="bookmark1420"/>
      <w:r>
        <w:rPr>
          <w:rFonts w:ascii="Times New Roman" w:eastAsia="Times New Roman" w:hAnsi="Times New Roman" w:cs="Times New Roman"/>
          <w:color w:val="000000"/>
          <w:spacing w:val="0"/>
          <w:w w:val="100"/>
          <w:position w:val="0"/>
        </w:rPr>
        <w:t>1</w:t>
      </w:r>
      <w:bookmarkEnd w:id="1419"/>
      <w:r>
        <w:rPr>
          <w:rFonts w:ascii="Times New Roman" w:eastAsia="Times New Roman" w:hAnsi="Times New Roman" w:cs="Times New Roman"/>
          <w:color w:val="000000"/>
          <w:spacing w:val="0"/>
          <w:w w:val="100"/>
          <w:position w:val="0"/>
        </w:rPr>
        <w:t>0</w:t>
      </w:r>
      <w:r>
        <w:rPr>
          <w:color w:val="000000"/>
          <w:spacing w:val="0"/>
          <w:w w:val="100"/>
          <w:position w:val="0"/>
        </w:rPr>
        <w:t>、合同资产</w:t>
      </w:r>
      <w:bookmarkEnd w:id="1417"/>
      <w:bookmarkEnd w:id="1418"/>
      <w:bookmarkEnd w:id="1420"/>
    </w:p>
    <w:p>
      <w:pPr>
        <w:pStyle w:val="Style32"/>
        <w:keepNext w:val="0"/>
        <w:keepLines w:val="0"/>
        <w:widowControl w:val="0"/>
        <w:shd w:val="clear" w:color="auto" w:fill="auto"/>
        <w:bidi w:val="0"/>
        <w:spacing w:before="0" w:after="100" w:line="240" w:lineRule="auto"/>
        <w:ind w:left="9200" w:right="0" w:firstLine="0"/>
        <w:jc w:val="left"/>
      </w:pPr>
      <w:r>
        <w:rPr>
          <w:color w:val="000000"/>
          <w:spacing w:val="0"/>
          <w:w w:val="100"/>
          <w:position w:val="0"/>
        </w:rPr>
        <w:t>单位：元</w:t>
      </w:r>
    </w:p>
    <w:tbl>
      <w:tblPr>
        <w:tblOverlap w:val="never"/>
        <w:jc w:val="center"/>
        <w:tblLayout w:type="fixed"/>
      </w:tblPr>
      <w:tblGrid>
        <w:gridCol w:w="2141"/>
        <w:gridCol w:w="1195"/>
        <w:gridCol w:w="1330"/>
        <w:gridCol w:w="1195"/>
        <w:gridCol w:w="1195"/>
        <w:gridCol w:w="1195"/>
        <w:gridCol w:w="1334"/>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减值准备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00" w:firstLine="0"/>
              <w:jc w:val="right"/>
            </w:pPr>
            <w:r>
              <w:rPr>
                <w:color w:val="000000"/>
                <w:spacing w:val="0"/>
                <w:w w:val="100"/>
                <w:position w:val="0"/>
              </w:rPr>
              <w:t>账面价值</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未到期的质保金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17,680,492.77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368,886.66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17,311,606.11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23,342,256.75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485,042.46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22,857,214.29</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17,680,492.77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368,886.66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17,311,606.11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23,342,256.75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485,042.46</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22,857,214.29</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合同资产的账面价值在本期内发生的重大变动金额和原因:</w:t>
      </w:r>
    </w:p>
    <w:p>
      <w:pPr>
        <w:widowControl w:val="0"/>
        <w:spacing w:after="99" w:line="1" w:lineRule="exact"/>
      </w:pPr>
    </w:p>
    <w:p>
      <w:pPr>
        <w:pStyle w:val="Style32"/>
        <w:keepNext w:val="0"/>
        <w:keepLines w:val="0"/>
        <w:widowControl w:val="0"/>
        <w:shd w:val="clear" w:color="auto" w:fill="auto"/>
        <w:bidi w:val="0"/>
        <w:spacing w:before="0" w:after="100" w:line="240" w:lineRule="auto"/>
        <w:ind w:left="9200" w:right="0" w:firstLine="0"/>
        <w:jc w:val="left"/>
      </w:pPr>
      <w:r>
        <w:rPr>
          <w:color w:val="000000"/>
          <w:spacing w:val="0"/>
          <w:w w:val="100"/>
          <w:position w:val="0"/>
        </w:rPr>
        <w:t>单位：元</w:t>
      </w:r>
    </w:p>
    <w:tbl>
      <w:tblPr>
        <w:tblOverlap w:val="never"/>
        <w:jc w:val="center"/>
        <w:tblLayout w:type="fixed"/>
      </w:tblPr>
      <w:tblGrid>
        <w:gridCol w:w="2491"/>
        <w:gridCol w:w="2419"/>
        <w:gridCol w:w="4954"/>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变动金额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变动原因</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企业合并导致的变动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1,704,813.35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非同一控制下企业合并</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合同资产重分类为应收款项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1,018,990.00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质保期已到期，款项尚未收回</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2,723,803.35</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99" w:line="1" w:lineRule="exact"/>
      </w:pPr>
    </w:p>
    <w:p>
      <w:pPr>
        <w:pStyle w:val="Style32"/>
        <w:keepNext w:val="0"/>
        <w:keepLines w:val="0"/>
        <w:widowControl w:val="0"/>
        <w:shd w:val="clear" w:color="auto" w:fill="auto"/>
        <w:bidi w:val="0"/>
        <w:spacing w:before="0" w:after="140" w:line="240" w:lineRule="auto"/>
        <w:ind w:left="0" w:right="0" w:firstLine="260"/>
        <w:jc w:val="left"/>
      </w:pPr>
      <w:r>
        <w:rPr>
          <w:color w:val="000000"/>
          <w:spacing w:val="0"/>
          <w:w w:val="100"/>
          <w:position w:val="0"/>
        </w:rPr>
        <w:t>如是按照预期信用损失一般模型计提合同资产坏账准备，请参照其他应收款的披露方式披露坏账准备的相关信息:</w:t>
      </w:r>
    </w:p>
    <w:p>
      <w:pPr>
        <w:pStyle w:val="Style32"/>
        <w:keepNext w:val="0"/>
        <w:keepLines w:val="0"/>
        <w:widowControl w:val="0"/>
        <w:shd w:val="clear" w:color="auto" w:fill="auto"/>
        <w:bidi w:val="0"/>
        <w:spacing w:before="0" w:after="140" w:line="240" w:lineRule="auto"/>
        <w:ind w:left="0" w:right="0" w:firstLine="2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100" w:line="240" w:lineRule="auto"/>
        <w:ind w:left="0" w:right="0" w:firstLine="260"/>
        <w:jc w:val="left"/>
      </w:pPr>
      <w:r>
        <w:rPr>
          <w:color w:val="000000"/>
          <w:spacing w:val="0"/>
          <w:w w:val="100"/>
          <w:position w:val="0"/>
        </w:rPr>
        <w:t>本期合同资产计提减值准备情况</w:t>
      </w:r>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本期计提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本期转回</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本期转销</w:t>
            </w:r>
            <w:r>
              <w:rPr>
                <w:rFonts w:ascii="Times New Roman" w:eastAsia="Times New Roman" w:hAnsi="Times New Roman" w:cs="Times New Roman"/>
                <w:color w:val="000000"/>
                <w:spacing w:val="0"/>
                <w:w w:val="100"/>
                <w:position w:val="0"/>
              </w:rPr>
              <w:t>/</w:t>
            </w:r>
            <w:r>
              <w:rPr>
                <w:color w:val="000000"/>
                <w:spacing w:val="0"/>
                <w:w w:val="100"/>
                <w:position w:val="0"/>
              </w:rPr>
              <w:t>核销</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合同资产减值准备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-116,155.80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-116,155.80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279" w:line="1" w:lineRule="exact"/>
      </w:pPr>
    </w:p>
    <w:p>
      <w:pPr>
        <w:pStyle w:val="Style55"/>
        <w:keepNext/>
        <w:keepLines/>
        <w:widowControl w:val="0"/>
        <w:shd w:val="clear" w:color="auto" w:fill="auto"/>
        <w:bidi w:val="0"/>
        <w:spacing w:before="0" w:after="1000" w:line="240" w:lineRule="auto"/>
        <w:ind w:left="0" w:right="0"/>
        <w:jc w:val="left"/>
      </w:pPr>
      <w:bookmarkStart w:id="1421" w:name="bookmark1421"/>
      <w:bookmarkStart w:id="1422" w:name="bookmark1422"/>
      <w:bookmarkStart w:id="1423" w:name="bookmark1423"/>
      <w:bookmarkStart w:id="1424" w:name="bookmark1424"/>
      <w:r>
        <w:rPr>
          <w:rFonts w:ascii="Times New Roman" w:eastAsia="Times New Roman" w:hAnsi="Times New Roman" w:cs="Times New Roman"/>
          <w:color w:val="000000"/>
          <w:spacing w:val="0"/>
          <w:w w:val="100"/>
          <w:position w:val="0"/>
        </w:rPr>
        <w:t>1</w:t>
      </w:r>
      <w:bookmarkEnd w:id="1423"/>
      <w:r>
        <w:rPr>
          <w:rFonts w:ascii="Times New Roman" w:eastAsia="Times New Roman" w:hAnsi="Times New Roman" w:cs="Times New Roman"/>
          <w:color w:val="000000"/>
          <w:spacing w:val="0"/>
          <w:w w:val="100"/>
          <w:position w:val="0"/>
        </w:rPr>
        <w:t>1</w:t>
      </w:r>
      <w:r>
        <w:rPr>
          <w:color w:val="000000"/>
          <w:spacing w:val="0"/>
          <w:w w:val="100"/>
          <w:position w:val="0"/>
        </w:rPr>
        <w:t>、持有待售资产</w:t>
      </w:r>
      <w:bookmarkEnd w:id="1421"/>
      <w:bookmarkEnd w:id="1422"/>
      <w:bookmarkEnd w:id="1424"/>
    </w:p>
    <w:p>
      <w:pPr>
        <w:pStyle w:val="Style55"/>
        <w:keepNext/>
        <w:keepLines/>
        <w:widowControl w:val="0"/>
        <w:shd w:val="clear" w:color="auto" w:fill="auto"/>
        <w:bidi w:val="0"/>
        <w:spacing w:before="0" w:after="360" w:line="240" w:lineRule="auto"/>
        <w:ind w:left="0" w:right="0"/>
        <w:jc w:val="both"/>
      </w:pPr>
      <w:bookmarkStart w:id="1425" w:name="bookmark1425"/>
      <w:bookmarkStart w:id="1426" w:name="bookmark1426"/>
      <w:bookmarkStart w:id="1427" w:name="bookmark1427"/>
      <w:bookmarkStart w:id="1428" w:name="bookmark1428"/>
      <w:r>
        <w:rPr>
          <w:rFonts w:ascii="Times New Roman" w:eastAsia="Times New Roman" w:hAnsi="Times New Roman" w:cs="Times New Roman"/>
          <w:color w:val="000000"/>
          <w:spacing w:val="0"/>
          <w:w w:val="100"/>
          <w:position w:val="0"/>
        </w:rPr>
        <w:t>1</w:t>
      </w:r>
      <w:bookmarkEnd w:id="1427"/>
      <w:r>
        <w:rPr>
          <w:rFonts w:ascii="Times New Roman" w:eastAsia="Times New Roman" w:hAnsi="Times New Roman" w:cs="Times New Roman"/>
          <w:color w:val="000000"/>
          <w:spacing w:val="0"/>
          <w:w w:val="100"/>
          <w:position w:val="0"/>
        </w:rPr>
        <w:t>2</w:t>
      </w:r>
      <w:r>
        <w:rPr>
          <w:color w:val="000000"/>
          <w:spacing w:val="0"/>
          <w:w w:val="100"/>
          <w:position w:val="0"/>
        </w:rPr>
        <w:t>、一年内到期的非流动资产</w:t>
      </w:r>
      <w:bookmarkEnd w:id="1425"/>
      <w:bookmarkEnd w:id="1426"/>
      <w:bookmarkEnd w:id="1428"/>
    </w:p>
    <w:p>
      <w:pPr>
        <w:pStyle w:val="Style32"/>
        <w:keepNext w:val="0"/>
        <w:keepLines w:val="0"/>
        <w:widowControl w:val="0"/>
        <w:shd w:val="clear" w:color="auto" w:fill="auto"/>
        <w:bidi w:val="0"/>
        <w:spacing w:before="0" w:after="100" w:line="240" w:lineRule="auto"/>
        <w:ind w:left="920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分期收款销售商品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7,039,037.34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4,609,559.36</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一年内到期的合同资产</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3,177,525.97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626,229.95</w:t>
            </w:r>
          </w:p>
        </w:tc>
      </w:tr>
    </w:tbl>
    <w:p>
      <w:pPr>
        <w:spacing w:lineRule="exact" w:line="1"/>
        <w:rPr>
          <w:sz w:val="2"/>
          <w:szCs w:val="2"/>
        </w:rPr>
      </w:pPr>
      <w:r>
        <w:br w:type="page"/>
      </w:r>
    </w:p>
    <w:p>
      <w:pPr>
        <w:framePr w:w="768" w:h="370" w:hSpace="1291" w:vSpace="5" w:wrap="notBeside" w:vAnchor="text" w:hAnchor="text" w:y="1"/>
        <w:widowControl w:val="0"/>
        <w:rPr>
          <w:sz w:val="2"/>
          <w:szCs w:val="2"/>
        </w:rPr>
      </w:pPr>
      <w:r>
        <w:drawing>
          <wp:inline>
            <wp:extent cx="487680" cy="237490"/>
            <wp:docPr id="957" name="Picutre 957"/>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407"/>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0" distR="5498465" simplePos="0" relativeHeight="125829629" behindDoc="0" locked="0" layoutInCell="1" allowOverlap="1">
                <wp:simplePos x="0" y="0"/>
                <wp:positionH relativeFrom="column">
                  <wp:posOffset>487680</wp:posOffset>
                </wp:positionH>
                <wp:positionV relativeFrom="paragraph">
                  <wp:posOffset>6350</wp:posOffset>
                </wp:positionV>
                <wp:extent cx="819785" cy="231775"/>
                <wp:wrapTopAndBottom/>
                <wp:docPr id="958" name="Shape 958"/>
                <a:graphic xmlns:a="http://schemas.openxmlformats.org/drawingml/2006/main">
                  <a:graphicData uri="http://schemas.microsoft.com/office/word/2010/wordprocessingShape">
                    <wps:wsp>
                      <wps:cNvSpPr txBox="1"/>
                      <wps:spPr>
                        <a:xfrm>
                          <a:ext cx="819785" cy="231775"/>
                        </a:xfrm>
                        <a:prstGeom prst="rect"/>
                        <a:noFill/>
                      </wps:spPr>
                      <wps:txbx>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1984" type="#_x0000_t202" style="position:absolute;margin-left:38.399999999999999pt;margin-top:0.5pt;width:64.549999999999997pt;height:18.25pt;z-index:-125829124;mso-wrap-distance-left:0;mso-wrap-distance-right:432.94999999999999pt" filled="f" stroked="f">
                <v:textbox inset="0,0,0,0">
                  <w:txbxContent>
                    <w:p>
                      <w:pPr>
                        <w:pStyle w:val="Style26"/>
                        <w:keepNext w:val="0"/>
                        <w:keepLines w:val="0"/>
                        <w:widowControl w:val="0"/>
                        <w:shd w:val="clear" w:color="auto" w:fill="auto"/>
                        <w:bidi w:val="0"/>
                        <w:spacing w:before="0" w:after="0" w:line="168" w:lineRule="exact"/>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tbl>
      <w:tblPr>
        <w:tblOverlap w:val="never"/>
        <w:jc w:val="center"/>
        <w:tblLayout w:type="fixed"/>
      </w:tblPr>
      <w:tblGrid>
        <w:gridCol w:w="3197"/>
        <w:gridCol w:w="3192"/>
        <w:gridCol w:w="3197"/>
      </w:tblGrid>
      <w:tr>
        <w:trPr>
          <w:trHeight w:val="41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10,216,563.31</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5,235,789.31</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重要的债权投资</w:t>
      </w:r>
      <w:r>
        <w:rPr>
          <w:rFonts w:ascii="Times New Roman" w:eastAsia="Times New Roman" w:hAnsi="Times New Roman" w:cs="Times New Roman"/>
          <w:color w:val="000000"/>
          <w:spacing w:val="0"/>
          <w:w w:val="100"/>
          <w:position w:val="0"/>
        </w:rPr>
        <w:t>/</w:t>
      </w:r>
      <w:r>
        <w:rPr>
          <w:color w:val="000000"/>
          <w:spacing w:val="0"/>
          <w:w w:val="100"/>
          <w:position w:val="0"/>
        </w:rPr>
        <w:t>其他债权投资</w:t>
      </w:r>
    </w:p>
    <w:p>
      <w:pPr>
        <w:widowControl w:val="0"/>
        <w:spacing w:after="99" w:line="1" w:lineRule="exact"/>
      </w:pPr>
    </w:p>
    <w:p>
      <w:pPr>
        <w:pStyle w:val="Style32"/>
        <w:keepNext w:val="0"/>
        <w:keepLines w:val="0"/>
        <w:widowControl w:val="0"/>
        <w:shd w:val="clear" w:color="auto" w:fill="auto"/>
        <w:bidi w:val="0"/>
        <w:spacing w:before="0" w:after="100" w:line="240" w:lineRule="auto"/>
        <w:ind w:left="0" w:right="0" w:firstLine="260"/>
        <w:jc w:val="left"/>
      </w:pPr>
      <w:r>
        <w:rPr>
          <w:color w:val="000000"/>
          <w:spacing w:val="0"/>
          <w:w w:val="100"/>
          <w:position w:val="0"/>
        </w:rPr>
        <w:t>无</w:t>
      </w:r>
    </w:p>
    <w:p>
      <w:pPr>
        <w:pStyle w:val="Style32"/>
        <w:keepNext w:val="0"/>
        <w:keepLines w:val="0"/>
        <w:widowControl w:val="0"/>
        <w:shd w:val="clear" w:color="auto" w:fill="auto"/>
        <w:bidi w:val="0"/>
        <w:spacing w:before="0" w:after="360" w:line="240" w:lineRule="auto"/>
        <w:ind w:left="0" w:right="0" w:firstLine="260"/>
        <w:jc w:val="left"/>
      </w:pPr>
      <w:r>
        <w:rPr>
          <w:color w:val="000000"/>
          <w:spacing w:val="0"/>
          <w:w w:val="100"/>
          <w:position w:val="0"/>
        </w:rPr>
        <w:t>本项目期末余额均系一年内到期的应收分期收款销售商品款项。</w:t>
      </w:r>
    </w:p>
    <w:p>
      <w:pPr>
        <w:pStyle w:val="Style55"/>
        <w:keepNext/>
        <w:keepLines/>
        <w:widowControl w:val="0"/>
        <w:shd w:val="clear" w:color="auto" w:fill="auto"/>
        <w:bidi w:val="0"/>
        <w:spacing w:before="0" w:after="360" w:line="240" w:lineRule="auto"/>
        <w:ind w:left="0" w:right="0"/>
        <w:jc w:val="both"/>
      </w:pPr>
      <w:bookmarkStart w:id="1429" w:name="bookmark1429"/>
      <w:bookmarkStart w:id="1430" w:name="bookmark1430"/>
      <w:bookmarkStart w:id="1431" w:name="bookmark1431"/>
      <w:bookmarkStart w:id="1432" w:name="bookmark1432"/>
      <w:r>
        <w:rPr>
          <w:rFonts w:ascii="Times New Roman" w:eastAsia="Times New Roman" w:hAnsi="Times New Roman" w:cs="Times New Roman"/>
          <w:color w:val="000000"/>
          <w:spacing w:val="0"/>
          <w:w w:val="100"/>
          <w:position w:val="0"/>
        </w:rPr>
        <w:t>1</w:t>
      </w:r>
      <w:bookmarkEnd w:id="1431"/>
      <w:r>
        <w:rPr>
          <w:rFonts w:ascii="Times New Roman" w:eastAsia="Times New Roman" w:hAnsi="Times New Roman" w:cs="Times New Roman"/>
          <w:color w:val="000000"/>
          <w:spacing w:val="0"/>
          <w:w w:val="100"/>
          <w:position w:val="0"/>
        </w:rPr>
        <w:t>3</w:t>
      </w:r>
      <w:r>
        <w:rPr>
          <w:color w:val="000000"/>
          <w:spacing w:val="0"/>
          <w:w w:val="100"/>
          <w:position w:val="0"/>
        </w:rPr>
        <w:t>、其他流动资产</w:t>
      </w:r>
      <w:bookmarkEnd w:id="1429"/>
      <w:bookmarkEnd w:id="1430"/>
      <w:bookmarkEnd w:id="1432"/>
    </w:p>
    <w:p>
      <w:pPr>
        <w:pStyle w:val="Style32"/>
        <w:keepNext w:val="0"/>
        <w:keepLines w:val="0"/>
        <w:widowControl w:val="0"/>
        <w:shd w:val="clear" w:color="auto" w:fill="auto"/>
        <w:bidi w:val="0"/>
        <w:spacing w:before="0" w:after="100" w:line="240" w:lineRule="auto"/>
        <w:ind w:left="920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留抵税额及预缴税款等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7,133,949.94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6,048,101.53</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待摊费用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1,456,345.30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1,133,691.28</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8,590,295.24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7,181,792.81</w:t>
            </w:r>
          </w:p>
        </w:tc>
      </w:tr>
    </w:tbl>
    <w:p>
      <w:pPr>
        <w:widowControl w:val="0"/>
        <w:spacing w:after="359" w:line="1" w:lineRule="exact"/>
      </w:pPr>
    </w:p>
    <w:p>
      <w:pPr>
        <w:pStyle w:val="Style55"/>
        <w:keepNext/>
        <w:keepLines/>
        <w:widowControl w:val="0"/>
        <w:shd w:val="clear" w:color="auto" w:fill="auto"/>
        <w:tabs>
          <w:tab w:pos="734" w:val="left"/>
        </w:tabs>
        <w:bidi w:val="0"/>
        <w:spacing w:before="0" w:after="360" w:line="240" w:lineRule="auto"/>
        <w:ind w:left="0" w:right="0"/>
        <w:jc w:val="left"/>
      </w:pPr>
      <w:bookmarkStart w:id="1433" w:name="bookmark1433"/>
      <w:bookmarkStart w:id="1434" w:name="bookmark1434"/>
      <w:bookmarkStart w:id="1435" w:name="bookmark1435"/>
      <w:bookmarkStart w:id="1436" w:name="bookmark1436"/>
      <w:r>
        <w:rPr>
          <w:rFonts w:ascii="Times New Roman" w:eastAsia="Times New Roman" w:hAnsi="Times New Roman" w:cs="Times New Roman"/>
          <w:color w:val="000000"/>
          <w:spacing w:val="0"/>
          <w:w w:val="100"/>
          <w:position w:val="0"/>
        </w:rPr>
        <w:t>1</w:t>
      </w:r>
      <w:bookmarkEnd w:id="1435"/>
      <w:r>
        <w:rPr>
          <w:rFonts w:ascii="Times New Roman" w:eastAsia="Times New Roman" w:hAnsi="Times New Roman" w:cs="Times New Roman"/>
          <w:color w:val="000000"/>
          <w:spacing w:val="0"/>
          <w:w w:val="100"/>
          <w:position w:val="0"/>
        </w:rPr>
        <w:t>4</w:t>
      </w:r>
      <w:r>
        <w:rPr>
          <w:color w:val="000000"/>
          <w:spacing w:val="0"/>
          <w:w w:val="100"/>
          <w:position w:val="0"/>
        </w:rPr>
        <w:t>、</w:t>
        <w:tab/>
        <w:t>债权投资</w:t>
      </w:r>
      <w:bookmarkEnd w:id="1433"/>
      <w:bookmarkEnd w:id="1434"/>
      <w:bookmarkEnd w:id="1436"/>
    </w:p>
    <w:p>
      <w:pPr>
        <w:pStyle w:val="Style32"/>
        <w:keepNext w:val="0"/>
        <w:keepLines w:val="0"/>
        <w:widowControl w:val="0"/>
        <w:shd w:val="clear" w:color="auto" w:fill="auto"/>
        <w:bidi w:val="0"/>
        <w:spacing w:before="0" w:after="360" w:line="240" w:lineRule="auto"/>
        <w:ind w:left="0" w:right="0" w:firstLine="260"/>
        <w:jc w:val="left"/>
      </w:pPr>
      <w:r>
        <w:rPr>
          <w:color w:val="000000"/>
          <w:spacing w:val="0"/>
          <w:w w:val="100"/>
          <w:position w:val="0"/>
        </w:rPr>
        <w:t>无</w:t>
      </w:r>
    </w:p>
    <w:p>
      <w:pPr>
        <w:pStyle w:val="Style55"/>
        <w:keepNext/>
        <w:keepLines/>
        <w:widowControl w:val="0"/>
        <w:shd w:val="clear" w:color="auto" w:fill="auto"/>
        <w:tabs>
          <w:tab w:pos="734" w:val="left"/>
        </w:tabs>
        <w:bidi w:val="0"/>
        <w:spacing w:before="0" w:after="360" w:line="240" w:lineRule="auto"/>
        <w:ind w:left="0" w:right="0"/>
        <w:jc w:val="left"/>
      </w:pPr>
      <w:bookmarkStart w:id="1437" w:name="bookmark1437"/>
      <w:bookmarkStart w:id="1438" w:name="bookmark1438"/>
      <w:bookmarkStart w:id="1439" w:name="bookmark1439"/>
      <w:bookmarkStart w:id="1440" w:name="bookmark1440"/>
      <w:r>
        <w:rPr>
          <w:rFonts w:ascii="Times New Roman" w:eastAsia="Times New Roman" w:hAnsi="Times New Roman" w:cs="Times New Roman"/>
          <w:color w:val="000000"/>
          <w:spacing w:val="0"/>
          <w:w w:val="100"/>
          <w:position w:val="0"/>
        </w:rPr>
        <w:t>1</w:t>
      </w:r>
      <w:bookmarkEnd w:id="1439"/>
      <w:r>
        <w:rPr>
          <w:rFonts w:ascii="Times New Roman" w:eastAsia="Times New Roman" w:hAnsi="Times New Roman" w:cs="Times New Roman"/>
          <w:color w:val="000000"/>
          <w:spacing w:val="0"/>
          <w:w w:val="100"/>
          <w:position w:val="0"/>
        </w:rPr>
        <w:t>5</w:t>
      </w:r>
      <w:r>
        <w:rPr>
          <w:color w:val="000000"/>
          <w:spacing w:val="0"/>
          <w:w w:val="100"/>
          <w:position w:val="0"/>
        </w:rPr>
        <w:t>、</w:t>
        <w:tab/>
        <w:t>其他债权投资</w:t>
      </w:r>
      <w:bookmarkEnd w:id="1437"/>
      <w:bookmarkEnd w:id="1438"/>
      <w:bookmarkEnd w:id="1440"/>
    </w:p>
    <w:p>
      <w:pPr>
        <w:pStyle w:val="Style32"/>
        <w:keepNext w:val="0"/>
        <w:keepLines w:val="0"/>
        <w:widowControl w:val="0"/>
        <w:shd w:val="clear" w:color="auto" w:fill="auto"/>
        <w:bidi w:val="0"/>
        <w:spacing w:before="0" w:after="360" w:line="240" w:lineRule="auto"/>
        <w:ind w:left="0" w:right="0" w:firstLine="260"/>
        <w:jc w:val="left"/>
      </w:pPr>
      <w:r>
        <w:rPr>
          <w:color w:val="000000"/>
          <w:spacing w:val="0"/>
          <w:w w:val="100"/>
          <w:position w:val="0"/>
        </w:rPr>
        <w:t>无</w:t>
      </w:r>
    </w:p>
    <w:p>
      <w:pPr>
        <w:pStyle w:val="Style55"/>
        <w:keepNext/>
        <w:keepLines/>
        <w:widowControl w:val="0"/>
        <w:shd w:val="clear" w:color="auto" w:fill="auto"/>
        <w:tabs>
          <w:tab w:pos="734" w:val="left"/>
        </w:tabs>
        <w:bidi w:val="0"/>
        <w:spacing w:before="0" w:after="360" w:line="240" w:lineRule="auto"/>
        <w:ind w:left="0" w:right="0"/>
        <w:jc w:val="both"/>
      </w:pPr>
      <w:bookmarkStart w:id="1441" w:name="bookmark1441"/>
      <w:bookmarkStart w:id="1442" w:name="bookmark1442"/>
      <w:bookmarkStart w:id="1443" w:name="bookmark1443"/>
      <w:bookmarkStart w:id="1444" w:name="bookmark1444"/>
      <w:r>
        <w:rPr>
          <w:rFonts w:ascii="Times New Roman" w:eastAsia="Times New Roman" w:hAnsi="Times New Roman" w:cs="Times New Roman"/>
          <w:color w:val="000000"/>
          <w:spacing w:val="0"/>
          <w:w w:val="100"/>
          <w:position w:val="0"/>
        </w:rPr>
        <w:t>1</w:t>
      </w:r>
      <w:bookmarkEnd w:id="1443"/>
      <w:r>
        <w:rPr>
          <w:rFonts w:ascii="Times New Roman" w:eastAsia="Times New Roman" w:hAnsi="Times New Roman" w:cs="Times New Roman"/>
          <w:color w:val="000000"/>
          <w:spacing w:val="0"/>
          <w:w w:val="100"/>
          <w:position w:val="0"/>
        </w:rPr>
        <w:t>6</w:t>
      </w:r>
      <w:r>
        <w:rPr>
          <w:color w:val="000000"/>
          <w:spacing w:val="0"/>
          <w:w w:val="100"/>
          <w:position w:val="0"/>
        </w:rPr>
        <w:t>、</w:t>
        <w:tab/>
        <w:t>长期应收款</w:t>
      </w:r>
      <w:bookmarkEnd w:id="1441"/>
      <w:bookmarkEnd w:id="1442"/>
      <w:bookmarkEnd w:id="1444"/>
    </w:p>
    <w:p>
      <w:pPr>
        <w:pStyle w:val="Style55"/>
        <w:keepNext/>
        <w:keepLines/>
        <w:widowControl w:val="0"/>
        <w:shd w:val="clear" w:color="auto" w:fill="auto"/>
        <w:bidi w:val="0"/>
        <w:spacing w:before="0" w:after="360" w:line="240" w:lineRule="auto"/>
        <w:ind w:left="0" w:right="0" w:firstLine="400"/>
        <w:jc w:val="left"/>
      </w:pPr>
      <w:bookmarkStart w:id="1441" w:name="bookmark1441"/>
      <w:bookmarkStart w:id="1442" w:name="bookmark1442"/>
      <w:bookmarkStart w:id="1445" w:name="bookmark1445"/>
      <w:bookmarkStart w:id="1446" w:name="bookmark1446"/>
      <w:r>
        <w:rPr>
          <w:rFonts w:ascii="Times New Roman" w:eastAsia="Times New Roman" w:hAnsi="Times New Roman" w:cs="Times New Roman"/>
          <w:color w:val="000000"/>
          <w:spacing w:val="0"/>
          <w:w w:val="100"/>
          <w:position w:val="0"/>
        </w:rPr>
        <w:t>（</w:t>
      </w:r>
      <w:bookmarkEnd w:id="1445"/>
      <w:r>
        <w:rPr>
          <w:rFonts w:ascii="Times New Roman" w:eastAsia="Times New Roman" w:hAnsi="Times New Roman" w:cs="Times New Roman"/>
          <w:color w:val="000000"/>
          <w:spacing w:val="0"/>
          <w:w w:val="100"/>
          <w:position w:val="0"/>
        </w:rPr>
        <w:t>1</w:t>
      </w:r>
      <w:r>
        <w:rPr>
          <w:color w:val="000000"/>
          <w:spacing w:val="0"/>
          <w:w w:val="100"/>
          <w:position w:val="0"/>
        </w:rPr>
        <w:t>）长期应收款情况</w:t>
      </w:r>
      <w:bookmarkEnd w:id="1441"/>
      <w:bookmarkEnd w:id="1442"/>
      <w:bookmarkEnd w:id="1446"/>
    </w:p>
    <w:p>
      <w:pPr>
        <w:pStyle w:val="Style32"/>
        <w:keepNext w:val="0"/>
        <w:keepLines w:val="0"/>
        <w:widowControl w:val="0"/>
        <w:shd w:val="clear" w:color="auto" w:fill="auto"/>
        <w:bidi w:val="0"/>
        <w:spacing w:before="0" w:after="100" w:line="240" w:lineRule="auto"/>
        <w:ind w:left="9200" w:right="0" w:firstLine="0"/>
        <w:jc w:val="left"/>
      </w:pPr>
      <w:r>
        <w:rPr>
          <w:color w:val="000000"/>
          <w:spacing w:val="0"/>
          <w:w w:val="100"/>
          <w:position w:val="0"/>
        </w:rPr>
        <w:t>单位：元</w:t>
      </w:r>
    </w:p>
    <w:tbl>
      <w:tblPr>
        <w:tblOverlap w:val="never"/>
        <w:jc w:val="center"/>
        <w:tblLayout w:type="fixed"/>
      </w:tblPr>
      <w:tblGrid>
        <w:gridCol w:w="1690"/>
        <w:gridCol w:w="1166"/>
        <w:gridCol w:w="1166"/>
        <w:gridCol w:w="1166"/>
        <w:gridCol w:w="1171"/>
        <w:gridCol w:w="1166"/>
        <w:gridCol w:w="1166"/>
        <w:gridCol w:w="1171"/>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折现率区间</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坏账准备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80"/>
              <w:jc w:val="left"/>
            </w:pPr>
            <w:r>
              <w:rPr>
                <w:color w:val="000000"/>
                <w:spacing w:val="0"/>
                <w:w w:val="100"/>
                <w:position w:val="0"/>
              </w:rPr>
              <w:t>账面价值</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分期收款销售商品</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15,879,403.73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317,588.08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15,561,815.65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9,458,484.22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325,125.94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9,133,358.28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15,879,403.73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317,588.08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15,561,815.65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9,458,484.22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325,125.94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9,133,358.28</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w:t>
            </w:r>
          </w:p>
        </w:tc>
      </w:tr>
    </w:tbl>
    <w:p>
      <w:pPr>
        <w:pStyle w:val="Style49"/>
        <w:keepNext w:val="0"/>
        <w:keepLines w:val="0"/>
        <w:widowControl w:val="0"/>
        <w:shd w:val="clear" w:color="auto" w:fill="auto"/>
        <w:bidi w:val="0"/>
        <w:spacing w:before="0" w:after="0" w:line="240" w:lineRule="auto"/>
        <w:ind w:left="269" w:right="0" w:firstLine="0"/>
        <w:jc w:val="left"/>
      </w:pPr>
      <w:r>
        <w:rPr>
          <w:color w:val="000000"/>
          <w:spacing w:val="0"/>
          <w:w w:val="100"/>
          <w:position w:val="0"/>
        </w:rPr>
        <w:t>坏账准备减值情况</w:t>
      </w:r>
    </w:p>
    <w:p>
      <w:pPr>
        <w:widowControl w:val="0"/>
        <w:spacing w:after="99" w:line="1" w:lineRule="exact"/>
      </w:pPr>
    </w:p>
    <w:p>
      <w:pPr>
        <w:pStyle w:val="Style32"/>
        <w:keepNext w:val="0"/>
        <w:keepLines w:val="0"/>
        <w:widowControl w:val="0"/>
        <w:shd w:val="clear" w:color="auto" w:fill="auto"/>
        <w:bidi w:val="0"/>
        <w:spacing w:before="0" w:after="100" w:line="240" w:lineRule="auto"/>
        <w:ind w:left="9200" w:right="0" w:firstLine="0"/>
        <w:jc w:val="left"/>
      </w:pPr>
      <w:r>
        <w:rPr>
          <w:color w:val="000000"/>
          <w:spacing w:val="0"/>
          <w:w w:val="100"/>
          <w:position w:val="0"/>
        </w:rPr>
        <w:t>单位：元</w:t>
      </w:r>
    </w:p>
    <w:tbl>
      <w:tblPr>
        <w:tblOverlap w:val="never"/>
        <w:jc w:val="center"/>
        <w:tblLayout w:type="fixed"/>
      </w:tblPr>
      <w:tblGrid>
        <w:gridCol w:w="2203"/>
        <w:gridCol w:w="1651"/>
        <w:gridCol w:w="2098"/>
        <w:gridCol w:w="2098"/>
        <w:gridCol w:w="1814"/>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20"/>
              <w:jc w:val="left"/>
            </w:pPr>
            <w:r>
              <w:rPr>
                <w:color w:val="000000"/>
                <w:spacing w:val="0"/>
                <w:w w:val="100"/>
                <w:position w:val="0"/>
              </w:rPr>
              <w:t>合计</w:t>
            </w:r>
          </w:p>
        </w:tc>
      </w:tr>
      <w:tr>
        <w:trPr>
          <w:trHeight w:val="715"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个月预期信 用损失</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整个存续期预期信用损失</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未发生信用减值</w:t>
            </w: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整个存续期预期信用损失</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已发生信用减值</w:t>
            </w:r>
            <w:r>
              <w:rPr>
                <w:color w:val="000000"/>
                <w:spacing w:val="0"/>
                <w:w w:val="100"/>
                <w:position w:val="0"/>
              </w:rPr>
              <w:t>）</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325,125.94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325,125.94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日余额在本期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20"/>
              <w:jc w:val="both"/>
            </w:pPr>
            <w:r>
              <w:rPr>
                <w:color w:val="000000"/>
                <w:spacing w:val="0"/>
                <w:w w:val="100"/>
                <w:position w:val="0"/>
              </w:rPr>
              <w:t>—</w:t>
            </w:r>
          </w:p>
        </w:tc>
      </w:tr>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-7,537.86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-7,537.86</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317,588.08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317,588.08</w:t>
            </w:r>
          </w:p>
        </w:tc>
      </w:tr>
    </w:tbl>
    <w:p>
      <w:pPr>
        <w:sectPr>
          <w:footnotePr>
            <w:pos w:val="pageBottom"/>
            <w:numFmt w:val="decimal"/>
            <w:numRestart w:val="continuous"/>
          </w:footnotePr>
          <w:type w:val="continuous"/>
          <w:pgSz w:w="11900" w:h="16840"/>
          <w:pgMar w:top="1112" w:right="1130" w:bottom="1574" w:left="820" w:header="0" w:footer="3" w:gutter="0"/>
          <w:cols w:space="720"/>
          <w:noEndnote/>
          <w:rtlGutter w:val="0"/>
          <w:docGrid w:linePitch="360"/>
        </w:sectPr>
      </w:pPr>
    </w:p>
    <w:p>
      <w:pPr>
        <w:pStyle w:val="Style2"/>
        <w:keepNext/>
        <w:keepLines/>
        <w:widowControl w:val="0"/>
        <w:shd w:val="clear" w:color="auto" w:fill="auto"/>
        <w:bidi w:val="0"/>
        <w:spacing w:before="0" w:after="0" w:line="240" w:lineRule="auto"/>
        <w:ind w:left="0" w:right="0" w:firstLine="400"/>
        <w:jc w:val="left"/>
      </w:pPr>
      <w:bookmarkStart w:id="1447" w:name="bookmark1447"/>
      <w:bookmarkStart w:id="1448" w:name="bookmark1448"/>
      <w:bookmarkStart w:id="1449" w:name="bookmark1449"/>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1447"/>
      <w:bookmarkEnd w:id="1448"/>
      <w:bookmarkEnd w:id="1449"/>
    </w:p>
    <w:p>
      <w:pPr>
        <w:pStyle w:val="Style5"/>
        <w:keepNext w:val="0"/>
        <w:keepLines w:val="0"/>
        <w:widowControl w:val="0"/>
        <w:shd w:val="clear" w:color="auto" w:fill="auto"/>
        <w:bidi w:val="0"/>
        <w:spacing w:before="0" w:after="80" w:line="240" w:lineRule="auto"/>
        <w:ind w:left="0" w:right="0" w:firstLine="40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tabs>
          <w:tab w:pos="1170" w:val="left"/>
        </w:tabs>
        <w:bidi w:val="0"/>
        <w:spacing w:before="0" w:after="0" w:line="240" w:lineRule="auto"/>
        <w:ind w:left="0" w:right="0" w:firstLine="58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32"/>
        <w:keepNext w:val="0"/>
        <w:keepLines w:val="0"/>
        <w:widowControl w:val="0"/>
        <w:shd w:val="clear" w:color="auto" w:fill="auto"/>
        <w:bidi w:val="0"/>
        <w:spacing w:before="0" w:after="140" w:line="240" w:lineRule="auto"/>
        <w:ind w:left="0" w:right="0" w:firstLine="400"/>
        <w:jc w:val="left"/>
      </w:pPr>
      <w:r>
        <w:rPr>
          <w:color w:val="000000"/>
          <w:spacing w:val="0"/>
          <w:w w:val="100"/>
          <w:position w:val="0"/>
        </w:rPr>
        <w:t>损失准备本期变动金额重大的账面余额变动情况</w:t>
      </w:r>
    </w:p>
    <w:p>
      <w:pPr>
        <w:pStyle w:val="Style32"/>
        <w:keepNext w:val="0"/>
        <w:keepLines w:val="0"/>
        <w:widowControl w:val="0"/>
        <w:shd w:val="clear" w:color="auto" w:fill="auto"/>
        <w:bidi w:val="0"/>
        <w:spacing w:before="0" w:after="380" w:line="240" w:lineRule="auto"/>
        <w:ind w:left="0" w:right="0" w:firstLine="4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tabs>
          <w:tab w:pos="893" w:val="left"/>
        </w:tabs>
        <w:bidi w:val="0"/>
        <w:spacing w:before="0" w:after="380" w:line="240" w:lineRule="auto"/>
        <w:ind w:left="0" w:right="0" w:firstLine="400"/>
        <w:jc w:val="left"/>
      </w:pPr>
      <w:bookmarkStart w:id="1450" w:name="bookmark1450"/>
      <w:bookmarkStart w:id="1451" w:name="bookmark1451"/>
      <w:bookmarkStart w:id="1452" w:name="bookmark1452"/>
      <w:bookmarkStart w:id="1453" w:name="bookmark1453"/>
      <w:r>
        <w:rPr>
          <w:color w:val="000000"/>
          <w:spacing w:val="0"/>
          <w:w w:val="100"/>
          <w:position w:val="0"/>
        </w:rPr>
        <w:t>（</w:t>
      </w:r>
      <w:bookmarkEnd w:id="1452"/>
      <w:r>
        <w:rPr>
          <w:rFonts w:ascii="Times New Roman" w:eastAsia="Times New Roman" w:hAnsi="Times New Roman" w:cs="Times New Roman"/>
          <w:color w:val="000000"/>
          <w:spacing w:val="0"/>
          <w:w w:val="100"/>
          <w:position w:val="0"/>
        </w:rPr>
        <w:t>2</w:t>
      </w:r>
      <w:r>
        <w:rPr>
          <w:color w:val="000000"/>
          <w:spacing w:val="0"/>
          <w:w w:val="100"/>
          <w:position w:val="0"/>
        </w:rPr>
        <w:t>）</w:t>
        <w:tab/>
        <w:t>因金融资产转移而终止确认的长期应收款</w:t>
      </w:r>
      <w:bookmarkEnd w:id="1450"/>
      <w:bookmarkEnd w:id="1451"/>
      <w:bookmarkEnd w:id="1453"/>
    </w:p>
    <w:p>
      <w:pPr>
        <w:pStyle w:val="Style32"/>
        <w:keepNext w:val="0"/>
        <w:keepLines w:val="0"/>
        <w:widowControl w:val="0"/>
        <w:shd w:val="clear" w:color="auto" w:fill="auto"/>
        <w:bidi w:val="0"/>
        <w:spacing w:before="0" w:after="380" w:line="240" w:lineRule="auto"/>
        <w:ind w:left="0" w:right="0" w:firstLine="400"/>
        <w:jc w:val="left"/>
      </w:pPr>
      <w:r>
        <w:rPr>
          <w:color w:val="000000"/>
          <w:spacing w:val="0"/>
          <w:w w:val="100"/>
          <w:position w:val="0"/>
        </w:rPr>
        <w:t>无</w:t>
      </w:r>
    </w:p>
    <w:p>
      <w:pPr>
        <w:pStyle w:val="Style55"/>
        <w:keepNext/>
        <w:keepLines/>
        <w:widowControl w:val="0"/>
        <w:shd w:val="clear" w:color="auto" w:fill="auto"/>
        <w:tabs>
          <w:tab w:pos="893" w:val="left"/>
        </w:tabs>
        <w:bidi w:val="0"/>
        <w:spacing w:before="0" w:after="380" w:line="240" w:lineRule="auto"/>
        <w:ind w:left="0" w:right="0" w:firstLine="400"/>
        <w:jc w:val="left"/>
      </w:pPr>
      <w:bookmarkStart w:id="1454" w:name="bookmark1454"/>
      <w:bookmarkStart w:id="1455" w:name="bookmark1455"/>
      <w:bookmarkStart w:id="1456" w:name="bookmark1456"/>
      <w:bookmarkStart w:id="1457" w:name="bookmark1457"/>
      <w:r>
        <w:rPr>
          <w:color w:val="000000"/>
          <w:spacing w:val="0"/>
          <w:w w:val="100"/>
          <w:position w:val="0"/>
        </w:rPr>
        <w:t>（</w:t>
      </w:r>
      <w:bookmarkEnd w:id="1456"/>
      <w:r>
        <w:rPr>
          <w:rFonts w:ascii="Times New Roman" w:eastAsia="Times New Roman" w:hAnsi="Times New Roman" w:cs="Times New Roman"/>
          <w:color w:val="000000"/>
          <w:spacing w:val="0"/>
          <w:w w:val="100"/>
          <w:position w:val="0"/>
        </w:rPr>
        <w:t>3</w:t>
      </w:r>
      <w:r>
        <w:rPr>
          <w:color w:val="000000"/>
          <w:spacing w:val="0"/>
          <w:w w:val="100"/>
          <w:position w:val="0"/>
        </w:rPr>
        <w:t>）</w:t>
        <w:tab/>
        <w:t>转移长期应收款且继续涉入形成的资产、负债金额</w:t>
      </w:r>
      <w:bookmarkEnd w:id="1454"/>
      <w:bookmarkEnd w:id="1455"/>
      <w:bookmarkEnd w:id="1457"/>
    </w:p>
    <w:p>
      <w:pPr>
        <w:pStyle w:val="Style32"/>
        <w:keepNext w:val="0"/>
        <w:keepLines w:val="0"/>
        <w:widowControl w:val="0"/>
        <w:shd w:val="clear" w:color="auto" w:fill="auto"/>
        <w:bidi w:val="0"/>
        <w:spacing w:before="0" w:after="380" w:line="240" w:lineRule="auto"/>
        <w:ind w:left="0" w:right="0" w:firstLine="400"/>
        <w:jc w:val="left"/>
      </w:pPr>
      <w:r>
        <w:rPr>
          <w:color w:val="000000"/>
          <w:spacing w:val="0"/>
          <w:w w:val="100"/>
          <w:position w:val="0"/>
        </w:rPr>
        <w:t>无</w:t>
      </w:r>
    </w:p>
    <w:p>
      <w:pPr>
        <w:pStyle w:val="Style55"/>
        <w:keepNext/>
        <w:keepLines/>
        <w:widowControl w:val="0"/>
        <w:shd w:val="clear" w:color="auto" w:fill="auto"/>
        <w:bidi w:val="0"/>
        <w:spacing w:before="0" w:after="380" w:line="240" w:lineRule="auto"/>
        <w:ind w:left="0" w:right="0" w:firstLine="400"/>
        <w:jc w:val="left"/>
      </w:pPr>
      <w:bookmarkStart w:id="1458" w:name="bookmark1458"/>
      <w:bookmarkStart w:id="1459" w:name="bookmark1459"/>
      <w:bookmarkStart w:id="1460" w:name="bookmark1460"/>
      <w:bookmarkStart w:id="1461" w:name="bookmark1461"/>
      <w:r>
        <w:rPr>
          <w:rFonts w:ascii="Times New Roman" w:eastAsia="Times New Roman" w:hAnsi="Times New Roman" w:cs="Times New Roman"/>
          <w:color w:val="000000"/>
          <w:spacing w:val="0"/>
          <w:w w:val="100"/>
          <w:position w:val="0"/>
        </w:rPr>
        <w:t>1</w:t>
      </w:r>
      <w:bookmarkEnd w:id="1460"/>
      <w:r>
        <w:rPr>
          <w:rFonts w:ascii="Times New Roman" w:eastAsia="Times New Roman" w:hAnsi="Times New Roman" w:cs="Times New Roman"/>
          <w:color w:val="000000"/>
          <w:spacing w:val="0"/>
          <w:w w:val="100"/>
          <w:position w:val="0"/>
        </w:rPr>
        <w:t>7</w:t>
      </w:r>
      <w:r>
        <w:rPr>
          <w:color w:val="000000"/>
          <w:spacing w:val="0"/>
          <w:w w:val="100"/>
          <w:position w:val="0"/>
        </w:rPr>
        <w:t>、长期股权投资</w:t>
      </w:r>
      <w:bookmarkEnd w:id="1458"/>
      <w:bookmarkEnd w:id="1459"/>
      <w:bookmarkEnd w:id="1461"/>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234"/>
        <w:gridCol w:w="797"/>
        <w:gridCol w:w="797"/>
        <w:gridCol w:w="797"/>
        <w:gridCol w:w="797"/>
        <w:gridCol w:w="797"/>
        <w:gridCol w:w="802"/>
        <w:gridCol w:w="797"/>
        <w:gridCol w:w="797"/>
        <w:gridCol w:w="797"/>
        <w:gridCol w:w="802"/>
        <w:gridCol w:w="806"/>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rPr>
                <w:sz w:val="15"/>
                <w:szCs w:val="15"/>
              </w:rPr>
            </w:pPr>
            <w:r>
              <w:rPr>
                <w:color w:val="000000"/>
                <w:spacing w:val="0"/>
                <w:w w:val="100"/>
                <w:position w:val="0"/>
                <w:sz w:val="15"/>
                <w:szCs w:val="15"/>
              </w:rPr>
              <w:t>被投资单位</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期初余额</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w:t>
            </w:r>
            <w:r>
              <w:rPr>
                <w:color w:val="000000"/>
                <w:spacing w:val="0"/>
                <w:w w:val="100"/>
                <w:position w:val="0"/>
                <w:sz w:val="15"/>
                <w:szCs w:val="15"/>
              </w:rPr>
              <w:t>账面价值</w:t>
            </w:r>
            <w:r>
              <w:rPr>
                <w:rFonts w:ascii="Times New Roman" w:eastAsia="Times New Roman" w:hAnsi="Times New Roman" w:cs="Times New Roman"/>
                <w:color w:val="000000"/>
                <w:spacing w:val="0"/>
                <w:w w:val="100"/>
                <w:position w:val="0"/>
                <w:sz w:val="15"/>
                <w:szCs w:val="15"/>
              </w:rPr>
              <w:t>）</w:t>
            </w:r>
          </w:p>
        </w:tc>
        <w:tc>
          <w:tcPr>
            <w:gridSpan w:val="8"/>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本期增减变动</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right"/>
              <w:rPr>
                <w:sz w:val="15"/>
                <w:szCs w:val="15"/>
              </w:rPr>
            </w:pPr>
            <w:r>
              <w:rPr>
                <w:color w:val="000000"/>
                <w:spacing w:val="0"/>
                <w:w w:val="100"/>
                <w:position w:val="0"/>
                <w:sz w:val="15"/>
                <w:szCs w:val="15"/>
              </w:rPr>
              <w:t>期末余额</w:t>
            </w:r>
          </w:p>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w:t>
            </w:r>
            <w:r>
              <w:rPr>
                <w:color w:val="000000"/>
                <w:spacing w:val="0"/>
                <w:w w:val="100"/>
                <w:position w:val="0"/>
                <w:sz w:val="15"/>
                <w:szCs w:val="15"/>
              </w:rPr>
              <w:t>账面价值</w:t>
            </w:r>
            <w:r>
              <w:rPr>
                <w:color w:val="000000"/>
                <w:spacing w:val="0"/>
                <w:w w:val="100"/>
                <w:position w:val="0"/>
                <w:sz w:val="15"/>
                <w:szCs w:val="15"/>
              </w:rPr>
              <w:t>）</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right"/>
              <w:rPr>
                <w:sz w:val="15"/>
                <w:szCs w:val="15"/>
              </w:rPr>
            </w:pPr>
            <w:r>
              <w:rPr>
                <w:color w:val="000000"/>
                <w:spacing w:val="0"/>
                <w:w w:val="100"/>
                <w:position w:val="0"/>
                <w:sz w:val="15"/>
                <w:szCs w:val="15"/>
              </w:rPr>
              <w:t>减值准备</w:t>
            </w:r>
          </w:p>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期末余额</w:t>
            </w:r>
          </w:p>
        </w:tc>
      </w:tr>
      <w:tr>
        <w:trPr>
          <w:trHeight w:val="1027"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追加投资</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减少投资</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权益法下</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确认的投</w:t>
            </w:r>
          </w:p>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资损益</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其他综合</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收益调整</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其他权益</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变动</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宣告发放</w:t>
            </w:r>
          </w:p>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现金股利</w:t>
            </w:r>
          </w:p>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或利润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计提减值</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398" w:hRule="exact"/>
        </w:trPr>
        <w:tc>
          <w:tcPr>
            <w:gridSpan w:val="1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联营企业</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南京今创信息技</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术有限公司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-28,947.37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124,840.63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195,893.26</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-28,947.37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124,840.63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195,893.26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2"/>
        <w:keepNext w:val="0"/>
        <w:keepLines w:val="0"/>
        <w:widowControl w:val="0"/>
        <w:shd w:val="clear" w:color="auto" w:fill="auto"/>
        <w:bidi w:val="0"/>
        <w:spacing w:before="0" w:after="140" w:line="240" w:lineRule="auto"/>
        <w:ind w:left="0" w:right="0" w:firstLine="400"/>
        <w:jc w:val="left"/>
      </w:pPr>
      <w:r>
        <w:rPr>
          <w:color w:val="000000"/>
          <w:spacing w:val="0"/>
          <w:w w:val="100"/>
          <w:position w:val="0"/>
        </w:rPr>
        <w:t>其他说明</w:t>
      </w:r>
    </w:p>
    <w:p>
      <w:pPr>
        <w:pStyle w:val="Style32"/>
        <w:keepNext w:val="0"/>
        <w:keepLines w:val="0"/>
        <w:widowControl w:val="0"/>
        <w:shd w:val="clear" w:color="auto" w:fill="auto"/>
        <w:bidi w:val="0"/>
        <w:spacing w:before="0" w:after="380" w:line="240" w:lineRule="auto"/>
        <w:ind w:left="0" w:right="0" w:firstLine="400"/>
        <w:jc w:val="left"/>
      </w:pPr>
      <w:r>
        <w:rPr>
          <w:color w:val="000000"/>
          <w:spacing w:val="0"/>
          <w:w w:val="100"/>
          <w:position w:val="0"/>
        </w:rPr>
        <w:t>本项目期末不存在减值因素，故未计提长期股权投资减值准备。</w:t>
      </w:r>
    </w:p>
    <w:p>
      <w:pPr>
        <w:pStyle w:val="Style55"/>
        <w:keepNext/>
        <w:keepLines/>
        <w:widowControl w:val="0"/>
        <w:shd w:val="clear" w:color="auto" w:fill="auto"/>
        <w:bidi w:val="0"/>
        <w:spacing w:before="0" w:after="380" w:line="240" w:lineRule="auto"/>
        <w:ind w:left="0" w:right="0" w:firstLine="400"/>
        <w:jc w:val="left"/>
      </w:pPr>
      <w:bookmarkStart w:id="1462" w:name="bookmark1462"/>
      <w:bookmarkStart w:id="1463" w:name="bookmark1463"/>
      <w:bookmarkStart w:id="1464" w:name="bookmark1464"/>
      <w:bookmarkStart w:id="1465" w:name="bookmark1465"/>
      <w:r>
        <w:rPr>
          <w:rFonts w:ascii="Times New Roman" w:eastAsia="Times New Roman" w:hAnsi="Times New Roman" w:cs="Times New Roman"/>
          <w:color w:val="000000"/>
          <w:spacing w:val="0"/>
          <w:w w:val="100"/>
          <w:position w:val="0"/>
        </w:rPr>
        <w:t>1</w:t>
      </w:r>
      <w:bookmarkEnd w:id="1464"/>
      <w:r>
        <w:rPr>
          <w:rFonts w:ascii="Times New Roman" w:eastAsia="Times New Roman" w:hAnsi="Times New Roman" w:cs="Times New Roman"/>
          <w:color w:val="000000"/>
          <w:spacing w:val="0"/>
          <w:w w:val="100"/>
          <w:position w:val="0"/>
        </w:rPr>
        <w:t>8</w:t>
      </w:r>
      <w:r>
        <w:rPr>
          <w:color w:val="000000"/>
          <w:spacing w:val="0"/>
          <w:w w:val="100"/>
          <w:position w:val="0"/>
        </w:rPr>
        <w:t>、其他权益工具投资</w:t>
      </w:r>
      <w:bookmarkEnd w:id="1462"/>
      <w:bookmarkEnd w:id="1463"/>
      <w:bookmarkEnd w:id="1465"/>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非上市权益工具投资：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沈阳荣科融拓健康数据产业股权投资合 伙企业（有限合伙）</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79,690,790.14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75,674,696.40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浙江丰道投资管理有限公司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5,760,000.00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5,760,000.00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85,450,790.14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81,434,696.40</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分项披露本期非交易性权益工具投资</w:t>
      </w:r>
    </w:p>
    <w:p>
      <w:pPr>
        <w:widowControl w:val="0"/>
        <w:spacing w:after="79" w:line="1" w:lineRule="exact"/>
      </w:pPr>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1354"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确认的股利收入</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累计利得</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累计损失</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其他综合收益转</w:t>
            </w:r>
          </w:p>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入留存收益的金</w:t>
            </w:r>
          </w:p>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额</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314" w:lineRule="exact"/>
              <w:ind w:left="0" w:right="0" w:firstLine="0"/>
              <w:jc w:val="left"/>
            </w:pPr>
            <w:r>
              <w:rPr>
                <w:color w:val="000000"/>
                <w:spacing w:val="0"/>
                <w:w w:val="100"/>
                <w:position w:val="0"/>
              </w:rPr>
              <w:t>指定为以公允价 值计量且其变动 计入其他综合收</w:t>
            </w:r>
          </w:p>
          <w:p>
            <w:pPr>
              <w:pStyle w:val="Style44"/>
              <w:keepNext w:val="0"/>
              <w:keepLines w:val="0"/>
              <w:widowControl w:val="0"/>
              <w:shd w:val="clear" w:color="auto" w:fill="auto"/>
              <w:bidi w:val="0"/>
              <w:spacing w:before="0" w:after="0" w:line="314" w:lineRule="exact"/>
              <w:ind w:left="0" w:right="0" w:firstLine="0"/>
              <w:jc w:val="center"/>
            </w:pPr>
            <w:r>
              <w:rPr>
                <w:color w:val="000000"/>
                <w:spacing w:val="0"/>
                <w:w w:val="100"/>
                <w:position w:val="0"/>
              </w:rPr>
              <w:t>益的原因</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其他综合收益转 入留存收益的原 因</w:t>
            </w:r>
          </w:p>
        </w:tc>
      </w:tr>
    </w:tbl>
    <w:p>
      <w:pPr>
        <w:sectPr>
          <w:footnotePr>
            <w:pos w:val="pageBottom"/>
            <w:numFmt w:val="decimal"/>
            <w:numRestart w:val="continuous"/>
          </w:footnotePr>
          <w:pgSz w:w="11900" w:h="16840"/>
          <w:pgMar w:top="678" w:right="1109" w:bottom="1158" w:left="693" w:header="0" w:footer="3" w:gutter="0"/>
          <w:cols w:space="720"/>
          <w:noEndnote/>
          <w:rtlGutter w:val="0"/>
          <w:docGrid w:linePitch="360"/>
        </w:sectPr>
      </w:pPr>
    </w:p>
    <w:p>
      <w:pPr>
        <w:widowControl w:val="0"/>
        <w:spacing w:line="1" w:lineRule="exact"/>
      </w:pPr>
      <w:r>
        <w:drawing>
          <wp:anchor distT="0" distB="0" distL="0" distR="0" simplePos="0" relativeHeight="125829631" behindDoc="0" locked="0" layoutInCell="1" allowOverlap="1">
            <wp:simplePos x="0" y="0"/>
            <wp:positionH relativeFrom="page">
              <wp:posOffset>732155</wp:posOffset>
            </wp:positionH>
            <wp:positionV relativeFrom="paragraph">
              <wp:posOffset>12700</wp:posOffset>
            </wp:positionV>
            <wp:extent cx="487680" cy="237490"/>
            <wp:wrapTight wrapText="bothSides">
              <wp:wrapPolygon>
                <wp:start x="0" y="0"/>
                <wp:lineTo x="21600" y="0"/>
                <wp:lineTo x="21600" y="21600"/>
                <wp:lineTo x="0" y="21600"/>
                <wp:lineTo x="0" y="0"/>
              </wp:wrapPolygon>
            </wp:wrapTight>
            <wp:docPr id="960" name="Shape 960"/>
            <a:graphic xmlns:a="http://schemas.openxmlformats.org/drawingml/2006/main">
              <a:graphicData uri="http://schemas.openxmlformats.org/drawingml/2006/picture">
                <pic:pic xmlns:pic="http://schemas.openxmlformats.org/drawingml/2006/picture">
                  <pic:nvPicPr>
                    <pic:cNvPr id="961" name="Picture box 961"/>
                    <pic:cNvPicPr/>
                  </pic:nvPicPr>
                  <pic:blipFill>
                    <a:blip r:embed="rId409"/>
                    <a:stretch/>
                  </pic:blipFill>
                  <pic:spPr>
                    <a:xfrm>
                      <a:ext cx="487680" cy="237490"/>
                    </a:xfrm>
                    <a:prstGeom prst="rect"/>
                  </pic:spPr>
                </pic:pic>
              </a:graphicData>
            </a:graphic>
          </wp:anchor>
        </w:drawing>
      </w:r>
    </w:p>
    <w:tbl>
      <w:tblPr>
        <w:tblOverlap w:val="never"/>
        <w:jc w:val="left"/>
        <w:tblLayout w:type="fixed"/>
      </w:tblPr>
      <w:tblGrid>
        <w:gridCol w:w="1378"/>
        <w:gridCol w:w="1368"/>
        <w:gridCol w:w="1368"/>
        <w:gridCol w:w="1363"/>
        <w:gridCol w:w="1368"/>
        <w:gridCol w:w="1368"/>
        <w:gridCol w:w="1378"/>
      </w:tblGrid>
      <w:tr>
        <w:trPr>
          <w:trHeight w:val="1339" w:hRule="exact"/>
        </w:trPr>
        <w:tc>
          <w:tcPr>
            <w:tcBorders>
              <w:top w:val="single" w:sz="4"/>
              <w:left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310" w:lineRule="exact"/>
              <w:ind w:left="0" w:right="0" w:firstLine="0"/>
              <w:jc w:val="left"/>
            </w:pPr>
            <w:r>
              <w:rPr>
                <w:color w:val="000000"/>
                <w:spacing w:val="0"/>
                <w:w w:val="100"/>
                <w:position w:val="0"/>
              </w:rPr>
              <w:t>沈阳荣科融拓健 康数据产业股权 投资合伙企业</w:t>
            </w:r>
          </w:p>
          <w:p>
            <w:pPr>
              <w:pStyle w:val="Style44"/>
              <w:keepNext w:val="0"/>
              <w:keepLines w:val="0"/>
              <w:framePr w:w="9590" w:h="2467" w:vSpace="365" w:wrap="notBeside" w:vAnchor="text" w:hAnchor="text" w:x="255" w:y="366"/>
              <w:widowControl w:val="0"/>
              <w:shd w:val="clear" w:color="auto" w:fill="auto"/>
              <w:bidi w:val="0"/>
              <w:spacing w:before="0" w:after="0" w:line="310" w:lineRule="exact"/>
              <w:ind w:left="0" w:right="0" w:firstLine="0"/>
              <w:jc w:val="left"/>
            </w:pPr>
            <w:r>
              <w:rPr>
                <w:color w:val="000000"/>
                <w:spacing w:val="0"/>
                <w:w w:val="100"/>
                <w:position w:val="0"/>
              </w:rPr>
              <w:t>（有限合伙）</w:t>
            </w:r>
          </w:p>
        </w:tc>
        <w:tc>
          <w:tcPr>
            <w:tcBorders>
              <w:top w:val="single" w:sz="4"/>
              <w:left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-21,243,098.86</w:t>
            </w:r>
          </w:p>
        </w:tc>
        <w:tc>
          <w:tcPr>
            <w:tcBorders>
              <w:top w:val="single" w:sz="4"/>
              <w:left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240" w:lineRule="auto"/>
              <w:ind w:left="0" w:right="0" w:firstLine="0"/>
              <w:jc w:val="left"/>
            </w:pPr>
            <w:r>
              <w:rPr>
                <w:color w:val="000000"/>
                <w:spacing w:val="0"/>
                <w:w w:val="100"/>
                <w:position w:val="0"/>
              </w:rPr>
              <w:t>不以交易为目的</w:t>
            </w:r>
          </w:p>
        </w:tc>
        <w:tc>
          <w:tcPr>
            <w:tcBorders>
              <w:top w:val="single" w:sz="4"/>
              <w:left w:val="single" w:sz="4"/>
              <w:right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15" w:hRule="exact"/>
        </w:trPr>
        <w:tc>
          <w:tcPr>
            <w:tcBorders>
              <w:top w:val="single" w:sz="4"/>
              <w:left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312" w:lineRule="exact"/>
              <w:ind w:left="0" w:right="0" w:firstLine="0"/>
              <w:jc w:val="left"/>
            </w:pPr>
            <w:r>
              <w:rPr>
                <w:color w:val="000000"/>
                <w:spacing w:val="0"/>
                <w:w w:val="100"/>
                <w:position w:val="0"/>
              </w:rPr>
              <w:t>浙江丰道投资管 理有限公司</w:t>
            </w:r>
          </w:p>
        </w:tc>
        <w:tc>
          <w:tcPr>
            <w:tcBorders>
              <w:top w:val="single" w:sz="4"/>
              <w:left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3,760,000.00</w:t>
            </w:r>
          </w:p>
        </w:tc>
        <w:tc>
          <w:tcPr>
            <w:tcBorders>
              <w:top w:val="single" w:sz="4"/>
              <w:left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240" w:lineRule="auto"/>
              <w:ind w:left="0" w:right="0" w:firstLine="0"/>
              <w:jc w:val="left"/>
            </w:pPr>
            <w:r>
              <w:rPr>
                <w:color w:val="000000"/>
                <w:spacing w:val="0"/>
                <w:w w:val="100"/>
                <w:position w:val="0"/>
              </w:rPr>
              <w:t>不以交易为目的</w:t>
            </w:r>
          </w:p>
        </w:tc>
        <w:tc>
          <w:tcPr>
            <w:tcBorders>
              <w:top w:val="single" w:sz="4"/>
              <w:left w:val="single" w:sz="4"/>
              <w:right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framePr w:w="9590" w:h="2467" w:vSpace="365" w:wrap="notBeside" w:vAnchor="text" w:hAnchor="text" w:x="255" w:y="366"/>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-17,483,098.86</w:t>
            </w:r>
          </w:p>
        </w:tc>
        <w:tc>
          <w:tcPr>
            <w:tcBorders>
              <w:top w:val="single" w:sz="4"/>
              <w:left w:val="single" w:sz="4"/>
              <w:bottom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bottom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bottom w:val="single" w:sz="4"/>
            </w:tcBorders>
            <w:shd w:val="clear" w:color="auto" w:fill="FFFFFF"/>
            <w:vAlign w:val="top"/>
          </w:tcPr>
          <w:p>
            <w:pPr>
              <w:framePr w:w="9590" w:h="2467" w:vSpace="365" w:wrap="notBeside" w:vAnchor="text" w:hAnchor="text" w:x="255" w:y="366"/>
              <w:widowControl w:val="0"/>
              <w:rPr>
                <w:sz w:val="10"/>
                <w:szCs w:val="10"/>
              </w:rPr>
            </w:pPr>
          </w:p>
        </w:tc>
        <w:tc>
          <w:tcPr>
            <w:tcBorders>
              <w:top w:val="single" w:sz="4"/>
              <w:left w:val="single" w:sz="4"/>
              <w:bottom w:val="single" w:sz="4"/>
              <w:right w:val="single" w:sz="4"/>
            </w:tcBorders>
            <w:shd w:val="clear" w:color="auto" w:fill="FFFFFF"/>
            <w:vAlign w:val="top"/>
          </w:tcPr>
          <w:p>
            <w:pPr>
              <w:framePr w:w="9590" w:h="2467" w:vSpace="365" w:wrap="notBeside" w:vAnchor="text" w:hAnchor="text" w:x="255" w:y="366"/>
              <w:widowControl w:val="0"/>
              <w:rPr>
                <w:sz w:val="10"/>
                <w:szCs w:val="10"/>
              </w:rPr>
            </w:pPr>
          </w:p>
        </w:tc>
      </w:tr>
    </w:tbl>
    <w:p>
      <w:pPr>
        <w:pStyle w:val="Style49"/>
        <w:keepNext w:val="0"/>
        <w:keepLines w:val="0"/>
        <w:framePr w:w="1291" w:h="365" w:hSpace="254" w:wrap="notBeside" w:vAnchor="text" w:hAnchor="text" w:x="1057"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960" w:line="240" w:lineRule="auto"/>
        <w:ind w:left="0" w:right="0" w:firstLine="420"/>
        <w:jc w:val="left"/>
      </w:pPr>
      <w:bookmarkStart w:id="1466" w:name="bookmark1466"/>
      <w:bookmarkStart w:id="1467" w:name="bookmark1467"/>
      <w:bookmarkStart w:id="1468" w:name="bookmark1468"/>
      <w:bookmarkStart w:id="1469" w:name="bookmark1469"/>
      <w:r>
        <w:rPr>
          <w:rFonts w:ascii="Times New Roman" w:eastAsia="Times New Roman" w:hAnsi="Times New Roman" w:cs="Times New Roman"/>
          <w:color w:val="000000"/>
          <w:spacing w:val="0"/>
          <w:w w:val="100"/>
          <w:position w:val="0"/>
        </w:rPr>
        <w:t>1</w:t>
      </w:r>
      <w:bookmarkEnd w:id="1468"/>
      <w:r>
        <w:rPr>
          <w:rFonts w:ascii="Times New Roman" w:eastAsia="Times New Roman" w:hAnsi="Times New Roman" w:cs="Times New Roman"/>
          <w:color w:val="000000"/>
          <w:spacing w:val="0"/>
          <w:w w:val="100"/>
          <w:position w:val="0"/>
        </w:rPr>
        <w:t>9</w:t>
      </w:r>
      <w:r>
        <w:rPr>
          <w:color w:val="000000"/>
          <w:spacing w:val="0"/>
          <w:w w:val="100"/>
          <w:position w:val="0"/>
        </w:rPr>
        <w:t>、其他非流动金融资产</w:t>
      </w:r>
      <w:bookmarkEnd w:id="1466"/>
      <w:bookmarkEnd w:id="1467"/>
      <w:bookmarkEnd w:id="1469"/>
    </w:p>
    <w:p>
      <w:pPr>
        <w:pStyle w:val="Style55"/>
        <w:keepNext/>
        <w:keepLines/>
        <w:widowControl w:val="0"/>
        <w:shd w:val="clear" w:color="auto" w:fill="auto"/>
        <w:bidi w:val="0"/>
        <w:spacing w:before="0" w:after="380" w:line="240" w:lineRule="auto"/>
        <w:ind w:left="0" w:right="0" w:firstLine="420"/>
        <w:jc w:val="left"/>
      </w:pPr>
      <w:bookmarkStart w:id="1470" w:name="bookmark1470"/>
      <w:bookmarkStart w:id="1471" w:name="bookmark1471"/>
      <w:bookmarkStart w:id="1472" w:name="bookmark1472"/>
      <w:bookmarkStart w:id="1473" w:name="bookmark1473"/>
      <w:r>
        <w:rPr>
          <w:rFonts w:ascii="Times New Roman" w:eastAsia="Times New Roman" w:hAnsi="Times New Roman" w:cs="Times New Roman"/>
          <w:color w:val="000000"/>
          <w:spacing w:val="0"/>
          <w:w w:val="100"/>
          <w:position w:val="0"/>
        </w:rPr>
        <w:t>2</w:t>
      </w:r>
      <w:bookmarkEnd w:id="1472"/>
      <w:r>
        <w:rPr>
          <w:rFonts w:ascii="Times New Roman" w:eastAsia="Times New Roman" w:hAnsi="Times New Roman" w:cs="Times New Roman"/>
          <w:color w:val="000000"/>
          <w:spacing w:val="0"/>
          <w:w w:val="100"/>
          <w:position w:val="0"/>
        </w:rPr>
        <w:t>0</w:t>
      </w:r>
      <w:r>
        <w:rPr>
          <w:color w:val="000000"/>
          <w:spacing w:val="0"/>
          <w:w w:val="100"/>
          <w:position w:val="0"/>
        </w:rPr>
        <w:t>、投资性房地产</w:t>
      </w:r>
      <w:bookmarkEnd w:id="1470"/>
      <w:bookmarkEnd w:id="1471"/>
      <w:bookmarkEnd w:id="1473"/>
    </w:p>
    <w:p>
      <w:pPr>
        <w:pStyle w:val="Style55"/>
        <w:keepNext/>
        <w:keepLines/>
        <w:widowControl w:val="0"/>
        <w:shd w:val="clear" w:color="auto" w:fill="auto"/>
        <w:bidi w:val="0"/>
        <w:spacing w:before="0" w:after="340" w:line="240" w:lineRule="auto"/>
        <w:ind w:left="0" w:right="0" w:firstLine="420"/>
        <w:jc w:val="left"/>
      </w:pPr>
      <w:bookmarkStart w:id="1470" w:name="bookmark1470"/>
      <w:bookmarkStart w:id="1471" w:name="bookmark1471"/>
      <w:bookmarkStart w:id="1474" w:name="bookmark1474"/>
      <w:bookmarkStart w:id="1475" w:name="bookmark1475"/>
      <w:r>
        <w:rPr>
          <w:color w:val="000000"/>
          <w:spacing w:val="0"/>
          <w:w w:val="100"/>
          <w:position w:val="0"/>
        </w:rPr>
        <w:t>（</w:t>
      </w:r>
      <w:bookmarkEnd w:id="1474"/>
      <w:r>
        <w:rPr>
          <w:rFonts w:ascii="Times New Roman" w:eastAsia="Times New Roman" w:hAnsi="Times New Roman" w:cs="Times New Roman"/>
          <w:color w:val="000000"/>
          <w:spacing w:val="0"/>
          <w:w w:val="100"/>
          <w:position w:val="0"/>
        </w:rPr>
        <w:t>1</w:t>
      </w:r>
      <w:r>
        <w:rPr>
          <w:color w:val="000000"/>
          <w:spacing w:val="0"/>
          <w:w w:val="100"/>
          <w:position w:val="0"/>
        </w:rPr>
        <w:t>）采用成本计量模式的投资性房地产</w:t>
      </w:r>
      <w:bookmarkEnd w:id="1470"/>
      <w:bookmarkEnd w:id="1471"/>
      <w:bookmarkEnd w:id="1475"/>
    </w:p>
    <w:p>
      <w:pPr>
        <w:pStyle w:val="Style32"/>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color w:val="000000"/>
                <w:spacing w:val="0"/>
                <w:w w:val="100"/>
                <w:position w:val="0"/>
              </w:rPr>
              <w:t>房屋、建筑物</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土地使用权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在建工程</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7,611,803.00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7,611,803.00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）外购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）存货</w:t>
            </w:r>
            <w:r>
              <w:rPr>
                <w:rFonts w:ascii="Times New Roman" w:eastAsia="Times New Roman" w:hAnsi="Times New Roman" w:cs="Times New Roman"/>
                <w:color w:val="000000"/>
                <w:spacing w:val="0"/>
                <w:w w:val="100"/>
                <w:position w:val="0"/>
              </w:rPr>
              <w:t>'</w:t>
            </w:r>
            <w:r>
              <w:rPr>
                <w:color w:val="000000"/>
                <w:spacing w:val="0"/>
                <w:w w:val="100"/>
                <w:position w:val="0"/>
              </w:rPr>
              <w:t>固定资产</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在建工程转入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7,611,803.00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7,611,803.00</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left"/>
            </w:pPr>
            <w:r>
              <w:rPr>
                <w:color w:val="000000"/>
                <w:spacing w:val="0"/>
                <w:w w:val="100"/>
                <w:position w:val="0"/>
              </w:rPr>
              <w:t>二、累计折旧和累计摊 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1,231,863.47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1,231,863.47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192,852.36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192,852.36</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）计提或摊销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192,852.36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192,852.36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）其他转出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1066" w:right="1109" w:bottom="1157" w:left="693" w:header="0" w:footer="3" w:gutter="0"/>
          <w:cols w:space="720"/>
          <w:noEndnote/>
          <w:rtlGutter w:val="0"/>
          <w:docGrid w:linePitch="360"/>
        </w:sectPr>
      </w:pPr>
    </w:p>
    <w:p>
      <w:pPr>
        <w:widowControl w:val="0"/>
        <w:jc w:val="center"/>
        <w:rPr>
          <w:sz w:val="2"/>
          <w:szCs w:val="2"/>
        </w:rPr>
      </w:pPr>
      <w:r>
        <w:drawing>
          <wp:inline>
            <wp:extent cx="1298575" cy="481330"/>
            <wp:docPr id="962" name="Picutre 962"/>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411"/>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1920"/>
        <w:gridCol w:w="1915"/>
        <w:gridCol w:w="1915"/>
        <w:gridCol w:w="1915"/>
        <w:gridCol w:w="1925"/>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1,424,715.83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1,424,715.83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w:t>
            </w:r>
            <w:r>
              <w:rPr>
                <w:color w:val="000000"/>
                <w:spacing w:val="0"/>
                <w:w w:val="100"/>
                <w:position w:val="0"/>
              </w:rPr>
              <w:t>期末账面价值</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6,187,087.17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6,187,087.17</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2.</w:t>
            </w:r>
            <w:r>
              <w:rPr>
                <w:color w:val="000000"/>
                <w:spacing w:val="0"/>
                <w:w w:val="100"/>
                <w:position w:val="0"/>
              </w:rPr>
              <w:t>期初账面价值</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6,379,939.53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6,379,939.53</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680"/>
        <w:jc w:val="left"/>
      </w:pPr>
      <w:bookmarkStart w:id="1476" w:name="bookmark1476"/>
      <w:bookmarkStart w:id="1477" w:name="bookmark1477"/>
      <w:bookmarkStart w:id="1478" w:name="bookmark1478"/>
      <w:bookmarkStart w:id="1479" w:name="bookmark1479"/>
      <w:r>
        <w:rPr>
          <w:color w:val="000000"/>
          <w:spacing w:val="0"/>
          <w:w w:val="100"/>
          <w:position w:val="0"/>
        </w:rPr>
        <w:t>（</w:t>
      </w:r>
      <w:bookmarkEnd w:id="1478"/>
      <w:r>
        <w:rPr>
          <w:rFonts w:ascii="Times New Roman" w:eastAsia="Times New Roman" w:hAnsi="Times New Roman" w:cs="Times New Roman"/>
          <w:color w:val="000000"/>
          <w:spacing w:val="0"/>
          <w:w w:val="100"/>
          <w:position w:val="0"/>
        </w:rPr>
        <w:t>2</w:t>
      </w:r>
      <w:r>
        <w:rPr>
          <w:color w:val="000000"/>
          <w:spacing w:val="0"/>
          <w:w w:val="100"/>
          <w:position w:val="0"/>
        </w:rPr>
        <w:t>）采用公允价值计量模式的投资性房地产</w:t>
      </w:r>
      <w:bookmarkEnd w:id="1476"/>
      <w:bookmarkEnd w:id="1477"/>
      <w:bookmarkEnd w:id="1479"/>
    </w:p>
    <w:p>
      <w:pPr>
        <w:pStyle w:val="Style32"/>
        <w:keepNext w:val="0"/>
        <w:keepLines w:val="0"/>
        <w:widowControl w:val="0"/>
        <w:shd w:val="clear" w:color="auto" w:fill="auto"/>
        <w:bidi w:val="0"/>
        <w:spacing w:before="0" w:after="360" w:line="240" w:lineRule="auto"/>
        <w:ind w:left="0" w:right="0" w:firstLine="5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bidi w:val="0"/>
        <w:spacing w:before="0" w:after="280" w:line="240" w:lineRule="auto"/>
        <w:ind w:left="0" w:right="0" w:firstLine="680"/>
        <w:jc w:val="left"/>
      </w:pPr>
      <w:bookmarkStart w:id="1480" w:name="bookmark1480"/>
      <w:bookmarkStart w:id="1481" w:name="bookmark1481"/>
      <w:bookmarkStart w:id="1482" w:name="bookmark1482"/>
      <w:bookmarkStart w:id="1483" w:name="bookmark1483"/>
      <w:r>
        <w:rPr>
          <w:color w:val="000000"/>
          <w:spacing w:val="0"/>
          <w:w w:val="100"/>
          <w:position w:val="0"/>
        </w:rPr>
        <w:t>（</w:t>
      </w:r>
      <w:bookmarkEnd w:id="1482"/>
      <w:r>
        <w:rPr>
          <w:rFonts w:ascii="Times New Roman" w:eastAsia="Times New Roman" w:hAnsi="Times New Roman" w:cs="Times New Roman"/>
          <w:color w:val="000000"/>
          <w:spacing w:val="0"/>
          <w:w w:val="100"/>
          <w:position w:val="0"/>
        </w:rPr>
        <w:t>3</w:t>
      </w:r>
      <w:r>
        <w:rPr>
          <w:color w:val="000000"/>
          <w:spacing w:val="0"/>
          <w:w w:val="100"/>
          <w:position w:val="0"/>
        </w:rPr>
        <w:t>）未办妥产权证书的投资性房地产情况</w:t>
      </w:r>
      <w:bookmarkEnd w:id="1480"/>
      <w:bookmarkEnd w:id="1481"/>
      <w:bookmarkEnd w:id="1483"/>
    </w:p>
    <w:p>
      <w:pPr>
        <w:pStyle w:val="Style32"/>
        <w:keepNext w:val="0"/>
        <w:keepLines w:val="0"/>
        <w:widowControl w:val="0"/>
        <w:shd w:val="clear" w:color="auto" w:fill="auto"/>
        <w:bidi w:val="0"/>
        <w:spacing w:before="0" w:after="0" w:line="312" w:lineRule="exact"/>
        <w:ind w:left="0" w:right="0" w:firstLine="560"/>
        <w:jc w:val="left"/>
      </w:pPr>
      <w:r>
        <w:rPr>
          <w:color w:val="000000"/>
          <w:spacing w:val="0"/>
          <w:w w:val="100"/>
          <w:position w:val="0"/>
        </w:rPr>
        <w:t>无</w:t>
      </w:r>
    </w:p>
    <w:p>
      <w:pPr>
        <w:pStyle w:val="Style32"/>
        <w:keepNext w:val="0"/>
        <w:keepLines w:val="0"/>
        <w:widowControl w:val="0"/>
        <w:shd w:val="clear" w:color="auto" w:fill="auto"/>
        <w:bidi w:val="0"/>
        <w:spacing w:before="0" w:after="0" w:line="312" w:lineRule="exact"/>
        <w:ind w:left="0" w:right="0" w:firstLine="560"/>
        <w:jc w:val="left"/>
      </w:pPr>
      <w:r>
        <w:rPr>
          <w:color w:val="000000"/>
          <w:spacing w:val="0"/>
          <w:w w:val="100"/>
          <w:position w:val="0"/>
        </w:rPr>
        <w:t>其他说明</w:t>
      </w:r>
    </w:p>
    <w:p>
      <w:pPr>
        <w:pStyle w:val="Style32"/>
        <w:keepNext w:val="0"/>
        <w:keepLines w:val="0"/>
        <w:widowControl w:val="0"/>
        <w:shd w:val="clear" w:color="auto" w:fill="auto"/>
        <w:bidi w:val="0"/>
        <w:spacing w:before="0" w:after="360" w:line="312" w:lineRule="exact"/>
        <w:ind w:left="560" w:right="0" w:firstLine="0"/>
        <w:jc w:val="left"/>
      </w:pPr>
      <w:r>
        <w:rPr>
          <w:color w:val="000000"/>
          <w:spacing w:val="0"/>
          <w:w w:val="100"/>
          <w:position w:val="0"/>
        </w:rPr>
        <w:t>本公司期末投资性房地产不存在减值因素，因此未计提投资性房地产减值准备。 本公司期末投资性房地产抵押、担保情况详见第十二节、七、</w:t>
      </w:r>
      <w:r>
        <w:rPr>
          <w:rFonts w:ascii="Times New Roman" w:eastAsia="Times New Roman" w:hAnsi="Times New Roman" w:cs="Times New Roman"/>
          <w:color w:val="000000"/>
          <w:spacing w:val="0"/>
          <w:w w:val="100"/>
          <w:position w:val="0"/>
        </w:rPr>
        <w:t>81</w:t>
      </w:r>
      <w:r>
        <w:rPr>
          <w:color w:val="000000"/>
          <w:spacing w:val="0"/>
          <w:w w:val="100"/>
          <w:position w:val="0"/>
        </w:rPr>
        <w:t>。</w:t>
      </w:r>
    </w:p>
    <w:p>
      <w:pPr>
        <w:pStyle w:val="Style55"/>
        <w:keepNext/>
        <w:keepLines/>
        <w:widowControl w:val="0"/>
        <w:shd w:val="clear" w:color="auto" w:fill="auto"/>
        <w:bidi w:val="0"/>
        <w:spacing w:before="0" w:after="360" w:line="240" w:lineRule="auto"/>
        <w:ind w:left="0" w:right="0" w:firstLine="560"/>
        <w:jc w:val="both"/>
      </w:pPr>
      <w:bookmarkStart w:id="1484" w:name="bookmark1484"/>
      <w:bookmarkStart w:id="1485" w:name="bookmark1485"/>
      <w:bookmarkStart w:id="1486" w:name="bookmark1486"/>
      <w:bookmarkStart w:id="1487" w:name="bookmark1487"/>
      <w:r>
        <w:rPr>
          <w:rFonts w:ascii="Times New Roman" w:eastAsia="Times New Roman" w:hAnsi="Times New Roman" w:cs="Times New Roman"/>
          <w:color w:val="000000"/>
          <w:spacing w:val="0"/>
          <w:w w:val="100"/>
          <w:position w:val="0"/>
        </w:rPr>
        <w:t>2</w:t>
      </w:r>
      <w:bookmarkEnd w:id="1486"/>
      <w:r>
        <w:rPr>
          <w:rFonts w:ascii="Times New Roman" w:eastAsia="Times New Roman" w:hAnsi="Times New Roman" w:cs="Times New Roman"/>
          <w:color w:val="000000"/>
          <w:spacing w:val="0"/>
          <w:w w:val="100"/>
          <w:position w:val="0"/>
        </w:rPr>
        <w:t>1</w:t>
      </w:r>
      <w:r>
        <w:rPr>
          <w:color w:val="000000"/>
          <w:spacing w:val="0"/>
          <w:w w:val="100"/>
          <w:position w:val="0"/>
        </w:rPr>
        <w:t>、固定资产</w:t>
      </w:r>
      <w:bookmarkEnd w:id="1484"/>
      <w:bookmarkEnd w:id="1485"/>
      <w:bookmarkEnd w:id="1487"/>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105,481,564.59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118,445,101.06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105,481,564.59</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118,445,101.06</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680"/>
        <w:jc w:val="both"/>
      </w:pPr>
      <w:bookmarkStart w:id="1488" w:name="bookmark1488"/>
      <w:bookmarkStart w:id="1489" w:name="bookmark1489"/>
      <w:bookmarkStart w:id="1490" w:name="bookmark1490"/>
      <w:bookmarkStart w:id="1491" w:name="bookmark1491"/>
      <w:r>
        <w:rPr>
          <w:color w:val="000000"/>
          <w:spacing w:val="0"/>
          <w:w w:val="100"/>
          <w:position w:val="0"/>
        </w:rPr>
        <w:t>（</w:t>
      </w:r>
      <w:bookmarkEnd w:id="1490"/>
      <w:r>
        <w:rPr>
          <w:rFonts w:ascii="Times New Roman" w:eastAsia="Times New Roman" w:hAnsi="Times New Roman" w:cs="Times New Roman"/>
          <w:color w:val="000000"/>
          <w:spacing w:val="0"/>
          <w:w w:val="100"/>
          <w:position w:val="0"/>
        </w:rPr>
        <w:t>1</w:t>
      </w:r>
      <w:r>
        <w:rPr>
          <w:color w:val="000000"/>
          <w:spacing w:val="0"/>
          <w:w w:val="100"/>
          <w:position w:val="0"/>
        </w:rPr>
        <w:t>）固定资产情况</w:t>
      </w:r>
      <w:bookmarkEnd w:id="1488"/>
      <w:bookmarkEnd w:id="1489"/>
      <w:bookmarkEnd w:id="1491"/>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39"/>
        <w:gridCol w:w="1363"/>
        <w:gridCol w:w="1368"/>
        <w:gridCol w:w="1368"/>
        <w:gridCol w:w="1368"/>
        <w:gridCol w:w="1368"/>
        <w:gridCol w:w="1373"/>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房屋建筑物</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机器设备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电子设备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20" w:firstLine="0"/>
              <w:jc w:val="right"/>
            </w:pPr>
            <w:r>
              <w:rPr>
                <w:color w:val="000000"/>
                <w:spacing w:val="0"/>
                <w:w w:val="100"/>
                <w:position w:val="0"/>
              </w:rPr>
              <w:t>运输工具</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color w:val="000000"/>
                <w:spacing w:val="0"/>
                <w:w w:val="100"/>
                <w:position w:val="0"/>
              </w:rPr>
              <w:t>其他</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500" w:firstLine="0"/>
              <w:jc w:val="right"/>
            </w:pPr>
            <w:r>
              <w:rPr>
                <w:color w:val="000000"/>
                <w:spacing w:val="0"/>
                <w:w w:val="100"/>
                <w:position w:val="0"/>
              </w:rPr>
              <w:t>合计</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83,705,485.53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1,728,586.49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89,546,903.07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3,092,015.39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12,057,504.22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190,130,494.70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2,117,414.80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384,999.15</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2,502,413.95</w:t>
            </w:r>
          </w:p>
        </w:tc>
      </w:tr>
    </w:tbl>
    <w:p>
      <w:pPr>
        <w:sectPr>
          <w:footnotePr>
            <w:pos w:val="pageBottom"/>
            <w:numFmt w:val="decimal"/>
            <w:numRestart w:val="continuous"/>
          </w:footnotePr>
          <w:pgSz w:w="11900" w:h="16840"/>
          <w:pgMar w:top="692" w:right="1108" w:bottom="1158" w:left="559" w:header="0" w:footer="3" w:gutter="0"/>
          <w:cols w:space="720"/>
          <w:noEndnote/>
          <w:rtlGutter w:val="0"/>
          <w:docGrid w:linePitch="360"/>
        </w:sectPr>
      </w:pPr>
    </w:p>
    <w:p>
      <w:pPr>
        <w:widowControl w:val="0"/>
        <w:spacing w:line="1" w:lineRule="exact"/>
      </w:pPr>
      <w:r>
        <w:drawing>
          <wp:anchor distT="0" distB="0" distL="0" distR="0" simplePos="0" relativeHeight="125829632" behindDoc="0" locked="0" layoutInCell="1" allowOverlap="1">
            <wp:simplePos x="0" y="0"/>
            <wp:positionH relativeFrom="page">
              <wp:posOffset>746760</wp:posOffset>
            </wp:positionH>
            <wp:positionV relativeFrom="paragraph">
              <wp:posOffset>12700</wp:posOffset>
            </wp:positionV>
            <wp:extent cx="487680" cy="237490"/>
            <wp:wrapTight wrapText="bothSides">
              <wp:wrapPolygon>
                <wp:start x="0" y="0"/>
                <wp:lineTo x="21600" y="0"/>
                <wp:lineTo x="21600" y="21600"/>
                <wp:lineTo x="0" y="21600"/>
                <wp:lineTo x="0" y="0"/>
              </wp:wrapPolygon>
            </wp:wrapTight>
            <wp:docPr id="963" name="Shape 963"/>
            <a:graphic xmlns:a="http://schemas.openxmlformats.org/drawingml/2006/main">
              <a:graphicData uri="http://schemas.openxmlformats.org/drawingml/2006/picture">
                <pic:pic xmlns:pic="http://schemas.openxmlformats.org/drawingml/2006/picture">
                  <pic:nvPicPr>
                    <pic:cNvPr id="964" name="Picture box 964"/>
                    <pic:cNvPicPr/>
                  </pic:nvPicPr>
                  <pic:blipFill>
                    <a:blip r:embed="rId413"/>
                    <a:stretch/>
                  </pic:blipFill>
                  <pic:spPr>
                    <a:xfrm>
                      <a:ext cx="487680" cy="237490"/>
                    </a:xfrm>
                    <a:prstGeom prst="rect"/>
                  </pic:spPr>
                </pic:pic>
              </a:graphicData>
            </a:graphic>
          </wp:anchor>
        </w:drawing>
      </w:r>
    </w:p>
    <w:tbl>
      <w:tblPr>
        <w:tblOverlap w:val="never"/>
        <w:jc w:val="left"/>
        <w:tblLayout w:type="fixed"/>
      </w:tblPr>
      <w:tblGrid>
        <w:gridCol w:w="1939"/>
        <w:gridCol w:w="1363"/>
        <w:gridCol w:w="1368"/>
        <w:gridCol w:w="1368"/>
        <w:gridCol w:w="1368"/>
        <w:gridCol w:w="1368"/>
        <w:gridCol w:w="1373"/>
      </w:tblGrid>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）购置</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1,952,829.32</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370,100.13</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2,322,929.45</w:t>
            </w: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）在建工程转入</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）企业合并增加</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164,585.48</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14,899.02</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179,484.50</w:t>
            </w: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284,979.91</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1,877,863.00</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103,567.02</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2,266,409.93</w:t>
            </w:r>
          </w:p>
        </w:tc>
      </w:tr>
      <w:tr>
        <w:trPr>
          <w:trHeight w:val="398"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）处置或报废</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284,979.91</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1,877,863.00</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103,567.02</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2,266,409.93</w:t>
            </w: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83,705,485.53</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1,728,586.49</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91,379,337.96</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1,214,152.39</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12,338,936.35</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190,366,498.72</w:t>
            </w: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left"/>
            </w:pPr>
            <w:r>
              <w:rPr>
                <w:color w:val="000000"/>
                <w:spacing w:val="0"/>
                <w:w w:val="100"/>
                <w:position w:val="0"/>
              </w:rPr>
              <w:t>二、累计折旧</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10,205,239.78</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1,270,836.86</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50,934,836.02</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2,419,853.83</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6,854,627.15</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71,685,393.64</w:t>
            </w:r>
          </w:p>
        </w:tc>
      </w:tr>
      <w:tr>
        <w:trPr>
          <w:trHeight w:val="398"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2,129,102.79</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159,727.25</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11,762,976.62</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234,276.31</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1,065,117.78</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15,351,200.75</w:t>
            </w: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2,129,102.79</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159,727.25</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11,762,976.62</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234,276.31</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1,065,117.78</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15,351,200.75</w:t>
            </w: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）企业合并增加</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270,536.64</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1,783,969.85</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97,153.77</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2,151,660.26</w:t>
            </w:r>
          </w:p>
        </w:tc>
      </w:tr>
      <w:tr>
        <w:trPr>
          <w:trHeight w:val="398"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）处置或报废</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270,536.64</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1,783,969.85</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97,153.77</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2,151,660.26</w:t>
            </w: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12,334,342.57</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1,430,564.11</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62,427,276.00</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870,160.29</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7,822,591.16</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84,884,934.13</w:t>
            </w: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）处置或报废</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tcBorders>
            <w:shd w:val="clear" w:color="auto" w:fill="FFFFFF"/>
            <w:vAlign w:val="top"/>
          </w:tcPr>
          <w:p>
            <w:pPr>
              <w:framePr w:w="10147" w:h="9662" w:vSpace="365" w:wrap="notBeside" w:vAnchor="text" w:hAnchor="text" w:x="44" w:y="366"/>
              <w:widowControl w:val="0"/>
              <w:rPr>
                <w:sz w:val="10"/>
                <w:szCs w:val="10"/>
              </w:rPr>
            </w:pPr>
          </w:p>
        </w:tc>
        <w:tc>
          <w:tcPr>
            <w:tcBorders>
              <w:top w:val="single" w:sz="4"/>
              <w:left w:val="single" w:sz="4"/>
              <w:right w:val="single" w:sz="4"/>
            </w:tcBorders>
            <w:shd w:val="clear" w:color="auto" w:fill="FFFFFF"/>
            <w:vAlign w:val="top"/>
          </w:tcPr>
          <w:p>
            <w:pPr>
              <w:framePr w:w="10147" w:h="9662" w:vSpace="365" w:wrap="notBeside" w:vAnchor="text" w:hAnchor="text" w:x="44" w:y="366"/>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w:t>
            </w:r>
            <w:r>
              <w:rPr>
                <w:color w:val="000000"/>
                <w:spacing w:val="0"/>
                <w:w w:val="100"/>
                <w:position w:val="0"/>
              </w:rPr>
              <w:t>期末账面价值</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71,371,142.96</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298,022.38</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28,952,061.96</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343,992.10</w:t>
            </w:r>
          </w:p>
        </w:tc>
        <w:tc>
          <w:tcPr>
            <w:tcBorders>
              <w:top w:val="single" w:sz="4"/>
              <w:lef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4,516,345.19</w:t>
            </w:r>
          </w:p>
        </w:tc>
        <w:tc>
          <w:tcPr>
            <w:tcBorders>
              <w:top w:val="single" w:sz="4"/>
              <w:left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105,481,564.59</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w:t>
            </w:r>
            <w:r>
              <w:rPr>
                <w:color w:val="000000"/>
                <w:spacing w:val="0"/>
                <w:w w:val="100"/>
                <w:position w:val="0"/>
              </w:rPr>
              <w:t>期初账面价值</w:t>
            </w:r>
          </w:p>
        </w:tc>
        <w:tc>
          <w:tcPr>
            <w:tcBorders>
              <w:top w:val="single" w:sz="4"/>
              <w:left w:val="single" w:sz="4"/>
              <w:bottom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73,500,245.75</w:t>
            </w:r>
          </w:p>
        </w:tc>
        <w:tc>
          <w:tcPr>
            <w:tcBorders>
              <w:top w:val="single" w:sz="4"/>
              <w:left w:val="single" w:sz="4"/>
              <w:bottom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457,749.63</w:t>
            </w:r>
          </w:p>
        </w:tc>
        <w:tc>
          <w:tcPr>
            <w:tcBorders>
              <w:top w:val="single" w:sz="4"/>
              <w:left w:val="single" w:sz="4"/>
              <w:bottom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38,612,067.05</w:t>
            </w:r>
          </w:p>
        </w:tc>
        <w:tc>
          <w:tcPr>
            <w:tcBorders>
              <w:top w:val="single" w:sz="4"/>
              <w:left w:val="single" w:sz="4"/>
              <w:bottom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672,161.56</w:t>
            </w:r>
          </w:p>
        </w:tc>
        <w:tc>
          <w:tcPr>
            <w:tcBorders>
              <w:top w:val="single" w:sz="4"/>
              <w:left w:val="single" w:sz="4"/>
              <w:bottom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5,202,877.07</w:t>
            </w:r>
          </w:p>
        </w:tc>
        <w:tc>
          <w:tcPr>
            <w:tcBorders>
              <w:top w:val="single" w:sz="4"/>
              <w:left w:val="single" w:sz="4"/>
              <w:bottom w:val="single" w:sz="4"/>
              <w:right w:val="single" w:sz="4"/>
            </w:tcBorders>
            <w:shd w:val="clear" w:color="auto" w:fill="FFFFFF"/>
            <w:vAlign w:val="center"/>
          </w:tcPr>
          <w:p>
            <w:pPr>
              <w:pStyle w:val="Style44"/>
              <w:keepNext w:val="0"/>
              <w:keepLines w:val="0"/>
              <w:framePr w:w="10147" w:h="9662" w:vSpace="365" w:wrap="notBeside" w:vAnchor="text" w:hAnchor="text" w:x="44" w:y="366"/>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118,445,101.06</w:t>
            </w:r>
          </w:p>
        </w:tc>
      </w:tr>
    </w:tbl>
    <w:p>
      <w:pPr>
        <w:pStyle w:val="Style49"/>
        <w:keepNext w:val="0"/>
        <w:keepLines w:val="0"/>
        <w:framePr w:w="1291" w:h="365" w:hSpace="43" w:wrap="notBeside" w:vAnchor="text" w:hAnchor="text" w:x="1407"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tabs>
          <w:tab w:pos="1053" w:val="left"/>
        </w:tabs>
        <w:bidi w:val="0"/>
        <w:spacing w:before="0" w:after="380" w:line="240" w:lineRule="auto"/>
        <w:ind w:left="0" w:right="0" w:firstLine="560"/>
        <w:jc w:val="left"/>
      </w:pPr>
      <w:bookmarkStart w:id="1492" w:name="bookmark1492"/>
      <w:bookmarkStart w:id="1493" w:name="bookmark1493"/>
      <w:bookmarkStart w:id="1494" w:name="bookmark1494"/>
      <w:bookmarkStart w:id="1495" w:name="bookmark1495"/>
      <w:r>
        <w:rPr>
          <w:color w:val="000000"/>
          <w:spacing w:val="0"/>
          <w:w w:val="100"/>
          <w:position w:val="0"/>
        </w:rPr>
        <w:t>（</w:t>
      </w:r>
      <w:bookmarkEnd w:id="1494"/>
      <w:r>
        <w:rPr>
          <w:rFonts w:ascii="Times New Roman" w:eastAsia="Times New Roman" w:hAnsi="Times New Roman" w:cs="Times New Roman"/>
          <w:color w:val="000000"/>
          <w:spacing w:val="0"/>
          <w:w w:val="100"/>
          <w:position w:val="0"/>
        </w:rPr>
        <w:t>2</w:t>
      </w:r>
      <w:r>
        <w:rPr>
          <w:color w:val="000000"/>
          <w:spacing w:val="0"/>
          <w:w w:val="100"/>
          <w:position w:val="0"/>
        </w:rPr>
        <w:t>）</w:t>
        <w:tab/>
        <w:t>暂时闲置的固定资产情况</w:t>
      </w:r>
      <w:bookmarkEnd w:id="1492"/>
      <w:bookmarkEnd w:id="1493"/>
      <w:bookmarkEnd w:id="1495"/>
    </w:p>
    <w:p>
      <w:pPr>
        <w:pStyle w:val="Style32"/>
        <w:keepNext w:val="0"/>
        <w:keepLines w:val="0"/>
        <w:widowControl w:val="0"/>
        <w:shd w:val="clear" w:color="auto" w:fill="auto"/>
        <w:bidi w:val="0"/>
        <w:spacing w:before="0" w:after="380" w:line="240" w:lineRule="auto"/>
        <w:ind w:left="0" w:right="0" w:firstLine="560"/>
        <w:jc w:val="left"/>
      </w:pPr>
      <w:r>
        <w:rPr>
          <w:color w:val="000000"/>
          <w:spacing w:val="0"/>
          <w:w w:val="100"/>
          <w:position w:val="0"/>
        </w:rPr>
        <w:t>无</w:t>
      </w:r>
    </w:p>
    <w:p>
      <w:pPr>
        <w:pStyle w:val="Style55"/>
        <w:keepNext/>
        <w:keepLines/>
        <w:widowControl w:val="0"/>
        <w:shd w:val="clear" w:color="auto" w:fill="auto"/>
        <w:tabs>
          <w:tab w:pos="1053" w:val="left"/>
        </w:tabs>
        <w:bidi w:val="0"/>
        <w:spacing w:before="0" w:after="380" w:line="240" w:lineRule="auto"/>
        <w:ind w:left="0" w:right="0" w:firstLine="560"/>
        <w:jc w:val="left"/>
      </w:pPr>
      <w:bookmarkStart w:id="1496" w:name="bookmark1496"/>
      <w:bookmarkStart w:id="1497" w:name="bookmark1497"/>
      <w:bookmarkStart w:id="1498" w:name="bookmark1498"/>
      <w:bookmarkStart w:id="1499" w:name="bookmark1499"/>
      <w:r>
        <w:rPr>
          <w:color w:val="000000"/>
          <w:spacing w:val="0"/>
          <w:w w:val="100"/>
          <w:position w:val="0"/>
        </w:rPr>
        <w:t>（</w:t>
      </w:r>
      <w:bookmarkEnd w:id="1498"/>
      <w:r>
        <w:rPr>
          <w:rFonts w:ascii="Times New Roman" w:eastAsia="Times New Roman" w:hAnsi="Times New Roman" w:cs="Times New Roman"/>
          <w:color w:val="000000"/>
          <w:spacing w:val="0"/>
          <w:w w:val="100"/>
          <w:position w:val="0"/>
        </w:rPr>
        <w:t>3</w:t>
      </w:r>
      <w:r>
        <w:rPr>
          <w:color w:val="000000"/>
          <w:spacing w:val="0"/>
          <w:w w:val="100"/>
          <w:position w:val="0"/>
        </w:rPr>
        <w:t>）</w:t>
        <w:tab/>
        <w:t>通过融资租赁租入的固定资产情况</w:t>
      </w:r>
      <w:bookmarkEnd w:id="1496"/>
      <w:bookmarkEnd w:id="1497"/>
      <w:bookmarkEnd w:id="1499"/>
    </w:p>
    <w:p>
      <w:pPr>
        <w:pStyle w:val="Style32"/>
        <w:keepNext w:val="0"/>
        <w:keepLines w:val="0"/>
        <w:widowControl w:val="0"/>
        <w:shd w:val="clear" w:color="auto" w:fill="auto"/>
        <w:bidi w:val="0"/>
        <w:spacing w:before="0" w:after="380" w:line="240" w:lineRule="auto"/>
        <w:ind w:left="0" w:right="0" w:firstLine="560"/>
        <w:jc w:val="left"/>
      </w:pPr>
      <w:r>
        <w:rPr>
          <w:color w:val="000000"/>
          <w:spacing w:val="0"/>
          <w:w w:val="100"/>
          <w:position w:val="0"/>
        </w:rPr>
        <w:t>无</w:t>
      </w:r>
    </w:p>
    <w:p>
      <w:pPr>
        <w:pStyle w:val="Style55"/>
        <w:keepNext/>
        <w:keepLines/>
        <w:widowControl w:val="0"/>
        <w:shd w:val="clear" w:color="auto" w:fill="auto"/>
        <w:tabs>
          <w:tab w:pos="1053" w:val="left"/>
        </w:tabs>
        <w:bidi w:val="0"/>
        <w:spacing w:before="0" w:after="380" w:line="240" w:lineRule="auto"/>
        <w:ind w:left="0" w:right="0" w:firstLine="560"/>
        <w:jc w:val="left"/>
      </w:pPr>
      <w:bookmarkStart w:id="1500" w:name="bookmark1500"/>
      <w:bookmarkStart w:id="1501" w:name="bookmark1501"/>
      <w:bookmarkStart w:id="1502" w:name="bookmark1502"/>
      <w:bookmarkStart w:id="1503" w:name="bookmark1503"/>
      <w:r>
        <w:rPr>
          <w:color w:val="000000"/>
          <w:spacing w:val="0"/>
          <w:w w:val="100"/>
          <w:position w:val="0"/>
        </w:rPr>
        <w:t>（</w:t>
      </w:r>
      <w:bookmarkEnd w:id="1502"/>
      <w:r>
        <w:rPr>
          <w:rFonts w:ascii="Times New Roman" w:eastAsia="Times New Roman" w:hAnsi="Times New Roman" w:cs="Times New Roman"/>
          <w:color w:val="000000"/>
          <w:spacing w:val="0"/>
          <w:w w:val="100"/>
          <w:position w:val="0"/>
        </w:rPr>
        <w:t>4</w:t>
      </w:r>
      <w:r>
        <w:rPr>
          <w:color w:val="000000"/>
          <w:spacing w:val="0"/>
          <w:w w:val="100"/>
          <w:position w:val="0"/>
        </w:rPr>
        <w:t>）</w:t>
        <w:tab/>
        <w:t>通过经营租赁租出的固定资产</w:t>
      </w:r>
      <w:bookmarkEnd w:id="1500"/>
      <w:bookmarkEnd w:id="1501"/>
      <w:bookmarkEnd w:id="1503"/>
    </w:p>
    <w:p>
      <w:pPr>
        <w:pStyle w:val="Style32"/>
        <w:keepNext w:val="0"/>
        <w:keepLines w:val="0"/>
        <w:widowControl w:val="0"/>
        <w:shd w:val="clear" w:color="auto" w:fill="auto"/>
        <w:bidi w:val="0"/>
        <w:spacing w:before="0" w:after="380" w:line="240" w:lineRule="auto"/>
        <w:ind w:left="0" w:right="0" w:firstLine="560"/>
        <w:jc w:val="left"/>
      </w:pPr>
      <w:r>
        <w:rPr>
          <w:color w:val="000000"/>
          <w:spacing w:val="0"/>
          <w:w w:val="100"/>
          <w:position w:val="0"/>
        </w:rPr>
        <w:t>无</w:t>
      </w:r>
      <w:r>
        <w:br w:type="page"/>
      </w:r>
    </w:p>
    <w:p>
      <w:pPr>
        <w:pStyle w:val="Style5"/>
        <w:keepNext w:val="0"/>
        <w:keepLines w:val="0"/>
        <w:widowControl w:val="0"/>
        <w:shd w:val="clear" w:color="auto" w:fill="auto"/>
        <w:bidi w:val="0"/>
        <w:spacing w:before="0" w:after="0" w:line="240" w:lineRule="auto"/>
        <w:ind w:left="1380" w:right="0" w:firstLine="0"/>
        <w:jc w:val="left"/>
      </w:pPr>
      <w:r>
        <mc:AlternateContent>
          <mc:Choice Requires="wps">
            <w:drawing>
              <wp:anchor distT="0" distB="0" distL="0" distR="0" simplePos="0" relativeHeight="125829633" behindDoc="0" locked="0" layoutInCell="1" allowOverlap="1">
                <wp:simplePos x="0" y="0"/>
                <wp:positionH relativeFrom="page">
                  <wp:posOffset>734060</wp:posOffset>
                </wp:positionH>
                <wp:positionV relativeFrom="margin">
                  <wp:posOffset>-250190</wp:posOffset>
                </wp:positionV>
                <wp:extent cx="1301750" cy="323215"/>
                <wp:wrapTopAndBottom/>
                <wp:docPr id="965" name="Shape 965"/>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1991" type="#_x0000_t202" style="position:absolute;margin-left:57.800000000000004pt;margin-top:-19.699999999999999pt;width:102.5pt;height:25.449999999999999pt;z-index:-125829120;mso-wrap-distance-left:0;mso-wrap-distance-right:0;mso-position-horizontal-relative:page;mso-position-vertic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topAndBottom" anchorx="page" anchory="margin"/>
              </v:shape>
            </w:pict>
          </mc:Fallback>
        </mc:AlternateContent>
      </w:r>
      <w:r>
        <w:rPr>
          <w:spacing w:val="0"/>
          <w:w w:val="100"/>
          <w:position w:val="0"/>
        </w:rPr>
        <w:t>国家高新技术企业</w:t>
      </w:r>
    </w:p>
    <w:p>
      <w:pPr>
        <w:pStyle w:val="Style32"/>
        <w:keepNext w:val="0"/>
        <w:keepLines w:val="0"/>
        <w:widowControl w:val="0"/>
        <w:shd w:val="clear" w:color="auto" w:fill="auto"/>
        <w:tabs>
          <w:tab w:pos="1290" w:val="left"/>
        </w:tabs>
        <w:bidi w:val="0"/>
        <w:spacing w:before="0" w:after="0" w:line="240" w:lineRule="auto"/>
        <w:ind w:left="0" w:right="0" w:firstLine="68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numPr>
          <w:ilvl w:val="0"/>
          <w:numId w:val="153"/>
        </w:numPr>
        <w:shd w:val="clear" w:color="auto" w:fill="auto"/>
        <w:bidi w:val="0"/>
        <w:spacing w:before="0" w:after="360" w:line="240" w:lineRule="auto"/>
        <w:ind w:left="0" w:right="0" w:firstLine="680"/>
        <w:jc w:val="left"/>
      </w:pPr>
      <w:bookmarkStart w:id="1504" w:name="bookmark1504"/>
      <w:bookmarkStart w:id="1505" w:name="bookmark1505"/>
      <w:bookmarkStart w:id="1506" w:name="bookmark1506"/>
      <w:bookmarkStart w:id="1507" w:name="bookmark1507"/>
      <w:bookmarkEnd w:id="1506"/>
      <w:r>
        <w:rPr>
          <w:color w:val="000000"/>
          <w:spacing w:val="0"/>
          <w:w w:val="100"/>
          <w:position w:val="0"/>
        </w:rPr>
        <w:t>未办妥产权证书的固定资产情况</w:t>
      </w:r>
      <w:bookmarkEnd w:id="1504"/>
      <w:bookmarkEnd w:id="1505"/>
      <w:bookmarkEnd w:id="1507"/>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未办妥产权证书的原因</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新园区门卫房</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764,106.26</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尚未办理完毕</w:t>
            </w:r>
          </w:p>
        </w:tc>
      </w:tr>
    </w:tbl>
    <w:p>
      <w:pPr>
        <w:widowControl w:val="0"/>
        <w:spacing w:after="79" w:line="1" w:lineRule="exact"/>
      </w:pPr>
    </w:p>
    <w:p>
      <w:pPr>
        <w:pStyle w:val="Style32"/>
        <w:keepNext w:val="0"/>
        <w:keepLines w:val="0"/>
        <w:widowControl w:val="0"/>
        <w:shd w:val="clear" w:color="auto" w:fill="auto"/>
        <w:bidi w:val="0"/>
        <w:spacing w:before="0" w:after="140" w:line="240" w:lineRule="auto"/>
        <w:ind w:left="0" w:right="0" w:firstLine="560"/>
        <w:jc w:val="left"/>
      </w:pPr>
      <w:r>
        <w:rPr>
          <w:color w:val="000000"/>
          <w:spacing w:val="0"/>
          <w:w w:val="100"/>
          <w:position w:val="0"/>
        </w:rPr>
        <w:t>其他说明</w:t>
      </w:r>
    </w:p>
    <w:p>
      <w:pPr>
        <w:pStyle w:val="Style32"/>
        <w:keepNext w:val="0"/>
        <w:keepLines w:val="0"/>
        <w:widowControl w:val="0"/>
        <w:shd w:val="clear" w:color="auto" w:fill="auto"/>
        <w:bidi w:val="0"/>
        <w:spacing w:before="0" w:after="80" w:line="240" w:lineRule="auto"/>
        <w:ind w:left="0" w:right="0" w:firstLine="560"/>
        <w:jc w:val="left"/>
      </w:pPr>
      <w:r>
        <w:rPr>
          <w:color w:val="000000"/>
          <w:spacing w:val="0"/>
          <w:w w:val="100"/>
          <w:position w:val="0"/>
        </w:rPr>
        <w:t>本公司期末固定资产不存在减值因素，因此未计提固定资产减值准备。</w:t>
      </w:r>
    </w:p>
    <w:p>
      <w:pPr>
        <w:pStyle w:val="Style32"/>
        <w:keepNext w:val="0"/>
        <w:keepLines w:val="0"/>
        <w:widowControl w:val="0"/>
        <w:shd w:val="clear" w:color="auto" w:fill="auto"/>
        <w:bidi w:val="0"/>
        <w:spacing w:before="0" w:after="360" w:line="240" w:lineRule="auto"/>
        <w:ind w:left="0" w:right="0" w:firstLine="560"/>
        <w:jc w:val="left"/>
      </w:pPr>
      <w:r>
        <w:rPr>
          <w:color w:val="000000"/>
          <w:spacing w:val="0"/>
          <w:w w:val="100"/>
          <w:position w:val="0"/>
        </w:rPr>
        <w:t>本公司期末固定资产抵押、担保情况详见第十二节、七、</w:t>
      </w:r>
      <w:r>
        <w:rPr>
          <w:rFonts w:ascii="Times New Roman" w:eastAsia="Times New Roman" w:hAnsi="Times New Roman" w:cs="Times New Roman"/>
          <w:color w:val="000000"/>
          <w:spacing w:val="0"/>
          <w:w w:val="100"/>
          <w:position w:val="0"/>
        </w:rPr>
        <w:t>81</w:t>
      </w:r>
      <w:r>
        <w:rPr>
          <w:color w:val="000000"/>
          <w:spacing w:val="0"/>
          <w:w w:val="100"/>
          <w:position w:val="0"/>
        </w:rPr>
        <w:t>。</w:t>
      </w:r>
    </w:p>
    <w:p>
      <w:pPr>
        <w:pStyle w:val="Style55"/>
        <w:keepNext/>
        <w:keepLines/>
        <w:widowControl w:val="0"/>
        <w:numPr>
          <w:ilvl w:val="0"/>
          <w:numId w:val="153"/>
        </w:numPr>
        <w:shd w:val="clear" w:color="auto" w:fill="auto"/>
        <w:bidi w:val="0"/>
        <w:spacing w:before="0" w:after="960" w:line="240" w:lineRule="auto"/>
        <w:ind w:left="0" w:right="0" w:firstLine="680"/>
        <w:jc w:val="left"/>
      </w:pPr>
      <w:bookmarkStart w:id="1508" w:name="bookmark1508"/>
      <w:bookmarkStart w:id="1509" w:name="bookmark1509"/>
      <w:bookmarkStart w:id="1510" w:name="bookmark1510"/>
      <w:bookmarkStart w:id="1511" w:name="bookmark1511"/>
      <w:bookmarkEnd w:id="1510"/>
      <w:r>
        <w:rPr>
          <w:color w:val="000000"/>
          <w:spacing w:val="0"/>
          <w:w w:val="100"/>
          <w:position w:val="0"/>
        </w:rPr>
        <w:t>固定资产清理</w:t>
      </w:r>
      <w:bookmarkEnd w:id="1508"/>
      <w:bookmarkEnd w:id="1509"/>
      <w:bookmarkEnd w:id="1511"/>
    </w:p>
    <w:p>
      <w:pPr>
        <w:pStyle w:val="Style55"/>
        <w:keepNext/>
        <w:keepLines/>
        <w:widowControl w:val="0"/>
        <w:shd w:val="clear" w:color="auto" w:fill="auto"/>
        <w:bidi w:val="0"/>
        <w:spacing w:before="0" w:after="360" w:line="240" w:lineRule="auto"/>
        <w:ind w:left="0" w:right="0" w:firstLine="560"/>
        <w:jc w:val="both"/>
      </w:pPr>
      <w:bookmarkStart w:id="1512" w:name="bookmark1512"/>
      <w:bookmarkStart w:id="1513" w:name="bookmark1513"/>
      <w:bookmarkStart w:id="1514" w:name="bookmark1514"/>
      <w:bookmarkStart w:id="1515" w:name="bookmark1515"/>
      <w:r>
        <w:rPr>
          <w:rFonts w:ascii="Times New Roman" w:eastAsia="Times New Roman" w:hAnsi="Times New Roman" w:cs="Times New Roman"/>
          <w:color w:val="000000"/>
          <w:spacing w:val="0"/>
          <w:w w:val="100"/>
          <w:position w:val="0"/>
        </w:rPr>
        <w:t>2</w:t>
      </w:r>
      <w:bookmarkEnd w:id="1514"/>
      <w:r>
        <w:rPr>
          <w:rFonts w:ascii="Times New Roman" w:eastAsia="Times New Roman" w:hAnsi="Times New Roman" w:cs="Times New Roman"/>
          <w:color w:val="000000"/>
          <w:spacing w:val="0"/>
          <w:w w:val="100"/>
          <w:position w:val="0"/>
        </w:rPr>
        <w:t>2</w:t>
      </w:r>
      <w:r>
        <w:rPr>
          <w:color w:val="000000"/>
          <w:spacing w:val="0"/>
          <w:w w:val="100"/>
          <w:position w:val="0"/>
        </w:rPr>
        <w:t>、在建工程</w:t>
      </w:r>
      <w:bookmarkEnd w:id="1512"/>
      <w:bookmarkEnd w:id="1513"/>
      <w:bookmarkEnd w:id="1515"/>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11,206,129.82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3,723,101.47</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11,206,129.82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3,723,101.47</w:t>
            </w:r>
          </w:p>
        </w:tc>
      </w:tr>
    </w:tbl>
    <w:p>
      <w:pPr>
        <w:widowControl w:val="0"/>
        <w:spacing w:after="359" w:line="1" w:lineRule="exact"/>
      </w:pPr>
    </w:p>
    <w:p>
      <w:pPr>
        <w:pStyle w:val="Style55"/>
        <w:keepNext/>
        <w:keepLines/>
        <w:widowControl w:val="0"/>
        <w:numPr>
          <w:ilvl w:val="0"/>
          <w:numId w:val="155"/>
        </w:numPr>
        <w:shd w:val="clear" w:color="auto" w:fill="auto"/>
        <w:bidi w:val="0"/>
        <w:spacing w:before="0" w:after="360" w:line="240" w:lineRule="auto"/>
        <w:ind w:left="0" w:right="0" w:firstLine="680"/>
        <w:jc w:val="left"/>
      </w:pPr>
      <w:bookmarkStart w:id="1516" w:name="bookmark1516"/>
      <w:bookmarkStart w:id="1517" w:name="bookmark1517"/>
      <w:bookmarkStart w:id="1518" w:name="bookmark1518"/>
      <w:bookmarkStart w:id="1519" w:name="bookmark1519"/>
      <w:bookmarkEnd w:id="1518"/>
      <w:r>
        <w:rPr>
          <w:color w:val="000000"/>
          <w:spacing w:val="0"/>
          <w:w w:val="100"/>
          <w:position w:val="0"/>
        </w:rPr>
        <w:t>在建工程情况</w:t>
      </w:r>
      <w:bookmarkEnd w:id="1516"/>
      <w:bookmarkEnd w:id="1517"/>
      <w:bookmarkEnd w:id="1519"/>
    </w:p>
    <w:p>
      <w:pPr>
        <w:pStyle w:val="Style49"/>
        <w:keepNext w:val="0"/>
        <w:keepLines w:val="0"/>
        <w:widowControl w:val="0"/>
        <w:shd w:val="clear" w:color="auto" w:fill="auto"/>
        <w:bidi w:val="0"/>
        <w:spacing w:before="0" w:after="0" w:line="240" w:lineRule="auto"/>
        <w:ind w:left="9341" w:right="0" w:firstLine="0"/>
        <w:jc w:val="left"/>
      </w:pPr>
      <w:r>
        <w:rPr>
          <w:color w:val="000000"/>
          <w:spacing w:val="0"/>
          <w:w w:val="100"/>
          <w:position w:val="0"/>
        </w:rPr>
        <w:t>单位：元</w:t>
      </w:r>
    </w:p>
    <w:tbl>
      <w:tblPr>
        <w:tblOverlap w:val="never"/>
        <w:jc w:val="center"/>
        <w:tblLayout w:type="fixed"/>
      </w:tblPr>
      <w:tblGrid>
        <w:gridCol w:w="1805"/>
        <w:gridCol w:w="1368"/>
        <w:gridCol w:w="1368"/>
        <w:gridCol w:w="1363"/>
        <w:gridCol w:w="1368"/>
        <w:gridCol w:w="1368"/>
        <w:gridCol w:w="1378"/>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账面价值</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基于分级诊疗的远程 视频服务平台项目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11,206,129.82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11,206,129.82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3,723,101.47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3,723,101.47</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11,206,129.82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11,206,129.82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3,723,101.47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3,723,101.47</w:t>
            </w:r>
          </w:p>
        </w:tc>
      </w:tr>
    </w:tbl>
    <w:p>
      <w:pPr>
        <w:widowControl w:val="0"/>
        <w:spacing w:after="359" w:line="1" w:lineRule="exact"/>
      </w:pPr>
    </w:p>
    <w:p>
      <w:pPr>
        <w:pStyle w:val="Style55"/>
        <w:keepNext/>
        <w:keepLines/>
        <w:widowControl w:val="0"/>
        <w:numPr>
          <w:ilvl w:val="0"/>
          <w:numId w:val="155"/>
        </w:numPr>
        <w:shd w:val="clear" w:color="auto" w:fill="auto"/>
        <w:bidi w:val="0"/>
        <w:spacing w:before="0" w:after="360" w:line="240" w:lineRule="auto"/>
        <w:ind w:left="0" w:right="0" w:firstLine="680"/>
        <w:jc w:val="left"/>
      </w:pPr>
      <w:bookmarkStart w:id="1520" w:name="bookmark1520"/>
      <w:bookmarkStart w:id="1521" w:name="bookmark1521"/>
      <w:bookmarkStart w:id="1522" w:name="bookmark1522"/>
      <w:bookmarkStart w:id="1523" w:name="bookmark1523"/>
      <w:bookmarkEnd w:id="1522"/>
      <w:r>
        <w:rPr>
          <w:color w:val="000000"/>
          <w:spacing w:val="0"/>
          <w:w w:val="100"/>
          <w:position w:val="0"/>
        </w:rPr>
        <w:t>重要在建工程项目本期变动情况</w:t>
      </w:r>
      <w:bookmarkEnd w:id="1520"/>
      <w:bookmarkEnd w:id="1521"/>
      <w:bookmarkEnd w:id="1523"/>
    </w:p>
    <w:p>
      <w:pPr>
        <w:pStyle w:val="Style49"/>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单位：元</w:t>
      </w:r>
    </w:p>
    <w:tbl>
      <w:tblPr>
        <w:tblOverlap w:val="never"/>
        <w:jc w:val="center"/>
        <w:tblLayout w:type="fixed"/>
      </w:tblPr>
      <w:tblGrid>
        <w:gridCol w:w="998"/>
        <w:gridCol w:w="989"/>
        <w:gridCol w:w="850"/>
        <w:gridCol w:w="854"/>
        <w:gridCol w:w="706"/>
        <w:gridCol w:w="586"/>
        <w:gridCol w:w="974"/>
        <w:gridCol w:w="566"/>
        <w:gridCol w:w="667"/>
        <w:gridCol w:w="734"/>
        <w:gridCol w:w="739"/>
        <w:gridCol w:w="734"/>
        <w:gridCol w:w="821"/>
      </w:tblGrid>
      <w:tr>
        <w:trPr>
          <w:trHeight w:val="1339"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rPr>
              <w:t>项目名称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预算数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本期增加金</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0" w:lineRule="exact"/>
              <w:ind w:left="0" w:right="0" w:firstLine="0"/>
              <w:jc w:val="center"/>
              <w:rPr>
                <w:sz w:val="15"/>
                <w:szCs w:val="15"/>
              </w:rPr>
            </w:pPr>
            <w:r>
              <w:rPr>
                <w:color w:val="000000"/>
                <w:spacing w:val="0"/>
                <w:w w:val="100"/>
                <w:position w:val="0"/>
                <w:sz w:val="15"/>
                <w:szCs w:val="15"/>
              </w:rPr>
              <w:t>本期转入 固定资产 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本期其</w:t>
            </w:r>
          </w:p>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他减少</w:t>
            </w:r>
          </w:p>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期末余额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0" w:lineRule="exact"/>
              <w:ind w:left="0" w:right="0" w:firstLine="0"/>
              <w:jc w:val="center"/>
              <w:rPr>
                <w:sz w:val="15"/>
                <w:szCs w:val="15"/>
              </w:rPr>
            </w:pPr>
            <w:r>
              <w:rPr>
                <w:color w:val="000000"/>
                <w:spacing w:val="0"/>
                <w:w w:val="100"/>
                <w:position w:val="0"/>
                <w:sz w:val="15"/>
                <w:szCs w:val="15"/>
              </w:rPr>
              <w:t>工程累 计投入 占预算 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工程进度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利息资本</w:t>
            </w:r>
          </w:p>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化累计金</w:t>
            </w:r>
          </w:p>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0" w:lineRule="exact"/>
              <w:ind w:left="0" w:right="0" w:firstLine="0"/>
              <w:jc w:val="center"/>
              <w:rPr>
                <w:sz w:val="15"/>
                <w:szCs w:val="15"/>
              </w:rPr>
            </w:pPr>
            <w:r>
              <w:rPr>
                <w:color w:val="000000"/>
                <w:spacing w:val="0"/>
                <w:w w:val="100"/>
                <w:position w:val="0"/>
                <w:sz w:val="15"/>
                <w:szCs w:val="15"/>
              </w:rPr>
              <w:t>其中：本期 利息资本 化金额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right"/>
              <w:rPr>
                <w:sz w:val="15"/>
                <w:szCs w:val="15"/>
              </w:rPr>
            </w:pPr>
            <w:r>
              <w:rPr>
                <w:color w:val="000000"/>
                <w:spacing w:val="0"/>
                <w:w w:val="100"/>
                <w:position w:val="0"/>
                <w:sz w:val="15"/>
                <w:szCs w:val="15"/>
              </w:rPr>
              <w:t>本期利息</w:t>
            </w:r>
          </w:p>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资本化率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资金来源</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基于分级诊疗</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的远程视频服</w:t>
            </w:r>
          </w:p>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务平台项目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45,000,000.00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3,723,101.47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7,483,028.35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11,206,129.82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24.90%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24.90%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募集资金及</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自筹资金</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45,000,000.00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3,723,101.47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7,483,028.35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11,206,129.82</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60" w:firstLine="0"/>
              <w:jc w:val="right"/>
              <w:rPr>
                <w:sz w:val="15"/>
                <w:szCs w:val="15"/>
              </w:rPr>
            </w:pPr>
            <w:r>
              <w:rPr>
                <w:rFonts w:ascii="Times New Roman" w:eastAsia="Times New Roman" w:hAnsi="Times New Roman" w:cs="Times New Roman"/>
                <w:color w:val="000000"/>
                <w:spacing w:val="0"/>
                <w:w w:val="100"/>
                <w:position w:val="0"/>
                <w:sz w:val="15"/>
                <w:szCs w:val="15"/>
              </w:rPr>
              <w:t>--</w:t>
            </w:r>
          </w:p>
        </w:tc>
      </w:tr>
    </w:tbl>
    <w:p>
      <w:pPr>
        <w:sectPr>
          <w:footnotePr>
            <w:pos w:val="pageBottom"/>
            <w:numFmt w:val="decimal"/>
            <w:numRestart w:val="continuous"/>
          </w:footnotePr>
          <w:pgSz w:w="11900" w:h="16840"/>
          <w:pgMar w:top="1116" w:right="1129" w:bottom="1611" w:left="537" w:header="0" w:footer="3" w:gutter="0"/>
          <w:cols w:space="720"/>
          <w:noEndnote/>
          <w:rtlGutter w:val="0"/>
          <w:docGrid w:linePitch="360"/>
        </w:sectPr>
      </w:pPr>
    </w:p>
    <w:p>
      <w:pPr>
        <w:pStyle w:val="Style2"/>
        <w:keepNext/>
        <w:keepLines/>
        <w:widowControl w:val="0"/>
        <w:shd w:val="clear" w:color="auto" w:fill="auto"/>
        <w:bidi w:val="0"/>
        <w:spacing w:before="0" w:after="0" w:line="240" w:lineRule="auto"/>
        <w:ind w:left="0" w:right="0" w:firstLine="980"/>
        <w:jc w:val="left"/>
      </w:pPr>
      <w:bookmarkStart w:id="1524" w:name="bookmark1524"/>
      <w:bookmarkStart w:id="1525" w:name="bookmark1525"/>
      <w:bookmarkStart w:id="1526" w:name="bookmark1526"/>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1524"/>
      <w:bookmarkEnd w:id="1525"/>
      <w:bookmarkEnd w:id="1526"/>
    </w:p>
    <w:p>
      <w:pPr>
        <w:pStyle w:val="Style5"/>
        <w:keepNext w:val="0"/>
        <w:keepLines w:val="0"/>
        <w:widowControl w:val="0"/>
        <w:shd w:val="clear" w:color="auto" w:fill="auto"/>
        <w:bidi w:val="0"/>
        <w:spacing w:before="0" w:after="0" w:line="240" w:lineRule="auto"/>
        <w:ind w:left="0" w:right="0" w:firstLine="980"/>
        <w:jc w:val="left"/>
      </w:pPr>
      <w:r>
        <w:rPr>
          <w:color w:val="245994"/>
          <w:spacing w:val="0"/>
          <w:w w:val="100"/>
          <w:position w:val="0"/>
        </w:rPr>
        <w:t>，厂</w:t>
      </w:r>
      <w:r>
        <w:rPr>
          <w:color w:val="2D2B2E"/>
          <w:spacing w:val="0"/>
          <w:w w:val="100"/>
          <w:position w:val="0"/>
        </w:rPr>
        <w:t>I</w:t>
      </w:r>
      <w:r>
        <w:rPr>
          <w:spacing w:val="0"/>
          <w:w w:val="100"/>
          <w:position w:val="0"/>
        </w:rPr>
        <w:t>国家高新技术企业</w:t>
      </w:r>
    </w:p>
    <w:p>
      <w:pPr>
        <w:pStyle w:val="Style32"/>
        <w:keepNext w:val="0"/>
        <w:keepLines w:val="0"/>
        <w:widowControl w:val="0"/>
        <w:shd w:val="clear" w:color="auto" w:fill="auto"/>
        <w:tabs>
          <w:tab w:pos="1726" w:val="left"/>
        </w:tabs>
        <w:bidi w:val="0"/>
        <w:spacing w:before="0" w:after="0" w:line="240" w:lineRule="auto"/>
        <w:ind w:left="1140" w:right="0" w:firstLine="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numPr>
          <w:ilvl w:val="0"/>
          <w:numId w:val="155"/>
        </w:numPr>
        <w:shd w:val="clear" w:color="auto" w:fill="auto"/>
        <w:tabs>
          <w:tab w:pos="1473" w:val="left"/>
        </w:tabs>
        <w:bidi w:val="0"/>
        <w:spacing w:before="0" w:after="380" w:line="240" w:lineRule="auto"/>
        <w:ind w:left="0" w:right="0" w:firstLine="980"/>
        <w:jc w:val="left"/>
      </w:pPr>
      <w:bookmarkStart w:id="1527" w:name="bookmark1527"/>
      <w:bookmarkStart w:id="1528" w:name="bookmark1528"/>
      <w:bookmarkStart w:id="1529" w:name="bookmark1529"/>
      <w:bookmarkStart w:id="1530" w:name="bookmark1530"/>
      <w:bookmarkEnd w:id="1529"/>
      <w:r>
        <w:rPr>
          <w:color w:val="000000"/>
          <w:spacing w:val="0"/>
          <w:w w:val="100"/>
          <w:position w:val="0"/>
        </w:rPr>
        <w:t>本期计提在建工程减值准备情况</w:t>
      </w:r>
      <w:bookmarkEnd w:id="1527"/>
      <w:bookmarkEnd w:id="1528"/>
      <w:bookmarkEnd w:id="1530"/>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numPr>
          <w:ilvl w:val="0"/>
          <w:numId w:val="155"/>
        </w:numPr>
        <w:shd w:val="clear" w:color="auto" w:fill="auto"/>
        <w:tabs>
          <w:tab w:pos="1473" w:val="left"/>
        </w:tabs>
        <w:bidi w:val="0"/>
        <w:spacing w:before="0" w:after="380" w:line="240" w:lineRule="auto"/>
        <w:ind w:left="0" w:right="0" w:firstLine="980"/>
        <w:jc w:val="left"/>
      </w:pPr>
      <w:bookmarkStart w:id="1531" w:name="bookmark1531"/>
      <w:bookmarkStart w:id="1532" w:name="bookmark1532"/>
      <w:bookmarkStart w:id="1533" w:name="bookmark1533"/>
      <w:bookmarkStart w:id="1534" w:name="bookmark1534"/>
      <w:bookmarkEnd w:id="1533"/>
      <w:r>
        <w:rPr>
          <w:color w:val="000000"/>
          <w:spacing w:val="0"/>
          <w:w w:val="100"/>
          <w:position w:val="0"/>
        </w:rPr>
        <w:t>工程物资</w:t>
      </w:r>
      <w:bookmarkEnd w:id="1531"/>
      <w:bookmarkEnd w:id="1532"/>
      <w:bookmarkEnd w:id="1534"/>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bidi w:val="0"/>
        <w:spacing w:before="0" w:after="380" w:line="240" w:lineRule="auto"/>
        <w:ind w:left="0" w:right="0" w:firstLine="980"/>
        <w:jc w:val="left"/>
      </w:pPr>
      <w:bookmarkStart w:id="1535" w:name="bookmark1535"/>
      <w:bookmarkStart w:id="1536" w:name="bookmark1536"/>
      <w:bookmarkStart w:id="1537" w:name="bookmark1537"/>
      <w:bookmarkStart w:id="1538" w:name="bookmark1538"/>
      <w:r>
        <w:rPr>
          <w:rFonts w:ascii="Times New Roman" w:eastAsia="Times New Roman" w:hAnsi="Times New Roman" w:cs="Times New Roman"/>
          <w:color w:val="000000"/>
          <w:spacing w:val="0"/>
          <w:w w:val="100"/>
          <w:position w:val="0"/>
        </w:rPr>
        <w:t>2</w:t>
      </w:r>
      <w:bookmarkEnd w:id="1537"/>
      <w:r>
        <w:rPr>
          <w:rFonts w:ascii="Times New Roman" w:eastAsia="Times New Roman" w:hAnsi="Times New Roman" w:cs="Times New Roman"/>
          <w:color w:val="000000"/>
          <w:spacing w:val="0"/>
          <w:w w:val="100"/>
          <w:position w:val="0"/>
        </w:rPr>
        <w:t>3</w:t>
      </w:r>
      <w:r>
        <w:rPr>
          <w:color w:val="000000"/>
          <w:spacing w:val="0"/>
          <w:w w:val="100"/>
          <w:position w:val="0"/>
        </w:rPr>
        <w:t>、生产性生物资产</w:t>
      </w:r>
      <w:bookmarkEnd w:id="1535"/>
      <w:bookmarkEnd w:id="1536"/>
      <w:bookmarkEnd w:id="1538"/>
    </w:p>
    <w:p>
      <w:pPr>
        <w:pStyle w:val="Style32"/>
        <w:keepNext w:val="0"/>
        <w:keepLines w:val="0"/>
        <w:widowControl w:val="0"/>
        <w:shd w:val="clear" w:color="auto" w:fill="auto"/>
        <w:bidi w:val="0"/>
        <w:spacing w:before="0" w:after="38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55"/>
        <w:keepNext/>
        <w:keepLines/>
        <w:widowControl w:val="0"/>
        <w:shd w:val="clear" w:color="auto" w:fill="auto"/>
        <w:bidi w:val="0"/>
        <w:spacing w:before="0" w:after="380" w:line="240" w:lineRule="auto"/>
        <w:ind w:left="0" w:right="0" w:firstLine="980"/>
        <w:jc w:val="left"/>
      </w:pPr>
      <w:bookmarkStart w:id="1539" w:name="bookmark1539"/>
      <w:bookmarkStart w:id="1540" w:name="bookmark1540"/>
      <w:bookmarkStart w:id="1541" w:name="bookmark1541"/>
      <w:bookmarkStart w:id="1542" w:name="bookmark1542"/>
      <w:r>
        <w:rPr>
          <w:rFonts w:ascii="Times New Roman" w:eastAsia="Times New Roman" w:hAnsi="Times New Roman" w:cs="Times New Roman"/>
          <w:color w:val="000000"/>
          <w:spacing w:val="0"/>
          <w:w w:val="100"/>
          <w:position w:val="0"/>
        </w:rPr>
        <w:t>2</w:t>
      </w:r>
      <w:bookmarkEnd w:id="1541"/>
      <w:r>
        <w:rPr>
          <w:rFonts w:ascii="Times New Roman" w:eastAsia="Times New Roman" w:hAnsi="Times New Roman" w:cs="Times New Roman"/>
          <w:color w:val="000000"/>
          <w:spacing w:val="0"/>
          <w:w w:val="100"/>
          <w:position w:val="0"/>
        </w:rPr>
        <w:t>4</w:t>
      </w:r>
      <w:r>
        <w:rPr>
          <w:color w:val="000000"/>
          <w:spacing w:val="0"/>
          <w:w w:val="100"/>
          <w:position w:val="0"/>
        </w:rPr>
        <w:t>、油气资产</w:t>
      </w:r>
      <w:bookmarkEnd w:id="1539"/>
      <w:bookmarkEnd w:id="1540"/>
      <w:bookmarkEnd w:id="1542"/>
    </w:p>
    <w:p>
      <w:pPr>
        <w:pStyle w:val="Style32"/>
        <w:keepNext w:val="0"/>
        <w:keepLines w:val="0"/>
        <w:widowControl w:val="0"/>
        <w:shd w:val="clear" w:color="auto" w:fill="auto"/>
        <w:bidi w:val="0"/>
        <w:spacing w:before="0" w:after="38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55"/>
        <w:keepNext/>
        <w:keepLines/>
        <w:widowControl w:val="0"/>
        <w:shd w:val="clear" w:color="auto" w:fill="auto"/>
        <w:bidi w:val="0"/>
        <w:spacing w:before="0" w:after="960" w:line="240" w:lineRule="auto"/>
        <w:ind w:left="0" w:right="0" w:firstLine="980"/>
        <w:jc w:val="left"/>
      </w:pPr>
      <w:bookmarkStart w:id="1543" w:name="bookmark1543"/>
      <w:bookmarkStart w:id="1544" w:name="bookmark1544"/>
      <w:bookmarkStart w:id="1545" w:name="bookmark1545"/>
      <w:bookmarkStart w:id="1546" w:name="bookmark1546"/>
      <w:r>
        <w:rPr>
          <w:rFonts w:ascii="Times New Roman" w:eastAsia="Times New Roman" w:hAnsi="Times New Roman" w:cs="Times New Roman"/>
          <w:color w:val="000000"/>
          <w:spacing w:val="0"/>
          <w:w w:val="100"/>
          <w:position w:val="0"/>
        </w:rPr>
        <w:t>2</w:t>
      </w:r>
      <w:bookmarkEnd w:id="1545"/>
      <w:r>
        <w:rPr>
          <w:rFonts w:ascii="Times New Roman" w:eastAsia="Times New Roman" w:hAnsi="Times New Roman" w:cs="Times New Roman"/>
          <w:color w:val="000000"/>
          <w:spacing w:val="0"/>
          <w:w w:val="100"/>
          <w:position w:val="0"/>
        </w:rPr>
        <w:t>5</w:t>
      </w:r>
      <w:r>
        <w:rPr>
          <w:color w:val="000000"/>
          <w:spacing w:val="0"/>
          <w:w w:val="100"/>
          <w:position w:val="0"/>
        </w:rPr>
        <w:t>、使用权资产</w:t>
      </w:r>
      <w:bookmarkEnd w:id="1543"/>
      <w:bookmarkEnd w:id="1544"/>
      <w:bookmarkEnd w:id="1546"/>
    </w:p>
    <w:p>
      <w:pPr>
        <w:pStyle w:val="Style55"/>
        <w:keepNext/>
        <w:keepLines/>
        <w:widowControl w:val="0"/>
        <w:shd w:val="clear" w:color="auto" w:fill="auto"/>
        <w:bidi w:val="0"/>
        <w:spacing w:before="0" w:after="380" w:line="240" w:lineRule="auto"/>
        <w:ind w:left="0" w:right="0" w:firstLine="980"/>
        <w:jc w:val="left"/>
      </w:pPr>
      <w:bookmarkStart w:id="1547" w:name="bookmark1547"/>
      <w:bookmarkStart w:id="1548" w:name="bookmark1548"/>
      <w:bookmarkStart w:id="1549" w:name="bookmark1549"/>
      <w:bookmarkStart w:id="1550" w:name="bookmark1550"/>
      <w:r>
        <w:rPr>
          <w:rFonts w:ascii="Times New Roman" w:eastAsia="Times New Roman" w:hAnsi="Times New Roman" w:cs="Times New Roman"/>
          <w:color w:val="000000"/>
          <w:spacing w:val="0"/>
          <w:w w:val="100"/>
          <w:position w:val="0"/>
        </w:rPr>
        <w:t>2</w:t>
      </w:r>
      <w:bookmarkEnd w:id="1549"/>
      <w:r>
        <w:rPr>
          <w:rFonts w:ascii="Times New Roman" w:eastAsia="Times New Roman" w:hAnsi="Times New Roman" w:cs="Times New Roman"/>
          <w:color w:val="000000"/>
          <w:spacing w:val="0"/>
          <w:w w:val="100"/>
          <w:position w:val="0"/>
        </w:rPr>
        <w:t>6</w:t>
      </w:r>
      <w:r>
        <w:rPr>
          <w:color w:val="000000"/>
          <w:spacing w:val="0"/>
          <w:w w:val="100"/>
          <w:position w:val="0"/>
        </w:rPr>
        <w:t>、无形资产</w:t>
      </w:r>
      <w:bookmarkEnd w:id="1547"/>
      <w:bookmarkEnd w:id="1548"/>
      <w:bookmarkEnd w:id="1550"/>
    </w:p>
    <w:p>
      <w:pPr>
        <w:pStyle w:val="Style55"/>
        <w:keepNext/>
        <w:keepLines/>
        <w:widowControl w:val="0"/>
        <w:numPr>
          <w:ilvl w:val="0"/>
          <w:numId w:val="157"/>
        </w:numPr>
        <w:shd w:val="clear" w:color="auto" w:fill="auto"/>
        <w:bidi w:val="0"/>
        <w:spacing w:before="0" w:after="380" w:line="240" w:lineRule="auto"/>
        <w:ind w:left="0" w:right="0" w:firstLine="980"/>
        <w:jc w:val="left"/>
      </w:pPr>
      <w:bookmarkStart w:id="1547" w:name="bookmark1547"/>
      <w:bookmarkStart w:id="1548" w:name="bookmark1548"/>
      <w:bookmarkStart w:id="1551" w:name="bookmark1551"/>
      <w:bookmarkStart w:id="1552" w:name="bookmark1552"/>
      <w:bookmarkEnd w:id="1551"/>
      <w:r>
        <w:rPr>
          <w:color w:val="000000"/>
          <w:spacing w:val="0"/>
          <w:w w:val="100"/>
          <w:position w:val="0"/>
        </w:rPr>
        <w:t>无形资产情况</w:t>
      </w:r>
      <w:bookmarkEnd w:id="1547"/>
      <w:bookmarkEnd w:id="1548"/>
      <w:bookmarkEnd w:id="1552"/>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39"/>
        <w:gridCol w:w="1363"/>
        <w:gridCol w:w="1368"/>
        <w:gridCol w:w="1368"/>
        <w:gridCol w:w="1368"/>
        <w:gridCol w:w="1368"/>
        <w:gridCol w:w="1373"/>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土地使用权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专利权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非专利技术及软 件著作权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商标权</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软件</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500" w:firstLine="0"/>
              <w:jc w:val="right"/>
            </w:pPr>
            <w:r>
              <w:rPr>
                <w:color w:val="000000"/>
                <w:spacing w:val="0"/>
                <w:w w:val="100"/>
                <w:position w:val="0"/>
              </w:rPr>
              <w:t>合计</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14,040,000.00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54,731,045.25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1,992,700.00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7,637,388.72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78,401,133.97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33,052,313.55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4,341,839.95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37,394,153.50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4,341,839.95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4,341,839.95</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)内部研发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19,167,465.07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19,167,465.07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13,884,848.48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13,884,848.48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2,110,440.02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12,735.04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2,123,175.06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12,735.04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12,735.04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)其他减少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2,110,440.02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2,110,440.02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14,040,000.00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85,672,918.78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1,992,700.00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11,966,493.63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113,672,112.41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1,939,736.61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24,190,178.36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921,916.09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4,027,736.44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31,079,567.50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369,473.64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13,335,998.05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221,473.61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814,641.47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14,741,586.77</w:t>
            </w:r>
          </w:p>
        </w:tc>
      </w:tr>
    </w:tbl>
    <w:p>
      <w:pPr>
        <w:sectPr>
          <w:headerReference w:type="default" r:id="rId415"/>
          <w:footerReference w:type="default" r:id="rId416"/>
          <w:headerReference w:type="even" r:id="rId417"/>
          <w:footerReference w:type="even" r:id="rId418"/>
          <w:footnotePr>
            <w:pos w:val="pageBottom"/>
            <w:numFmt w:val="decimal"/>
            <w:numRestart w:val="continuous"/>
          </w:footnotePr>
          <w:pgSz w:w="11900" w:h="16840"/>
          <w:pgMar w:top="678" w:right="1105" w:bottom="1158" w:left="133" w:header="0" w:footer="3" w:gutter="0"/>
          <w:cols w:space="720"/>
          <w:noEndnote/>
          <w:rtlGutter w:val="0"/>
          <w:docGrid w:linePitch="360"/>
        </w:sectPr>
      </w:pPr>
    </w:p>
    <w:p>
      <w:pPr>
        <w:widowControl w:val="0"/>
        <w:jc w:val="center"/>
        <w:rPr>
          <w:sz w:val="2"/>
          <w:szCs w:val="2"/>
        </w:rPr>
      </w:pPr>
      <w:r>
        <w:drawing>
          <wp:inline>
            <wp:extent cx="1298575" cy="481330"/>
            <wp:docPr id="977" name="Picutre 977"/>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419"/>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1939"/>
        <w:gridCol w:w="1363"/>
        <w:gridCol w:w="1368"/>
        <w:gridCol w:w="1368"/>
        <w:gridCol w:w="1368"/>
        <w:gridCol w:w="1368"/>
        <w:gridCol w:w="1373"/>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369,473.64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13,335,998.05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221,473.61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814,641.47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14,741,586.77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4,245.17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4,245.17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6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4,245.17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4,245.17</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2,309,210.25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37,526,176.41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1,143,389.70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4,838,132.74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45,816,909.10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120,133.33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120,133.33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120,133.33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120,133.33</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w:t>
            </w:r>
            <w:r>
              <w:rPr>
                <w:color w:val="000000"/>
                <w:spacing w:val="0"/>
                <w:w w:val="100"/>
                <w:position w:val="0"/>
              </w:rPr>
              <w:t>期末账面价值</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11,730,789.75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48,026,609.04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849,310.30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7,128,360.89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67,735,069.98</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w:t>
            </w:r>
            <w:r>
              <w:rPr>
                <w:color w:val="000000"/>
                <w:spacing w:val="0"/>
                <w:w w:val="100"/>
                <w:position w:val="0"/>
              </w:rPr>
              <w:t>期初账面价值</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12,100,263.39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30,420,733.56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1,070,783.91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rPr>
              <w:t>3,609,652.28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47,201,433.14</w:t>
            </w:r>
          </w:p>
        </w:tc>
      </w:tr>
    </w:tbl>
    <w:p>
      <w:pPr>
        <w:pStyle w:val="Style49"/>
        <w:keepNext w:val="0"/>
        <w:keepLines w:val="0"/>
        <w:widowControl w:val="0"/>
        <w:shd w:val="clear" w:color="auto" w:fill="auto"/>
        <w:bidi w:val="0"/>
        <w:spacing w:before="0" w:after="0" w:line="240" w:lineRule="auto"/>
        <w:ind w:left="552" w:right="0" w:firstLine="0"/>
        <w:jc w:val="left"/>
      </w:pPr>
      <w:r>
        <w:rPr>
          <w:color w:val="000000"/>
          <w:spacing w:val="0"/>
          <w:w w:val="100"/>
          <w:position w:val="0"/>
        </w:rPr>
        <w:t>本期末通过公司内部研发形成的无形资产占无形资产余额的比例</w:t>
      </w:r>
      <w:r>
        <w:rPr>
          <w:rFonts w:ascii="Times New Roman" w:eastAsia="Times New Roman" w:hAnsi="Times New Roman" w:cs="Times New Roman"/>
          <w:color w:val="000000"/>
          <w:spacing w:val="0"/>
          <w:w w:val="100"/>
          <w:position w:val="0"/>
        </w:rPr>
        <w:t>47.24%</w:t>
      </w:r>
      <w:r>
        <w:rPr>
          <w:color w:val="000000"/>
          <w:spacing w:val="0"/>
          <w:w w:val="100"/>
          <w:position w:val="0"/>
        </w:rPr>
        <w:t>。</w:t>
      </w:r>
    </w:p>
    <w:p>
      <w:pPr>
        <w:widowControl w:val="0"/>
        <w:spacing w:after="379" w:line="1" w:lineRule="exact"/>
      </w:pPr>
    </w:p>
    <w:p>
      <w:pPr>
        <w:pStyle w:val="Style55"/>
        <w:keepNext/>
        <w:keepLines/>
        <w:widowControl w:val="0"/>
        <w:shd w:val="clear" w:color="auto" w:fill="auto"/>
        <w:bidi w:val="0"/>
        <w:spacing w:before="0" w:after="280" w:line="240" w:lineRule="auto"/>
        <w:ind w:left="1100" w:right="0" w:firstLine="0"/>
        <w:jc w:val="left"/>
      </w:pPr>
      <w:bookmarkStart w:id="1553" w:name="bookmark1553"/>
      <w:bookmarkStart w:id="1554" w:name="bookmark1554"/>
      <w:bookmarkStart w:id="1555" w:name="bookmark1555"/>
      <w:bookmarkStart w:id="1556" w:name="bookmark1556"/>
      <w:r>
        <w:rPr>
          <w:rFonts w:ascii="Times New Roman" w:eastAsia="Times New Roman" w:hAnsi="Times New Roman" w:cs="Times New Roman"/>
          <w:color w:val="000000"/>
          <w:spacing w:val="0"/>
          <w:w w:val="100"/>
          <w:position w:val="0"/>
        </w:rPr>
        <w:t>（</w:t>
      </w:r>
      <w:bookmarkEnd w:id="1555"/>
      <w:r>
        <w:rPr>
          <w:rFonts w:ascii="Times New Roman" w:eastAsia="Times New Roman" w:hAnsi="Times New Roman" w:cs="Times New Roman"/>
          <w:color w:val="000000"/>
          <w:spacing w:val="0"/>
          <w:w w:val="100"/>
          <w:position w:val="0"/>
        </w:rPr>
        <w:t>2</w:t>
      </w:r>
      <w:r>
        <w:rPr>
          <w:color w:val="000000"/>
          <w:spacing w:val="0"/>
          <w:w w:val="100"/>
          <w:position w:val="0"/>
        </w:rPr>
        <w:t>）未办妥产权证书的土地使用权情况</w:t>
      </w:r>
      <w:bookmarkEnd w:id="1553"/>
      <w:bookmarkEnd w:id="1554"/>
      <w:bookmarkEnd w:id="1556"/>
    </w:p>
    <w:p>
      <w:pPr>
        <w:pStyle w:val="Style32"/>
        <w:keepNext w:val="0"/>
        <w:keepLines w:val="0"/>
        <w:widowControl w:val="0"/>
        <w:shd w:val="clear" w:color="auto" w:fill="auto"/>
        <w:bidi w:val="0"/>
        <w:spacing w:before="0" w:after="0" w:line="307" w:lineRule="exact"/>
        <w:ind w:left="0" w:right="0" w:firstLine="980"/>
        <w:jc w:val="left"/>
      </w:pPr>
      <w:r>
        <w:rPr>
          <w:color w:val="000000"/>
          <w:spacing w:val="0"/>
          <w:w w:val="100"/>
          <w:position w:val="0"/>
        </w:rPr>
        <w:t>无</w:t>
      </w:r>
    </w:p>
    <w:p>
      <w:pPr>
        <w:pStyle w:val="Style32"/>
        <w:keepNext w:val="0"/>
        <w:keepLines w:val="0"/>
        <w:widowControl w:val="0"/>
        <w:shd w:val="clear" w:color="auto" w:fill="auto"/>
        <w:bidi w:val="0"/>
        <w:spacing w:before="0" w:after="0" w:line="307" w:lineRule="exact"/>
        <w:ind w:left="0" w:right="0" w:firstLine="980"/>
        <w:jc w:val="left"/>
      </w:pPr>
      <w:r>
        <w:rPr>
          <w:color w:val="000000"/>
          <w:spacing w:val="0"/>
          <w:w w:val="100"/>
          <w:position w:val="0"/>
        </w:rPr>
        <w:t>其他说明：</w:t>
      </w:r>
    </w:p>
    <w:p>
      <w:pPr>
        <w:pStyle w:val="Style32"/>
        <w:keepNext w:val="0"/>
        <w:keepLines w:val="0"/>
        <w:widowControl w:val="0"/>
        <w:shd w:val="clear" w:color="auto" w:fill="auto"/>
        <w:bidi w:val="0"/>
        <w:spacing w:before="0" w:after="0" w:line="307" w:lineRule="exact"/>
        <w:ind w:left="0" w:right="0" w:firstLine="980"/>
        <w:jc w:val="left"/>
      </w:pPr>
      <w:r>
        <w:rPr>
          <w:color w:val="000000"/>
          <w:spacing w:val="0"/>
          <w:w w:val="100"/>
          <w:position w:val="0"/>
        </w:rPr>
        <w:t>本公司期末无形资产不存在减值因素，因此未计提无形资产减值准备。</w:t>
      </w:r>
    </w:p>
    <w:p>
      <w:pPr>
        <w:pStyle w:val="Style32"/>
        <w:keepNext w:val="0"/>
        <w:keepLines w:val="0"/>
        <w:widowControl w:val="0"/>
        <w:shd w:val="clear" w:color="auto" w:fill="auto"/>
        <w:bidi w:val="0"/>
        <w:spacing w:before="0" w:after="380" w:line="307" w:lineRule="exact"/>
        <w:ind w:left="980" w:right="0" w:firstLine="0"/>
        <w:jc w:val="left"/>
      </w:pPr>
      <w:r>
        <w:rPr>
          <w:color w:val="000000"/>
          <w:spacing w:val="0"/>
          <w:w w:val="100"/>
          <w:position w:val="0"/>
        </w:rPr>
        <w:t>本公司期末无形资产抵押、质押等所有权受到限制的情况详见本报告第十二节、七、</w:t>
      </w:r>
      <w:r>
        <w:rPr>
          <w:rFonts w:ascii="Times New Roman" w:eastAsia="Times New Roman" w:hAnsi="Times New Roman" w:cs="Times New Roman"/>
          <w:color w:val="000000"/>
          <w:spacing w:val="0"/>
          <w:w w:val="100"/>
          <w:position w:val="0"/>
        </w:rPr>
        <w:t>81</w:t>
      </w:r>
      <w:r>
        <w:rPr>
          <w:color w:val="000000"/>
          <w:spacing w:val="0"/>
          <w:w w:val="100"/>
          <w:position w:val="0"/>
        </w:rPr>
        <w:t>。 本项目其他减少</w:t>
      </w:r>
      <w:r>
        <w:rPr>
          <w:rFonts w:ascii="Times New Roman" w:eastAsia="Times New Roman" w:hAnsi="Times New Roman" w:cs="Times New Roman"/>
          <w:color w:val="000000"/>
          <w:spacing w:val="0"/>
          <w:w w:val="100"/>
          <w:position w:val="0"/>
        </w:rPr>
        <w:t>2,110,440.02</w:t>
      </w:r>
      <w:r>
        <w:rPr>
          <w:color w:val="000000"/>
          <w:spacing w:val="0"/>
          <w:w w:val="100"/>
          <w:position w:val="0"/>
        </w:rPr>
        <w:t>元为公司处置的享云科技有限责任公司无形资产余额。</w:t>
      </w:r>
    </w:p>
    <w:p>
      <w:pPr>
        <w:pStyle w:val="Style55"/>
        <w:keepNext/>
        <w:keepLines/>
        <w:widowControl w:val="0"/>
        <w:shd w:val="clear" w:color="auto" w:fill="auto"/>
        <w:bidi w:val="0"/>
        <w:spacing w:before="0" w:after="380" w:line="240" w:lineRule="auto"/>
        <w:ind w:left="0" w:right="0" w:firstLine="980"/>
        <w:jc w:val="both"/>
      </w:pPr>
      <w:bookmarkStart w:id="1557" w:name="bookmark1557"/>
      <w:bookmarkStart w:id="1558" w:name="bookmark1558"/>
      <w:bookmarkStart w:id="1559" w:name="bookmark1559"/>
      <w:bookmarkStart w:id="1560" w:name="bookmark1560"/>
      <w:r>
        <w:rPr>
          <w:rFonts w:ascii="Times New Roman" w:eastAsia="Times New Roman" w:hAnsi="Times New Roman" w:cs="Times New Roman"/>
          <w:color w:val="000000"/>
          <w:spacing w:val="0"/>
          <w:w w:val="100"/>
          <w:position w:val="0"/>
        </w:rPr>
        <w:t>2</w:t>
      </w:r>
      <w:bookmarkEnd w:id="1559"/>
      <w:r>
        <w:rPr>
          <w:rFonts w:ascii="Times New Roman" w:eastAsia="Times New Roman" w:hAnsi="Times New Roman" w:cs="Times New Roman"/>
          <w:color w:val="000000"/>
          <w:spacing w:val="0"/>
          <w:w w:val="100"/>
          <w:position w:val="0"/>
        </w:rPr>
        <w:t>7</w:t>
      </w:r>
      <w:r>
        <w:rPr>
          <w:color w:val="000000"/>
          <w:spacing w:val="0"/>
          <w:w w:val="100"/>
          <w:position w:val="0"/>
        </w:rPr>
        <w:t>、开发支出</w:t>
      </w:r>
      <w:bookmarkEnd w:id="1557"/>
      <w:bookmarkEnd w:id="1558"/>
      <w:bookmarkEnd w:id="1560"/>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75"/>
        <w:gridCol w:w="1133"/>
        <w:gridCol w:w="1277"/>
        <w:gridCol w:w="1133"/>
        <w:gridCol w:w="422"/>
        <w:gridCol w:w="1138"/>
        <w:gridCol w:w="850"/>
        <w:gridCol w:w="1133"/>
        <w:gridCol w:w="1214"/>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40" w:firstLine="0"/>
              <w:jc w:val="right"/>
            </w:pPr>
            <w:r>
              <w:rPr>
                <w:color w:val="000000"/>
                <w:spacing w:val="0"/>
                <w:w w:val="100"/>
                <w:position w:val="0"/>
              </w:rPr>
              <w:t>期末余额</w:t>
            </w:r>
          </w:p>
        </w:tc>
      </w:tr>
      <w:tr>
        <w:trPr>
          <w:trHeight w:val="710"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内部开发支出</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确认为无形 资产</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转入当期 损益</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手术示教信息系统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1,088,756.25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282,107.00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1,370,863.25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基于全景云的远程医疗平台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818,467.86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1,122,877.58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1,941,345.44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电子病房卡信息系统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371,036.18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95,848.81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466,884.99</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物联电子屏应用系统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137,152.94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277,367.77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414,520.71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血液透析服务平台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846,975.62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846,975.62</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移动远程查房系统</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485,528.78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485,528.78</w:t>
            </w:r>
          </w:p>
        </w:tc>
      </w:tr>
    </w:tbl>
    <w:p>
      <w:pPr>
        <w:sectPr>
          <w:footnotePr>
            <w:pos w:val="pageBottom"/>
            <w:numFmt w:val="decimal"/>
            <w:numRestart w:val="continuous"/>
          </w:footnotePr>
          <w:pgSz w:w="11900" w:h="16840"/>
          <w:pgMar w:top="692" w:right="1105" w:bottom="1158" w:left="133" w:header="0" w:footer="3" w:gutter="0"/>
          <w:cols w:space="720"/>
          <w:noEndnote/>
          <w:rtlGutter w:val="0"/>
          <w:docGrid w:linePitch="360"/>
        </w:sectPr>
      </w:pPr>
    </w:p>
    <w:p>
      <w:pPr>
        <w:widowControl w:val="0"/>
        <w:jc w:val="center"/>
        <w:rPr>
          <w:sz w:val="2"/>
          <w:szCs w:val="2"/>
        </w:rPr>
      </w:pPr>
      <w:r>
        <mc:AlternateContent>
          <mc:Choice Requires="wps">
            <w:drawing>
              <wp:anchor distT="76200" distB="0" distL="114300" distR="1421765" simplePos="0" relativeHeight="125829635" behindDoc="0" locked="0" layoutInCell="1" allowOverlap="1">
                <wp:simplePos x="0" y="0"/>
                <wp:positionH relativeFrom="page">
                  <wp:posOffset>712470</wp:posOffset>
                </wp:positionH>
                <wp:positionV relativeFrom="margin">
                  <wp:posOffset>4590415</wp:posOffset>
                </wp:positionV>
                <wp:extent cx="4620895" cy="1996440"/>
                <wp:wrapTopAndBottom/>
                <wp:docPr id="978" name="Shape 978"/>
                <a:graphic xmlns:a="http://schemas.openxmlformats.org/drawingml/2006/main">
                  <a:graphicData uri="http://schemas.microsoft.com/office/word/2010/wordprocessingShape">
                    <wps:wsp>
                      <wps:cNvSpPr txBox="1"/>
                      <wps:spPr>
                        <a:xfrm>
                          <a:ext cx="4620895" cy="1996440"/>
                        </a:xfrm>
                        <a:prstGeom prst="rect"/>
                        <a:noFill/>
                      </wps:spPr>
                      <wps:txbx>
                        <w:txbxContent>
                          <w:tbl>
                            <w:tblPr>
                              <w:tblOverlap w:val="never"/>
                              <w:jc w:val="left"/>
                              <w:tblLayout w:type="fixed"/>
                            </w:tblPr>
                            <w:tblGrid>
                              <w:gridCol w:w="4272"/>
                              <w:gridCol w:w="1315"/>
                              <w:gridCol w:w="1690"/>
                            </w:tblGrid>
                            <w:tr>
                              <w:trPr>
                                <w:tblHeader/>
                                <w:trHeight w:val="35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资本化开始时点</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截至期末的研发进度</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电子病房卡信息系统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血液透析服务平台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移动远程查房系统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病房看板系统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互联网医院系统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急诊医疗信息系统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急危重症诊疗辅助平台软件</w:t>
                                  </w:r>
                                  <w:r>
                                    <w:rPr>
                                      <w:rFonts w:ascii="Times New Roman" w:eastAsia="Times New Roman" w:hAnsi="Times New Roman" w:cs="Times New Roman"/>
                                      <w:color w:val="000000"/>
                                      <w:spacing w:val="0"/>
                                      <w:w w:val="100"/>
                                      <w:position w:val="0"/>
                                    </w:rPr>
                                    <w:t>V3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60"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临床危重事件早期预警与干预技术服务模式研发</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bl>
                          <w:p>
                            <w:pPr>
                              <w:widowControl w:val="0"/>
                              <w:spacing w:line="1" w:lineRule="exact"/>
                            </w:pPr>
                          </w:p>
                        </w:txbxContent>
                      </wps:txbx>
                      <wps:bodyPr lIns="0" tIns="0" rIns="0" bIns="0">
                        <a:noAutoFit/>
                      </wps:bodyPr>
                    </wps:wsp>
                  </a:graphicData>
                </a:graphic>
              </wp:anchor>
            </w:drawing>
          </mc:Choice>
          <mc:Fallback>
            <w:pict>
              <v:shape id="_x0000_s2004" type="#_x0000_t202" style="position:absolute;margin-left:56.100000000000001pt;margin-top:361.44999999999999pt;width:363.85000000000002pt;height:157.20000000000002pt;z-index:-125829118;mso-wrap-distance-left:9.pt;mso-wrap-distance-top:6.pt;mso-wrap-distance-right:111.95pt;mso-position-horizontal-relative:page;mso-position-vertical-relative:margin" filled="f" stroked="f">
                <v:textbox inset="0,0,0,0">
                  <w:txbxContent>
                    <w:tbl>
                      <w:tblPr>
                        <w:tblOverlap w:val="never"/>
                        <w:jc w:val="left"/>
                        <w:tblLayout w:type="fixed"/>
                      </w:tblPr>
                      <w:tblGrid>
                        <w:gridCol w:w="4272"/>
                        <w:gridCol w:w="1315"/>
                        <w:gridCol w:w="1690"/>
                      </w:tblGrid>
                      <w:tr>
                        <w:trPr>
                          <w:tblHeader/>
                          <w:trHeight w:val="35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资本化开始时点</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截至期末的研发进度</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电子病房卡信息系统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血液透析服务平台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移动远程查房系统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5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病房看板系统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互联网医院系统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急诊医疗信息系统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4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急危重症诊疗辅助平台软件</w:t>
                            </w:r>
                            <w:r>
                              <w:rPr>
                                <w:rFonts w:ascii="Times New Roman" w:eastAsia="Times New Roman" w:hAnsi="Times New Roman" w:cs="Times New Roman"/>
                                <w:color w:val="000000"/>
                                <w:spacing w:val="0"/>
                                <w:w w:val="100"/>
                                <w:position w:val="0"/>
                              </w:rPr>
                              <w:t>V3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r>
                        <w:trPr>
                          <w:trHeight w:val="360"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临床危重事件早期预警与干预技术服务模式研发</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阶段性研发中期</w:t>
                            </w:r>
                          </w:p>
                        </w:tc>
                      </w:tr>
                    </w:tbl>
                    <w:p>
                      <w:pPr>
                        <w:widowControl w:val="0"/>
                        <w:spacing w:line="1" w:lineRule="exact"/>
                      </w:pPr>
                    </w:p>
                  </w:txbxContent>
                </v:textbox>
                <w10:wrap type="topAndBottom" anchorx="page" anchory="margin"/>
              </v:shape>
            </w:pict>
          </mc:Fallback>
        </mc:AlternateContent>
      </w:r>
      <w:r>
        <mc:AlternateContent>
          <mc:Choice Requires="wps">
            <w:drawing>
              <wp:anchor distT="106680" distB="1807210" distL="4969510" distR="364490" simplePos="0" relativeHeight="125829637" behindDoc="0" locked="0" layoutInCell="1" allowOverlap="1">
                <wp:simplePos x="0" y="0"/>
                <wp:positionH relativeFrom="page">
                  <wp:posOffset>5567680</wp:posOffset>
                </wp:positionH>
                <wp:positionV relativeFrom="margin">
                  <wp:posOffset>4620895</wp:posOffset>
                </wp:positionV>
                <wp:extent cx="822960" cy="158750"/>
                <wp:wrapTopAndBottom/>
                <wp:docPr id="980" name="Shape 980"/>
                <a:graphic xmlns:a="http://schemas.openxmlformats.org/drawingml/2006/main">
                  <a:graphicData uri="http://schemas.microsoft.com/office/word/2010/wordprocessingShape">
                    <wps:wsp>
                      <wps:cNvSpPr txBox="1"/>
                      <wps:spPr>
                        <a:xfrm>
                          <a:ext cx="822960" cy="1587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资本化具体依据</w:t>
                            </w:r>
                          </w:p>
                        </w:txbxContent>
                      </wps:txbx>
                      <wps:bodyPr wrap="none" lIns="0" tIns="0" rIns="0" bIns="0">
                        <a:noAutoFit/>
                      </wps:bodyPr>
                    </wps:wsp>
                  </a:graphicData>
                </a:graphic>
              </wp:anchor>
            </w:drawing>
          </mc:Choice>
          <mc:Fallback>
            <w:pict>
              <v:shape id="_x0000_s2006" type="#_x0000_t202" style="position:absolute;margin-left:438.40000000000003pt;margin-top:363.85000000000002pt;width:64.799999999999997pt;height:12.5pt;z-index:-125829116;mso-wrap-distance-left:391.30000000000001pt;mso-wrap-distance-top:8.4000000000000004pt;mso-wrap-distance-right:28.699999999999999pt;mso-wrap-distance-bottom:142.3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资本化具体依据</w:t>
                      </w:r>
                    </w:p>
                  </w:txbxContent>
                </v:textbox>
                <w10:wrap type="topAndBottom" anchorx="page" anchory="margin"/>
              </v:shape>
            </w:pict>
          </mc:Fallback>
        </mc:AlternateContent>
      </w:r>
      <w:r>
        <mc:AlternateContent>
          <mc:Choice Requires="wps">
            <w:drawing>
              <wp:anchor distT="280670" distB="393065" distL="4719955" distR="114300" simplePos="0" relativeHeight="125829639" behindDoc="0" locked="0" layoutInCell="1" allowOverlap="1">
                <wp:simplePos x="0" y="0"/>
                <wp:positionH relativeFrom="page">
                  <wp:posOffset>5318125</wp:posOffset>
                </wp:positionH>
                <wp:positionV relativeFrom="margin">
                  <wp:posOffset>4794885</wp:posOffset>
                </wp:positionV>
                <wp:extent cx="1322705" cy="1398905"/>
                <wp:wrapTopAndBottom/>
                <wp:docPr id="982" name="Shape 982"/>
                <a:graphic xmlns:a="http://schemas.openxmlformats.org/drawingml/2006/main">
                  <a:graphicData uri="http://schemas.microsoft.com/office/word/2010/wordprocessingShape">
                    <wps:wsp>
                      <wps:cNvSpPr txBox="1"/>
                      <wps:spPr>
                        <a:xfrm>
                          <a:ext cx="1322705" cy="1398905"/>
                        </a:xfrm>
                        <a:prstGeom prst="rect"/>
                        <a:noFill/>
                      </wps:spPr>
                      <wps:txbx>
                        <w:txbxContent>
                          <w:p>
                            <w:pPr>
                              <w:pStyle w:val="Style3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2" w:lineRule="exact"/>
                              <w:ind w:left="0" w:right="0" w:firstLine="0"/>
                              <w:jc w:val="both"/>
                            </w:pPr>
                            <w:r>
                              <w:rPr>
                                <w:color w:val="000000"/>
                                <w:spacing w:val="0"/>
                                <w:w w:val="100"/>
                                <w:position w:val="0"/>
                              </w:rPr>
                              <w:t>评审形成立项报告后，研 发项目组完成软件设计、 代码编写、系统测试、通 过内部的验收评审并完成 了产品化需要的各类文档 等工作，可以达到可使用 或可销售状态。</w:t>
                            </w:r>
                          </w:p>
                        </w:txbxContent>
                      </wps:txbx>
                      <wps:bodyPr lIns="0" tIns="0" rIns="0" bIns="0">
                        <a:noAutoFit/>
                      </wps:bodyPr>
                    </wps:wsp>
                  </a:graphicData>
                </a:graphic>
              </wp:anchor>
            </w:drawing>
          </mc:Choice>
          <mc:Fallback>
            <w:pict>
              <v:shape id="_x0000_s2008" type="#_x0000_t202" style="position:absolute;margin-left:418.75pt;margin-top:377.55000000000001pt;width:104.15000000000001pt;height:110.15000000000001pt;z-index:-125829114;mso-wrap-distance-left:371.65000000000003pt;mso-wrap-distance-top:22.100000000000001pt;mso-wrap-distance-right:9.pt;mso-wrap-distance-bottom:30.949999999999999pt;mso-position-horizontal-relative:page;mso-position-vertical-relative:margin" filled="f" stroked="f">
                <v:textbox inset="0,0,0,0">
                  <w:txbxContent>
                    <w:p>
                      <w:pPr>
                        <w:pStyle w:val="Style3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2" w:lineRule="exact"/>
                        <w:ind w:left="0" w:right="0" w:firstLine="0"/>
                        <w:jc w:val="both"/>
                      </w:pPr>
                      <w:r>
                        <w:rPr>
                          <w:color w:val="000000"/>
                          <w:spacing w:val="0"/>
                          <w:w w:val="100"/>
                          <w:position w:val="0"/>
                        </w:rPr>
                        <w:t>评审形成立项报告后，研 发项目组完成软件设计、 代码编写、系统测试、通 过内部的验收评审并完成 了产品化需要的各类文档 等工作，可以达到可使用 或可销售状态。</w:t>
                      </w:r>
                    </w:p>
                  </w:txbxContent>
                </v:textbox>
                <w10:wrap type="topAndBottom" anchorx="page" anchory="margin"/>
              </v:shape>
            </w:pict>
          </mc:Fallback>
        </mc:AlternateContent>
      </w:r>
      <w:r>
        <w:drawing>
          <wp:inline>
            <wp:extent cx="1298575" cy="481330"/>
            <wp:docPr id="984" name="Picutre 984"/>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421"/>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p>
      <w:pPr>
        <w:widowControl w:val="0"/>
        <w:spacing w:line="1" w:lineRule="exact"/>
      </w:pPr>
    </w:p>
    <w:tbl>
      <w:tblPr>
        <w:tblOverlap w:val="never"/>
        <w:jc w:val="center"/>
        <w:tblLayout w:type="fixed"/>
      </w:tblPr>
      <w:tblGrid>
        <w:gridCol w:w="2275"/>
        <w:gridCol w:w="1133"/>
        <w:gridCol w:w="1277"/>
        <w:gridCol w:w="1133"/>
        <w:gridCol w:w="422"/>
        <w:gridCol w:w="1138"/>
        <w:gridCol w:w="850"/>
        <w:gridCol w:w="1133"/>
        <w:gridCol w:w="1214"/>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病房看板系统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394,464.32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394,464.32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互联网医院系统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3,005,654.62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3,005,654.62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急诊医疗信息系统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1,491,050.55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2,672,912.76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4,163,963.31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手术室麻醉临床信息系统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5,357,524.21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1,085,442.40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6,442,966.61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98" w:lineRule="exact"/>
              <w:ind w:left="0" w:right="0" w:firstLine="0"/>
              <w:jc w:val="left"/>
            </w:pPr>
            <w:r>
              <w:rPr>
                <w:color w:val="000000"/>
                <w:spacing w:val="0"/>
                <w:w w:val="100"/>
                <w:position w:val="0"/>
              </w:rPr>
              <w:t>临床设备大数据管理平台研 发项目</w:t>
            </w:r>
            <w:r>
              <w:rPr>
                <w:rFonts w:ascii="Times New Roman" w:eastAsia="Times New Roman" w:hAnsi="Times New Roman" w:cs="Times New Roman"/>
                <w:color w:val="000000"/>
                <w:spacing w:val="0"/>
                <w:w w:val="100"/>
                <w:position w:val="0"/>
              </w:rPr>
              <w:t>DCGW4.0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1,141,234.08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137,774.36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1,279,008.44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院前急救临床信息系统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1,047,504.75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1,047,504.75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专病中心急救管理信息平台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662,704.92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1,213,705.17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1,687,117.73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3,563,527.82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急危重症诊疗辅助平台软件</w:t>
            </w:r>
          </w:p>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V3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1,340,598.77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195,116.87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1,535,715.64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群体损伤移动管理软件</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639,612.98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639,612.98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重症医学临床信息系统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2,267,320.01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1,887,912.79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4,155,232.80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临床危重事件早期预警与干 预技术服务模式研发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1,753,017.07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1,753,017.07</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16,362,963.50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15,456,705.92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1,687,117.73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19,167,465.07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1,687,117.73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12,652,204.35</w:t>
            </w:r>
          </w:p>
        </w:tc>
      </w:tr>
    </w:tbl>
    <w:p>
      <w:pPr>
        <w:pStyle w:val="Style49"/>
        <w:keepNext w:val="0"/>
        <w:keepLines w:val="0"/>
        <w:widowControl w:val="0"/>
        <w:shd w:val="clear" w:color="auto" w:fill="auto"/>
        <w:bidi w:val="0"/>
        <w:spacing w:before="0" w:after="0" w:line="240" w:lineRule="auto"/>
        <w:ind w:left="979" w:right="0" w:firstLine="0"/>
        <w:jc w:val="left"/>
        <w:sectPr>
          <w:footnotePr>
            <w:pos w:val="pageBottom"/>
            <w:numFmt w:val="decimal"/>
            <w:numRestart w:val="continuous"/>
          </w:footnotePr>
          <w:pgSz w:w="11900" w:h="16840"/>
          <w:pgMar w:top="692" w:right="1105" w:bottom="1474" w:left="133" w:header="0" w:footer="3" w:gutter="0"/>
          <w:cols w:space="720"/>
          <w:noEndnote/>
          <w:rtlGutter w:val="0"/>
          <w:docGrid w:linePitch="360"/>
        </w:sectPr>
      </w:pPr>
      <w:r>
        <w:rPr>
          <w:color w:val="000000"/>
          <w:spacing w:val="0"/>
          <w:w w:val="100"/>
          <w:position w:val="0"/>
        </w:rPr>
        <w:t>其他说明</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1900" w:h="16840"/>
          <w:pgMar w:top="921" w:right="0" w:bottom="1246" w:left="0" w:header="0" w:footer="3" w:gutter="0"/>
          <w:cols w:space="720"/>
          <w:noEndnote/>
          <w:rtlGutter w:val="0"/>
          <w:docGrid w:linePitch="360"/>
        </w:sectPr>
      </w:pPr>
    </w:p>
    <w:p>
      <w:pPr>
        <w:pStyle w:val="Style55"/>
        <w:keepNext/>
        <w:keepLines/>
        <w:widowControl w:val="0"/>
        <w:shd w:val="clear" w:color="auto" w:fill="auto"/>
        <w:bidi w:val="0"/>
        <w:spacing w:before="0" w:after="360" w:line="240" w:lineRule="auto"/>
        <w:ind w:left="0" w:right="0" w:firstLine="980"/>
        <w:jc w:val="left"/>
      </w:pPr>
      <w:bookmarkStart w:id="1561" w:name="bookmark1561"/>
      <w:bookmarkStart w:id="1562" w:name="bookmark1562"/>
      <w:bookmarkStart w:id="1563" w:name="bookmark1563"/>
      <w:bookmarkStart w:id="1564" w:name="bookmark1564"/>
      <w:r>
        <w:rPr>
          <w:rFonts w:ascii="Times New Roman" w:eastAsia="Times New Roman" w:hAnsi="Times New Roman" w:cs="Times New Roman"/>
          <w:color w:val="000000"/>
          <w:spacing w:val="0"/>
          <w:w w:val="100"/>
          <w:position w:val="0"/>
        </w:rPr>
        <w:t>2</w:t>
      </w:r>
      <w:bookmarkEnd w:id="1563"/>
      <w:r>
        <w:rPr>
          <w:rFonts w:ascii="Times New Roman" w:eastAsia="Times New Roman" w:hAnsi="Times New Roman" w:cs="Times New Roman"/>
          <w:color w:val="000000"/>
          <w:spacing w:val="0"/>
          <w:w w:val="100"/>
          <w:position w:val="0"/>
        </w:rPr>
        <w:t>8</w:t>
      </w:r>
      <w:r>
        <w:rPr>
          <w:color w:val="000000"/>
          <w:spacing w:val="0"/>
          <w:w w:val="100"/>
          <w:position w:val="0"/>
        </w:rPr>
        <w:t>、商誉</w:t>
      </w:r>
      <w:bookmarkEnd w:id="1561"/>
      <w:bookmarkEnd w:id="1562"/>
      <w:bookmarkEnd w:id="1564"/>
    </w:p>
    <w:p>
      <w:pPr>
        <w:pStyle w:val="Style55"/>
        <w:keepNext/>
        <w:keepLines/>
        <w:widowControl w:val="0"/>
        <w:numPr>
          <w:ilvl w:val="0"/>
          <w:numId w:val="159"/>
        </w:numPr>
        <w:shd w:val="clear" w:color="auto" w:fill="auto"/>
        <w:bidi w:val="0"/>
        <w:spacing w:before="0" w:after="360" w:line="240" w:lineRule="auto"/>
        <w:ind w:left="1100" w:right="0" w:firstLine="0"/>
        <w:jc w:val="left"/>
      </w:pPr>
      <w:bookmarkStart w:id="1561" w:name="bookmark1561"/>
      <w:bookmarkStart w:id="1562" w:name="bookmark1562"/>
      <w:bookmarkStart w:id="1565" w:name="bookmark1565"/>
      <w:bookmarkStart w:id="1566" w:name="bookmark1566"/>
      <w:bookmarkEnd w:id="1565"/>
      <w:r>
        <w:rPr>
          <w:color w:val="000000"/>
          <w:spacing w:val="0"/>
          <w:w w:val="100"/>
          <w:position w:val="0"/>
        </w:rPr>
        <w:t>商誉账面原值</w:t>
      </w:r>
      <w:bookmarkEnd w:id="1561"/>
      <w:bookmarkEnd w:id="1562"/>
      <w:bookmarkEnd w:id="1566"/>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27"/>
        <w:gridCol w:w="1363"/>
        <w:gridCol w:w="1368"/>
        <w:gridCol w:w="1368"/>
        <w:gridCol w:w="1368"/>
        <w:gridCol w:w="1368"/>
        <w:gridCol w:w="1373"/>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被投资单位名称或形成商誉 的事项</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企业合并形成的</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c>
          <w:tcPr>
            <w:tcBorders>
              <w:top w:val="single" w:sz="4"/>
              <w:left w:val="single" w:sz="4"/>
            </w:tcBorders>
            <w:shd w:val="clear" w:color="auto" w:fill="D4D4D4"/>
            <w:vAlign w:val="top"/>
          </w:tcPr>
          <w:p>
            <w:pPr>
              <w:widowControl w:val="0"/>
              <w:rPr>
                <w:sz w:val="10"/>
                <w:szCs w:val="10"/>
              </w:rPr>
            </w:pP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享云科技有限责任公司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8,616,399.34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8,616,399.34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126,125,037.69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126,125,037.69</w:t>
            </w:r>
          </w:p>
        </w:tc>
      </w:tr>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北京神州视翰科技有限公司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196,519,209.97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196,519,209.97</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上海今创信息技术有限公司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144,514,491.34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144,514,491.34</w:t>
            </w:r>
          </w:p>
        </w:tc>
      </w:tr>
    </w:tbl>
    <w:p>
      <w:pPr>
        <w:widowControl w:val="0"/>
        <w:spacing w:line="1" w:lineRule="exact"/>
        <w:sectPr>
          <w:footnotePr>
            <w:pos w:val="pageBottom"/>
            <w:numFmt w:val="decimal"/>
            <w:numRestart w:val="continuous"/>
          </w:footnotePr>
          <w:type w:val="continuous"/>
          <w:pgSz w:w="11900" w:h="16840"/>
          <w:pgMar w:top="921" w:right="1031" w:bottom="1246" w:left="208" w:header="0" w:footer="3" w:gutter="0"/>
          <w:cols w:space="720"/>
          <w:noEndnote/>
          <w:rtlGutter w:val="0"/>
          <w:docGrid w:linePitch="360"/>
        </w:sectPr>
      </w:pPr>
    </w:p>
    <w:tbl>
      <w:tblPr>
        <w:tblOverlap w:val="never"/>
        <w:jc w:val="left"/>
        <w:tblLayout w:type="fixed"/>
      </w:tblPr>
      <w:tblGrid>
        <w:gridCol w:w="2227"/>
        <w:gridCol w:w="1363"/>
        <w:gridCol w:w="1368"/>
        <w:gridCol w:w="1368"/>
        <w:gridCol w:w="1368"/>
        <w:gridCol w:w="1368"/>
        <w:gridCol w:w="1373"/>
      </w:tblGrid>
      <w:tr>
        <w:trPr>
          <w:trHeight w:val="418" w:hRule="exact"/>
        </w:trPr>
        <w:tc>
          <w:tcPr>
            <w:tcBorders>
              <w:top w:val="single" w:sz="4"/>
              <w:left w:val="single" w:sz="4"/>
              <w:bottom w:val="single" w:sz="4"/>
            </w:tcBorders>
            <w:shd w:val="clear" w:color="auto" w:fill="D4D4D4"/>
            <w:vAlign w:val="center"/>
          </w:tcPr>
          <w:p>
            <w:pPr>
              <w:pStyle w:val="Style44"/>
              <w:keepNext w:val="0"/>
              <w:keepLines w:val="0"/>
              <w:framePr w:w="10435" w:h="418" w:vSpace="365" w:wrap="notBeside" w:vAnchor="text" w:hAnchor="text" w:x="114" w:y="366"/>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framePr w:w="10435" w:h="418" w:vSpace="365" w:wrap="notBeside" w:vAnchor="text" w:hAnchor="text" w:x="11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331,260,647.00</w:t>
            </w:r>
          </w:p>
        </w:tc>
        <w:tc>
          <w:tcPr>
            <w:tcBorders>
              <w:top w:val="single" w:sz="4"/>
              <w:left w:val="single" w:sz="4"/>
              <w:bottom w:val="single" w:sz="4"/>
            </w:tcBorders>
            <w:shd w:val="clear" w:color="auto" w:fill="FFFFFF"/>
            <w:vAlign w:val="center"/>
          </w:tcPr>
          <w:p>
            <w:pPr>
              <w:pStyle w:val="Style44"/>
              <w:keepNext w:val="0"/>
              <w:keepLines w:val="0"/>
              <w:framePr w:w="10435" w:h="418" w:vSpace="365" w:wrap="notBeside" w:vAnchor="text" w:hAnchor="text" w:x="114" w:y="366"/>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144,514,491.34</w:t>
            </w:r>
          </w:p>
        </w:tc>
        <w:tc>
          <w:tcPr>
            <w:tcBorders>
              <w:top w:val="single" w:sz="4"/>
              <w:left w:val="single" w:sz="4"/>
              <w:bottom w:val="single" w:sz="4"/>
            </w:tcBorders>
            <w:shd w:val="clear" w:color="auto" w:fill="FFFFFF"/>
            <w:vAlign w:val="top"/>
          </w:tcPr>
          <w:p>
            <w:pPr>
              <w:framePr w:w="10435" w:h="418" w:vSpace="365" w:wrap="notBeside" w:vAnchor="text" w:hAnchor="text" w:x="114" w:y="366"/>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framePr w:w="10435" w:h="418" w:vSpace="365" w:wrap="notBeside" w:vAnchor="text" w:hAnchor="text" w:x="114" w:y="366"/>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8,616,399.34</w:t>
            </w:r>
          </w:p>
        </w:tc>
        <w:tc>
          <w:tcPr>
            <w:tcBorders>
              <w:top w:val="single" w:sz="4"/>
              <w:left w:val="single" w:sz="4"/>
              <w:bottom w:val="single" w:sz="4"/>
            </w:tcBorders>
            <w:shd w:val="clear" w:color="auto" w:fill="FFFFFF"/>
            <w:vAlign w:val="top"/>
          </w:tcPr>
          <w:p>
            <w:pPr>
              <w:framePr w:w="10435" w:h="418" w:vSpace="365" w:wrap="notBeside" w:vAnchor="text" w:hAnchor="text" w:x="114" w:y="366"/>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framePr w:w="10435" w:h="418" w:vSpace="365" w:wrap="notBeside" w:vAnchor="text" w:hAnchor="text" w:x="114"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467,158,739.00</w:t>
            </w:r>
          </w:p>
        </w:tc>
      </w:tr>
    </w:tbl>
    <w:p>
      <w:pPr>
        <w:pStyle w:val="Style49"/>
        <w:keepNext w:val="0"/>
        <w:keepLines w:val="0"/>
        <w:framePr w:w="1296" w:h="365" w:hSpace="113" w:wrap="notBeside" w:vAnchor="text" w:hAnchor="text" w:x="1765" w:y="1"/>
        <w:widowControl w:val="0"/>
        <w:shd w:val="clear" w:color="auto" w:fill="auto"/>
        <w:bidi w:val="0"/>
        <w:spacing w:before="0" w:after="0" w:line="173"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numPr>
          <w:ilvl w:val="0"/>
          <w:numId w:val="159"/>
        </w:numPr>
        <w:shd w:val="clear" w:color="auto" w:fill="auto"/>
        <w:bidi w:val="0"/>
        <w:spacing w:before="0" w:after="360" w:line="240" w:lineRule="auto"/>
        <w:ind w:left="0" w:right="0" w:firstLine="960"/>
        <w:jc w:val="both"/>
      </w:pPr>
      <w:r>
        <w:drawing>
          <wp:anchor distT="0" distB="0" distL="0" distR="0" simplePos="0" relativeHeight="125829641" behindDoc="0" locked="0" layoutInCell="1" allowOverlap="1">
            <wp:simplePos x="0" y="0"/>
            <wp:positionH relativeFrom="page">
              <wp:posOffset>709930</wp:posOffset>
            </wp:positionH>
            <wp:positionV relativeFrom="margin">
              <wp:posOffset>19685</wp:posOffset>
            </wp:positionV>
            <wp:extent cx="487680" cy="237490"/>
            <wp:wrapTight wrapText="bothSides">
              <wp:wrapPolygon>
                <wp:start x="0" y="0"/>
                <wp:lineTo x="21600" y="0"/>
                <wp:lineTo x="21600" y="21600"/>
                <wp:lineTo x="0" y="21600"/>
                <wp:lineTo x="0" y="0"/>
              </wp:wrapPolygon>
            </wp:wrapTight>
            <wp:docPr id="985" name="Shape 985"/>
            <a:graphic xmlns:a="http://schemas.openxmlformats.org/drawingml/2006/main">
              <a:graphicData uri="http://schemas.openxmlformats.org/drawingml/2006/picture">
                <pic:pic xmlns:pic="http://schemas.openxmlformats.org/drawingml/2006/picture">
                  <pic:nvPicPr>
                    <pic:cNvPr id="986" name="Picture box 986"/>
                    <pic:cNvPicPr/>
                  </pic:nvPicPr>
                  <pic:blipFill>
                    <a:blip r:embed="rId423"/>
                    <a:stretch/>
                  </pic:blipFill>
                  <pic:spPr>
                    <a:xfrm>
                      <a:ext cx="487680" cy="237490"/>
                    </a:xfrm>
                    <a:prstGeom prst="rect"/>
                  </pic:spPr>
                </pic:pic>
              </a:graphicData>
            </a:graphic>
          </wp:anchor>
        </w:drawing>
      </w:r>
      <w:bookmarkStart w:id="1567" w:name="bookmark1567"/>
      <w:bookmarkStart w:id="1568" w:name="bookmark1568"/>
      <w:bookmarkStart w:id="1569" w:name="bookmark1569"/>
      <w:bookmarkStart w:id="1570" w:name="bookmark1570"/>
      <w:bookmarkEnd w:id="1569"/>
      <w:r>
        <w:rPr>
          <w:color w:val="000000"/>
          <w:spacing w:val="0"/>
          <w:w w:val="100"/>
          <w:position w:val="0"/>
        </w:rPr>
        <w:t>商誉减值准备</w:t>
      </w:r>
      <w:bookmarkEnd w:id="1567"/>
      <w:bookmarkEnd w:id="1568"/>
      <w:bookmarkEnd w:id="1570"/>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227"/>
        <w:gridCol w:w="1363"/>
        <w:gridCol w:w="1368"/>
        <w:gridCol w:w="1368"/>
        <w:gridCol w:w="1368"/>
        <w:gridCol w:w="1368"/>
        <w:gridCol w:w="1373"/>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被投资单位名称或形成商誉 的事项</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c>
          <w:tcPr>
            <w:tcBorders>
              <w:top w:val="single" w:sz="4"/>
              <w:left w:val="single" w:sz="4"/>
            </w:tcBorders>
            <w:shd w:val="clear" w:color="auto" w:fill="D4D4D4"/>
            <w:vAlign w:val="top"/>
          </w:tcPr>
          <w:p>
            <w:pPr>
              <w:widowControl w:val="0"/>
              <w:rPr>
                <w:sz w:val="10"/>
                <w:szCs w:val="10"/>
              </w:rPr>
            </w:pP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享云科技有限责任公司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1,309,768.25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1,309,768.25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1,309,768.25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1,309,768.25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pStyle w:val="Style32"/>
        <w:keepNext w:val="0"/>
        <w:keepLines w:val="0"/>
        <w:widowControl w:val="0"/>
        <w:shd w:val="clear" w:color="auto" w:fill="auto"/>
        <w:bidi w:val="0"/>
        <w:spacing w:before="0" w:line="317" w:lineRule="exact"/>
        <w:ind w:left="840" w:right="0" w:firstLine="0"/>
        <w:jc w:val="both"/>
      </w:pPr>
      <w:r>
        <w:rPr>
          <w:color w:val="000000"/>
          <w:spacing w:val="0"/>
          <w:w w:val="100"/>
          <w:position w:val="0"/>
        </w:rPr>
        <w:t xml:space="preserve">说明商誉减值测试过程、关键参数(如预计未来现金流量现值时的预测期增长率、稳定期增长率、利润率、折现率、预测期 等)及商誉减值损失的确认方法： </w:t>
      </w:r>
      <w:r>
        <w:rPr>
          <w:color w:val="000000"/>
          <w:spacing w:val="0"/>
          <w:w w:val="100"/>
          <w:position w:val="0"/>
        </w:rPr>
        <w:t>被投资单位上海米健信息技术有限公司、北京神州视翰科技有限公司、上海今创信息技术有限公司销售的产品存在活跃市场， 可以带来独立的现金流，可将其分别认定为一个单独的资产组，将其可辨认净资产价值分摊商誉价值之后，与估计的被投资 单位未来预期收益的现值进行比较，高于预期未来收益的现值的部分计提减值准备，被投资单位其预计未来收益的现值分别 根据公司批准的五年期现金流量预测为基础，现金流量预测使用的折现率为税前</w:t>
      </w:r>
      <w:r>
        <w:rPr>
          <w:color w:val="000000"/>
          <w:spacing w:val="0"/>
          <w:w w:val="100"/>
          <w:position w:val="0"/>
          <w:sz w:val="18"/>
          <w:szCs w:val="18"/>
        </w:rPr>
        <w:t>14.01%，</w:t>
      </w:r>
      <w:r>
        <w:rPr>
          <w:color w:val="000000"/>
          <w:spacing w:val="0"/>
          <w:w w:val="100"/>
          <w:position w:val="0"/>
        </w:rPr>
        <w:t>预测期以后的现金流量根据相应 增长率推断得出，该增长率和其他软件和信息技术服务业总体长期平均增长率相当。</w:t>
      </w:r>
    </w:p>
    <w:p>
      <w:pPr>
        <w:pStyle w:val="Style32"/>
        <w:keepNext w:val="0"/>
        <w:keepLines w:val="0"/>
        <w:widowControl w:val="0"/>
        <w:shd w:val="clear" w:color="auto" w:fill="auto"/>
        <w:bidi w:val="0"/>
        <w:spacing w:before="0" w:line="310" w:lineRule="exact"/>
        <w:ind w:left="0" w:right="0" w:firstLine="840"/>
        <w:jc w:val="both"/>
      </w:pPr>
      <w:r>
        <w:rPr>
          <w:color w:val="000000"/>
          <w:spacing w:val="0"/>
          <w:w w:val="100"/>
          <w:position w:val="0"/>
        </w:rPr>
        <w:t>减值测试中采用的其他关键数据包括：收入、成本及其他相关费用。</w:t>
      </w:r>
    </w:p>
    <w:p>
      <w:pPr>
        <w:pStyle w:val="Style32"/>
        <w:keepNext w:val="0"/>
        <w:keepLines w:val="0"/>
        <w:widowControl w:val="0"/>
        <w:shd w:val="clear" w:color="auto" w:fill="auto"/>
        <w:bidi w:val="0"/>
        <w:spacing w:before="0" w:line="312" w:lineRule="exact"/>
        <w:ind w:left="840" w:right="0" w:firstLine="0"/>
        <w:jc w:val="both"/>
      </w:pPr>
      <w:r>
        <w:rPr>
          <w:color w:val="000000"/>
          <w:spacing w:val="0"/>
          <w:w w:val="100"/>
          <w:position w:val="0"/>
        </w:rPr>
        <w:t>公司根据历史经验及对市场发展的预测确定上述关键数据。公司采用的折现率是反映当前市场货币时间价值和相关资产组特 定风险的税前利率。</w:t>
      </w:r>
    </w:p>
    <w:p>
      <w:pPr>
        <w:pStyle w:val="Style32"/>
        <w:keepNext w:val="0"/>
        <w:keepLines w:val="0"/>
        <w:widowControl w:val="0"/>
        <w:shd w:val="clear" w:color="auto" w:fill="auto"/>
        <w:bidi w:val="0"/>
        <w:spacing w:before="0" w:line="310" w:lineRule="exact"/>
        <w:ind w:left="0" w:right="0" w:firstLine="840"/>
        <w:jc w:val="left"/>
      </w:pPr>
      <w:r>
        <w:rPr>
          <w:color w:val="000000"/>
          <w:spacing w:val="0"/>
          <w:w w:val="100"/>
          <w:position w:val="0"/>
        </w:rPr>
        <w:t>商誉减值测试的影响</w:t>
      </w:r>
    </w:p>
    <w:p>
      <w:pPr>
        <w:pStyle w:val="Style32"/>
        <w:keepNext w:val="0"/>
        <w:keepLines w:val="0"/>
        <w:widowControl w:val="0"/>
        <w:shd w:val="clear" w:color="auto" w:fill="auto"/>
        <w:bidi w:val="0"/>
        <w:spacing w:before="0" w:after="360" w:line="310" w:lineRule="exact"/>
        <w:ind w:left="0" w:right="0" w:firstLine="840"/>
        <w:jc w:val="left"/>
      </w:pPr>
      <w:r>
        <w:rPr>
          <w:color w:val="000000"/>
          <w:spacing w:val="0"/>
          <w:w w:val="100"/>
          <w:position w:val="0"/>
        </w:rPr>
        <w:t>无</w:t>
      </w:r>
    </w:p>
    <w:p>
      <w:pPr>
        <w:pStyle w:val="Style55"/>
        <w:keepNext/>
        <w:keepLines/>
        <w:widowControl w:val="0"/>
        <w:shd w:val="clear" w:color="auto" w:fill="auto"/>
        <w:bidi w:val="0"/>
        <w:spacing w:before="0" w:after="360" w:line="240" w:lineRule="auto"/>
        <w:ind w:left="0" w:right="0" w:firstLine="840"/>
        <w:jc w:val="both"/>
      </w:pPr>
      <w:bookmarkStart w:id="1571" w:name="bookmark1571"/>
      <w:bookmarkStart w:id="1572" w:name="bookmark1572"/>
      <w:bookmarkStart w:id="1573" w:name="bookmark1573"/>
      <w:bookmarkStart w:id="1574" w:name="bookmark1574"/>
      <w:r>
        <w:rPr>
          <w:rFonts w:ascii="Times New Roman" w:eastAsia="Times New Roman" w:hAnsi="Times New Roman" w:cs="Times New Roman"/>
          <w:color w:val="000000"/>
          <w:spacing w:val="0"/>
          <w:w w:val="100"/>
          <w:position w:val="0"/>
        </w:rPr>
        <w:t>2</w:t>
      </w:r>
      <w:bookmarkEnd w:id="1573"/>
      <w:r>
        <w:rPr>
          <w:rFonts w:ascii="Times New Roman" w:eastAsia="Times New Roman" w:hAnsi="Times New Roman" w:cs="Times New Roman"/>
          <w:color w:val="000000"/>
          <w:spacing w:val="0"/>
          <w:w w:val="100"/>
          <w:position w:val="0"/>
        </w:rPr>
        <w:t>9</w:t>
      </w:r>
      <w:r>
        <w:rPr>
          <w:color w:val="000000"/>
          <w:spacing w:val="0"/>
          <w:w w:val="100"/>
          <w:position w:val="0"/>
        </w:rPr>
        <w:t>、长期待摊费用</w:t>
      </w:r>
      <w:bookmarkEnd w:id="1571"/>
      <w:bookmarkEnd w:id="1572"/>
      <w:bookmarkEnd w:id="1574"/>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165"/>
        <w:gridCol w:w="1594"/>
        <w:gridCol w:w="1594"/>
        <w:gridCol w:w="1598"/>
        <w:gridCol w:w="1594"/>
        <w:gridCol w:w="1603"/>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本期增加金额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本期摊销金额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其他减少金额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租赁资产装修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922,734.18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14,220.18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501,546.43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435,407.93</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创新产业服务保障项目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1,192,707.68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1,192,707.68</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922,734.18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1,206,927.86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501,546.43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1,628,115.61</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840"/>
        <w:jc w:val="both"/>
      </w:pPr>
      <w:bookmarkStart w:id="1575" w:name="bookmark1575"/>
      <w:bookmarkStart w:id="1576" w:name="bookmark1576"/>
      <w:bookmarkStart w:id="1577" w:name="bookmark1577"/>
      <w:bookmarkStart w:id="1578" w:name="bookmark1578"/>
      <w:r>
        <w:rPr>
          <w:rFonts w:ascii="Times New Roman" w:eastAsia="Times New Roman" w:hAnsi="Times New Roman" w:cs="Times New Roman"/>
          <w:color w:val="000000"/>
          <w:spacing w:val="0"/>
          <w:w w:val="100"/>
          <w:position w:val="0"/>
        </w:rPr>
        <w:t>3</w:t>
      </w:r>
      <w:bookmarkEnd w:id="1577"/>
      <w:r>
        <w:rPr>
          <w:rFonts w:ascii="Times New Roman" w:eastAsia="Times New Roman" w:hAnsi="Times New Roman" w:cs="Times New Roman"/>
          <w:color w:val="000000"/>
          <w:spacing w:val="0"/>
          <w:w w:val="100"/>
          <w:position w:val="0"/>
        </w:rPr>
        <w:t>0</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575"/>
      <w:bookmarkEnd w:id="1576"/>
      <w:bookmarkEnd w:id="1578"/>
    </w:p>
    <w:p>
      <w:pPr>
        <w:pStyle w:val="Style55"/>
        <w:keepNext/>
        <w:keepLines/>
        <w:widowControl w:val="0"/>
        <w:numPr>
          <w:ilvl w:val="0"/>
          <w:numId w:val="161"/>
        </w:numPr>
        <w:shd w:val="clear" w:color="auto" w:fill="auto"/>
        <w:bidi w:val="0"/>
        <w:spacing w:before="0" w:after="360" w:line="240" w:lineRule="auto"/>
        <w:ind w:left="0" w:right="0" w:firstLine="960"/>
        <w:jc w:val="both"/>
      </w:pPr>
      <w:bookmarkStart w:id="1575" w:name="bookmark1575"/>
      <w:bookmarkStart w:id="1576" w:name="bookmark1576"/>
      <w:bookmarkStart w:id="1579" w:name="bookmark1579"/>
      <w:bookmarkStart w:id="1580" w:name="bookmark1580"/>
      <w:bookmarkEnd w:id="1579"/>
      <w:r>
        <w:rPr>
          <w:color w:val="000000"/>
          <w:spacing w:val="0"/>
          <w:w w:val="100"/>
          <w:position w:val="0"/>
        </w:rPr>
        <w:t>未经抵销的递延所得税资产</w:t>
      </w:r>
      <w:bookmarkEnd w:id="1575"/>
      <w:bookmarkEnd w:id="1576"/>
      <w:bookmarkEnd w:id="1580"/>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可抵扣暂时性差异</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递延所得税资产</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可抵扣暂时性差异</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递延所得税资产</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资产减值准备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928,609.84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147,271.05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726,269.36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77,011.51</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内部交易未实现利润</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9,580,974.93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1,522,390.56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7,496,278.37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1,193,786.31</w:t>
            </w:r>
          </w:p>
        </w:tc>
      </w:tr>
    </w:tbl>
    <w:p>
      <w:pPr>
        <w:widowControl w:val="0"/>
        <w:spacing w:line="1" w:lineRule="exact"/>
      </w:pPr>
      <w:r>
        <w:br w:type="page"/>
      </w:r>
    </w:p>
    <w:tbl>
      <w:tblPr>
        <w:tblOverlap w:val="never"/>
        <w:jc w:val="left"/>
        <w:tblLayout w:type="fixed"/>
      </w:tblPr>
      <w:tblGrid>
        <w:gridCol w:w="1920"/>
        <w:gridCol w:w="1915"/>
        <w:gridCol w:w="1915"/>
        <w:gridCol w:w="1915"/>
        <w:gridCol w:w="1925"/>
      </w:tblGrid>
      <w:tr>
        <w:trPr>
          <w:trHeight w:val="403" w:hRule="exact"/>
        </w:trPr>
        <w:tc>
          <w:tcPr>
            <w:tcBorders>
              <w:top w:val="single" w:sz="4"/>
              <w:left w:val="single" w:sz="4"/>
            </w:tcBorders>
            <w:shd w:val="clear" w:color="auto" w:fill="D4D4D4"/>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133,210,549.02</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20,048,298.02</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95,829,965.24</w:t>
            </w:r>
          </w:p>
        </w:tc>
        <w:tc>
          <w:tcPr>
            <w:tcBorders>
              <w:top w:val="single" w:sz="4"/>
              <w:left w:val="single" w:sz="4"/>
              <w:righ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9,699,070.07</w:t>
            </w:r>
          </w:p>
        </w:tc>
      </w:tr>
      <w:tr>
        <w:trPr>
          <w:trHeight w:val="403" w:hRule="exact"/>
        </w:trPr>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left"/>
            </w:pPr>
            <w:r>
              <w:rPr>
                <w:color w:val="000000"/>
                <w:spacing w:val="0"/>
                <w:w w:val="100"/>
                <w:position w:val="0"/>
              </w:rPr>
              <w:t>信用减值准备</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107,293,805.64</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16,174,279.18</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124,374,036.23</w:t>
            </w:r>
          </w:p>
        </w:tc>
        <w:tc>
          <w:tcPr>
            <w:tcBorders>
              <w:top w:val="single" w:sz="4"/>
              <w:left w:val="single" w:sz="4"/>
              <w:righ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12,611,461.67</w:t>
            </w:r>
          </w:p>
        </w:tc>
      </w:tr>
      <w:tr>
        <w:trPr>
          <w:trHeight w:val="403" w:hRule="exact"/>
        </w:trPr>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19,248,496.00</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2,887,274.40</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16,279,696.00</w:t>
            </w:r>
          </w:p>
        </w:tc>
        <w:tc>
          <w:tcPr>
            <w:tcBorders>
              <w:top w:val="single" w:sz="4"/>
              <w:left w:val="single" w:sz="4"/>
              <w:righ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1,627,969.60</w:t>
            </w:r>
          </w:p>
        </w:tc>
      </w:tr>
      <w:tr>
        <w:trPr>
          <w:trHeight w:val="403" w:hRule="exact"/>
        </w:trPr>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left"/>
            </w:pPr>
            <w:r>
              <w:rPr>
                <w:color w:val="000000"/>
                <w:spacing w:val="0"/>
                <w:w w:val="100"/>
                <w:position w:val="0"/>
              </w:rPr>
              <w:t>无形资产累计摊销</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9,638,336.44</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1,445,750.47</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5,533,541.82</w:t>
            </w:r>
          </w:p>
        </w:tc>
        <w:tc>
          <w:tcPr>
            <w:tcBorders>
              <w:top w:val="single" w:sz="4"/>
              <w:left w:val="single" w:sz="4"/>
              <w:righ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553,354.18</w:t>
            </w:r>
          </w:p>
        </w:tc>
      </w:tr>
      <w:tr>
        <w:trPr>
          <w:trHeight w:val="398" w:hRule="exact"/>
        </w:trPr>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left"/>
            </w:pPr>
            <w:r>
              <w:rPr>
                <w:color w:val="000000"/>
                <w:spacing w:val="0"/>
                <w:w w:val="100"/>
                <w:position w:val="0"/>
              </w:rPr>
              <w:t>股权激励费用</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6,504,820.67</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975,723.10</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7,013,026.00</w:t>
            </w:r>
          </w:p>
        </w:tc>
        <w:tc>
          <w:tcPr>
            <w:tcBorders>
              <w:top w:val="single" w:sz="4"/>
              <w:left w:val="single" w:sz="4"/>
              <w:righ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701,302.60</w:t>
            </w:r>
          </w:p>
        </w:tc>
      </w:tr>
      <w:tr>
        <w:trPr>
          <w:trHeight w:val="403" w:hRule="exact"/>
        </w:trPr>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left"/>
            </w:pPr>
            <w:r>
              <w:rPr>
                <w:color w:val="000000"/>
                <w:spacing w:val="0"/>
                <w:w w:val="100"/>
                <w:position w:val="0"/>
              </w:rPr>
              <w:t>收入准则会计政策变更</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8,816,390.81</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1,322,458.62</w:t>
            </w:r>
          </w:p>
        </w:tc>
        <w:tc>
          <w:tcPr>
            <w:tcBorders>
              <w:top w:val="single" w:sz="4"/>
              <w:lef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15,556,061.47</w:t>
            </w:r>
          </w:p>
        </w:tc>
        <w:tc>
          <w:tcPr>
            <w:tcBorders>
              <w:top w:val="single" w:sz="4"/>
              <w:left w:val="single" w:sz="4"/>
              <w:righ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2,333,409.22</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295,221,983.35</w:t>
            </w:r>
          </w:p>
        </w:tc>
        <w:tc>
          <w:tcPr>
            <w:tcBorders>
              <w:top w:val="single" w:sz="4"/>
              <w:left w:val="single" w:sz="4"/>
              <w:bottom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44,523,445.40</w:t>
            </w:r>
          </w:p>
        </w:tc>
        <w:tc>
          <w:tcPr>
            <w:tcBorders>
              <w:top w:val="single" w:sz="4"/>
              <w:left w:val="single" w:sz="4"/>
              <w:bottom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272,808,874.49</w:t>
            </w:r>
          </w:p>
        </w:tc>
        <w:tc>
          <w:tcPr>
            <w:tcBorders>
              <w:top w:val="single" w:sz="4"/>
              <w:left w:val="single" w:sz="4"/>
              <w:bottom w:val="single" w:sz="4"/>
              <w:right w:val="single" w:sz="4"/>
            </w:tcBorders>
            <w:shd w:val="clear" w:color="auto" w:fill="FFFFFF"/>
            <w:vAlign w:val="center"/>
          </w:tcPr>
          <w:p>
            <w:pPr>
              <w:pStyle w:val="Style44"/>
              <w:keepNext w:val="0"/>
              <w:keepLines w:val="0"/>
              <w:framePr w:w="9590" w:h="2827" w:vSpace="365" w:wrap="notBeside" w:vAnchor="text" w:hAnchor="text" w:x="536" w:y="366"/>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28,797,365.16</w:t>
            </w:r>
          </w:p>
        </w:tc>
      </w:tr>
    </w:tbl>
    <w:p>
      <w:pPr>
        <w:pStyle w:val="Style49"/>
        <w:keepNext w:val="0"/>
        <w:keepLines w:val="0"/>
        <w:framePr w:w="1291" w:h="365" w:hSpace="535" w:wrap="notBeside" w:vAnchor="text" w:hAnchor="text" w:x="1338"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numPr>
          <w:ilvl w:val="0"/>
          <w:numId w:val="161"/>
        </w:numPr>
        <w:shd w:val="clear" w:color="auto" w:fill="auto"/>
        <w:bidi w:val="0"/>
        <w:spacing w:before="0" w:after="340" w:line="240" w:lineRule="auto"/>
        <w:ind w:left="0" w:right="0" w:firstLine="960"/>
        <w:jc w:val="left"/>
      </w:pPr>
      <w:r>
        <w:drawing>
          <wp:anchor distT="0" distB="0" distL="0" distR="0" simplePos="0" relativeHeight="125829642" behindDoc="0" locked="0" layoutInCell="1" allowOverlap="1">
            <wp:simplePos x="0" y="0"/>
            <wp:positionH relativeFrom="page">
              <wp:posOffset>709930</wp:posOffset>
            </wp:positionH>
            <wp:positionV relativeFrom="margin">
              <wp:posOffset>19685</wp:posOffset>
            </wp:positionV>
            <wp:extent cx="487680" cy="237490"/>
            <wp:wrapTight wrapText="bothSides">
              <wp:wrapPolygon>
                <wp:start x="0" y="0"/>
                <wp:lineTo x="21600" y="0"/>
                <wp:lineTo x="21600" y="21600"/>
                <wp:lineTo x="0" y="21600"/>
                <wp:lineTo x="0" y="0"/>
              </wp:wrapPolygon>
            </wp:wrapTight>
            <wp:docPr id="987" name="Shape 987"/>
            <a:graphic xmlns:a="http://schemas.openxmlformats.org/drawingml/2006/main">
              <a:graphicData uri="http://schemas.openxmlformats.org/drawingml/2006/picture">
                <pic:pic xmlns:pic="http://schemas.openxmlformats.org/drawingml/2006/picture">
                  <pic:nvPicPr>
                    <pic:cNvPr id="988" name="Picture box 988"/>
                    <pic:cNvPicPr/>
                  </pic:nvPicPr>
                  <pic:blipFill>
                    <a:blip r:embed="rId425"/>
                    <a:stretch/>
                  </pic:blipFill>
                  <pic:spPr>
                    <a:xfrm>
                      <a:ext cx="487680" cy="237490"/>
                    </a:xfrm>
                    <a:prstGeom prst="rect"/>
                  </pic:spPr>
                </pic:pic>
              </a:graphicData>
            </a:graphic>
          </wp:anchor>
        </w:drawing>
      </w:r>
      <w:bookmarkStart w:id="1581" w:name="bookmark1581"/>
      <w:bookmarkStart w:id="1582" w:name="bookmark1582"/>
      <w:bookmarkStart w:id="1583" w:name="bookmark1583"/>
      <w:bookmarkStart w:id="1584" w:name="bookmark1584"/>
      <w:bookmarkEnd w:id="1583"/>
      <w:r>
        <w:rPr>
          <w:color w:val="000000"/>
          <w:spacing w:val="0"/>
          <w:w w:val="100"/>
          <w:position w:val="0"/>
        </w:rPr>
        <w:t>未经抵销的递延所得税负债</w:t>
      </w:r>
      <w:bookmarkEnd w:id="1581"/>
      <w:bookmarkEnd w:id="1582"/>
      <w:bookmarkEnd w:id="1584"/>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403"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应纳税暂时性差异</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递延所得税负债</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应纳税暂时性差异</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递延所得税负债</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非同一控制企业合并资 产评估增值</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14,823,523.73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2,223,528.56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6,368,116.84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955,217.52</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14,823,523.73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2,223,528.56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6,368,116.84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955,217.52</w:t>
            </w:r>
          </w:p>
        </w:tc>
      </w:tr>
    </w:tbl>
    <w:p>
      <w:pPr>
        <w:widowControl w:val="0"/>
        <w:spacing w:after="339" w:line="1" w:lineRule="exact"/>
      </w:pPr>
    </w:p>
    <w:p>
      <w:pPr>
        <w:pStyle w:val="Style55"/>
        <w:keepNext/>
        <w:keepLines/>
        <w:widowControl w:val="0"/>
        <w:numPr>
          <w:ilvl w:val="0"/>
          <w:numId w:val="161"/>
        </w:numPr>
        <w:shd w:val="clear" w:color="auto" w:fill="auto"/>
        <w:bidi w:val="0"/>
        <w:spacing w:before="0" w:after="340" w:line="240" w:lineRule="auto"/>
        <w:ind w:left="0" w:right="0" w:firstLine="960"/>
        <w:jc w:val="left"/>
      </w:pPr>
      <w:bookmarkStart w:id="1585" w:name="bookmark1585"/>
      <w:bookmarkStart w:id="1586" w:name="bookmark1586"/>
      <w:bookmarkStart w:id="1587" w:name="bookmark1587"/>
      <w:bookmarkStart w:id="1588" w:name="bookmark1588"/>
      <w:bookmarkEnd w:id="1587"/>
      <w:r>
        <w:rPr>
          <w:color w:val="000000"/>
          <w:spacing w:val="0"/>
          <w:w w:val="100"/>
          <w:position w:val="0"/>
        </w:rPr>
        <w:t>以抵销后净额列示的递延所得税资产或负债</w:t>
      </w:r>
      <w:bookmarkEnd w:id="1585"/>
      <w:bookmarkEnd w:id="1586"/>
      <w:bookmarkEnd w:id="1588"/>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8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递延所得税资产和负债 期末互抵金额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抵销后递延所得税资产 或负债期末余额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递延所得税资产和负债 期初互抵金额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抵销后递延所得税资产 或负债期初余额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44,523,445.40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28,797,365.16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2,223,528.56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955,217.52</w:t>
            </w:r>
          </w:p>
        </w:tc>
      </w:tr>
    </w:tbl>
    <w:p>
      <w:pPr>
        <w:widowControl w:val="0"/>
        <w:spacing w:after="339" w:line="1" w:lineRule="exact"/>
      </w:pPr>
    </w:p>
    <w:p>
      <w:pPr>
        <w:pStyle w:val="Style55"/>
        <w:keepNext/>
        <w:keepLines/>
        <w:widowControl w:val="0"/>
        <w:numPr>
          <w:ilvl w:val="0"/>
          <w:numId w:val="161"/>
        </w:numPr>
        <w:shd w:val="clear" w:color="auto" w:fill="auto"/>
        <w:bidi w:val="0"/>
        <w:spacing w:before="0" w:after="340" w:line="240" w:lineRule="auto"/>
        <w:ind w:left="0" w:right="0" w:firstLine="960"/>
        <w:jc w:val="left"/>
      </w:pPr>
      <w:bookmarkStart w:id="1589" w:name="bookmark1589"/>
      <w:bookmarkStart w:id="1590" w:name="bookmark1590"/>
      <w:bookmarkStart w:id="1591" w:name="bookmark1591"/>
      <w:bookmarkStart w:id="1592" w:name="bookmark1592"/>
      <w:bookmarkEnd w:id="1591"/>
      <w:r>
        <w:rPr>
          <w:color w:val="000000"/>
          <w:spacing w:val="0"/>
          <w:w w:val="100"/>
          <w:position w:val="0"/>
        </w:rPr>
        <w:t>未确认递延所得税资产明细</w:t>
      </w:r>
      <w:bookmarkEnd w:id="1589"/>
      <w:bookmarkEnd w:id="1590"/>
      <w:bookmarkEnd w:id="1592"/>
    </w:p>
    <w:p>
      <w:pPr>
        <w:pStyle w:val="Style32"/>
        <w:keepNext w:val="0"/>
        <w:keepLines w:val="0"/>
        <w:widowControl w:val="0"/>
        <w:shd w:val="clear" w:color="auto" w:fill="auto"/>
        <w:bidi w:val="0"/>
        <w:spacing w:before="0" w:after="80" w:line="240" w:lineRule="auto"/>
        <w:ind w:left="976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30,046,696.67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22,610,341.53</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信用减值准备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230,600.00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1,031,223.14</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30,277,296.67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23,641,564.67</w:t>
            </w:r>
          </w:p>
        </w:tc>
      </w:tr>
    </w:tbl>
    <w:p>
      <w:pPr>
        <w:widowControl w:val="0"/>
        <w:spacing w:after="339" w:line="1" w:lineRule="exact"/>
      </w:pPr>
    </w:p>
    <w:p>
      <w:pPr>
        <w:pStyle w:val="Style55"/>
        <w:keepNext/>
        <w:keepLines/>
        <w:widowControl w:val="0"/>
        <w:numPr>
          <w:ilvl w:val="0"/>
          <w:numId w:val="161"/>
        </w:numPr>
        <w:shd w:val="clear" w:color="auto" w:fill="auto"/>
        <w:bidi w:val="0"/>
        <w:spacing w:before="0" w:after="340" w:line="240" w:lineRule="auto"/>
        <w:ind w:left="0" w:right="0" w:firstLine="960"/>
        <w:jc w:val="left"/>
      </w:pPr>
      <w:bookmarkStart w:id="1593" w:name="bookmark1593"/>
      <w:bookmarkStart w:id="1594" w:name="bookmark1594"/>
      <w:bookmarkStart w:id="1595" w:name="bookmark1595"/>
      <w:bookmarkStart w:id="1596" w:name="bookmark1596"/>
      <w:bookmarkEnd w:id="1595"/>
      <w:r>
        <w:rPr>
          <w:color w:val="000000"/>
          <w:spacing w:val="0"/>
          <w:w w:val="100"/>
          <w:position w:val="0"/>
        </w:rPr>
        <w:t>未确认递延所得税资产的可抵扣亏损将于以下年度到期</w:t>
      </w:r>
      <w:bookmarkEnd w:id="1593"/>
      <w:bookmarkEnd w:id="1594"/>
      <w:bookmarkEnd w:id="1596"/>
    </w:p>
    <w:p>
      <w:pPr>
        <w:pStyle w:val="Style32"/>
        <w:keepNext w:val="0"/>
        <w:keepLines w:val="0"/>
        <w:widowControl w:val="0"/>
        <w:shd w:val="clear" w:color="auto" w:fill="auto"/>
        <w:bidi w:val="0"/>
        <w:spacing w:before="0" w:after="80" w:line="240" w:lineRule="auto"/>
        <w:ind w:left="9760" w:right="0" w:firstLine="0"/>
        <w:jc w:val="left"/>
      </w:pPr>
      <w:r>
        <w:rPr>
          <w:color w:val="000000"/>
          <w:spacing w:val="0"/>
          <w:w w:val="100"/>
          <w:position w:val="0"/>
        </w:rPr>
        <w:t>单位：元</w:t>
      </w:r>
    </w:p>
    <w:tbl>
      <w:tblPr>
        <w:tblOverlap w:val="never"/>
        <w:jc w:val="center"/>
        <w:tblLayout w:type="fixed"/>
      </w:tblPr>
      <w:tblGrid>
        <w:gridCol w:w="2395"/>
        <w:gridCol w:w="2395"/>
        <w:gridCol w:w="2395"/>
        <w:gridCol w:w="2400"/>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年份</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期初金额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4,119,430.05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427"/>
          <w:footerReference w:type="default" r:id="rId428"/>
          <w:headerReference w:type="even" r:id="rId429"/>
          <w:footerReference w:type="even" r:id="rId430"/>
          <w:footnotePr>
            <w:pos w:val="pageBottom"/>
            <w:numFmt w:val="decimal"/>
            <w:numRestart w:val="continuous"/>
          </w:footnotePr>
          <w:pgSz w:w="11900" w:h="16840"/>
          <w:pgMar w:top="921" w:right="1031" w:bottom="1246" w:left="208" w:header="0" w:footer="3" w:gutter="0"/>
          <w:cols w:space="720"/>
          <w:noEndnote/>
          <w:rtlGutter w:val="0"/>
          <w:docGrid w:linePitch="360"/>
        </w:sectPr>
      </w:pPr>
    </w:p>
    <w:p>
      <w:pPr>
        <w:widowControl w:val="0"/>
        <w:jc w:val="center"/>
        <w:rPr>
          <w:sz w:val="2"/>
          <w:szCs w:val="2"/>
        </w:rPr>
      </w:pPr>
      <w:r>
        <w:drawing>
          <wp:inline>
            <wp:extent cx="1298575" cy="481330"/>
            <wp:docPr id="997" name="Picutre 997"/>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431"/>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center"/>
        <w:tblLayout w:type="fixed"/>
      </w:tblPr>
      <w:tblGrid>
        <w:gridCol w:w="2395"/>
        <w:gridCol w:w="2395"/>
        <w:gridCol w:w="2395"/>
        <w:gridCol w:w="2400"/>
      </w:tblGrid>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4,726,081.43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4,733,264.16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2,512,783.58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2,775,710.36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6,003,856.40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6,003,856.40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3,385,620.59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4,978,080.56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13,418,354.67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30,046,696.67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22,610,341.53</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840"/>
        <w:jc w:val="left"/>
      </w:pPr>
      <w:bookmarkStart w:id="1597" w:name="bookmark1597"/>
      <w:bookmarkStart w:id="1598" w:name="bookmark1598"/>
      <w:bookmarkStart w:id="1599" w:name="bookmark1599"/>
      <w:bookmarkStart w:id="1600" w:name="bookmark1600"/>
      <w:r>
        <w:rPr>
          <w:rFonts w:ascii="Times New Roman" w:eastAsia="Times New Roman" w:hAnsi="Times New Roman" w:cs="Times New Roman"/>
          <w:color w:val="000000"/>
          <w:spacing w:val="0"/>
          <w:w w:val="100"/>
          <w:position w:val="0"/>
        </w:rPr>
        <w:t>3</w:t>
      </w:r>
      <w:bookmarkEnd w:id="1599"/>
      <w:r>
        <w:rPr>
          <w:rFonts w:ascii="Times New Roman" w:eastAsia="Times New Roman" w:hAnsi="Times New Roman" w:cs="Times New Roman"/>
          <w:color w:val="000000"/>
          <w:spacing w:val="0"/>
          <w:w w:val="100"/>
          <w:position w:val="0"/>
        </w:rPr>
        <w:t>1</w:t>
      </w:r>
      <w:r>
        <w:rPr>
          <w:color w:val="000000"/>
          <w:spacing w:val="0"/>
          <w:w w:val="100"/>
          <w:position w:val="0"/>
        </w:rPr>
        <w:t>、其他非流动资产</w:t>
      </w:r>
      <w:bookmarkEnd w:id="1597"/>
      <w:bookmarkEnd w:id="1598"/>
      <w:bookmarkEnd w:id="1600"/>
    </w:p>
    <w:p>
      <w:pPr>
        <w:pStyle w:val="Style32"/>
        <w:keepNext w:val="0"/>
        <w:keepLines w:val="0"/>
        <w:widowControl w:val="0"/>
        <w:shd w:val="clear" w:color="auto" w:fill="auto"/>
        <w:bidi w:val="0"/>
        <w:spacing w:before="0" w:after="80" w:line="240" w:lineRule="auto"/>
        <w:ind w:left="9760" w:right="0" w:firstLine="0"/>
        <w:jc w:val="left"/>
      </w:pPr>
      <w:r>
        <w:rPr>
          <w:color w:val="000000"/>
          <w:spacing w:val="0"/>
          <w:w w:val="100"/>
          <w:position w:val="0"/>
        </w:rPr>
        <w:t>单位：元</w:t>
      </w:r>
    </w:p>
    <w:tbl>
      <w:tblPr>
        <w:tblOverlap w:val="never"/>
        <w:jc w:val="center"/>
        <w:tblLayout w:type="fixed"/>
      </w:tblPr>
      <w:tblGrid>
        <w:gridCol w:w="2136"/>
        <w:gridCol w:w="1560"/>
        <w:gridCol w:w="1277"/>
        <w:gridCol w:w="1272"/>
        <w:gridCol w:w="1205"/>
        <w:gridCol w:w="922"/>
        <w:gridCol w:w="1214"/>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减值准备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color w:val="000000"/>
                <w:spacing w:val="0"/>
                <w:w w:val="100"/>
                <w:position w:val="0"/>
              </w:rPr>
              <w:t>账面价值</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11,365,665.66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313,746.86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11,051,918.80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4,225,678.52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117,615.92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4,108,062.60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对外投资款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25,000,000.00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25,000,000.00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装修费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1,072,000.00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1,072,000.00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37,437,665.66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313,746.86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37,123,918.80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29,225,678.52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117,615.92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29,108,062.60</w:t>
            </w:r>
          </w:p>
        </w:tc>
      </w:tr>
    </w:tbl>
    <w:p>
      <w:pPr>
        <w:pStyle w:val="Style32"/>
        <w:keepNext w:val="0"/>
        <w:keepLines w:val="0"/>
        <w:widowControl w:val="0"/>
        <w:shd w:val="clear" w:color="auto" w:fill="auto"/>
        <w:bidi w:val="0"/>
        <w:spacing w:before="0" w:after="0" w:line="312" w:lineRule="exact"/>
        <w:ind w:left="0" w:right="0" w:firstLine="840"/>
        <w:jc w:val="left"/>
      </w:pPr>
      <w:r>
        <w:rPr>
          <w:color w:val="000000"/>
          <w:spacing w:val="0"/>
          <w:w w:val="100"/>
          <w:position w:val="0"/>
        </w:rPr>
        <w:t>其他说明：</w:t>
      </w:r>
    </w:p>
    <w:p>
      <w:pPr>
        <w:pStyle w:val="Style32"/>
        <w:keepNext w:val="0"/>
        <w:keepLines w:val="0"/>
        <w:widowControl w:val="0"/>
        <w:shd w:val="clear" w:color="auto" w:fill="auto"/>
        <w:bidi w:val="0"/>
        <w:spacing w:before="0" w:after="360" w:line="312" w:lineRule="exact"/>
        <w:ind w:left="84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年度，根据相关投资协议，本公司对九次方大数据信息集团有限公司认缴投资</w:t>
      </w:r>
      <w:r>
        <w:rPr>
          <w:rFonts w:ascii="Times New Roman" w:eastAsia="Times New Roman" w:hAnsi="Times New Roman" w:cs="Times New Roman"/>
          <w:color w:val="000000"/>
          <w:spacing w:val="0"/>
          <w:w w:val="100"/>
          <w:position w:val="0"/>
        </w:rPr>
        <w:t>2,500.00</w:t>
      </w:r>
      <w:r>
        <w:rPr>
          <w:color w:val="000000"/>
          <w:spacing w:val="0"/>
          <w:w w:val="100"/>
          <w:position w:val="0"/>
        </w:rPr>
        <w:t>万元，占投资时总资本的</w:t>
      </w:r>
      <w:r>
        <w:rPr>
          <w:rFonts w:ascii="Times New Roman" w:eastAsia="Times New Roman" w:hAnsi="Times New Roman" w:cs="Times New Roman"/>
          <w:color w:val="000000"/>
          <w:spacing w:val="0"/>
          <w:w w:val="100"/>
          <w:position w:val="0"/>
        </w:rPr>
        <w:t>0.23%</w:t>
      </w:r>
      <w:r>
        <w:rPr>
          <w:color w:val="000000"/>
          <w:spacing w:val="0"/>
          <w:w w:val="100"/>
          <w:position w:val="0"/>
        </w:rPr>
        <w:t>, 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日，公司已缴付全部出资</w:t>
      </w:r>
      <w:r>
        <w:rPr>
          <w:rFonts w:ascii="Times New Roman" w:eastAsia="Times New Roman" w:hAnsi="Times New Roman" w:cs="Times New Roman"/>
          <w:color w:val="000000"/>
          <w:spacing w:val="0"/>
          <w:w w:val="100"/>
          <w:position w:val="0"/>
        </w:rPr>
        <w:t>2,500.00</w:t>
      </w:r>
      <w:r>
        <w:rPr>
          <w:color w:val="000000"/>
          <w:spacing w:val="0"/>
          <w:w w:val="100"/>
          <w:position w:val="0"/>
        </w:rPr>
        <w:t>万元，被投资单位工商变更手续尚未办结。</w:t>
      </w:r>
    </w:p>
    <w:p>
      <w:pPr>
        <w:pStyle w:val="Style55"/>
        <w:keepNext/>
        <w:keepLines/>
        <w:widowControl w:val="0"/>
        <w:shd w:val="clear" w:color="auto" w:fill="auto"/>
        <w:bidi w:val="0"/>
        <w:spacing w:before="0" w:after="360" w:line="240" w:lineRule="auto"/>
        <w:ind w:left="0" w:right="0" w:firstLine="840"/>
        <w:jc w:val="left"/>
      </w:pPr>
      <w:bookmarkStart w:id="1601" w:name="bookmark1601"/>
      <w:bookmarkStart w:id="1602" w:name="bookmark1602"/>
      <w:bookmarkStart w:id="1603" w:name="bookmark1603"/>
      <w:bookmarkStart w:id="1604" w:name="bookmark1604"/>
      <w:r>
        <w:rPr>
          <w:rFonts w:ascii="Times New Roman" w:eastAsia="Times New Roman" w:hAnsi="Times New Roman" w:cs="Times New Roman"/>
          <w:color w:val="000000"/>
          <w:spacing w:val="0"/>
          <w:w w:val="100"/>
          <w:position w:val="0"/>
        </w:rPr>
        <w:t>3</w:t>
      </w:r>
      <w:bookmarkEnd w:id="1603"/>
      <w:r>
        <w:rPr>
          <w:rFonts w:ascii="Times New Roman" w:eastAsia="Times New Roman" w:hAnsi="Times New Roman" w:cs="Times New Roman"/>
          <w:color w:val="000000"/>
          <w:spacing w:val="0"/>
          <w:w w:val="100"/>
          <w:position w:val="0"/>
        </w:rPr>
        <w:t>2</w:t>
      </w:r>
      <w:r>
        <w:rPr>
          <w:color w:val="000000"/>
          <w:spacing w:val="0"/>
          <w:w w:val="100"/>
          <w:position w:val="0"/>
        </w:rPr>
        <w:t>、短期借款</w:t>
      </w:r>
      <w:bookmarkEnd w:id="1601"/>
      <w:bookmarkEnd w:id="1602"/>
      <w:bookmarkEnd w:id="1604"/>
    </w:p>
    <w:p>
      <w:pPr>
        <w:pStyle w:val="Style55"/>
        <w:keepNext/>
        <w:keepLines/>
        <w:widowControl w:val="0"/>
        <w:numPr>
          <w:ilvl w:val="0"/>
          <w:numId w:val="163"/>
        </w:numPr>
        <w:shd w:val="clear" w:color="auto" w:fill="auto"/>
        <w:bidi w:val="0"/>
        <w:spacing w:before="0" w:after="360" w:line="240" w:lineRule="auto"/>
        <w:ind w:left="0" w:right="0" w:firstLine="960"/>
        <w:jc w:val="left"/>
      </w:pPr>
      <w:bookmarkStart w:id="1601" w:name="bookmark1601"/>
      <w:bookmarkStart w:id="1602" w:name="bookmark1602"/>
      <w:bookmarkStart w:id="1605" w:name="bookmark1605"/>
      <w:bookmarkStart w:id="1606" w:name="bookmark1606"/>
      <w:bookmarkEnd w:id="1605"/>
      <w:r>
        <w:rPr>
          <w:color w:val="000000"/>
          <w:spacing w:val="0"/>
          <w:w w:val="100"/>
          <w:position w:val="0"/>
        </w:rPr>
        <w:t>短期借款分类</w:t>
      </w:r>
      <w:bookmarkEnd w:id="1601"/>
      <w:bookmarkEnd w:id="1602"/>
      <w:bookmarkEnd w:id="1606"/>
    </w:p>
    <w:p>
      <w:pPr>
        <w:pStyle w:val="Style32"/>
        <w:keepNext w:val="0"/>
        <w:keepLines w:val="0"/>
        <w:widowControl w:val="0"/>
        <w:shd w:val="clear" w:color="auto" w:fill="auto"/>
        <w:bidi w:val="0"/>
        <w:spacing w:before="0" w:after="80" w:line="240" w:lineRule="auto"/>
        <w:ind w:left="976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28,931,411.50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97,327,969.32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47,896,513.43</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108,327,969.32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76,827,924.93</w:t>
            </w:r>
          </w:p>
        </w:tc>
      </w:tr>
    </w:tbl>
    <w:p>
      <w:pPr>
        <w:pStyle w:val="Style55"/>
        <w:keepNext/>
        <w:keepLines/>
        <w:widowControl w:val="0"/>
        <w:numPr>
          <w:ilvl w:val="0"/>
          <w:numId w:val="163"/>
        </w:numPr>
        <w:shd w:val="clear" w:color="auto" w:fill="auto"/>
        <w:bidi w:val="0"/>
        <w:spacing w:before="0" w:after="0" w:line="610" w:lineRule="exact"/>
        <w:ind w:left="0" w:right="0" w:firstLine="840"/>
        <w:jc w:val="left"/>
      </w:pPr>
      <w:bookmarkStart w:id="1607" w:name="bookmark1607"/>
      <w:bookmarkStart w:id="1608" w:name="bookmark1608"/>
      <w:bookmarkStart w:id="1609" w:name="bookmark1609"/>
      <w:bookmarkStart w:id="1610" w:name="bookmark1610"/>
      <w:bookmarkEnd w:id="1609"/>
      <w:r>
        <w:rPr>
          <w:color w:val="000000"/>
          <w:spacing w:val="0"/>
          <w:w w:val="100"/>
          <w:position w:val="0"/>
          <w:shd w:val="clear" w:color="auto" w:fill="FFFFFF"/>
        </w:rPr>
        <w:t>已逾期未偿还的短期借款情况</w:t>
      </w:r>
      <w:bookmarkEnd w:id="1607"/>
      <w:bookmarkEnd w:id="1608"/>
      <w:bookmarkEnd w:id="1610"/>
    </w:p>
    <w:p>
      <w:pPr>
        <w:pStyle w:val="Style32"/>
        <w:keepNext w:val="0"/>
        <w:keepLines w:val="0"/>
        <w:widowControl w:val="0"/>
        <w:shd w:val="clear" w:color="auto" w:fill="auto"/>
        <w:bidi w:val="0"/>
        <w:spacing w:before="0" w:after="0" w:line="610" w:lineRule="exact"/>
        <w:ind w:left="0" w:right="0" w:firstLine="840"/>
        <w:jc w:val="left"/>
      </w:pPr>
      <w:r>
        <w:rPr>
          <w:color w:val="000000"/>
          <w:spacing w:val="0"/>
          <w:w w:val="100"/>
          <w:position w:val="0"/>
        </w:rPr>
        <w:t>本公司期末无逾期未偿还的短期借款。</w:t>
      </w:r>
    </w:p>
    <w:p>
      <w:pPr>
        <w:pStyle w:val="Style55"/>
        <w:keepNext/>
        <w:keepLines/>
        <w:widowControl w:val="0"/>
        <w:shd w:val="clear" w:color="auto" w:fill="auto"/>
        <w:bidi w:val="0"/>
        <w:spacing w:before="0" w:after="0" w:line="610" w:lineRule="exact"/>
        <w:ind w:left="0" w:right="0" w:firstLine="840"/>
        <w:jc w:val="left"/>
      </w:pPr>
      <w:bookmarkStart w:id="1611" w:name="bookmark1611"/>
      <w:bookmarkStart w:id="1612" w:name="bookmark1612"/>
      <w:bookmarkStart w:id="1613" w:name="bookmark1613"/>
      <w:bookmarkStart w:id="1614" w:name="bookmark1614"/>
      <w:r>
        <w:rPr>
          <w:rFonts w:ascii="Times New Roman" w:eastAsia="Times New Roman" w:hAnsi="Times New Roman" w:cs="Times New Roman"/>
          <w:color w:val="000000"/>
          <w:spacing w:val="0"/>
          <w:w w:val="100"/>
          <w:position w:val="0"/>
        </w:rPr>
        <w:t>3</w:t>
      </w:r>
      <w:bookmarkEnd w:id="1613"/>
      <w:r>
        <w:rPr>
          <w:rFonts w:ascii="Times New Roman" w:eastAsia="Times New Roman" w:hAnsi="Times New Roman" w:cs="Times New Roman"/>
          <w:color w:val="000000"/>
          <w:spacing w:val="0"/>
          <w:w w:val="100"/>
          <w:position w:val="0"/>
        </w:rPr>
        <w:t>3</w:t>
      </w:r>
      <w:r>
        <w:rPr>
          <w:color w:val="000000"/>
          <w:spacing w:val="0"/>
          <w:w w:val="100"/>
          <w:position w:val="0"/>
        </w:rPr>
        <w:t>、交易性金融负债</w:t>
      </w:r>
      <w:bookmarkEnd w:id="1611"/>
      <w:bookmarkEnd w:id="1612"/>
      <w:bookmarkEnd w:id="1614"/>
    </w:p>
    <w:p>
      <w:pPr>
        <w:pStyle w:val="Style32"/>
        <w:keepNext w:val="0"/>
        <w:keepLines w:val="0"/>
        <w:widowControl w:val="0"/>
        <w:shd w:val="clear" w:color="auto" w:fill="auto"/>
        <w:bidi w:val="0"/>
        <w:spacing w:before="0" w:after="220" w:line="610" w:lineRule="exact"/>
        <w:ind w:left="0" w:right="0" w:firstLine="840"/>
        <w:jc w:val="left"/>
        <w:sectPr>
          <w:headerReference w:type="default" r:id="rId433"/>
          <w:footerReference w:type="default" r:id="rId434"/>
          <w:headerReference w:type="even" r:id="rId435"/>
          <w:footerReference w:type="even" r:id="rId436"/>
          <w:footnotePr>
            <w:pos w:val="pageBottom"/>
            <w:numFmt w:val="decimal"/>
            <w:numRestart w:val="continuous"/>
          </w:footnotePr>
          <w:pgSz w:w="11900" w:h="16840"/>
          <w:pgMar w:top="692" w:right="1020" w:bottom="1158" w:left="272" w:header="0" w:footer="3" w:gutter="0"/>
          <w:cols w:space="720"/>
          <w:noEndnote/>
          <w:rtlGutter w:val="0"/>
          <w:docGrid w:linePitch="360"/>
        </w:sectPr>
      </w:pPr>
      <w:r>
        <w:rPr>
          <w:color w:val="000000"/>
          <w:spacing w:val="0"/>
          <w:w w:val="100"/>
          <w:position w:val="0"/>
        </w:rPr>
        <w:t>无</w:t>
      </w:r>
    </w:p>
    <w:p>
      <w:pPr>
        <w:widowControl w:val="0"/>
        <w:spacing w:line="1" w:lineRule="exact"/>
      </w:pPr>
      <w:r>
        <mc:AlternateContent>
          <mc:Choice Requires="wps">
            <w:drawing>
              <wp:anchor distT="0" distB="1091565" distL="0" distR="0" simplePos="0" relativeHeight="125829643" behindDoc="0" locked="0" layoutInCell="1" allowOverlap="1">
                <wp:simplePos x="0" y="0"/>
                <wp:positionH relativeFrom="page">
                  <wp:posOffset>777240</wp:posOffset>
                </wp:positionH>
                <wp:positionV relativeFrom="paragraph">
                  <wp:posOffset>0</wp:posOffset>
                </wp:positionV>
                <wp:extent cx="1243330" cy="267970"/>
                <wp:wrapTopAndBottom/>
                <wp:docPr id="1008" name="Shape 1008"/>
                <a:graphic xmlns:a="http://schemas.openxmlformats.org/drawingml/2006/main">
                  <a:graphicData uri="http://schemas.microsoft.com/office/word/2010/wordprocessingShape">
                    <wps:wsp>
                      <wps:cNvSpPr txBox="1"/>
                      <wps:spPr>
                        <a:xfrm>
                          <a:ext cx="1243330" cy="26797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245994"/>
                                <w:spacing w:val="0"/>
                                <w:w w:val="100"/>
                                <w:position w:val="0"/>
                              </w:rPr>
                              <w:t>匕广</w:t>
                            </w:r>
                            <w:r>
                              <w:rPr>
                                <w:color w:val="2D2B2E"/>
                                <w:spacing w:val="0"/>
                                <w:w w:val="100"/>
                                <w:position w:val="0"/>
                              </w:rPr>
                              <w:t>i</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0"/>
                              <w:jc w:val="right"/>
                            </w:pP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xbxContent>
                      </wps:txbx>
                      <wps:bodyPr lIns="0" tIns="0" rIns="0" bIns="0">
                        <a:noAutoFit/>
                      </wps:bodyPr>
                    </wps:wsp>
                  </a:graphicData>
                </a:graphic>
              </wp:anchor>
            </w:drawing>
          </mc:Choice>
          <mc:Fallback>
            <w:pict>
              <v:shape id="_x0000_s2034" type="#_x0000_t202" style="position:absolute;margin-left:61.200000000000003pt;margin-top:0;width:97.900000000000006pt;height:21.100000000000001pt;z-index:-125829110;mso-wrap-distance-left:0;mso-wrap-distance-right:0;mso-wrap-distance-bottom:85.950000000000003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245994"/>
                          <w:spacing w:val="0"/>
                          <w:w w:val="100"/>
                          <w:position w:val="0"/>
                        </w:rPr>
                        <w:t>匕广</w:t>
                      </w:r>
                      <w:r>
                        <w:rPr>
                          <w:color w:val="2D2B2E"/>
                          <w:spacing w:val="0"/>
                          <w:w w:val="100"/>
                          <w:position w:val="0"/>
                        </w:rPr>
                        <w:t>i</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0"/>
                        <w:jc w:val="right"/>
                      </w:pP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xbxContent>
                </v:textbox>
                <w10:wrap type="topAndBottom" anchorx="page"/>
              </v:shape>
            </w:pict>
          </mc:Fallback>
        </mc:AlternateContent>
      </w:r>
      <w:r>
        <mc:AlternateContent>
          <mc:Choice Requires="wps">
            <w:drawing>
              <wp:anchor distT="259080" distB="929640" distL="0" distR="0" simplePos="0" relativeHeight="125829645" behindDoc="0" locked="0" layoutInCell="1" allowOverlap="1">
                <wp:simplePos x="0" y="0"/>
                <wp:positionH relativeFrom="page">
                  <wp:posOffset>676910</wp:posOffset>
                </wp:positionH>
                <wp:positionV relativeFrom="paragraph">
                  <wp:posOffset>259080</wp:posOffset>
                </wp:positionV>
                <wp:extent cx="1100455" cy="170815"/>
                <wp:wrapTopAndBottom/>
                <wp:docPr id="1010" name="Shape 1010"/>
                <a:graphic xmlns:a="http://schemas.openxmlformats.org/drawingml/2006/main">
                  <a:graphicData uri="http://schemas.microsoft.com/office/word/2010/wordprocessingShape">
                    <wps:wsp>
                      <wps:cNvSpPr txBox="1"/>
                      <wps:spPr>
                        <a:xfrm>
                          <a:ext cx="1100455" cy="170815"/>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1615" w:name="bookmark1615"/>
                            <w:bookmarkStart w:id="1616" w:name="bookmark1616"/>
                            <w:bookmarkStart w:id="1617" w:name="bookmark1617"/>
                            <w:r>
                              <w:rPr>
                                <w:rFonts w:ascii="Times New Roman" w:eastAsia="Times New Roman" w:hAnsi="Times New Roman" w:cs="Times New Roman"/>
                                <w:color w:val="000000"/>
                                <w:spacing w:val="0"/>
                                <w:w w:val="100"/>
                                <w:position w:val="0"/>
                              </w:rPr>
                              <w:t>34</w:t>
                            </w:r>
                            <w:r>
                              <w:rPr>
                                <w:color w:val="000000"/>
                                <w:spacing w:val="0"/>
                                <w:w w:val="100"/>
                                <w:position w:val="0"/>
                              </w:rPr>
                              <w:t>、衍生金融负债</w:t>
                            </w:r>
                            <w:bookmarkEnd w:id="1615"/>
                            <w:bookmarkEnd w:id="1616"/>
                            <w:bookmarkEnd w:id="1617"/>
                          </w:p>
                        </w:txbxContent>
                      </wps:txbx>
                      <wps:bodyPr wrap="none" lIns="0" tIns="0" rIns="0" bIns="0">
                        <a:noAutoFit/>
                      </wps:bodyPr>
                    </wps:wsp>
                  </a:graphicData>
                </a:graphic>
              </wp:anchor>
            </w:drawing>
          </mc:Choice>
          <mc:Fallback>
            <w:pict>
              <v:shape id="_x0000_s2036" type="#_x0000_t202" style="position:absolute;margin-left:53.300000000000004pt;margin-top:20.400000000000002pt;width:86.650000000000006pt;height:13.450000000000001pt;z-index:-125829108;mso-wrap-distance-left:0;mso-wrap-distance-top:20.400000000000002pt;mso-wrap-distance-right:0;mso-wrap-distance-bottom:73.200000000000003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1615" w:name="bookmark1615"/>
                      <w:bookmarkStart w:id="1616" w:name="bookmark1616"/>
                      <w:bookmarkStart w:id="1617" w:name="bookmark1617"/>
                      <w:r>
                        <w:rPr>
                          <w:rFonts w:ascii="Times New Roman" w:eastAsia="Times New Roman" w:hAnsi="Times New Roman" w:cs="Times New Roman"/>
                          <w:color w:val="000000"/>
                          <w:spacing w:val="0"/>
                          <w:w w:val="100"/>
                          <w:position w:val="0"/>
                        </w:rPr>
                        <w:t>34</w:t>
                      </w:r>
                      <w:r>
                        <w:rPr>
                          <w:color w:val="000000"/>
                          <w:spacing w:val="0"/>
                          <w:w w:val="100"/>
                          <w:position w:val="0"/>
                        </w:rPr>
                        <w:t>、衍生金融负债</w:t>
                      </w:r>
                      <w:bookmarkEnd w:id="1615"/>
                      <w:bookmarkEnd w:id="1616"/>
                      <w:bookmarkEnd w:id="1617"/>
                    </w:p>
                  </w:txbxContent>
                </v:textbox>
                <w10:wrap type="topAndBottom" anchorx="page"/>
              </v:shape>
            </w:pict>
          </mc:Fallback>
        </mc:AlternateContent>
      </w:r>
      <w:r>
        <mc:AlternateContent>
          <mc:Choice Requires="wps">
            <w:drawing>
              <wp:anchor distT="1036320" distB="152400" distL="0" distR="0" simplePos="0" relativeHeight="125829647" behindDoc="0" locked="0" layoutInCell="1" allowOverlap="1">
                <wp:simplePos x="0" y="0"/>
                <wp:positionH relativeFrom="page">
                  <wp:posOffset>676910</wp:posOffset>
                </wp:positionH>
                <wp:positionV relativeFrom="paragraph">
                  <wp:posOffset>1036320</wp:posOffset>
                </wp:positionV>
                <wp:extent cx="831850" cy="170815"/>
                <wp:wrapTopAndBottom/>
                <wp:docPr id="1012" name="Shape 1012"/>
                <a:graphic xmlns:a="http://schemas.openxmlformats.org/drawingml/2006/main">
                  <a:graphicData uri="http://schemas.microsoft.com/office/word/2010/wordprocessingShape">
                    <wps:wsp>
                      <wps:cNvSpPr txBox="1"/>
                      <wps:spPr>
                        <a:xfrm>
                          <a:ext cx="831850" cy="170815"/>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1618" w:name="bookmark1618"/>
                            <w:bookmarkStart w:id="1619" w:name="bookmark1619"/>
                            <w:bookmarkStart w:id="1620" w:name="bookmark1620"/>
                            <w:r>
                              <w:rPr>
                                <w:rFonts w:ascii="Times New Roman" w:eastAsia="Times New Roman" w:hAnsi="Times New Roman" w:cs="Times New Roman"/>
                                <w:color w:val="000000"/>
                                <w:spacing w:val="0"/>
                                <w:w w:val="100"/>
                                <w:position w:val="0"/>
                              </w:rPr>
                              <w:t>35</w:t>
                            </w:r>
                            <w:r>
                              <w:rPr>
                                <w:color w:val="000000"/>
                                <w:spacing w:val="0"/>
                                <w:w w:val="100"/>
                                <w:position w:val="0"/>
                              </w:rPr>
                              <w:t>、应付票据</w:t>
                            </w:r>
                            <w:bookmarkEnd w:id="1618"/>
                            <w:bookmarkEnd w:id="1619"/>
                            <w:bookmarkEnd w:id="1620"/>
                          </w:p>
                        </w:txbxContent>
                      </wps:txbx>
                      <wps:bodyPr wrap="none" lIns="0" tIns="0" rIns="0" bIns="0">
                        <a:noAutoFit/>
                      </wps:bodyPr>
                    </wps:wsp>
                  </a:graphicData>
                </a:graphic>
              </wp:anchor>
            </w:drawing>
          </mc:Choice>
          <mc:Fallback>
            <w:pict>
              <v:shape id="_x0000_s2038" type="#_x0000_t202" style="position:absolute;margin-left:53.300000000000004pt;margin-top:81.600000000000009pt;width:65.5pt;height:13.450000000000001pt;z-index:-125829106;mso-wrap-distance-left:0;mso-wrap-distance-top:81.600000000000009pt;mso-wrap-distance-right:0;mso-wrap-distance-bottom:12.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1618" w:name="bookmark1618"/>
                      <w:bookmarkStart w:id="1619" w:name="bookmark1619"/>
                      <w:bookmarkStart w:id="1620" w:name="bookmark1620"/>
                      <w:r>
                        <w:rPr>
                          <w:rFonts w:ascii="Times New Roman" w:eastAsia="Times New Roman" w:hAnsi="Times New Roman" w:cs="Times New Roman"/>
                          <w:color w:val="000000"/>
                          <w:spacing w:val="0"/>
                          <w:w w:val="100"/>
                          <w:position w:val="0"/>
                        </w:rPr>
                        <w:t>35</w:t>
                      </w:r>
                      <w:r>
                        <w:rPr>
                          <w:color w:val="000000"/>
                          <w:spacing w:val="0"/>
                          <w:w w:val="100"/>
                          <w:position w:val="0"/>
                        </w:rPr>
                        <w:t>、应付票据</w:t>
                      </w:r>
                      <w:bookmarkEnd w:id="1618"/>
                      <w:bookmarkEnd w:id="1619"/>
                      <w:bookmarkEnd w:id="1620"/>
                    </w:p>
                  </w:txbxContent>
                </v:textbox>
                <w10:wrap type="topAndBottom" anchorx="page"/>
              </v:shape>
            </w:pict>
          </mc:Fallback>
        </mc:AlternateContent>
      </w:r>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商业承兑汇票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7,650,211.00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22,765,753.10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2,980,000.00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7,650,211.00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25,745,753.10</w:t>
            </w:r>
          </w:p>
        </w:tc>
      </w:tr>
    </w:tbl>
    <w:p>
      <w:pPr>
        <w:widowControl w:val="0"/>
        <w:spacing w:after="79" w:line="1" w:lineRule="exact"/>
      </w:pPr>
    </w:p>
    <w:p>
      <w:pPr>
        <w:pStyle w:val="Style32"/>
        <w:keepNext w:val="0"/>
        <w:keepLines w:val="0"/>
        <w:widowControl w:val="0"/>
        <w:shd w:val="clear" w:color="auto" w:fill="auto"/>
        <w:bidi w:val="0"/>
        <w:spacing w:before="0" w:after="380" w:line="240" w:lineRule="auto"/>
        <w:ind w:left="0" w:right="0" w:firstLine="540"/>
        <w:jc w:val="left"/>
      </w:pPr>
      <w:r>
        <w:rPr>
          <w:color w:val="000000"/>
          <w:spacing w:val="0"/>
          <w:w w:val="100"/>
          <w:position w:val="0"/>
        </w:rPr>
        <w:t>本期末已到期未支付的应付票据总额为</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55"/>
        <w:keepNext/>
        <w:keepLines/>
        <w:widowControl w:val="0"/>
        <w:shd w:val="clear" w:color="auto" w:fill="auto"/>
        <w:bidi w:val="0"/>
        <w:spacing w:before="0" w:after="380" w:line="240" w:lineRule="auto"/>
        <w:ind w:left="0" w:right="0" w:firstLine="540"/>
        <w:jc w:val="left"/>
      </w:pPr>
      <w:bookmarkStart w:id="1621" w:name="bookmark1621"/>
      <w:bookmarkStart w:id="1622" w:name="bookmark1622"/>
      <w:bookmarkStart w:id="1623" w:name="bookmark1623"/>
      <w:bookmarkStart w:id="1624" w:name="bookmark1624"/>
      <w:r>
        <w:rPr>
          <w:rFonts w:ascii="Times New Roman" w:eastAsia="Times New Roman" w:hAnsi="Times New Roman" w:cs="Times New Roman"/>
          <w:color w:val="000000"/>
          <w:spacing w:val="0"/>
          <w:w w:val="100"/>
          <w:position w:val="0"/>
        </w:rPr>
        <w:t>3</w:t>
      </w:r>
      <w:bookmarkEnd w:id="1623"/>
      <w:r>
        <w:rPr>
          <w:rFonts w:ascii="Times New Roman" w:eastAsia="Times New Roman" w:hAnsi="Times New Roman" w:cs="Times New Roman"/>
          <w:color w:val="000000"/>
          <w:spacing w:val="0"/>
          <w:w w:val="100"/>
          <w:position w:val="0"/>
        </w:rPr>
        <w:t>6</w:t>
      </w:r>
      <w:r>
        <w:rPr>
          <w:color w:val="000000"/>
          <w:spacing w:val="0"/>
          <w:w w:val="100"/>
          <w:position w:val="0"/>
        </w:rPr>
        <w:t>、应付账款</w:t>
      </w:r>
      <w:bookmarkEnd w:id="1621"/>
      <w:bookmarkEnd w:id="1622"/>
      <w:bookmarkEnd w:id="1624"/>
    </w:p>
    <w:p>
      <w:pPr>
        <w:pStyle w:val="Style55"/>
        <w:keepNext/>
        <w:keepLines/>
        <w:widowControl w:val="0"/>
        <w:numPr>
          <w:ilvl w:val="0"/>
          <w:numId w:val="165"/>
        </w:numPr>
        <w:shd w:val="clear" w:color="auto" w:fill="auto"/>
        <w:bidi w:val="0"/>
        <w:spacing w:before="0" w:after="380" w:line="240" w:lineRule="auto"/>
        <w:ind w:left="0" w:right="0" w:firstLine="680"/>
        <w:jc w:val="left"/>
      </w:pPr>
      <w:bookmarkStart w:id="1621" w:name="bookmark1621"/>
      <w:bookmarkStart w:id="1622" w:name="bookmark1622"/>
      <w:bookmarkStart w:id="1625" w:name="bookmark1625"/>
      <w:bookmarkStart w:id="1626" w:name="bookmark1626"/>
      <w:bookmarkEnd w:id="1625"/>
      <w:r>
        <w:rPr>
          <w:color w:val="000000"/>
          <w:spacing w:val="0"/>
          <w:w w:val="100"/>
          <w:position w:val="0"/>
        </w:rPr>
        <w:t>应付账款列示</w:t>
      </w:r>
      <w:bookmarkEnd w:id="1621"/>
      <w:bookmarkEnd w:id="1622"/>
      <w:bookmarkEnd w:id="1626"/>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购买材料、接受劳务及服务应付款项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180,668,596.33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153,463,464.58</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购买工程设备款项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284,300.30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180,952,896.63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153,463,464.58</w:t>
            </w:r>
          </w:p>
        </w:tc>
      </w:tr>
    </w:tbl>
    <w:p>
      <w:pPr>
        <w:widowControl w:val="0"/>
        <w:spacing w:after="319" w:line="1" w:lineRule="exact"/>
      </w:pPr>
    </w:p>
    <w:p>
      <w:pPr>
        <w:pStyle w:val="Style55"/>
        <w:keepNext/>
        <w:keepLines/>
        <w:widowControl w:val="0"/>
        <w:numPr>
          <w:ilvl w:val="0"/>
          <w:numId w:val="165"/>
        </w:numPr>
        <w:shd w:val="clear" w:color="auto" w:fill="auto"/>
        <w:bidi w:val="0"/>
        <w:spacing w:before="0" w:after="380" w:line="240" w:lineRule="auto"/>
        <w:ind w:left="0" w:right="0" w:firstLine="540"/>
        <w:jc w:val="left"/>
      </w:pPr>
      <w:bookmarkStart w:id="1627" w:name="bookmark1627"/>
      <w:bookmarkStart w:id="1628" w:name="bookmark1628"/>
      <w:bookmarkStart w:id="1629" w:name="bookmark1629"/>
      <w:bookmarkStart w:id="1630" w:name="bookmark1630"/>
      <w:bookmarkEnd w:id="1629"/>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年的重要应付账款</w:t>
      </w:r>
      <w:bookmarkEnd w:id="1627"/>
      <w:bookmarkEnd w:id="1628"/>
      <w:bookmarkEnd w:id="1630"/>
    </w:p>
    <w:p>
      <w:pPr>
        <w:pStyle w:val="Style32"/>
        <w:keepNext w:val="0"/>
        <w:keepLines w:val="0"/>
        <w:widowControl w:val="0"/>
        <w:shd w:val="clear" w:color="auto" w:fill="auto"/>
        <w:bidi w:val="0"/>
        <w:spacing w:before="0" w:after="380" w:line="240" w:lineRule="auto"/>
        <w:ind w:left="0" w:right="0" w:firstLine="540"/>
        <w:jc w:val="left"/>
      </w:pPr>
      <w:r>
        <w:rPr>
          <w:color w:val="000000"/>
          <w:spacing w:val="0"/>
          <w:w w:val="100"/>
          <w:position w:val="0"/>
        </w:rPr>
        <w:t>本公司期末无账龄超过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年的重要应付账款。</w:t>
      </w:r>
    </w:p>
    <w:p>
      <w:pPr>
        <w:pStyle w:val="Style55"/>
        <w:keepNext/>
        <w:keepLines/>
        <w:widowControl w:val="0"/>
        <w:shd w:val="clear" w:color="auto" w:fill="auto"/>
        <w:bidi w:val="0"/>
        <w:spacing w:before="0" w:after="960" w:line="240" w:lineRule="auto"/>
        <w:ind w:left="0" w:right="0" w:firstLine="540"/>
        <w:jc w:val="left"/>
      </w:pPr>
      <w:bookmarkStart w:id="1631" w:name="bookmark1631"/>
      <w:bookmarkStart w:id="1632" w:name="bookmark1632"/>
      <w:bookmarkStart w:id="1633" w:name="bookmark1633"/>
      <w:bookmarkStart w:id="1634" w:name="bookmark1634"/>
      <w:r>
        <w:rPr>
          <w:rFonts w:ascii="Times New Roman" w:eastAsia="Times New Roman" w:hAnsi="Times New Roman" w:cs="Times New Roman"/>
          <w:color w:val="000000"/>
          <w:spacing w:val="0"/>
          <w:w w:val="100"/>
          <w:position w:val="0"/>
        </w:rPr>
        <w:t>3</w:t>
      </w:r>
      <w:bookmarkEnd w:id="1633"/>
      <w:r>
        <w:rPr>
          <w:rFonts w:ascii="Times New Roman" w:eastAsia="Times New Roman" w:hAnsi="Times New Roman" w:cs="Times New Roman"/>
          <w:color w:val="000000"/>
          <w:spacing w:val="0"/>
          <w:w w:val="100"/>
          <w:position w:val="0"/>
        </w:rPr>
        <w:t>7</w:t>
      </w:r>
      <w:r>
        <w:rPr>
          <w:color w:val="000000"/>
          <w:spacing w:val="0"/>
          <w:w w:val="100"/>
          <w:position w:val="0"/>
        </w:rPr>
        <w:t>、预收款项</w:t>
      </w:r>
      <w:bookmarkEnd w:id="1631"/>
      <w:bookmarkEnd w:id="1632"/>
      <w:bookmarkEnd w:id="1634"/>
    </w:p>
    <w:p>
      <w:pPr>
        <w:pStyle w:val="Style55"/>
        <w:keepNext/>
        <w:keepLines/>
        <w:widowControl w:val="0"/>
        <w:shd w:val="clear" w:color="auto" w:fill="auto"/>
        <w:bidi w:val="0"/>
        <w:spacing w:before="0" w:after="380" w:line="240" w:lineRule="auto"/>
        <w:ind w:left="0" w:right="0" w:firstLine="540"/>
        <w:jc w:val="left"/>
      </w:pPr>
      <w:bookmarkStart w:id="1635" w:name="bookmark1635"/>
      <w:bookmarkStart w:id="1636" w:name="bookmark1636"/>
      <w:bookmarkStart w:id="1637" w:name="bookmark1637"/>
      <w:bookmarkStart w:id="1638" w:name="bookmark1638"/>
      <w:r>
        <w:rPr>
          <w:rFonts w:ascii="Times New Roman" w:eastAsia="Times New Roman" w:hAnsi="Times New Roman" w:cs="Times New Roman"/>
          <w:color w:val="000000"/>
          <w:spacing w:val="0"/>
          <w:w w:val="100"/>
          <w:position w:val="0"/>
        </w:rPr>
        <w:t>3</w:t>
      </w:r>
      <w:bookmarkEnd w:id="1637"/>
      <w:r>
        <w:rPr>
          <w:rFonts w:ascii="Times New Roman" w:eastAsia="Times New Roman" w:hAnsi="Times New Roman" w:cs="Times New Roman"/>
          <w:color w:val="000000"/>
          <w:spacing w:val="0"/>
          <w:w w:val="100"/>
          <w:position w:val="0"/>
        </w:rPr>
        <w:t>8</w:t>
      </w:r>
      <w:r>
        <w:rPr>
          <w:color w:val="000000"/>
          <w:spacing w:val="0"/>
          <w:w w:val="100"/>
          <w:position w:val="0"/>
        </w:rPr>
        <w:t>、合同负债</w:t>
      </w:r>
      <w:bookmarkEnd w:id="1635"/>
      <w:bookmarkEnd w:id="1636"/>
      <w:bookmarkEnd w:id="1638"/>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4118"/>
        <w:gridCol w:w="2976"/>
        <w:gridCol w:w="2491"/>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软件开发、产品化软件销售及系统集成项目预收款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820" w:right="0" w:firstLine="0"/>
              <w:jc w:val="left"/>
            </w:pPr>
            <w:r>
              <w:rPr>
                <w:rFonts w:ascii="Times New Roman" w:eastAsia="Times New Roman" w:hAnsi="Times New Roman" w:cs="Times New Roman"/>
                <w:color w:val="000000"/>
                <w:spacing w:val="0"/>
                <w:w w:val="100"/>
                <w:position w:val="0"/>
              </w:rPr>
              <w:t>106,717,946.62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80,657,844.43</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820" w:right="0" w:firstLine="0"/>
              <w:jc w:val="left"/>
            </w:pPr>
            <w:r>
              <w:rPr>
                <w:rFonts w:ascii="Times New Roman" w:eastAsia="Times New Roman" w:hAnsi="Times New Roman" w:cs="Times New Roman"/>
                <w:color w:val="000000"/>
                <w:spacing w:val="0"/>
                <w:w w:val="100"/>
                <w:position w:val="0"/>
              </w:rPr>
              <w:t>106,717,946.62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80,657,844.43</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报告期内账面价值发生重大变动的金额和原因</w:t>
      </w:r>
    </w:p>
    <w:p>
      <w:pPr>
        <w:widowControl w:val="0"/>
        <w:spacing w:after="119" w:line="1" w:lineRule="exact"/>
      </w:pPr>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2213"/>
        <w:gridCol w:w="2419"/>
        <w:gridCol w:w="4954"/>
      </w:tblGrid>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变动金额</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变动原因</w:t>
            </w:r>
          </w:p>
        </w:tc>
      </w:tr>
    </w:tbl>
    <w:p>
      <w:pPr>
        <w:widowControl w:val="0"/>
        <w:spacing w:line="1" w:lineRule="exact"/>
      </w:pPr>
      <w:r>
        <w:br w:type="page"/>
      </w:r>
    </w:p>
    <w:p>
      <w:pPr>
        <w:pStyle w:val="Style49"/>
        <w:keepNext w:val="0"/>
        <w:keepLines w:val="0"/>
        <w:widowControl w:val="0"/>
        <w:shd w:val="clear" w:color="auto" w:fill="auto"/>
        <w:bidi w:val="0"/>
        <w:spacing w:before="0" w:after="0" w:line="240" w:lineRule="auto"/>
        <w:ind w:left="144" w:right="0" w:firstLine="0"/>
        <w:jc w:val="left"/>
        <w:rPr>
          <w:sz w:val="15"/>
          <w:szCs w:val="15"/>
        </w:rPr>
      </w:pPr>
      <w:r>
        <w:rPr>
          <w:rFonts w:ascii="SimHei" w:eastAsia="SimHei" w:hAnsi="SimHei" w:cs="SimHei"/>
          <w:color w:val="245994"/>
          <w:spacing w:val="0"/>
          <w:w w:val="100"/>
          <w:position w:val="0"/>
          <w:sz w:val="15"/>
          <w:szCs w:val="15"/>
        </w:rPr>
        <w:t>匕广</w:t>
      </w:r>
      <w:r>
        <w:rPr>
          <w:rFonts w:ascii="SimHei" w:eastAsia="SimHei" w:hAnsi="SimHei" w:cs="SimHei"/>
          <w:color w:val="2D2B2E"/>
          <w:spacing w:val="0"/>
          <w:w w:val="100"/>
          <w:position w:val="0"/>
          <w:sz w:val="15"/>
          <w:szCs w:val="15"/>
        </w:rPr>
        <w:t>i</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739" w:val="left"/>
        </w:tabs>
        <w:bidi w:val="0"/>
        <w:spacing w:before="0" w:after="0" w:line="240" w:lineRule="auto"/>
        <w:ind w:left="144" w:right="0" w:firstLine="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2213"/>
        <w:gridCol w:w="2419"/>
        <w:gridCol w:w="4954"/>
      </w:tblGrid>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企业合并导致的变动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11,280,631.82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非同一控制下企业合并</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11,280,631.82</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319" w:line="1" w:lineRule="exact"/>
      </w:pPr>
    </w:p>
    <w:p>
      <w:pPr>
        <w:pStyle w:val="Style55"/>
        <w:keepNext/>
        <w:keepLines/>
        <w:widowControl w:val="0"/>
        <w:shd w:val="clear" w:color="auto" w:fill="auto"/>
        <w:bidi w:val="0"/>
        <w:spacing w:before="0" w:after="360" w:line="240" w:lineRule="auto"/>
        <w:ind w:left="0" w:right="0" w:firstLine="560"/>
        <w:jc w:val="left"/>
      </w:pPr>
      <w:bookmarkStart w:id="1639" w:name="bookmark1639"/>
      <w:bookmarkStart w:id="1640" w:name="bookmark1640"/>
      <w:bookmarkStart w:id="1641" w:name="bookmark1641"/>
      <w:bookmarkStart w:id="1642" w:name="bookmark1642"/>
      <w:r>
        <w:rPr>
          <w:rFonts w:ascii="Times New Roman" w:eastAsia="Times New Roman" w:hAnsi="Times New Roman" w:cs="Times New Roman"/>
          <w:color w:val="000000"/>
          <w:spacing w:val="0"/>
          <w:w w:val="100"/>
          <w:position w:val="0"/>
        </w:rPr>
        <w:t>3</w:t>
      </w:r>
      <w:bookmarkEnd w:id="1641"/>
      <w:r>
        <w:rPr>
          <w:rFonts w:ascii="Times New Roman" w:eastAsia="Times New Roman" w:hAnsi="Times New Roman" w:cs="Times New Roman"/>
          <w:color w:val="000000"/>
          <w:spacing w:val="0"/>
          <w:w w:val="100"/>
          <w:position w:val="0"/>
        </w:rPr>
        <w:t>9</w:t>
      </w:r>
      <w:r>
        <w:rPr>
          <w:color w:val="000000"/>
          <w:spacing w:val="0"/>
          <w:w w:val="100"/>
          <w:position w:val="0"/>
        </w:rPr>
        <w:t>、应付职工薪酬</w:t>
      </w:r>
      <w:bookmarkEnd w:id="1639"/>
      <w:bookmarkEnd w:id="1640"/>
      <w:bookmarkEnd w:id="1642"/>
    </w:p>
    <w:p>
      <w:pPr>
        <w:pStyle w:val="Style55"/>
        <w:keepNext/>
        <w:keepLines/>
        <w:widowControl w:val="0"/>
        <w:numPr>
          <w:ilvl w:val="0"/>
          <w:numId w:val="167"/>
        </w:numPr>
        <w:shd w:val="clear" w:color="auto" w:fill="auto"/>
        <w:bidi w:val="0"/>
        <w:spacing w:before="0" w:after="360" w:line="240" w:lineRule="auto"/>
        <w:ind w:left="0" w:right="0" w:firstLine="560"/>
        <w:jc w:val="left"/>
      </w:pPr>
      <w:bookmarkStart w:id="1639" w:name="bookmark1639"/>
      <w:bookmarkStart w:id="1640" w:name="bookmark1640"/>
      <w:bookmarkStart w:id="1643" w:name="bookmark1643"/>
      <w:bookmarkStart w:id="1644" w:name="bookmark1644"/>
      <w:bookmarkEnd w:id="1643"/>
      <w:r>
        <w:rPr>
          <w:color w:val="000000"/>
          <w:spacing w:val="0"/>
          <w:w w:val="100"/>
          <w:position w:val="0"/>
        </w:rPr>
        <w:t>应付职工薪酬列示</w:t>
      </w:r>
      <w:bookmarkEnd w:id="1639"/>
      <w:bookmarkEnd w:id="1640"/>
      <w:bookmarkEnd w:id="1644"/>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82"/>
        <w:gridCol w:w="1915"/>
        <w:gridCol w:w="1915"/>
        <w:gridCol w:w="1915"/>
        <w:gridCol w:w="1925"/>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本期减少</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期末余额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一、短期薪酬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22,489,784.99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184,443,921.33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174,915,768.79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32,017,937.53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二、离职后福利</w:t>
            </w:r>
            <w:r>
              <w:rPr>
                <w:rFonts w:ascii="Times New Roman" w:eastAsia="Times New Roman" w:hAnsi="Times New Roman" w:cs="Times New Roman"/>
                <w:color w:val="000000"/>
                <w:spacing w:val="0"/>
                <w:w w:val="100"/>
                <w:position w:val="0"/>
              </w:rPr>
              <w:t>-</w:t>
            </w:r>
            <w:r>
              <w:rPr>
                <w:color w:val="000000"/>
                <w:spacing w:val="0"/>
                <w:w w:val="100"/>
                <w:position w:val="0"/>
              </w:rPr>
              <w:t>设定提存计划</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444,230.80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1,412,296.97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1,743,008.63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113,519.14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216,950.00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216,950.00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22,934,015.79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186,073,168.30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176,875,727.42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32,131,456.67</w:t>
            </w:r>
          </w:p>
        </w:tc>
      </w:tr>
    </w:tbl>
    <w:p>
      <w:pPr>
        <w:widowControl w:val="0"/>
        <w:spacing w:after="319" w:line="1" w:lineRule="exact"/>
      </w:pPr>
    </w:p>
    <w:p>
      <w:pPr>
        <w:pStyle w:val="Style55"/>
        <w:keepNext/>
        <w:keepLines/>
        <w:widowControl w:val="0"/>
        <w:numPr>
          <w:ilvl w:val="0"/>
          <w:numId w:val="167"/>
        </w:numPr>
        <w:shd w:val="clear" w:color="auto" w:fill="auto"/>
        <w:bidi w:val="0"/>
        <w:spacing w:before="0" w:after="360" w:line="240" w:lineRule="auto"/>
        <w:ind w:left="0" w:right="0" w:firstLine="680"/>
        <w:jc w:val="left"/>
      </w:pPr>
      <w:bookmarkStart w:id="1645" w:name="bookmark1645"/>
      <w:bookmarkStart w:id="1646" w:name="bookmark1646"/>
      <w:bookmarkStart w:id="1647" w:name="bookmark1647"/>
      <w:bookmarkStart w:id="1648" w:name="bookmark1648"/>
      <w:bookmarkEnd w:id="1647"/>
      <w:r>
        <w:rPr>
          <w:color w:val="000000"/>
          <w:spacing w:val="0"/>
          <w:w w:val="100"/>
          <w:position w:val="0"/>
        </w:rPr>
        <w:t>短期薪酬列示</w:t>
      </w:r>
      <w:bookmarkEnd w:id="1645"/>
      <w:bookmarkEnd w:id="1646"/>
      <w:bookmarkEnd w:id="1648"/>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347"/>
        <w:gridCol w:w="1915"/>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本期增加</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本期减少</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期末余额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、工资、奖金、津贴和补贴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21,421,238.07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165,900,721.93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156,041,558.67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31,280,401.33</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、职工福利费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2,127,471.79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2,127,471.79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、社会保险费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786,606.44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7,360,100.10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7,597,543.90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549,162.64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其中：医疗保险费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698,285.80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7,009,942.98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7,194,207.49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514,021.29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工伤保险费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23,369.36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42,959.63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61,460.85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4,868.14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940"/>
              <w:jc w:val="left"/>
            </w:pPr>
            <w:r>
              <w:rPr>
                <w:color w:val="000000"/>
                <w:spacing w:val="0"/>
                <w:w w:val="100"/>
                <w:position w:val="0"/>
              </w:rPr>
              <w:t>生育保险费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64,951.28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307,197.49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341,875.56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30,273.21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、住房公积金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281,940.48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8,506,204.84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8,599,771.76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188,373.56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、工会经费和职工教育经费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549,422.67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549,422.67</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both"/>
            </w:pPr>
            <w:r>
              <w:rPr>
                <w:rFonts w:ascii="Times New Roman" w:eastAsia="Times New Roman" w:hAnsi="Times New Roman" w:cs="Times New Roman"/>
                <w:color w:val="000000"/>
                <w:spacing w:val="0"/>
                <w:w w:val="100"/>
                <w:position w:val="0"/>
              </w:rPr>
              <w:t>22,489,784.99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184,443,921.33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174,915,768.79</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32,017,937.53</w:t>
            </w:r>
          </w:p>
        </w:tc>
      </w:tr>
    </w:tbl>
    <w:p>
      <w:pPr>
        <w:widowControl w:val="0"/>
        <w:spacing w:after="319" w:line="1" w:lineRule="exact"/>
      </w:pPr>
    </w:p>
    <w:p>
      <w:pPr>
        <w:pStyle w:val="Style55"/>
        <w:keepNext/>
        <w:keepLines/>
        <w:widowControl w:val="0"/>
        <w:numPr>
          <w:ilvl w:val="0"/>
          <w:numId w:val="167"/>
        </w:numPr>
        <w:shd w:val="clear" w:color="auto" w:fill="auto"/>
        <w:bidi w:val="0"/>
        <w:spacing w:before="0" w:after="360" w:line="240" w:lineRule="auto"/>
        <w:ind w:left="0" w:right="0" w:firstLine="680"/>
        <w:jc w:val="left"/>
      </w:pPr>
      <w:bookmarkStart w:id="1649" w:name="bookmark1649"/>
      <w:bookmarkStart w:id="1650" w:name="bookmark1650"/>
      <w:bookmarkStart w:id="1651" w:name="bookmark1651"/>
      <w:bookmarkStart w:id="1652" w:name="bookmark1652"/>
      <w:bookmarkEnd w:id="1651"/>
      <w:r>
        <w:rPr>
          <w:color w:val="000000"/>
          <w:spacing w:val="0"/>
          <w:w w:val="100"/>
          <w:position w:val="0"/>
        </w:rPr>
        <w:t>设定提存计划列示</w:t>
      </w:r>
      <w:bookmarkEnd w:id="1649"/>
      <w:bookmarkEnd w:id="1650"/>
      <w:bookmarkEnd w:id="1652"/>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本期增加</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本期减少</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期末余额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、基本养老保险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399,762.13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1,390,297.83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1,681,987.32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108,072.64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、失业保险费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44,468.67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21,999.14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61,021.31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5,446.50</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444,230.80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1,412,296.97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1,743,008.63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113,519.14</w:t>
            </w:r>
          </w:p>
        </w:tc>
      </w:tr>
    </w:tbl>
    <w:p>
      <w:pPr>
        <w:sectPr>
          <w:headerReference w:type="default" r:id="rId437"/>
          <w:footerReference w:type="default" r:id="rId438"/>
          <w:headerReference w:type="even" r:id="rId439"/>
          <w:footerReference w:type="even" r:id="rId440"/>
          <w:footnotePr>
            <w:pos w:val="pageBottom"/>
            <w:numFmt w:val="decimal"/>
            <w:numRestart w:val="continuous"/>
          </w:footnotePr>
          <w:pgSz w:w="11900" w:h="16840"/>
          <w:pgMar w:top="1077" w:right="958" w:bottom="1309" w:left="329" w:header="0" w:footer="3" w:gutter="0"/>
          <w:cols w:space="720"/>
          <w:noEndnote/>
          <w:rtlGutter w:val="0"/>
          <w:docGrid w:linePitch="360"/>
        </w:sectPr>
      </w:pPr>
    </w:p>
    <w:p>
      <w:pPr>
        <w:pStyle w:val="Style5"/>
        <w:keepNext w:val="0"/>
        <w:keepLines w:val="0"/>
        <w:widowControl w:val="0"/>
        <w:shd w:val="clear" w:color="auto" w:fill="auto"/>
        <w:bidi w:val="0"/>
        <w:spacing w:before="0" w:after="0" w:line="240" w:lineRule="exact"/>
        <w:ind w:left="680" w:right="0" w:hanging="120"/>
        <w:jc w:val="both"/>
        <w:rPr>
          <w:sz w:val="18"/>
          <w:szCs w:val="18"/>
        </w:rPr>
      </w:pPr>
      <w:r>
        <w:rPr>
          <w:color w:val="245994"/>
          <w:spacing w:val="0"/>
          <w:w w:val="100"/>
          <w:position w:val="0"/>
          <w:sz w:val="15"/>
          <w:szCs w:val="15"/>
        </w:rPr>
        <w:t>"g</w:t>
      </w:r>
      <w:r>
        <w:rPr>
          <w:spacing w:val="0"/>
          <w:w w:val="100"/>
          <w:position w:val="0"/>
          <w:sz w:val="15"/>
          <w:szCs w:val="15"/>
        </w:rPr>
        <w:t xml:space="preserve">国家高新技术企业 </w:t>
      </w:r>
      <w:r>
        <w:rPr>
          <w:color w:val="245994"/>
          <w:spacing w:val="0"/>
          <w:w w:val="100"/>
          <w:position w:val="0"/>
          <w:sz w:val="15"/>
          <w:szCs w:val="15"/>
        </w:rPr>
        <w:t xml:space="preserve">，| </w:t>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55"/>
        <w:keepNext/>
        <w:keepLines/>
        <w:widowControl w:val="0"/>
        <w:shd w:val="clear" w:color="auto" w:fill="auto"/>
        <w:bidi w:val="0"/>
        <w:spacing w:before="0" w:after="380" w:line="240" w:lineRule="auto"/>
        <w:ind w:left="0" w:right="0" w:firstLine="560"/>
        <w:jc w:val="left"/>
      </w:pPr>
      <w:bookmarkStart w:id="1653" w:name="bookmark1653"/>
      <w:bookmarkStart w:id="1654" w:name="bookmark1654"/>
      <w:bookmarkStart w:id="1655" w:name="bookmark1655"/>
      <w:bookmarkStart w:id="1656" w:name="bookmark1656"/>
      <w:r>
        <w:rPr>
          <w:rFonts w:ascii="Times New Roman" w:eastAsia="Times New Roman" w:hAnsi="Times New Roman" w:cs="Times New Roman"/>
          <w:color w:val="000000"/>
          <w:spacing w:val="0"/>
          <w:w w:val="100"/>
          <w:position w:val="0"/>
        </w:rPr>
        <w:t>4</w:t>
      </w:r>
      <w:bookmarkEnd w:id="1655"/>
      <w:r>
        <w:rPr>
          <w:rFonts w:ascii="Times New Roman" w:eastAsia="Times New Roman" w:hAnsi="Times New Roman" w:cs="Times New Roman"/>
          <w:color w:val="000000"/>
          <w:spacing w:val="0"/>
          <w:w w:val="100"/>
          <w:position w:val="0"/>
        </w:rPr>
        <w:t>0</w:t>
      </w:r>
      <w:r>
        <w:rPr>
          <w:color w:val="000000"/>
          <w:spacing w:val="0"/>
          <w:w w:val="100"/>
          <w:position w:val="0"/>
        </w:rPr>
        <w:t>、应交税费</w:t>
      </w:r>
      <w:bookmarkEnd w:id="1653"/>
      <w:bookmarkEnd w:id="1654"/>
      <w:bookmarkEnd w:id="1656"/>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16,896,973.83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10,530,998.90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8,973,514.87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7,444,947.35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个人所得税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989,025.84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977,248.08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958,125.11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823,439.50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491,539.00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403,673.04</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331,246.53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286,649.98</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74,923.16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114,047.20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219,406.00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370,410.99</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18,613.73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18,613.73</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6,699.41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65,358.16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28,960,067.48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21,035,386.93</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560"/>
        <w:jc w:val="left"/>
      </w:pPr>
      <w:bookmarkStart w:id="1657" w:name="bookmark1657"/>
      <w:bookmarkStart w:id="1658" w:name="bookmark1658"/>
      <w:bookmarkStart w:id="1659" w:name="bookmark1659"/>
      <w:bookmarkStart w:id="1660" w:name="bookmark1660"/>
      <w:r>
        <w:rPr>
          <w:rFonts w:ascii="Times New Roman" w:eastAsia="Times New Roman" w:hAnsi="Times New Roman" w:cs="Times New Roman"/>
          <w:color w:val="000000"/>
          <w:spacing w:val="0"/>
          <w:w w:val="100"/>
          <w:position w:val="0"/>
        </w:rPr>
        <w:t>4</w:t>
      </w:r>
      <w:bookmarkEnd w:id="1659"/>
      <w:r>
        <w:rPr>
          <w:rFonts w:ascii="Times New Roman" w:eastAsia="Times New Roman" w:hAnsi="Times New Roman" w:cs="Times New Roman"/>
          <w:color w:val="000000"/>
          <w:spacing w:val="0"/>
          <w:w w:val="100"/>
          <w:position w:val="0"/>
        </w:rPr>
        <w:t>1</w:t>
      </w:r>
      <w:r>
        <w:rPr>
          <w:color w:val="000000"/>
          <w:spacing w:val="0"/>
          <w:w w:val="100"/>
          <w:position w:val="0"/>
        </w:rPr>
        <w:t>、其他应付款</w:t>
      </w:r>
      <w:bookmarkEnd w:id="1657"/>
      <w:bookmarkEnd w:id="1658"/>
      <w:bookmarkEnd w:id="1660"/>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应付股利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18,260,980.04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20,446,609.46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21,860,980.04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20,446,609.46</w:t>
            </w:r>
          </w:p>
        </w:tc>
      </w:tr>
    </w:tbl>
    <w:p>
      <w:pPr>
        <w:widowControl w:val="0"/>
        <w:spacing w:after="319" w:line="1" w:lineRule="exact"/>
      </w:pPr>
    </w:p>
    <w:p>
      <w:pPr>
        <w:pStyle w:val="Style55"/>
        <w:keepNext/>
        <w:keepLines/>
        <w:widowControl w:val="0"/>
        <w:shd w:val="clear" w:color="auto" w:fill="auto"/>
        <w:bidi w:val="0"/>
        <w:spacing w:before="0" w:after="960" w:line="240" w:lineRule="auto"/>
        <w:ind w:left="0" w:right="0" w:firstLine="680"/>
        <w:jc w:val="left"/>
      </w:pPr>
      <w:bookmarkStart w:id="1661" w:name="bookmark1661"/>
      <w:bookmarkStart w:id="1662" w:name="bookmark1662"/>
      <w:bookmarkStart w:id="1663" w:name="bookmark1663"/>
      <w:r>
        <w:rPr>
          <w:rFonts w:ascii="Times New Roman" w:eastAsia="Times New Roman" w:hAnsi="Times New Roman" w:cs="Times New Roman"/>
          <w:color w:val="000000"/>
          <w:spacing w:val="0"/>
          <w:w w:val="100"/>
          <w:position w:val="0"/>
        </w:rPr>
        <w:t>（1</w:t>
      </w:r>
      <w:r>
        <w:rPr>
          <w:color w:val="000000"/>
          <w:spacing w:val="0"/>
          <w:w w:val="100"/>
          <w:position w:val="0"/>
        </w:rPr>
        <w:t>）应付利息</w:t>
      </w:r>
      <w:bookmarkEnd w:id="1661"/>
      <w:bookmarkEnd w:id="1662"/>
      <w:bookmarkEnd w:id="1663"/>
    </w:p>
    <w:p>
      <w:pPr>
        <w:pStyle w:val="Style55"/>
        <w:keepNext/>
        <w:keepLines/>
        <w:widowControl w:val="0"/>
        <w:shd w:val="clear" w:color="auto" w:fill="auto"/>
        <w:bidi w:val="0"/>
        <w:spacing w:before="0" w:after="380" w:line="240" w:lineRule="auto"/>
        <w:ind w:left="0" w:right="0" w:firstLine="680"/>
        <w:jc w:val="left"/>
      </w:pPr>
      <w:bookmarkStart w:id="1664" w:name="bookmark1664"/>
      <w:bookmarkStart w:id="1665" w:name="bookmark1665"/>
      <w:bookmarkStart w:id="1666" w:name="bookmark1666"/>
      <w:r>
        <w:rPr>
          <w:rFonts w:ascii="Times New Roman" w:eastAsia="Times New Roman" w:hAnsi="Times New Roman" w:cs="Times New Roman"/>
          <w:color w:val="000000"/>
          <w:spacing w:val="0"/>
          <w:w w:val="100"/>
          <w:position w:val="0"/>
        </w:rPr>
        <w:t>（2</w:t>
      </w:r>
      <w:r>
        <w:rPr>
          <w:color w:val="000000"/>
          <w:spacing w:val="0"/>
          <w:w w:val="100"/>
          <w:position w:val="0"/>
        </w:rPr>
        <w:t>）应付股利</w:t>
      </w:r>
      <w:bookmarkEnd w:id="1664"/>
      <w:bookmarkEnd w:id="1665"/>
      <w:bookmarkEnd w:id="1666"/>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4829"/>
        <w:gridCol w:w="2410"/>
        <w:gridCol w:w="234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沈阳荣科融拓健康数据产业股权投资合伙企业（有限合伙）</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石超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600,000.00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王功学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600,000.00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徐州瀚举企业管理合伙企业（有限合伙）</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480,000.00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德清博御投资管理合伙企业（有限合伙）</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720,000.00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p>
      <w:pPr>
        <w:framePr w:w="768" w:h="370" w:hSpace="1296" w:vSpace="5" w:wrap="notBeside" w:vAnchor="text" w:hAnchor="text" w:x="596" w:y="1"/>
        <w:widowControl w:val="0"/>
        <w:rPr>
          <w:sz w:val="2"/>
          <w:szCs w:val="2"/>
        </w:rPr>
      </w:pPr>
      <w:r>
        <w:drawing>
          <wp:inline>
            <wp:extent cx="487680" cy="237490"/>
            <wp:docPr id="1022" name="Picutre 1022"/>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441"/>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377825" distR="4809490" simplePos="0" relativeHeight="125829649" behindDoc="0" locked="0" layoutInCell="1" allowOverlap="1">
                <wp:simplePos x="0" y="0"/>
                <wp:positionH relativeFrom="column">
                  <wp:posOffset>865505</wp:posOffset>
                </wp:positionH>
                <wp:positionV relativeFrom="paragraph">
                  <wp:posOffset>6350</wp:posOffset>
                </wp:positionV>
                <wp:extent cx="822960" cy="231775"/>
                <wp:wrapTopAndBottom/>
                <wp:docPr id="1023" name="Shape 1023"/>
                <a:graphic xmlns:a="http://schemas.openxmlformats.org/drawingml/2006/main">
                  <a:graphicData uri="http://schemas.microsoft.com/office/word/2010/wordprocessingShape">
                    <wps:wsp>
                      <wps:cNvSpPr txBox="1"/>
                      <wps:spPr>
                        <a:xfrm>
                          <a:ext cx="822960" cy="231775"/>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049" type="#_x0000_t202" style="position:absolute;margin-left:68.150000000000006pt;margin-top:0.5pt;width:64.799999999999997pt;height:18.25pt;z-index:-125829104;mso-wrap-distance-left:29.75pt;mso-wrap-distance-right:378.69999999999999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tbl>
      <w:tblPr>
        <w:tblOverlap w:val="never"/>
        <w:jc w:val="center"/>
        <w:tblLayout w:type="fixed"/>
      </w:tblPr>
      <w:tblGrid>
        <w:gridCol w:w="4829"/>
        <w:gridCol w:w="2410"/>
        <w:gridCol w:w="2347"/>
      </w:tblGrid>
      <w:tr>
        <w:trPr>
          <w:trHeight w:val="41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其他说明，包括重要的超过</w:t>
      </w:r>
      <w:r>
        <w:rPr>
          <w:rFonts w:ascii="Times New Roman" w:eastAsia="Times New Roman" w:hAnsi="Times New Roman" w:cs="Times New Roman"/>
          <w:color w:val="000000"/>
          <w:spacing w:val="0"/>
          <w:w w:val="100"/>
          <w:position w:val="0"/>
        </w:rPr>
        <w:t>1</w:t>
      </w:r>
      <w:r>
        <w:rPr>
          <w:color w:val="000000"/>
          <w:spacing w:val="0"/>
          <w:w w:val="100"/>
          <w:position w:val="0"/>
        </w:rPr>
        <w:t>年未支付的应付股利，应披露未支付原因:</w:t>
      </w:r>
    </w:p>
    <w:p>
      <w:pPr>
        <w:widowControl w:val="0"/>
        <w:spacing w:after="699" w:line="1" w:lineRule="exact"/>
      </w:pPr>
    </w:p>
    <w:p>
      <w:pPr>
        <w:pStyle w:val="Style55"/>
        <w:keepNext/>
        <w:keepLines/>
        <w:widowControl w:val="0"/>
        <w:numPr>
          <w:ilvl w:val="0"/>
          <w:numId w:val="165"/>
        </w:numPr>
        <w:shd w:val="clear" w:color="auto" w:fill="auto"/>
        <w:bidi w:val="0"/>
        <w:spacing w:before="0" w:after="380" w:line="240" w:lineRule="auto"/>
        <w:ind w:left="0" w:right="0" w:firstLine="680"/>
        <w:jc w:val="both"/>
      </w:pPr>
      <w:bookmarkStart w:id="1667" w:name="bookmark1667"/>
      <w:bookmarkStart w:id="1668" w:name="bookmark1668"/>
      <w:bookmarkStart w:id="1669" w:name="bookmark1669"/>
      <w:bookmarkStart w:id="1670" w:name="bookmark1670"/>
      <w:bookmarkEnd w:id="1669"/>
      <w:r>
        <w:rPr>
          <w:color w:val="000000"/>
          <w:spacing w:val="0"/>
          <w:w w:val="100"/>
          <w:position w:val="0"/>
        </w:rPr>
        <w:t>其他应付款</w:t>
      </w:r>
      <w:bookmarkEnd w:id="1667"/>
      <w:bookmarkEnd w:id="1668"/>
      <w:bookmarkEnd w:id="1670"/>
    </w:p>
    <w:p>
      <w:pPr>
        <w:pStyle w:val="Style55"/>
        <w:keepNext/>
        <w:keepLines/>
        <w:widowControl w:val="0"/>
        <w:numPr>
          <w:ilvl w:val="0"/>
          <w:numId w:val="169"/>
        </w:numPr>
        <w:shd w:val="clear" w:color="auto" w:fill="auto"/>
        <w:bidi w:val="0"/>
        <w:spacing w:before="0" w:after="380" w:line="240" w:lineRule="auto"/>
        <w:ind w:left="0" w:right="0" w:firstLine="540"/>
        <w:jc w:val="left"/>
      </w:pPr>
      <w:bookmarkStart w:id="1667" w:name="bookmark1667"/>
      <w:bookmarkStart w:id="1668" w:name="bookmark1668"/>
      <w:bookmarkStart w:id="1671" w:name="bookmark1671"/>
      <w:bookmarkStart w:id="1672" w:name="bookmark1672"/>
      <w:bookmarkEnd w:id="1671"/>
      <w:r>
        <w:rPr>
          <w:color w:val="000000"/>
          <w:spacing w:val="0"/>
          <w:w w:val="100"/>
          <w:position w:val="0"/>
        </w:rPr>
        <w:t>按款项性质列示其他应付款</w:t>
      </w:r>
      <w:bookmarkEnd w:id="1667"/>
      <w:bookmarkEnd w:id="1668"/>
      <w:bookmarkEnd w:id="1672"/>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2,326,460.50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3,123,024.90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1,276,644.40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代收代付款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1,145,105.90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6,340,000.00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限制性股票回购义务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5,829,040.00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8,394,400.00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8,163,809.24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2,109,104.56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18,260,980.04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20,446,609.46</w:t>
            </w:r>
          </w:p>
        </w:tc>
      </w:tr>
    </w:tbl>
    <w:p>
      <w:pPr>
        <w:widowControl w:val="0"/>
        <w:spacing w:after="319" w:line="1" w:lineRule="exact"/>
      </w:pPr>
    </w:p>
    <w:p>
      <w:pPr>
        <w:pStyle w:val="Style55"/>
        <w:keepNext/>
        <w:keepLines/>
        <w:widowControl w:val="0"/>
        <w:numPr>
          <w:ilvl w:val="0"/>
          <w:numId w:val="169"/>
        </w:numPr>
        <w:shd w:val="clear" w:color="auto" w:fill="auto"/>
        <w:bidi w:val="0"/>
        <w:spacing w:before="0" w:after="380" w:line="240" w:lineRule="auto"/>
        <w:ind w:left="0" w:right="0" w:firstLine="540"/>
        <w:jc w:val="left"/>
      </w:pPr>
      <w:bookmarkStart w:id="1673" w:name="bookmark1673"/>
      <w:bookmarkStart w:id="1674" w:name="bookmark1674"/>
      <w:bookmarkStart w:id="1675" w:name="bookmark1675"/>
      <w:bookmarkStart w:id="1676" w:name="bookmark1676"/>
      <w:bookmarkEnd w:id="1675"/>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年的重要其他应付款</w:t>
      </w:r>
      <w:bookmarkEnd w:id="1673"/>
      <w:bookmarkEnd w:id="1674"/>
      <w:bookmarkEnd w:id="1676"/>
    </w:p>
    <w:p>
      <w:pPr>
        <w:pStyle w:val="Style32"/>
        <w:keepNext w:val="0"/>
        <w:keepLines w:val="0"/>
        <w:widowControl w:val="0"/>
        <w:shd w:val="clear" w:color="auto" w:fill="auto"/>
        <w:bidi w:val="0"/>
        <w:spacing w:before="0" w:after="380" w:line="240" w:lineRule="auto"/>
        <w:ind w:left="0" w:right="0" w:firstLine="540"/>
        <w:jc w:val="left"/>
      </w:pPr>
      <w:r>
        <w:rPr>
          <w:color w:val="000000"/>
          <w:spacing w:val="0"/>
          <w:w w:val="100"/>
          <w:position w:val="0"/>
        </w:rPr>
        <w:t>本公司期末无账龄超过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年的重要其他应付款。</w:t>
      </w:r>
    </w:p>
    <w:p>
      <w:pPr>
        <w:pStyle w:val="Style55"/>
        <w:keepNext/>
        <w:keepLines/>
        <w:widowControl w:val="0"/>
        <w:shd w:val="clear" w:color="auto" w:fill="auto"/>
        <w:bidi w:val="0"/>
        <w:spacing w:before="0" w:after="980" w:line="240" w:lineRule="auto"/>
        <w:ind w:left="0" w:right="0" w:firstLine="540"/>
        <w:jc w:val="left"/>
      </w:pPr>
      <w:bookmarkStart w:id="1677" w:name="bookmark1677"/>
      <w:bookmarkStart w:id="1678" w:name="bookmark1678"/>
      <w:bookmarkStart w:id="1679" w:name="bookmark1679"/>
      <w:bookmarkStart w:id="1680" w:name="bookmark1680"/>
      <w:r>
        <w:rPr>
          <w:rFonts w:ascii="Times New Roman" w:eastAsia="Times New Roman" w:hAnsi="Times New Roman" w:cs="Times New Roman"/>
          <w:color w:val="000000"/>
          <w:spacing w:val="0"/>
          <w:w w:val="100"/>
          <w:position w:val="0"/>
        </w:rPr>
        <w:t>4</w:t>
      </w:r>
      <w:bookmarkEnd w:id="1679"/>
      <w:r>
        <w:rPr>
          <w:rFonts w:ascii="Times New Roman" w:eastAsia="Times New Roman" w:hAnsi="Times New Roman" w:cs="Times New Roman"/>
          <w:color w:val="000000"/>
          <w:spacing w:val="0"/>
          <w:w w:val="100"/>
          <w:position w:val="0"/>
        </w:rPr>
        <w:t>2</w:t>
      </w:r>
      <w:r>
        <w:rPr>
          <w:color w:val="000000"/>
          <w:spacing w:val="0"/>
          <w:w w:val="100"/>
          <w:position w:val="0"/>
        </w:rPr>
        <w:t>、持有待售负债</w:t>
      </w:r>
      <w:bookmarkEnd w:id="1677"/>
      <w:bookmarkEnd w:id="1678"/>
      <w:bookmarkEnd w:id="1680"/>
    </w:p>
    <w:p>
      <w:pPr>
        <w:pStyle w:val="Style55"/>
        <w:keepNext/>
        <w:keepLines/>
        <w:widowControl w:val="0"/>
        <w:shd w:val="clear" w:color="auto" w:fill="auto"/>
        <w:bidi w:val="0"/>
        <w:spacing w:before="0" w:after="380" w:line="240" w:lineRule="auto"/>
        <w:ind w:left="0" w:right="0" w:firstLine="540"/>
        <w:jc w:val="left"/>
      </w:pPr>
      <w:bookmarkStart w:id="1681" w:name="bookmark1681"/>
      <w:bookmarkStart w:id="1682" w:name="bookmark1682"/>
      <w:bookmarkStart w:id="1683" w:name="bookmark1683"/>
      <w:bookmarkStart w:id="1684" w:name="bookmark1684"/>
      <w:r>
        <w:rPr>
          <w:rFonts w:ascii="Times New Roman" w:eastAsia="Times New Roman" w:hAnsi="Times New Roman" w:cs="Times New Roman"/>
          <w:color w:val="000000"/>
          <w:spacing w:val="0"/>
          <w:w w:val="100"/>
          <w:position w:val="0"/>
        </w:rPr>
        <w:t>4</w:t>
      </w:r>
      <w:bookmarkEnd w:id="1683"/>
      <w:r>
        <w:rPr>
          <w:rFonts w:ascii="Times New Roman" w:eastAsia="Times New Roman" w:hAnsi="Times New Roman" w:cs="Times New Roman"/>
          <w:color w:val="000000"/>
          <w:spacing w:val="0"/>
          <w:w w:val="100"/>
          <w:position w:val="0"/>
        </w:rPr>
        <w:t>3</w:t>
      </w:r>
      <w:r>
        <w:rPr>
          <w:color w:val="000000"/>
          <w:spacing w:val="0"/>
          <w:w w:val="100"/>
          <w:position w:val="0"/>
        </w:rPr>
        <w:t>、一年内到期的非流动负债</w:t>
      </w:r>
      <w:bookmarkEnd w:id="1681"/>
      <w:bookmarkEnd w:id="1682"/>
      <w:bookmarkEnd w:id="1684"/>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一年内到期的长期借款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27,588,500.00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27,588,500.00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一年内到期的长期应付款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898,039.83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28,486,539.83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27,588,500.00</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540"/>
        <w:jc w:val="left"/>
      </w:pPr>
      <w:bookmarkStart w:id="1685" w:name="bookmark1685"/>
      <w:bookmarkStart w:id="1686" w:name="bookmark1686"/>
      <w:bookmarkStart w:id="1687" w:name="bookmark1687"/>
      <w:bookmarkStart w:id="1688" w:name="bookmark1688"/>
      <w:r>
        <w:rPr>
          <w:rFonts w:ascii="Times New Roman" w:eastAsia="Times New Roman" w:hAnsi="Times New Roman" w:cs="Times New Roman"/>
          <w:color w:val="000000"/>
          <w:spacing w:val="0"/>
          <w:w w:val="100"/>
          <w:position w:val="0"/>
        </w:rPr>
        <w:t>4</w:t>
      </w:r>
      <w:bookmarkEnd w:id="1687"/>
      <w:r>
        <w:rPr>
          <w:rFonts w:ascii="Times New Roman" w:eastAsia="Times New Roman" w:hAnsi="Times New Roman" w:cs="Times New Roman"/>
          <w:color w:val="000000"/>
          <w:spacing w:val="0"/>
          <w:w w:val="100"/>
          <w:position w:val="0"/>
        </w:rPr>
        <w:t>4</w:t>
      </w:r>
      <w:r>
        <w:rPr>
          <w:color w:val="000000"/>
          <w:spacing w:val="0"/>
          <w:w w:val="100"/>
          <w:position w:val="0"/>
        </w:rPr>
        <w:t>、其他流动负债</w:t>
      </w:r>
      <w:bookmarkEnd w:id="1685"/>
      <w:bookmarkEnd w:id="1686"/>
      <w:bookmarkEnd w:id="1688"/>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未终止确认的汇票背书或贴现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w:t>
            </w:r>
            <w:r>
              <w:rPr>
                <w:rFonts w:ascii="Times New Roman" w:eastAsia="Times New Roman" w:hAnsi="Times New Roman" w:cs="Times New Roman"/>
                <w:color w:val="000000"/>
                <w:spacing w:val="0"/>
                <w:w w:val="100"/>
                <w:position w:val="0"/>
              </w:rPr>
              <w:t>--</w:t>
            </w:r>
            <w:r>
              <w:rPr>
                <w:color w:val="000000"/>
                <w:spacing w:val="0"/>
                <w:w w:val="100"/>
                <w:position w:val="0"/>
              </w:rPr>
              <w:t>待转销项税额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1,032,265.87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1,523,891.29</w:t>
            </w:r>
          </w:p>
        </w:tc>
      </w:tr>
    </w:tbl>
    <w:p>
      <w:pPr>
        <w:widowControl w:val="0"/>
        <w:spacing w:line="1" w:lineRule="exact"/>
      </w:pPr>
    </w:p>
    <w:p>
      <w:pPr>
        <w:framePr w:w="768" w:h="370" w:hSpace="1296" w:vSpace="5" w:wrap="notBeside" w:vAnchor="text" w:hAnchor="text" w:x="596" w:y="1"/>
        <w:widowControl w:val="0"/>
        <w:rPr>
          <w:sz w:val="2"/>
          <w:szCs w:val="2"/>
        </w:rPr>
      </w:pPr>
      <w:r>
        <w:drawing>
          <wp:inline>
            <wp:extent cx="487680" cy="237490"/>
            <wp:docPr id="1025" name="Picutre 1025"/>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443"/>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377825" distR="4809490" simplePos="0" relativeHeight="125829651" behindDoc="0" locked="0" layoutInCell="1" allowOverlap="1">
                <wp:simplePos x="0" y="0"/>
                <wp:positionH relativeFrom="column">
                  <wp:posOffset>865505</wp:posOffset>
                </wp:positionH>
                <wp:positionV relativeFrom="paragraph">
                  <wp:posOffset>6350</wp:posOffset>
                </wp:positionV>
                <wp:extent cx="822960" cy="231775"/>
                <wp:wrapTopAndBottom/>
                <wp:docPr id="1026" name="Shape 1026"/>
                <a:graphic xmlns:a="http://schemas.openxmlformats.org/drawingml/2006/main">
                  <a:graphicData uri="http://schemas.microsoft.com/office/word/2010/wordprocessingShape">
                    <wps:wsp>
                      <wps:cNvSpPr txBox="1"/>
                      <wps:spPr>
                        <a:xfrm>
                          <a:ext cx="822960" cy="231775"/>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052" type="#_x0000_t202" style="position:absolute;margin-left:68.150000000000006pt;margin-top:0.5pt;width:64.799999999999997pt;height:18.25pt;z-index:-125829102;mso-wrap-distance-left:29.75pt;mso-wrap-distance-right:378.69999999999999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tbl>
      <w:tblPr>
        <w:tblOverlap w:val="never"/>
        <w:jc w:val="center"/>
        <w:tblLayout w:type="fixed"/>
      </w:tblPr>
      <w:tblGrid>
        <w:gridCol w:w="3197"/>
        <w:gridCol w:w="3192"/>
        <w:gridCol w:w="3197"/>
      </w:tblGrid>
      <w:tr>
        <w:trPr>
          <w:trHeight w:val="41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1,532,265.87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1,523,891.29</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短期应付债券的增减变动:</w:t>
      </w:r>
    </w:p>
    <w:p>
      <w:pPr>
        <w:widowControl w:val="0"/>
        <w:spacing w:after="719" w:line="1" w:lineRule="exact"/>
      </w:pPr>
    </w:p>
    <w:p>
      <w:pPr>
        <w:pStyle w:val="Style55"/>
        <w:keepNext/>
        <w:keepLines/>
        <w:widowControl w:val="0"/>
        <w:shd w:val="clear" w:color="auto" w:fill="auto"/>
        <w:bidi w:val="0"/>
        <w:spacing w:before="0" w:after="360" w:line="240" w:lineRule="auto"/>
        <w:ind w:left="0" w:right="0" w:firstLine="540"/>
        <w:jc w:val="both"/>
      </w:pPr>
      <w:bookmarkStart w:id="1689" w:name="bookmark1689"/>
      <w:bookmarkStart w:id="1690" w:name="bookmark1690"/>
      <w:bookmarkStart w:id="1691" w:name="bookmark1691"/>
      <w:bookmarkStart w:id="1692" w:name="bookmark1692"/>
      <w:r>
        <w:rPr>
          <w:rFonts w:ascii="Times New Roman" w:eastAsia="Times New Roman" w:hAnsi="Times New Roman" w:cs="Times New Roman"/>
          <w:color w:val="000000"/>
          <w:spacing w:val="0"/>
          <w:w w:val="100"/>
          <w:position w:val="0"/>
        </w:rPr>
        <w:t>4</w:t>
      </w:r>
      <w:bookmarkEnd w:id="1691"/>
      <w:r>
        <w:rPr>
          <w:rFonts w:ascii="Times New Roman" w:eastAsia="Times New Roman" w:hAnsi="Times New Roman" w:cs="Times New Roman"/>
          <w:color w:val="000000"/>
          <w:spacing w:val="0"/>
          <w:w w:val="100"/>
          <w:position w:val="0"/>
        </w:rPr>
        <w:t>5</w:t>
      </w:r>
      <w:r>
        <w:rPr>
          <w:color w:val="000000"/>
          <w:spacing w:val="0"/>
          <w:w w:val="100"/>
          <w:position w:val="0"/>
        </w:rPr>
        <w:t>、长期借款</w:t>
      </w:r>
      <w:bookmarkEnd w:id="1689"/>
      <w:bookmarkEnd w:id="1690"/>
      <w:bookmarkEnd w:id="1692"/>
    </w:p>
    <w:p>
      <w:pPr>
        <w:pStyle w:val="Style55"/>
        <w:keepNext/>
        <w:keepLines/>
        <w:widowControl w:val="0"/>
        <w:shd w:val="clear" w:color="auto" w:fill="auto"/>
        <w:bidi w:val="0"/>
        <w:spacing w:before="0" w:after="360" w:line="240" w:lineRule="auto"/>
        <w:ind w:left="0" w:right="0" w:firstLine="680"/>
        <w:jc w:val="left"/>
      </w:pPr>
      <w:bookmarkStart w:id="1689" w:name="bookmark1689"/>
      <w:bookmarkStart w:id="1690" w:name="bookmark1690"/>
      <w:bookmarkStart w:id="1693" w:name="bookmark1693"/>
      <w:r>
        <w:rPr>
          <w:rFonts w:ascii="Times New Roman" w:eastAsia="Times New Roman" w:hAnsi="Times New Roman" w:cs="Times New Roman"/>
          <w:color w:val="000000"/>
          <w:spacing w:val="0"/>
          <w:w w:val="100"/>
          <w:position w:val="0"/>
        </w:rPr>
        <w:t>(1</w:t>
      </w:r>
      <w:r>
        <w:rPr>
          <w:color w:val="000000"/>
          <w:spacing w:val="0"/>
          <w:w w:val="100"/>
          <w:position w:val="0"/>
        </w:rPr>
        <w:t>)长期借款分类</w:t>
      </w:r>
      <w:bookmarkEnd w:id="1689"/>
      <w:bookmarkEnd w:id="1690"/>
      <w:bookmarkEnd w:id="1693"/>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质押借款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24,646,000.00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52,234,500.00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24,646,000.00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52,234,500.00</w:t>
            </w:r>
          </w:p>
        </w:tc>
      </w:tr>
    </w:tbl>
    <w:p>
      <w:pPr>
        <w:widowControl w:val="0"/>
        <w:spacing w:after="79" w:line="1" w:lineRule="exact"/>
      </w:pPr>
    </w:p>
    <w:p>
      <w:pPr>
        <w:pStyle w:val="Style32"/>
        <w:keepNext w:val="0"/>
        <w:keepLines w:val="0"/>
        <w:widowControl w:val="0"/>
        <w:shd w:val="clear" w:color="auto" w:fill="auto"/>
        <w:bidi w:val="0"/>
        <w:spacing w:before="0" w:after="120" w:line="240" w:lineRule="auto"/>
        <w:ind w:left="0" w:right="0" w:firstLine="540"/>
        <w:jc w:val="left"/>
      </w:pPr>
      <w:r>
        <w:rPr>
          <w:color w:val="000000"/>
          <w:spacing w:val="0"/>
          <w:w w:val="100"/>
          <w:position w:val="0"/>
        </w:rPr>
        <w:t>其他说明，包括利率区间：</w:t>
      </w:r>
    </w:p>
    <w:p>
      <w:pPr>
        <w:pStyle w:val="Style103"/>
        <w:keepNext w:val="0"/>
        <w:keepLines w:val="0"/>
        <w:widowControl w:val="0"/>
        <w:shd w:val="clear" w:color="auto" w:fill="auto"/>
        <w:bidi w:val="0"/>
        <w:spacing w:before="0" w:after="360" w:line="240" w:lineRule="auto"/>
        <w:ind w:left="0" w:right="0" w:firstLine="540"/>
        <w:jc w:val="left"/>
      </w:pPr>
      <w:r>
        <w:rPr>
          <w:rFonts w:ascii="SimSun" w:eastAsia="SimSun" w:hAnsi="SimSun" w:cs="SimSun"/>
          <w:color w:val="000000"/>
          <w:spacing w:val="0"/>
          <w:w w:val="100"/>
          <w:position w:val="0"/>
        </w:rPr>
        <w:t>贷款利率为</w:t>
      </w:r>
      <w:r>
        <w:rPr>
          <w:color w:val="000000"/>
          <w:spacing w:val="0"/>
          <w:w w:val="100"/>
          <w:position w:val="0"/>
        </w:rPr>
        <w:t>5.725%—6.175%</w:t>
      </w:r>
    </w:p>
    <w:p>
      <w:pPr>
        <w:pStyle w:val="Style55"/>
        <w:keepNext/>
        <w:keepLines/>
        <w:widowControl w:val="0"/>
        <w:shd w:val="clear" w:color="auto" w:fill="auto"/>
        <w:tabs>
          <w:tab w:pos="1023" w:val="left"/>
        </w:tabs>
        <w:bidi w:val="0"/>
        <w:spacing w:before="0" w:after="360" w:line="240" w:lineRule="auto"/>
        <w:ind w:left="0" w:right="0" w:firstLine="540"/>
        <w:jc w:val="left"/>
      </w:pPr>
      <w:bookmarkStart w:id="1694" w:name="bookmark1694"/>
      <w:bookmarkStart w:id="1695" w:name="bookmark1695"/>
      <w:bookmarkStart w:id="1696" w:name="bookmark1696"/>
      <w:bookmarkStart w:id="1697" w:name="bookmark1697"/>
      <w:r>
        <w:rPr>
          <w:rFonts w:ascii="Times New Roman" w:eastAsia="Times New Roman" w:hAnsi="Times New Roman" w:cs="Times New Roman"/>
          <w:color w:val="000000"/>
          <w:spacing w:val="0"/>
          <w:w w:val="100"/>
          <w:position w:val="0"/>
        </w:rPr>
        <w:t>4</w:t>
      </w:r>
      <w:bookmarkEnd w:id="1696"/>
      <w:r>
        <w:rPr>
          <w:rFonts w:ascii="Times New Roman" w:eastAsia="Times New Roman" w:hAnsi="Times New Roman" w:cs="Times New Roman"/>
          <w:color w:val="000000"/>
          <w:spacing w:val="0"/>
          <w:w w:val="100"/>
          <w:position w:val="0"/>
        </w:rPr>
        <w:t>6</w:t>
      </w:r>
      <w:r>
        <w:rPr>
          <w:color w:val="000000"/>
          <w:spacing w:val="0"/>
          <w:w w:val="100"/>
          <w:position w:val="0"/>
        </w:rPr>
        <w:t>、</w:t>
        <w:tab/>
        <w:t>应付债券</w:t>
      </w:r>
      <w:bookmarkEnd w:id="1694"/>
      <w:bookmarkEnd w:id="1695"/>
      <w:bookmarkEnd w:id="1697"/>
    </w:p>
    <w:p>
      <w:pPr>
        <w:pStyle w:val="Style32"/>
        <w:keepNext w:val="0"/>
        <w:keepLines w:val="0"/>
        <w:widowControl w:val="0"/>
        <w:shd w:val="clear" w:color="auto" w:fill="auto"/>
        <w:bidi w:val="0"/>
        <w:spacing w:before="0" w:after="360" w:line="240" w:lineRule="auto"/>
        <w:ind w:left="0" w:right="0" w:firstLine="540"/>
        <w:jc w:val="left"/>
      </w:pPr>
      <w:r>
        <w:rPr>
          <w:color w:val="000000"/>
          <w:spacing w:val="0"/>
          <w:w w:val="100"/>
          <w:position w:val="0"/>
        </w:rPr>
        <w:t>无</w:t>
      </w:r>
    </w:p>
    <w:p>
      <w:pPr>
        <w:pStyle w:val="Style55"/>
        <w:keepNext/>
        <w:keepLines/>
        <w:widowControl w:val="0"/>
        <w:shd w:val="clear" w:color="auto" w:fill="auto"/>
        <w:tabs>
          <w:tab w:pos="1023" w:val="left"/>
        </w:tabs>
        <w:bidi w:val="0"/>
        <w:spacing w:before="0" w:after="360" w:line="240" w:lineRule="auto"/>
        <w:ind w:left="0" w:right="0" w:firstLine="540"/>
        <w:jc w:val="left"/>
      </w:pPr>
      <w:bookmarkStart w:id="1698" w:name="bookmark1698"/>
      <w:bookmarkStart w:id="1699" w:name="bookmark1699"/>
      <w:bookmarkStart w:id="1700" w:name="bookmark1700"/>
      <w:bookmarkStart w:id="1701" w:name="bookmark1701"/>
      <w:r>
        <w:rPr>
          <w:rFonts w:ascii="Times New Roman" w:eastAsia="Times New Roman" w:hAnsi="Times New Roman" w:cs="Times New Roman"/>
          <w:color w:val="000000"/>
          <w:spacing w:val="0"/>
          <w:w w:val="100"/>
          <w:position w:val="0"/>
        </w:rPr>
        <w:t>4</w:t>
      </w:r>
      <w:bookmarkEnd w:id="1700"/>
      <w:r>
        <w:rPr>
          <w:rFonts w:ascii="Times New Roman" w:eastAsia="Times New Roman" w:hAnsi="Times New Roman" w:cs="Times New Roman"/>
          <w:color w:val="000000"/>
          <w:spacing w:val="0"/>
          <w:w w:val="100"/>
          <w:position w:val="0"/>
        </w:rPr>
        <w:t>7</w:t>
      </w:r>
      <w:r>
        <w:rPr>
          <w:color w:val="000000"/>
          <w:spacing w:val="0"/>
          <w:w w:val="100"/>
          <w:position w:val="0"/>
        </w:rPr>
        <w:t>、</w:t>
        <w:tab/>
        <w:t>租赁负债</w:t>
      </w:r>
      <w:bookmarkEnd w:id="1698"/>
      <w:bookmarkEnd w:id="1699"/>
      <w:bookmarkEnd w:id="1701"/>
    </w:p>
    <w:p>
      <w:pPr>
        <w:pStyle w:val="Style32"/>
        <w:keepNext w:val="0"/>
        <w:keepLines w:val="0"/>
        <w:widowControl w:val="0"/>
        <w:shd w:val="clear" w:color="auto" w:fill="auto"/>
        <w:bidi w:val="0"/>
        <w:spacing w:before="0" w:after="360" w:line="240" w:lineRule="auto"/>
        <w:ind w:left="0" w:right="0" w:firstLine="540"/>
        <w:jc w:val="left"/>
      </w:pPr>
      <w:r>
        <w:rPr>
          <w:color w:val="000000"/>
          <w:spacing w:val="0"/>
          <w:w w:val="100"/>
          <w:position w:val="0"/>
        </w:rPr>
        <w:t>无</w:t>
      </w:r>
    </w:p>
    <w:p>
      <w:pPr>
        <w:pStyle w:val="Style55"/>
        <w:keepNext/>
        <w:keepLines/>
        <w:widowControl w:val="0"/>
        <w:shd w:val="clear" w:color="auto" w:fill="auto"/>
        <w:tabs>
          <w:tab w:pos="1023" w:val="left"/>
        </w:tabs>
        <w:bidi w:val="0"/>
        <w:spacing w:before="0" w:after="360" w:line="240" w:lineRule="auto"/>
        <w:ind w:left="0" w:right="0" w:firstLine="540"/>
        <w:jc w:val="left"/>
      </w:pPr>
      <w:bookmarkStart w:id="1702" w:name="bookmark1702"/>
      <w:bookmarkStart w:id="1703" w:name="bookmark1703"/>
      <w:bookmarkStart w:id="1704" w:name="bookmark1704"/>
      <w:bookmarkStart w:id="1705" w:name="bookmark1705"/>
      <w:r>
        <w:rPr>
          <w:rFonts w:ascii="Times New Roman" w:eastAsia="Times New Roman" w:hAnsi="Times New Roman" w:cs="Times New Roman"/>
          <w:color w:val="000000"/>
          <w:spacing w:val="0"/>
          <w:w w:val="100"/>
          <w:position w:val="0"/>
        </w:rPr>
        <w:t>4</w:t>
      </w:r>
      <w:bookmarkEnd w:id="1704"/>
      <w:r>
        <w:rPr>
          <w:rFonts w:ascii="Times New Roman" w:eastAsia="Times New Roman" w:hAnsi="Times New Roman" w:cs="Times New Roman"/>
          <w:color w:val="000000"/>
          <w:spacing w:val="0"/>
          <w:w w:val="100"/>
          <w:position w:val="0"/>
        </w:rPr>
        <w:t>8</w:t>
      </w:r>
      <w:r>
        <w:rPr>
          <w:color w:val="000000"/>
          <w:spacing w:val="0"/>
          <w:w w:val="100"/>
          <w:position w:val="0"/>
        </w:rPr>
        <w:t>、</w:t>
        <w:tab/>
        <w:t>长期应付款</w:t>
      </w:r>
      <w:bookmarkEnd w:id="1702"/>
      <w:bookmarkEnd w:id="1703"/>
      <w:bookmarkEnd w:id="1705"/>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长期应付款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7,509,369.21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7,509,369.21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680"/>
        <w:jc w:val="left"/>
      </w:pPr>
      <w:bookmarkStart w:id="1706" w:name="bookmark1706"/>
      <w:bookmarkStart w:id="1707" w:name="bookmark1707"/>
      <w:bookmarkStart w:id="1708" w:name="bookmark170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)按款项性质列示长期应付款</w:t>
      </w:r>
      <w:bookmarkEnd w:id="1706"/>
      <w:bookmarkEnd w:id="1707"/>
      <w:bookmarkEnd w:id="1708"/>
    </w:p>
    <w:p>
      <w:pPr>
        <w:pStyle w:val="Style32"/>
        <w:keepNext w:val="0"/>
        <w:keepLines w:val="0"/>
        <w:widowControl w:val="0"/>
        <w:shd w:val="clear" w:color="auto" w:fill="auto"/>
        <w:bidi w:val="0"/>
        <w:spacing w:before="0" w:after="80" w:line="240" w:lineRule="auto"/>
        <w:ind w:left="948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分期付款采购商品</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7,509,369.21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680"/>
        <w:jc w:val="left"/>
        <w:sectPr>
          <w:headerReference w:type="default" r:id="rId445"/>
          <w:footerReference w:type="default" r:id="rId446"/>
          <w:headerReference w:type="even" r:id="rId447"/>
          <w:footerReference w:type="even" r:id="rId448"/>
          <w:headerReference w:type="first" r:id="rId449"/>
          <w:footerReference w:type="first" r:id="rId450"/>
          <w:footnotePr>
            <w:pos w:val="pageBottom"/>
            <w:numFmt w:val="decimal"/>
            <w:numRestart w:val="continuous"/>
          </w:footnotePr>
          <w:pgSz w:w="11900" w:h="16840"/>
          <w:pgMar w:top="1077" w:right="958" w:bottom="1309" w:left="329" w:header="0" w:footer="3" w:gutter="0"/>
          <w:cols w:space="720"/>
          <w:noEndnote/>
          <w:titlePg/>
          <w:rtlGutter w:val="0"/>
          <w:docGrid w:linePitch="360"/>
        </w:sectPr>
      </w:pPr>
      <w:bookmarkStart w:id="1709" w:name="bookmark1709"/>
      <w:bookmarkStart w:id="1710" w:name="bookmark1710"/>
      <w:bookmarkStart w:id="1711" w:name="bookmark1711"/>
      <w:r>
        <w:rPr>
          <w:rFonts w:ascii="Times New Roman" w:eastAsia="Times New Roman" w:hAnsi="Times New Roman" w:cs="Times New Roman"/>
          <w:color w:val="000000"/>
          <w:spacing w:val="0"/>
          <w:w w:val="100"/>
          <w:position w:val="0"/>
        </w:rPr>
        <w:t>(2</w:t>
      </w:r>
      <w:r>
        <w:rPr>
          <w:color w:val="000000"/>
          <w:spacing w:val="0"/>
          <w:w w:val="100"/>
          <w:position w:val="0"/>
        </w:rPr>
        <w:t>)专项应付款</w:t>
      </w:r>
      <w:bookmarkEnd w:id="1709"/>
      <w:bookmarkEnd w:id="1710"/>
      <w:bookmarkEnd w:id="1711"/>
    </w:p>
    <w:p>
      <w:pPr>
        <w:pStyle w:val="Style2"/>
        <w:keepNext/>
        <w:keepLines/>
        <w:widowControl w:val="0"/>
        <w:shd w:val="clear" w:color="auto" w:fill="auto"/>
        <w:bidi w:val="0"/>
        <w:spacing w:before="0" w:after="0" w:line="240" w:lineRule="auto"/>
        <w:ind w:left="0" w:right="0" w:firstLine="840"/>
        <w:jc w:val="left"/>
      </w:pPr>
      <w:bookmarkStart w:id="1712" w:name="bookmark1712"/>
      <w:bookmarkStart w:id="1713" w:name="bookmark1713"/>
      <w:bookmarkStart w:id="1714" w:name="bookmark1714"/>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1712"/>
      <w:bookmarkEnd w:id="1713"/>
      <w:bookmarkEnd w:id="1714"/>
    </w:p>
    <w:p>
      <w:pPr>
        <w:pStyle w:val="Style5"/>
        <w:keepNext w:val="0"/>
        <w:keepLines w:val="0"/>
        <w:widowControl w:val="0"/>
        <w:shd w:val="clear" w:color="auto" w:fill="auto"/>
        <w:bidi w:val="0"/>
        <w:spacing w:before="0" w:after="0" w:line="240" w:lineRule="auto"/>
        <w:ind w:left="0" w:right="0" w:firstLine="840"/>
        <w:jc w:val="left"/>
      </w:pPr>
      <w:r>
        <w:rPr>
          <w:color w:val="245994"/>
          <w:spacing w:val="0"/>
          <w:w w:val="100"/>
          <w:position w:val="0"/>
        </w:rPr>
        <w:t>'广</w:t>
      </w:r>
      <w:r>
        <w:rPr>
          <w:color w:val="2D2B2E"/>
          <w:spacing w:val="0"/>
          <w:w w:val="100"/>
          <w:position w:val="0"/>
        </w:rPr>
        <w:t>i</w:t>
      </w:r>
      <w:r>
        <w:rPr>
          <w:spacing w:val="0"/>
          <w:w w:val="100"/>
          <w:position w:val="0"/>
        </w:rPr>
        <w:t>国家高新技术企业</w:t>
      </w:r>
    </w:p>
    <w:p>
      <w:pPr>
        <w:pStyle w:val="Style32"/>
        <w:keepNext w:val="0"/>
        <w:keepLines w:val="0"/>
        <w:widowControl w:val="0"/>
        <w:shd w:val="clear" w:color="auto" w:fill="auto"/>
        <w:tabs>
          <w:tab w:pos="1586" w:val="left"/>
        </w:tabs>
        <w:bidi w:val="0"/>
        <w:spacing w:before="0" w:after="0" w:line="240" w:lineRule="auto"/>
        <w:ind w:left="0" w:right="0" w:firstLine="100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980" w:line="240" w:lineRule="auto"/>
        <w:ind w:left="0" w:right="0" w:firstLine="840"/>
        <w:jc w:val="left"/>
      </w:pPr>
      <w:bookmarkStart w:id="1715" w:name="bookmark1715"/>
      <w:bookmarkStart w:id="1716" w:name="bookmark1716"/>
      <w:bookmarkStart w:id="1717" w:name="bookmark1717"/>
      <w:bookmarkStart w:id="1718" w:name="bookmark1718"/>
      <w:r>
        <w:rPr>
          <w:rFonts w:ascii="Times New Roman" w:eastAsia="Times New Roman" w:hAnsi="Times New Roman" w:cs="Times New Roman"/>
          <w:color w:val="000000"/>
          <w:spacing w:val="0"/>
          <w:w w:val="100"/>
          <w:position w:val="0"/>
        </w:rPr>
        <w:t>4</w:t>
      </w:r>
      <w:bookmarkEnd w:id="1717"/>
      <w:r>
        <w:rPr>
          <w:rFonts w:ascii="Times New Roman" w:eastAsia="Times New Roman" w:hAnsi="Times New Roman" w:cs="Times New Roman"/>
          <w:color w:val="000000"/>
          <w:spacing w:val="0"/>
          <w:w w:val="100"/>
          <w:position w:val="0"/>
        </w:rPr>
        <w:t>9</w:t>
      </w:r>
      <w:r>
        <w:rPr>
          <w:color w:val="000000"/>
          <w:spacing w:val="0"/>
          <w:w w:val="100"/>
          <w:position w:val="0"/>
        </w:rPr>
        <w:t>、长期应付职工薪酬</w:t>
      </w:r>
      <w:bookmarkEnd w:id="1715"/>
      <w:bookmarkEnd w:id="1716"/>
      <w:bookmarkEnd w:id="1718"/>
    </w:p>
    <w:p>
      <w:pPr>
        <w:pStyle w:val="Style55"/>
        <w:keepNext/>
        <w:keepLines/>
        <w:widowControl w:val="0"/>
        <w:shd w:val="clear" w:color="auto" w:fill="auto"/>
        <w:bidi w:val="0"/>
        <w:spacing w:before="0" w:after="380" w:line="240" w:lineRule="auto"/>
        <w:ind w:left="0" w:right="0" w:firstLine="840"/>
        <w:jc w:val="left"/>
      </w:pPr>
      <w:bookmarkStart w:id="1719" w:name="bookmark1719"/>
      <w:bookmarkStart w:id="1720" w:name="bookmark1720"/>
      <w:bookmarkStart w:id="1721" w:name="bookmark1721"/>
      <w:bookmarkStart w:id="1722" w:name="bookmark1722"/>
      <w:r>
        <w:rPr>
          <w:rFonts w:ascii="Times New Roman" w:eastAsia="Times New Roman" w:hAnsi="Times New Roman" w:cs="Times New Roman"/>
          <w:color w:val="000000"/>
          <w:spacing w:val="0"/>
          <w:w w:val="100"/>
          <w:position w:val="0"/>
        </w:rPr>
        <w:t>5</w:t>
      </w:r>
      <w:bookmarkEnd w:id="1721"/>
      <w:r>
        <w:rPr>
          <w:rFonts w:ascii="Times New Roman" w:eastAsia="Times New Roman" w:hAnsi="Times New Roman" w:cs="Times New Roman"/>
          <w:color w:val="000000"/>
          <w:spacing w:val="0"/>
          <w:w w:val="100"/>
          <w:position w:val="0"/>
        </w:rPr>
        <w:t>0</w:t>
      </w:r>
      <w:r>
        <w:rPr>
          <w:color w:val="000000"/>
          <w:spacing w:val="0"/>
          <w:w w:val="100"/>
          <w:position w:val="0"/>
        </w:rPr>
        <w:t>、预计负债</w:t>
      </w:r>
      <w:bookmarkEnd w:id="1719"/>
      <w:bookmarkEnd w:id="1720"/>
      <w:bookmarkEnd w:id="1722"/>
    </w:p>
    <w:p>
      <w:pPr>
        <w:pStyle w:val="Style32"/>
        <w:keepNext w:val="0"/>
        <w:keepLines w:val="0"/>
        <w:widowControl w:val="0"/>
        <w:shd w:val="clear" w:color="auto" w:fill="auto"/>
        <w:bidi w:val="0"/>
        <w:spacing w:before="0" w:after="380" w:line="240" w:lineRule="auto"/>
        <w:ind w:left="0" w:right="0" w:firstLine="840"/>
        <w:jc w:val="left"/>
      </w:pPr>
      <w:r>
        <w:rPr>
          <w:color w:val="000000"/>
          <w:spacing w:val="0"/>
          <w:w w:val="100"/>
          <w:position w:val="0"/>
        </w:rPr>
        <w:t>无</w:t>
      </w:r>
    </w:p>
    <w:p>
      <w:pPr>
        <w:pStyle w:val="Style55"/>
        <w:keepNext/>
        <w:keepLines/>
        <w:widowControl w:val="0"/>
        <w:shd w:val="clear" w:color="auto" w:fill="auto"/>
        <w:bidi w:val="0"/>
        <w:spacing w:before="0" w:after="380" w:line="240" w:lineRule="auto"/>
        <w:ind w:left="0" w:right="0" w:firstLine="840"/>
        <w:jc w:val="left"/>
      </w:pPr>
      <w:bookmarkStart w:id="1723" w:name="bookmark1723"/>
      <w:bookmarkStart w:id="1724" w:name="bookmark1724"/>
      <w:bookmarkStart w:id="1725" w:name="bookmark1725"/>
      <w:bookmarkStart w:id="1726" w:name="bookmark1726"/>
      <w:r>
        <w:rPr>
          <w:rFonts w:ascii="Times New Roman" w:eastAsia="Times New Roman" w:hAnsi="Times New Roman" w:cs="Times New Roman"/>
          <w:color w:val="000000"/>
          <w:spacing w:val="0"/>
          <w:w w:val="100"/>
          <w:position w:val="0"/>
        </w:rPr>
        <w:t>5</w:t>
      </w:r>
      <w:bookmarkEnd w:id="1725"/>
      <w:r>
        <w:rPr>
          <w:rFonts w:ascii="Times New Roman" w:eastAsia="Times New Roman" w:hAnsi="Times New Roman" w:cs="Times New Roman"/>
          <w:color w:val="000000"/>
          <w:spacing w:val="0"/>
          <w:w w:val="100"/>
          <w:position w:val="0"/>
        </w:rPr>
        <w:t>1</w:t>
      </w:r>
      <w:r>
        <w:rPr>
          <w:color w:val="000000"/>
          <w:spacing w:val="0"/>
          <w:w w:val="100"/>
          <w:position w:val="0"/>
        </w:rPr>
        <w:t>、递延收益</w:t>
      </w:r>
      <w:bookmarkEnd w:id="1723"/>
      <w:bookmarkEnd w:id="1724"/>
      <w:bookmarkEnd w:id="1726"/>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right"/>
        <w:tblLayout w:type="fixed"/>
      </w:tblPr>
      <w:tblGrid>
        <w:gridCol w:w="1603"/>
        <w:gridCol w:w="1594"/>
        <w:gridCol w:w="1594"/>
        <w:gridCol w:w="1598"/>
        <w:gridCol w:w="1594"/>
        <w:gridCol w:w="1603"/>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本期增加</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本期减少</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18,309,696.00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4,318,800.00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1,350,000.00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21,278,496.00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项目未到验收期</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18,309,696.00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4,318,800.00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1,350,000.00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21,278,496.00</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涉及政府补助的项目:</w:t>
      </w:r>
    </w:p>
    <w:p>
      <w:pPr>
        <w:widowControl w:val="0"/>
        <w:spacing w:after="99" w:line="1" w:lineRule="exact"/>
      </w:pPr>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872"/>
        <w:gridCol w:w="1248"/>
        <w:gridCol w:w="1008"/>
        <w:gridCol w:w="1013"/>
        <w:gridCol w:w="1008"/>
        <w:gridCol w:w="1008"/>
        <w:gridCol w:w="1013"/>
        <w:gridCol w:w="1248"/>
        <w:gridCol w:w="1018"/>
      </w:tblGrid>
      <w:tr>
        <w:trPr>
          <w:trHeight w:val="1027"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负债项目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本期新增补 助金额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本期计入营 业外收入金</w:t>
            </w:r>
          </w:p>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本期计入其 他收益金额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本期冲减成</w:t>
            </w:r>
          </w:p>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本费用金额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其他变动</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与资产相关</w:t>
            </w:r>
            <w:r>
              <w:rPr>
                <w:rFonts w:ascii="Times New Roman" w:eastAsia="Times New Roman" w:hAnsi="Times New Roman" w:cs="Times New Roman"/>
                <w:color w:val="000000"/>
                <w:spacing w:val="0"/>
                <w:w w:val="100"/>
                <w:position w:val="0"/>
              </w:rPr>
              <w:t xml:space="preserve">/ </w:t>
            </w: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基于大数据应用的医疗 卫生服务云平台建设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7,900,000.00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7,900,000.00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私有云环境下服务化智 能办公系统平台项目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339,696.00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125,600.00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465,296.00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9" w:lineRule="exact"/>
              <w:ind w:left="0" w:right="0" w:firstLine="0"/>
              <w:jc w:val="left"/>
            </w:pPr>
            <w:r>
              <w:rPr>
                <w:color w:val="000000"/>
                <w:spacing w:val="0"/>
                <w:w w:val="100"/>
                <w:position w:val="0"/>
              </w:rPr>
              <w:t>米健</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 xml:space="preserve">MeeHealth </w:t>
            </w:r>
            <w:r>
              <w:rPr>
                <w:rFonts w:ascii="Times New Roman" w:eastAsia="Times New Roman" w:hAnsi="Times New Roman" w:cs="Times New Roman"/>
                <w:color w:val="000000"/>
                <w:spacing w:val="0"/>
                <w:w w:val="100"/>
                <w:position w:val="0"/>
              </w:rPr>
              <w:t>"</w:t>
            </w:r>
            <w:r>
              <w:rPr>
                <w:color w:val="000000"/>
                <w:spacing w:val="0"/>
                <w:w w:val="100"/>
                <w:position w:val="0"/>
              </w:rPr>
              <w:t>医疗 信息品牌综合能力提升 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500,000.00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黄金急救</w:t>
            </w:r>
            <w:r>
              <w:rPr>
                <w:rFonts w:ascii="Times New Roman" w:eastAsia="Times New Roman" w:hAnsi="Times New Roman" w:cs="Times New Roman"/>
                <w:color w:val="000000"/>
                <w:spacing w:val="0"/>
                <w:w w:val="100"/>
                <w:position w:val="0"/>
              </w:rPr>
              <w:t>"</w:t>
            </w:r>
            <w:r>
              <w:rPr>
                <w:color w:val="000000"/>
                <w:spacing w:val="0"/>
                <w:w w:val="100"/>
                <w:position w:val="0"/>
              </w:rPr>
              <w:t>应急医疗暨 健康管理支持平台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1,350,000.00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米健急诊临床决策支持 和质量管理软件研发与 测试</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560,000.00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560,000.00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5" w:lineRule="exact"/>
              <w:ind w:left="0" w:right="0" w:firstLine="0"/>
              <w:jc w:val="left"/>
            </w:pPr>
            <w:r>
              <w:rPr>
                <w:color w:val="000000"/>
                <w:spacing w:val="0"/>
                <w:w w:val="100"/>
                <w:position w:val="0"/>
              </w:rPr>
              <w:t xml:space="preserve">构建智慧医疗信息服务 平台及移动医疗旅游 </w:t>
            </w:r>
            <w:r>
              <w:rPr>
                <w:rFonts w:ascii="Times New Roman" w:eastAsia="Times New Roman" w:hAnsi="Times New Roman" w:cs="Times New Roman"/>
                <w:color w:val="000000"/>
                <w:spacing w:val="0"/>
                <w:w w:val="100"/>
                <w:position w:val="0"/>
              </w:rPr>
              <w:t>APP</w:t>
            </w:r>
            <w:r>
              <w:rPr>
                <w:color w:val="000000"/>
                <w:spacing w:val="0"/>
                <w:w w:val="100"/>
                <w:position w:val="0"/>
              </w:rPr>
              <w:t>大数据系统项目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2,800,000.00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2,800,000.00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027"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网络文化市场动态监管 服务系统研发与应用示 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2,530,000.00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759,200.00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3,289,200.00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037"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10" w:lineRule="exact"/>
              <w:ind w:left="0" w:right="0" w:firstLine="0"/>
              <w:jc w:val="left"/>
            </w:pPr>
            <w:r>
              <w:rPr>
                <w:color w:val="000000"/>
                <w:spacing w:val="0"/>
                <w:w w:val="100"/>
                <w:position w:val="0"/>
              </w:rPr>
              <w:t>基于人工智能的危重症 数字诊疗系统的研发与 产业化</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1,700,000.00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1,700,000.00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bl>
    <w:p>
      <w:pPr>
        <w:spacing w:lineRule="exact" w:line="1"/>
        <w:rPr>
          <w:sz w:val="2"/>
          <w:szCs w:val="2"/>
        </w:rPr>
      </w:pPr>
      <w:r>
        <w:br w:type="page"/>
      </w:r>
    </w:p>
    <w:p>
      <w:pPr>
        <w:widowControl w:val="0"/>
        <w:spacing w:line="1" w:lineRule="exact"/>
      </w:pPr>
      <w:r>
        <w:drawing>
          <wp:anchor distT="0" distB="3120390" distL="0" distR="0" simplePos="0" relativeHeight="125829653" behindDoc="0" locked="0" layoutInCell="1" allowOverlap="1">
            <wp:simplePos x="0" y="0"/>
            <wp:positionH relativeFrom="page">
              <wp:posOffset>760730</wp:posOffset>
            </wp:positionH>
            <wp:positionV relativeFrom="paragraph">
              <wp:posOffset>0</wp:posOffset>
            </wp:positionV>
            <wp:extent cx="1298575" cy="481330"/>
            <wp:wrapTopAndBottom/>
            <wp:docPr id="1041" name="Shape 1041"/>
            <a:graphic xmlns:a="http://schemas.openxmlformats.org/drawingml/2006/main">
              <a:graphicData uri="http://schemas.openxmlformats.org/drawingml/2006/picture">
                <pic:pic xmlns:pic="http://schemas.openxmlformats.org/drawingml/2006/picture">
                  <pic:nvPicPr>
                    <pic:cNvPr id="1042" name="Picture box 1042"/>
                    <pic:cNvPicPr/>
                  </pic:nvPicPr>
                  <pic:blipFill>
                    <a:blip r:embed="rId451"/>
                    <a:stretch/>
                  </pic:blipFill>
                  <pic:spPr>
                    <a:xfrm>
                      <a:ext cx="1298575" cy="481330"/>
                    </a:xfrm>
                    <a:prstGeom prst="rect"/>
                  </pic:spPr>
                </pic:pic>
              </a:graphicData>
            </a:graphic>
          </wp:anchor>
        </w:drawing>
      </w:r>
      <w:r>
        <mc:AlternateContent>
          <mc:Choice Requires="wps">
            <w:drawing>
              <wp:anchor distT="475615" distB="139700" distL="0" distR="0" simplePos="0" relativeHeight="125829654" behindDoc="0" locked="0" layoutInCell="1" allowOverlap="1">
                <wp:simplePos x="0" y="0"/>
                <wp:positionH relativeFrom="page">
                  <wp:posOffset>208915</wp:posOffset>
                </wp:positionH>
                <wp:positionV relativeFrom="paragraph">
                  <wp:posOffset>475615</wp:posOffset>
                </wp:positionV>
                <wp:extent cx="6626225" cy="2983865"/>
                <wp:wrapTopAndBottom/>
                <wp:docPr id="1043" name="Shape 1043"/>
                <a:graphic xmlns:a="http://schemas.openxmlformats.org/drawingml/2006/main">
                  <a:graphicData uri="http://schemas.microsoft.com/office/word/2010/wordprocessingShape">
                    <wps:wsp>
                      <wps:cNvSpPr txBox="1"/>
                      <wps:spPr>
                        <a:xfrm>
                          <a:ext cx="6626225" cy="2983865"/>
                        </a:xfrm>
                        <a:prstGeom prst="rect"/>
                        <a:noFill/>
                      </wps:spPr>
                      <wps:txbx>
                        <w:txbxContent>
                          <w:tbl>
                            <w:tblPr>
                              <w:tblOverlap w:val="never"/>
                              <w:jc w:val="left"/>
                              <w:tblLayout w:type="fixed"/>
                            </w:tblPr>
                            <w:tblGrid>
                              <w:gridCol w:w="1872"/>
                              <w:gridCol w:w="1248"/>
                              <w:gridCol w:w="1008"/>
                              <w:gridCol w:w="1013"/>
                              <w:gridCol w:w="1008"/>
                              <w:gridCol w:w="1008"/>
                              <w:gridCol w:w="1013"/>
                              <w:gridCol w:w="1248"/>
                              <w:gridCol w:w="1018"/>
                            </w:tblGrid>
                            <w:tr>
                              <w:trPr>
                                <w:tblHeade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急危重症诊疗辅助平台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630,000.00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政务大数据透明管理和 智能服务平台研制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1,476,000.00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1,476,000.00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省市两级政务大数据应 用示范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558,000.00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558,000.00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疫情防控信息管理系统 研发与应用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200,000.00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200,000.00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022"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4" w:lineRule="exact"/>
                                    <w:ind w:left="0" w:right="0" w:firstLine="0"/>
                                    <w:jc w:val="both"/>
                                  </w:pPr>
                                  <w:r>
                                    <w:rPr>
                                      <w:color w:val="000000"/>
                                      <w:spacing w:val="0"/>
                                      <w:w w:val="100"/>
                                      <w:position w:val="0"/>
                                    </w:rPr>
                                    <w:t>辽宁省医疗卫生大数据 专业技术创新中心能力 建设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500,000.00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浦东新区社会领域信息</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化专项资金项目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700,000.00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700,000.00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18,309,696.00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4,318,800.00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1,350,000.00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21,278,496.00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2069" type="#_x0000_t202" style="position:absolute;margin-left:16.449999999999999pt;margin-top:37.450000000000003pt;width:521.75pt;height:234.95000000000002pt;z-index:-125829099;mso-wrap-distance-left:0;mso-wrap-distance-top:37.450000000000003pt;mso-wrap-distance-right:0;mso-wrap-distance-bottom:11.pt;mso-position-horizontal-relative:page" filled="f" stroked="f">
                <v:textbox inset="0,0,0,0">
                  <w:txbxContent>
                    <w:tbl>
                      <w:tblPr>
                        <w:tblOverlap w:val="never"/>
                        <w:jc w:val="left"/>
                        <w:tblLayout w:type="fixed"/>
                      </w:tblPr>
                      <w:tblGrid>
                        <w:gridCol w:w="1872"/>
                        <w:gridCol w:w="1248"/>
                        <w:gridCol w:w="1008"/>
                        <w:gridCol w:w="1013"/>
                        <w:gridCol w:w="1008"/>
                        <w:gridCol w:w="1008"/>
                        <w:gridCol w:w="1013"/>
                        <w:gridCol w:w="1248"/>
                        <w:gridCol w:w="1018"/>
                      </w:tblGrid>
                      <w:tr>
                        <w:trPr>
                          <w:tblHeade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急危重症诊疗辅助平台</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630,000.00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政务大数据透明管理和 智能服务平台研制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1,476,000.00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1,476,000.00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省市两级政务大数据应 用示范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558,000.00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558,000.00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疫情防控信息管理系统 研发与应用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200,000.00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200,000.00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022"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4" w:lineRule="exact"/>
                              <w:ind w:left="0" w:right="0" w:firstLine="0"/>
                              <w:jc w:val="both"/>
                            </w:pPr>
                            <w:r>
                              <w:rPr>
                                <w:color w:val="000000"/>
                                <w:spacing w:val="0"/>
                                <w:w w:val="100"/>
                                <w:position w:val="0"/>
                              </w:rPr>
                              <w:t>辽宁省医疗卫生大数据 专业技术创新中心能力 建设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500,000.00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浦东新区社会领域信息</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化专项资金项目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700,000.00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700,000.00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18,309,696.00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4,318,800.00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1,350,000.00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21,278,496.00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1257300</wp:posOffset>
                </wp:positionH>
                <wp:positionV relativeFrom="paragraph">
                  <wp:posOffset>243840</wp:posOffset>
                </wp:positionV>
                <wp:extent cx="822960" cy="259080"/>
                <wp:wrapNone/>
                <wp:docPr id="1045" name="Shape 1045"/>
                <a:graphic xmlns:a="http://schemas.openxmlformats.org/drawingml/2006/main">
                  <a:graphicData uri="http://schemas.microsoft.com/office/word/2010/wordprocessingShape">
                    <wps:wsp>
                      <wps:cNvSpPr txBox="1"/>
                      <wps:spPr>
                        <a:xfrm>
                          <a:ext cx="822960" cy="25908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xbxContent>
                      </wps:txbx>
                      <wps:bodyPr lIns="0" tIns="0" rIns="0" bIns="0">
                        <a:noAutoFit/>
                      </wps:bodyPr>
                    </wps:wsp>
                  </a:graphicData>
                </a:graphic>
              </wp:anchor>
            </w:drawing>
          </mc:Choice>
          <mc:Fallback>
            <w:pict>
              <v:shape id="_x0000_s2071" type="#_x0000_t202" style="position:absolute;margin-left:99.pt;margin-top:19.199999999999999pt;width:64.799999999999997pt;height:20.400000000000002pt;z-index:251657739;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xbxContent>
                </v:textbox>
                <w10:wrap anchorx="page"/>
              </v:shape>
            </w:pict>
          </mc:Fallback>
        </mc:AlternateContent>
      </w:r>
    </w:p>
    <w:p>
      <w:pPr>
        <w:pStyle w:val="Style55"/>
        <w:keepNext/>
        <w:keepLines/>
        <w:widowControl w:val="0"/>
        <w:shd w:val="clear" w:color="auto" w:fill="auto"/>
        <w:bidi w:val="0"/>
        <w:spacing w:before="0" w:after="960" w:line="240" w:lineRule="auto"/>
        <w:ind w:left="0" w:right="0" w:firstLine="840"/>
        <w:jc w:val="left"/>
      </w:pPr>
      <w:bookmarkStart w:id="1727" w:name="bookmark1727"/>
      <w:bookmarkStart w:id="1728" w:name="bookmark1728"/>
      <w:bookmarkStart w:id="1729" w:name="bookmark1729"/>
      <w:bookmarkStart w:id="1730" w:name="bookmark1730"/>
      <w:r>
        <w:rPr>
          <w:rFonts w:ascii="Times New Roman" w:eastAsia="Times New Roman" w:hAnsi="Times New Roman" w:cs="Times New Roman"/>
          <w:color w:val="000000"/>
          <w:spacing w:val="0"/>
          <w:w w:val="100"/>
          <w:position w:val="0"/>
        </w:rPr>
        <w:t>5</w:t>
      </w:r>
      <w:bookmarkEnd w:id="1729"/>
      <w:r>
        <w:rPr>
          <w:rFonts w:ascii="Times New Roman" w:eastAsia="Times New Roman" w:hAnsi="Times New Roman" w:cs="Times New Roman"/>
          <w:color w:val="000000"/>
          <w:spacing w:val="0"/>
          <w:w w:val="100"/>
          <w:position w:val="0"/>
        </w:rPr>
        <w:t>2</w:t>
      </w:r>
      <w:r>
        <w:rPr>
          <w:color w:val="000000"/>
          <w:spacing w:val="0"/>
          <w:w w:val="100"/>
          <w:position w:val="0"/>
        </w:rPr>
        <w:t>、其他非流动负债</w:t>
      </w:r>
      <w:bookmarkEnd w:id="1727"/>
      <w:bookmarkEnd w:id="1728"/>
      <w:bookmarkEnd w:id="1730"/>
    </w:p>
    <w:p>
      <w:pPr>
        <w:pStyle w:val="Style55"/>
        <w:keepNext/>
        <w:keepLines/>
        <w:widowControl w:val="0"/>
        <w:shd w:val="clear" w:color="auto" w:fill="auto"/>
        <w:bidi w:val="0"/>
        <w:spacing w:before="0" w:after="380" w:line="240" w:lineRule="auto"/>
        <w:ind w:left="0" w:right="0" w:firstLine="840"/>
        <w:jc w:val="left"/>
      </w:pPr>
      <w:bookmarkStart w:id="1731" w:name="bookmark1731"/>
      <w:bookmarkStart w:id="1732" w:name="bookmark1732"/>
      <w:bookmarkStart w:id="1733" w:name="bookmark1733"/>
      <w:bookmarkStart w:id="1734" w:name="bookmark1734"/>
      <w:r>
        <w:rPr>
          <w:rFonts w:ascii="Times New Roman" w:eastAsia="Times New Roman" w:hAnsi="Times New Roman" w:cs="Times New Roman"/>
          <w:color w:val="000000"/>
          <w:spacing w:val="0"/>
          <w:w w:val="100"/>
          <w:position w:val="0"/>
        </w:rPr>
        <w:t>5</w:t>
      </w:r>
      <w:bookmarkEnd w:id="1733"/>
      <w:r>
        <w:rPr>
          <w:rFonts w:ascii="Times New Roman" w:eastAsia="Times New Roman" w:hAnsi="Times New Roman" w:cs="Times New Roman"/>
          <w:color w:val="000000"/>
          <w:spacing w:val="0"/>
          <w:w w:val="100"/>
          <w:position w:val="0"/>
        </w:rPr>
        <w:t>3</w:t>
      </w:r>
      <w:r>
        <w:rPr>
          <w:color w:val="000000"/>
          <w:spacing w:val="0"/>
          <w:w w:val="100"/>
          <w:position w:val="0"/>
        </w:rPr>
        <w:t>、股本</w:t>
      </w:r>
      <w:bookmarkEnd w:id="1731"/>
      <w:bookmarkEnd w:id="1732"/>
      <w:bookmarkEnd w:id="1734"/>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05"/>
        <w:gridCol w:w="1195"/>
        <w:gridCol w:w="1195"/>
        <w:gridCol w:w="1195"/>
        <w:gridCol w:w="1200"/>
        <w:gridCol w:w="1195"/>
        <w:gridCol w:w="1195"/>
        <w:gridCol w:w="1205"/>
      </w:tblGrid>
      <w:tr>
        <w:trPr>
          <w:trHeight w:val="408" w:hRule="exact"/>
        </w:trPr>
        <w:tc>
          <w:tcPr>
            <w:vMerge w:val="restart"/>
            <w:tcBorders>
              <w:top w:val="single" w:sz="4"/>
              <w:left w:val="single" w:sz="4"/>
            </w:tcBorders>
            <w:shd w:val="clear" w:color="auto" w:fill="D4D4D4"/>
            <w:vAlign w:val="top"/>
          </w:tcPr>
          <w:p>
            <w:pPr>
              <w:widowControl w:val="0"/>
              <w:rPr>
                <w:sz w:val="10"/>
                <w:szCs w:val="10"/>
              </w:rPr>
            </w:pP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5"/>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98" w:hRule="exact"/>
        </w:trPr>
        <w:tc>
          <w:tcPr>
            <w:vMerge/>
            <w:tcBorders>
              <w:left w:val="single" w:sz="4"/>
            </w:tcBorders>
            <w:shd w:val="clear" w:color="auto" w:fill="D4D4D4"/>
            <w:vAlign w:val="top"/>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发行新股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公积金转股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vMerge/>
            <w:tcBorders>
              <w:left w:val="single" w:sz="4"/>
              <w:right w:val="single" w:sz="4"/>
            </w:tcBorders>
            <w:shd w:val="clear" w:color="auto" w:fill="D4D4D4"/>
            <w:vAlign w:val="center"/>
          </w:tcPr>
          <w:p>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股份总数</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553,756,711.00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43,771,219.00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43,771,219.00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597,527,930.00</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pStyle w:val="Style32"/>
        <w:keepNext w:val="0"/>
        <w:keepLines w:val="0"/>
        <w:widowControl w:val="0"/>
        <w:shd w:val="clear" w:color="auto" w:fill="auto"/>
        <w:bidi w:val="0"/>
        <w:spacing w:before="0" w:after="0" w:line="311" w:lineRule="exact"/>
        <w:ind w:left="840" w:right="0" w:firstLine="0"/>
        <w:jc w:val="both"/>
      </w:pPr>
      <w:r>
        <w:rPr>
          <w:color w:val="000000"/>
          <w:spacing w:val="0"/>
          <w:w w:val="100"/>
          <w:position w:val="0"/>
        </w:rPr>
        <w:t>根据公司</w:t>
      </w:r>
      <w:r>
        <w:rPr>
          <w:rFonts w:ascii="Times New Roman" w:eastAsia="Times New Roman" w:hAnsi="Times New Roman" w:cs="Times New Roman"/>
          <w:color w:val="000000"/>
          <w:spacing w:val="0"/>
          <w:w w:val="100"/>
          <w:position w:val="0"/>
        </w:rPr>
        <w:t>2019</w:t>
      </w:r>
      <w:r>
        <w:rPr>
          <w:color w:val="000000"/>
          <w:spacing w:val="0"/>
          <w:w w:val="100"/>
          <w:position w:val="0"/>
        </w:rPr>
        <w:t>年度第三次临时股东大会决议和修改后章程的规定，经中国证券监督管理委员会《关于核准荣科科技股份有 限公司向徐州瀚举创业投资合伙企业（有限合伙）等发行股份购买资产并募集配套资金的批复》（证监许可</w:t>
      </w:r>
      <w:r>
        <w:rPr>
          <w:rFonts w:ascii="Times New Roman" w:eastAsia="Times New Roman" w:hAnsi="Times New Roman" w:cs="Times New Roman"/>
          <w:color w:val="000000"/>
          <w:spacing w:val="0"/>
          <w:w w:val="100"/>
          <w:position w:val="0"/>
        </w:rPr>
        <w:t>[2020]115</w:t>
      </w:r>
      <w:r>
        <w:rPr>
          <w:color w:val="000000"/>
          <w:spacing w:val="0"/>
          <w:w w:val="100"/>
          <w:position w:val="0"/>
        </w:rPr>
        <w:t>号文） 核准，公司向特定投资者发行人民币普通股股票</w:t>
      </w:r>
      <w:r>
        <w:rPr>
          <w:rFonts w:ascii="Times New Roman" w:eastAsia="Times New Roman" w:hAnsi="Times New Roman" w:cs="Times New Roman"/>
          <w:color w:val="000000"/>
          <w:spacing w:val="0"/>
          <w:w w:val="100"/>
          <w:position w:val="0"/>
        </w:rPr>
        <w:t>41,606,719</w:t>
      </w:r>
      <w:r>
        <w:rPr>
          <w:color w:val="000000"/>
          <w:spacing w:val="0"/>
          <w:w w:val="100"/>
          <w:position w:val="0"/>
        </w:rPr>
        <w:t>股，募集资金总额人民币</w:t>
      </w:r>
      <w:r>
        <w:rPr>
          <w:rFonts w:ascii="Times New Roman" w:eastAsia="Times New Roman" w:hAnsi="Times New Roman" w:cs="Times New Roman"/>
          <w:color w:val="000000"/>
          <w:spacing w:val="0"/>
          <w:w w:val="100"/>
          <w:position w:val="0"/>
        </w:rPr>
        <w:t>235,199,989.34</w:t>
      </w:r>
      <w:r>
        <w:rPr>
          <w:color w:val="000000"/>
          <w:spacing w:val="0"/>
          <w:w w:val="100"/>
          <w:position w:val="0"/>
        </w:rPr>
        <w:t>元，扣除与发行有关费 用人民币</w:t>
      </w:r>
      <w:r>
        <w:rPr>
          <w:rFonts w:ascii="Times New Roman" w:eastAsia="Times New Roman" w:hAnsi="Times New Roman" w:cs="Times New Roman"/>
          <w:color w:val="000000"/>
          <w:spacing w:val="0"/>
          <w:w w:val="100"/>
          <w:position w:val="0"/>
        </w:rPr>
        <w:t>10,320,068.26</w:t>
      </w:r>
      <w:r>
        <w:rPr>
          <w:color w:val="000000"/>
          <w:spacing w:val="0"/>
          <w:w w:val="100"/>
          <w:position w:val="0"/>
        </w:rPr>
        <w:t>元（含税），其中进项税</w:t>
      </w:r>
      <w:r>
        <w:rPr>
          <w:rFonts w:ascii="Times New Roman" w:eastAsia="Times New Roman" w:hAnsi="Times New Roman" w:cs="Times New Roman"/>
          <w:color w:val="000000"/>
          <w:spacing w:val="0"/>
          <w:w w:val="100"/>
          <w:position w:val="0"/>
        </w:rPr>
        <w:t>584,154.79</w:t>
      </w:r>
      <w:r>
        <w:rPr>
          <w:color w:val="000000"/>
          <w:spacing w:val="0"/>
          <w:w w:val="100"/>
          <w:position w:val="0"/>
        </w:rPr>
        <w:t>元，公司实际募集资金净额为人民币</w:t>
      </w:r>
      <w:r>
        <w:rPr>
          <w:rFonts w:ascii="Times New Roman" w:eastAsia="Times New Roman" w:hAnsi="Times New Roman" w:cs="Times New Roman"/>
          <w:color w:val="000000"/>
          <w:spacing w:val="0"/>
          <w:w w:val="100"/>
          <w:position w:val="0"/>
        </w:rPr>
        <w:t>225,464,075.87</w:t>
      </w:r>
      <w:r>
        <w:rPr>
          <w:color w:val="000000"/>
          <w:spacing w:val="0"/>
          <w:w w:val="100"/>
          <w:position w:val="0"/>
        </w:rPr>
        <w:t>元，其中计 入股本人民币</w:t>
      </w:r>
      <w:r>
        <w:rPr>
          <w:rFonts w:ascii="Times New Roman" w:eastAsia="Times New Roman" w:hAnsi="Times New Roman" w:cs="Times New Roman"/>
          <w:color w:val="000000"/>
          <w:spacing w:val="0"/>
          <w:w w:val="100"/>
          <w:position w:val="0"/>
        </w:rPr>
        <w:t>41,606,719.00</w:t>
      </w:r>
      <w:r>
        <w:rPr>
          <w:color w:val="000000"/>
          <w:spacing w:val="0"/>
          <w:w w:val="100"/>
          <w:position w:val="0"/>
        </w:rPr>
        <w:t>元，计入资本公积人民币</w:t>
      </w:r>
      <w:r>
        <w:rPr>
          <w:rFonts w:ascii="Times New Roman" w:eastAsia="Times New Roman" w:hAnsi="Times New Roman" w:cs="Times New Roman"/>
          <w:color w:val="000000"/>
          <w:spacing w:val="0"/>
          <w:w w:val="100"/>
          <w:position w:val="0"/>
        </w:rPr>
        <w:t>183,857,356.87</w:t>
      </w:r>
      <w:r>
        <w:rPr>
          <w:color w:val="000000"/>
          <w:spacing w:val="0"/>
          <w:w w:val="100"/>
          <w:position w:val="0"/>
        </w:rPr>
        <w:t>元。</w:t>
      </w:r>
    </w:p>
    <w:p>
      <w:pPr>
        <w:pStyle w:val="Style32"/>
        <w:keepNext w:val="0"/>
        <w:keepLines w:val="0"/>
        <w:widowControl w:val="0"/>
        <w:shd w:val="clear" w:color="auto" w:fill="auto"/>
        <w:bidi w:val="0"/>
        <w:spacing w:before="0" w:after="0" w:line="312" w:lineRule="exact"/>
        <w:ind w:left="84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日，根据公司</w:t>
      </w:r>
      <w:r>
        <w:rPr>
          <w:rFonts w:ascii="Times New Roman" w:eastAsia="Times New Roman" w:hAnsi="Times New Roman" w:cs="Times New Roman"/>
          <w:color w:val="000000"/>
          <w:spacing w:val="0"/>
          <w:w w:val="100"/>
          <w:position w:val="0"/>
        </w:rPr>
        <w:t>2018</w:t>
      </w:r>
      <w:r>
        <w:rPr>
          <w:color w:val="000000"/>
          <w:spacing w:val="0"/>
          <w:w w:val="100"/>
          <w:position w:val="0"/>
        </w:rPr>
        <w:t>年度第一次临时股东大会通过的《</w:t>
      </w:r>
      <w:r>
        <w:rPr>
          <w:rFonts w:ascii="Times New Roman" w:eastAsia="Times New Roman" w:hAnsi="Times New Roman" w:cs="Times New Roman"/>
          <w:color w:val="000000"/>
          <w:spacing w:val="0"/>
          <w:w w:val="100"/>
          <w:position w:val="0"/>
        </w:rPr>
        <w:t>2018</w:t>
      </w:r>
      <w:r>
        <w:rPr>
          <w:color w:val="000000"/>
          <w:spacing w:val="0"/>
          <w:w w:val="100"/>
          <w:position w:val="0"/>
        </w:rPr>
        <w:t>年股票期权与限制性股票激励计划》、公司向股票 期权激励对象张喆、石龙、刘闻宇等</w:t>
      </w:r>
      <w:r>
        <w:rPr>
          <w:rFonts w:ascii="Times New Roman" w:eastAsia="Times New Roman" w:hAnsi="Times New Roman" w:cs="Times New Roman"/>
          <w:color w:val="000000"/>
          <w:spacing w:val="0"/>
          <w:w w:val="100"/>
          <w:position w:val="0"/>
        </w:rPr>
        <w:t>32</w:t>
      </w:r>
      <w:r>
        <w:rPr>
          <w:color w:val="000000"/>
          <w:spacing w:val="0"/>
          <w:w w:val="100"/>
          <w:position w:val="0"/>
        </w:rPr>
        <w:t>名员工定向增发普通股股票</w:t>
      </w:r>
      <w:r>
        <w:rPr>
          <w:rFonts w:ascii="Times New Roman" w:eastAsia="Times New Roman" w:hAnsi="Times New Roman" w:cs="Times New Roman"/>
          <w:color w:val="000000"/>
          <w:spacing w:val="0"/>
          <w:w w:val="100"/>
          <w:position w:val="0"/>
        </w:rPr>
        <w:t>2,164,500</w:t>
      </w:r>
      <w:r>
        <w:rPr>
          <w:color w:val="000000"/>
          <w:spacing w:val="0"/>
          <w:w w:val="100"/>
          <w:position w:val="0"/>
        </w:rPr>
        <w:t>股，募集资金总额人民币</w:t>
      </w:r>
      <w:r>
        <w:rPr>
          <w:rFonts w:ascii="Times New Roman" w:eastAsia="Times New Roman" w:hAnsi="Times New Roman" w:cs="Times New Roman"/>
          <w:color w:val="000000"/>
          <w:spacing w:val="0"/>
          <w:w w:val="100"/>
          <w:position w:val="0"/>
        </w:rPr>
        <w:t>8,614,710.00</w:t>
      </w:r>
      <w:r>
        <w:rPr>
          <w:color w:val="000000"/>
          <w:spacing w:val="0"/>
          <w:w w:val="100"/>
          <w:position w:val="0"/>
        </w:rPr>
        <w:t>元，扣 除与发行有关费用人民币</w:t>
      </w:r>
      <w:r>
        <w:rPr>
          <w:rFonts w:ascii="Times New Roman" w:eastAsia="Times New Roman" w:hAnsi="Times New Roman" w:cs="Times New Roman"/>
          <w:color w:val="000000"/>
          <w:spacing w:val="0"/>
          <w:w w:val="100"/>
          <w:position w:val="0"/>
        </w:rPr>
        <w:t>200,000.00</w:t>
      </w:r>
      <w:r>
        <w:rPr>
          <w:color w:val="000000"/>
          <w:spacing w:val="0"/>
          <w:w w:val="100"/>
          <w:position w:val="0"/>
        </w:rPr>
        <w:t>元（含税），其中进项税</w:t>
      </w:r>
      <w:r>
        <w:rPr>
          <w:rFonts w:ascii="Times New Roman" w:eastAsia="Times New Roman" w:hAnsi="Times New Roman" w:cs="Times New Roman"/>
          <w:color w:val="000000"/>
          <w:spacing w:val="0"/>
          <w:w w:val="100"/>
          <w:position w:val="0"/>
        </w:rPr>
        <w:t>11,320.76</w:t>
      </w:r>
      <w:r>
        <w:rPr>
          <w:color w:val="000000"/>
          <w:spacing w:val="0"/>
          <w:w w:val="100"/>
          <w:position w:val="0"/>
        </w:rPr>
        <w:t>元，公司实际募集资金净额为人民币</w:t>
      </w:r>
      <w:r>
        <w:rPr>
          <w:rFonts w:ascii="Times New Roman" w:eastAsia="Times New Roman" w:hAnsi="Times New Roman" w:cs="Times New Roman"/>
          <w:color w:val="000000"/>
          <w:spacing w:val="0"/>
          <w:w w:val="100"/>
          <w:position w:val="0"/>
        </w:rPr>
        <w:t>8,426,030.76</w:t>
      </w:r>
      <w:r>
        <w:rPr>
          <w:color w:val="000000"/>
          <w:spacing w:val="0"/>
          <w:w w:val="100"/>
          <w:position w:val="0"/>
        </w:rPr>
        <w:t>元, 其中计入股本人民币</w:t>
      </w:r>
      <w:r>
        <w:rPr>
          <w:rFonts w:ascii="Times New Roman" w:eastAsia="Times New Roman" w:hAnsi="Times New Roman" w:cs="Times New Roman"/>
          <w:color w:val="000000"/>
          <w:spacing w:val="0"/>
          <w:w w:val="100"/>
          <w:position w:val="0"/>
        </w:rPr>
        <w:t>2,164,500.00</w:t>
      </w:r>
      <w:r>
        <w:rPr>
          <w:color w:val="000000"/>
          <w:spacing w:val="0"/>
          <w:w w:val="100"/>
          <w:position w:val="0"/>
        </w:rPr>
        <w:t>元，增加资本公积</w:t>
      </w:r>
      <w:r>
        <w:rPr>
          <w:rFonts w:ascii="Times New Roman" w:eastAsia="Times New Roman" w:hAnsi="Times New Roman" w:cs="Times New Roman"/>
          <w:color w:val="000000"/>
          <w:spacing w:val="0"/>
          <w:w w:val="100"/>
          <w:position w:val="0"/>
        </w:rPr>
        <w:t>6,261,530.76</w:t>
      </w:r>
      <w:r>
        <w:rPr>
          <w:color w:val="000000"/>
          <w:spacing w:val="0"/>
          <w:w w:val="100"/>
          <w:position w:val="0"/>
        </w:rPr>
        <w:t>元。</w:t>
      </w:r>
    </w:p>
    <w:p>
      <w:pPr>
        <w:pStyle w:val="Style32"/>
        <w:keepNext w:val="0"/>
        <w:keepLines w:val="0"/>
        <w:widowControl w:val="0"/>
        <w:shd w:val="clear" w:color="auto" w:fill="auto"/>
        <w:bidi w:val="0"/>
        <w:spacing w:before="0" w:after="380" w:line="311" w:lineRule="exact"/>
        <w:ind w:left="0" w:right="0" w:firstLine="840"/>
        <w:jc w:val="both"/>
      </w:pPr>
      <w:r>
        <w:rPr>
          <w:color w:val="000000"/>
          <w:spacing w:val="0"/>
          <w:w w:val="100"/>
          <w:position w:val="0"/>
        </w:rPr>
        <w:t>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日，公司股本中因质押</w:t>
      </w:r>
      <w:r>
        <w:rPr>
          <w:rFonts w:ascii="Times New Roman" w:eastAsia="Times New Roman" w:hAnsi="Times New Roman" w:cs="Times New Roman"/>
          <w:color w:val="000000"/>
          <w:spacing w:val="0"/>
          <w:w w:val="100"/>
          <w:position w:val="0"/>
        </w:rPr>
        <w:t>/</w:t>
      </w:r>
      <w:r>
        <w:rPr>
          <w:color w:val="000000"/>
          <w:spacing w:val="0"/>
          <w:w w:val="100"/>
          <w:position w:val="0"/>
        </w:rPr>
        <w:t>司法冻结等事项而冻结的合计</w:t>
      </w:r>
      <w:r>
        <w:rPr>
          <w:rFonts w:ascii="Times New Roman" w:eastAsia="Times New Roman" w:hAnsi="Times New Roman" w:cs="Times New Roman"/>
          <w:color w:val="000000"/>
          <w:spacing w:val="0"/>
          <w:w w:val="100"/>
          <w:position w:val="0"/>
        </w:rPr>
        <w:t>12,198.89</w:t>
      </w:r>
      <w:r>
        <w:rPr>
          <w:color w:val="000000"/>
          <w:spacing w:val="0"/>
          <w:w w:val="100"/>
          <w:position w:val="0"/>
        </w:rPr>
        <w:t>万股，占公司股份总数的</w:t>
      </w:r>
      <w:r>
        <w:rPr>
          <w:rFonts w:ascii="Times New Roman" w:eastAsia="Times New Roman" w:hAnsi="Times New Roman" w:cs="Times New Roman"/>
          <w:color w:val="000000"/>
          <w:spacing w:val="0"/>
          <w:w w:val="100"/>
          <w:position w:val="0"/>
        </w:rPr>
        <w:t>20.42%</w:t>
      </w:r>
      <w:r>
        <w:rPr>
          <w:color w:val="000000"/>
          <w:spacing w:val="0"/>
          <w:w w:val="100"/>
          <w:position w:val="0"/>
        </w:rPr>
        <w:t>。</w:t>
      </w:r>
    </w:p>
    <w:p>
      <w:pPr>
        <w:pStyle w:val="Style55"/>
        <w:keepNext/>
        <w:keepLines/>
        <w:widowControl w:val="0"/>
        <w:shd w:val="clear" w:color="auto" w:fill="auto"/>
        <w:bidi w:val="0"/>
        <w:spacing w:before="0" w:after="220" w:line="240" w:lineRule="auto"/>
        <w:ind w:left="0" w:right="0" w:firstLine="840"/>
        <w:jc w:val="left"/>
        <w:sectPr>
          <w:headerReference w:type="default" r:id="rId453"/>
          <w:footerReference w:type="default" r:id="rId454"/>
          <w:headerReference w:type="even" r:id="rId455"/>
          <w:footerReference w:type="even" r:id="rId456"/>
          <w:footnotePr>
            <w:pos w:val="pageBottom"/>
            <w:numFmt w:val="decimal"/>
            <w:numRestart w:val="continuous"/>
          </w:footnotePr>
          <w:pgSz w:w="11900" w:h="16840"/>
          <w:pgMar w:top="1077" w:right="958" w:bottom="1309" w:left="329" w:header="0" w:footer="3" w:gutter="0"/>
          <w:cols w:space="720"/>
          <w:noEndnote/>
          <w:rtlGutter w:val="0"/>
          <w:docGrid w:linePitch="360"/>
        </w:sectPr>
      </w:pPr>
      <w:bookmarkStart w:id="1735" w:name="bookmark1735"/>
      <w:bookmarkStart w:id="1736" w:name="bookmark1736"/>
      <w:bookmarkStart w:id="1737" w:name="bookmark1737"/>
      <w:bookmarkStart w:id="1738" w:name="bookmark1738"/>
      <w:r>
        <w:rPr>
          <w:rFonts w:ascii="Times New Roman" w:eastAsia="Times New Roman" w:hAnsi="Times New Roman" w:cs="Times New Roman"/>
          <w:color w:val="000000"/>
          <w:spacing w:val="0"/>
          <w:w w:val="100"/>
          <w:position w:val="0"/>
        </w:rPr>
        <w:t>5</w:t>
      </w:r>
      <w:bookmarkEnd w:id="1737"/>
      <w:r>
        <w:rPr>
          <w:rFonts w:ascii="Times New Roman" w:eastAsia="Times New Roman" w:hAnsi="Times New Roman" w:cs="Times New Roman"/>
          <w:color w:val="000000"/>
          <w:spacing w:val="0"/>
          <w:w w:val="100"/>
          <w:position w:val="0"/>
        </w:rPr>
        <w:t>4</w:t>
      </w:r>
      <w:r>
        <w:rPr>
          <w:color w:val="000000"/>
          <w:spacing w:val="0"/>
          <w:w w:val="100"/>
          <w:position w:val="0"/>
        </w:rPr>
        <w:t>、其他权益工具</w:t>
      </w:r>
      <w:bookmarkEnd w:id="1735"/>
      <w:bookmarkEnd w:id="1736"/>
      <w:bookmarkEnd w:id="1738"/>
    </w:p>
    <w:p>
      <w:pPr>
        <w:widowControl w:val="0"/>
        <w:jc w:val="center"/>
        <w:rPr>
          <w:sz w:val="2"/>
          <w:szCs w:val="2"/>
        </w:rPr>
      </w:pPr>
      <w:r>
        <w:drawing>
          <wp:inline>
            <wp:extent cx="1298575" cy="475615"/>
            <wp:docPr id="1057" name="Picutre 1057"/>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457"/>
                    <a:stretch/>
                  </pic:blipFill>
                  <pic:spPr>
                    <a:xfrm>
                      <a:ext cx="1298575" cy="475615"/>
                    </a:xfrm>
                    <a:prstGeom prst="rect"/>
                  </pic:spPr>
                </pic:pic>
              </a:graphicData>
            </a:graphic>
          </wp:inline>
        </w:drawing>
      </w:r>
    </w:p>
    <w:p>
      <w:pPr>
        <w:pStyle w:val="Style26"/>
        <w:keepNext w:val="0"/>
        <w:keepLines w:val="0"/>
        <w:widowControl w:val="0"/>
        <w:shd w:val="clear" w:color="auto" w:fill="auto"/>
        <w:bidi w:val="0"/>
        <w:spacing w:before="0" w:after="0"/>
        <w:ind w:left="778"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after="39" w:line="1" w:lineRule="exact"/>
      </w:pPr>
    </w:p>
    <w:p>
      <w:pPr>
        <w:pStyle w:val="Style55"/>
        <w:keepNext/>
        <w:keepLines/>
        <w:widowControl w:val="0"/>
        <w:shd w:val="clear" w:color="auto" w:fill="auto"/>
        <w:bidi w:val="0"/>
        <w:spacing w:before="0" w:after="380" w:line="240" w:lineRule="auto"/>
        <w:ind w:left="0" w:right="0" w:firstLine="840"/>
        <w:jc w:val="left"/>
      </w:pPr>
      <w:bookmarkStart w:id="1739" w:name="bookmark1739"/>
      <w:bookmarkStart w:id="1740" w:name="bookmark1740"/>
      <w:bookmarkStart w:id="1741" w:name="bookmark1741"/>
      <w:bookmarkStart w:id="1742" w:name="bookmark1742"/>
      <w:r>
        <w:rPr>
          <w:rFonts w:ascii="Times New Roman" w:eastAsia="Times New Roman" w:hAnsi="Times New Roman" w:cs="Times New Roman"/>
          <w:color w:val="000000"/>
          <w:spacing w:val="0"/>
          <w:w w:val="100"/>
          <w:position w:val="0"/>
        </w:rPr>
        <w:t>5</w:t>
      </w:r>
      <w:bookmarkEnd w:id="1741"/>
      <w:r>
        <w:rPr>
          <w:rFonts w:ascii="Times New Roman" w:eastAsia="Times New Roman" w:hAnsi="Times New Roman" w:cs="Times New Roman"/>
          <w:color w:val="000000"/>
          <w:spacing w:val="0"/>
          <w:w w:val="100"/>
          <w:position w:val="0"/>
        </w:rPr>
        <w:t>5</w:t>
      </w:r>
      <w:r>
        <w:rPr>
          <w:color w:val="000000"/>
          <w:spacing w:val="0"/>
          <w:w w:val="100"/>
          <w:position w:val="0"/>
        </w:rPr>
        <w:t>、资本公积</w:t>
      </w:r>
      <w:bookmarkEnd w:id="1739"/>
      <w:bookmarkEnd w:id="1740"/>
      <w:bookmarkEnd w:id="1742"/>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期末余额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资本溢价（股本溢价）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212,784,365.29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193,467,011.63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406,251,376.92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其他资本公积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7,013,026.00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2,839,918.67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3,348,124.00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6,504,820.67</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219,797,391.29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196,306,930.30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3,348,124.00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412,756,197.59</w:t>
            </w:r>
          </w:p>
        </w:tc>
      </w:tr>
    </w:tbl>
    <w:p>
      <w:pPr>
        <w:pStyle w:val="Style32"/>
        <w:keepNext w:val="0"/>
        <w:keepLines w:val="0"/>
        <w:widowControl w:val="0"/>
        <w:shd w:val="clear" w:color="auto" w:fill="auto"/>
        <w:bidi w:val="0"/>
        <w:spacing w:before="0" w:line="317" w:lineRule="exact"/>
        <w:ind w:left="0" w:right="0" w:firstLine="840"/>
        <w:jc w:val="left"/>
      </w:pPr>
      <w:r>
        <w:rPr>
          <w:color w:val="000000"/>
          <w:spacing w:val="0"/>
          <w:w w:val="100"/>
          <w:position w:val="0"/>
        </w:rPr>
        <w:t>其他说明，包括本期增减变动情况、变动原因说明：</w:t>
      </w:r>
    </w:p>
    <w:p>
      <w:pPr>
        <w:pStyle w:val="Style32"/>
        <w:keepNext w:val="0"/>
        <w:keepLines w:val="0"/>
        <w:widowControl w:val="0"/>
        <w:shd w:val="clear" w:color="auto" w:fill="auto"/>
        <w:bidi w:val="0"/>
        <w:spacing w:before="0" w:after="380" w:line="317" w:lineRule="exact"/>
        <w:ind w:left="840" w:right="0" w:firstLine="0"/>
        <w:jc w:val="both"/>
      </w:pPr>
      <w:r>
        <w:rPr>
          <w:color w:val="000000"/>
          <w:spacing w:val="0"/>
          <w:w w:val="100"/>
          <w:position w:val="0"/>
        </w:rPr>
        <w:t>报告期内公司资本公积股本溢价增加原因详见本报告第十二节、七、</w:t>
      </w:r>
      <w:r>
        <w:rPr>
          <w:rFonts w:ascii="Times New Roman" w:eastAsia="Times New Roman" w:hAnsi="Times New Roman" w:cs="Times New Roman"/>
          <w:color w:val="000000"/>
          <w:spacing w:val="0"/>
          <w:w w:val="100"/>
          <w:position w:val="0"/>
        </w:rPr>
        <w:t>53</w:t>
      </w:r>
      <w:r>
        <w:rPr>
          <w:color w:val="000000"/>
          <w:spacing w:val="0"/>
          <w:w w:val="100"/>
          <w:position w:val="0"/>
        </w:rPr>
        <w:t>。其他资本公积增加为本期以权益结算的股份支付计 入资本公积，其他资本公积减少为公司以权益结算的股份支付本期行权转入股本溢价。</w:t>
      </w:r>
    </w:p>
    <w:p>
      <w:pPr>
        <w:pStyle w:val="Style55"/>
        <w:keepNext/>
        <w:keepLines/>
        <w:widowControl w:val="0"/>
        <w:shd w:val="clear" w:color="auto" w:fill="auto"/>
        <w:bidi w:val="0"/>
        <w:spacing w:before="0" w:after="380" w:line="240" w:lineRule="auto"/>
        <w:ind w:left="0" w:right="0" w:firstLine="840"/>
        <w:jc w:val="left"/>
      </w:pPr>
      <w:bookmarkStart w:id="1743" w:name="bookmark1743"/>
      <w:bookmarkStart w:id="1744" w:name="bookmark1744"/>
      <w:bookmarkStart w:id="1745" w:name="bookmark1745"/>
      <w:bookmarkStart w:id="1746" w:name="bookmark1746"/>
      <w:r>
        <w:rPr>
          <w:rFonts w:ascii="Times New Roman" w:eastAsia="Times New Roman" w:hAnsi="Times New Roman" w:cs="Times New Roman"/>
          <w:color w:val="000000"/>
          <w:spacing w:val="0"/>
          <w:w w:val="100"/>
          <w:position w:val="0"/>
        </w:rPr>
        <w:t>5</w:t>
      </w:r>
      <w:bookmarkEnd w:id="1745"/>
      <w:r>
        <w:rPr>
          <w:rFonts w:ascii="Times New Roman" w:eastAsia="Times New Roman" w:hAnsi="Times New Roman" w:cs="Times New Roman"/>
          <w:color w:val="000000"/>
          <w:spacing w:val="0"/>
          <w:w w:val="100"/>
          <w:position w:val="0"/>
        </w:rPr>
        <w:t>6</w:t>
      </w:r>
      <w:r>
        <w:rPr>
          <w:color w:val="000000"/>
          <w:spacing w:val="0"/>
          <w:w w:val="100"/>
          <w:position w:val="0"/>
        </w:rPr>
        <w:t>、库存股</w:t>
      </w:r>
      <w:bookmarkEnd w:id="1743"/>
      <w:bookmarkEnd w:id="1744"/>
      <w:bookmarkEnd w:id="1746"/>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期末余额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8,394,400.00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2,565,360.00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5,829,040.00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8,394,400.00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2,565,360.00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5,829,040.00</w:t>
            </w:r>
          </w:p>
        </w:tc>
      </w:tr>
    </w:tbl>
    <w:p>
      <w:pPr>
        <w:pStyle w:val="Style32"/>
        <w:keepNext w:val="0"/>
        <w:keepLines w:val="0"/>
        <w:widowControl w:val="0"/>
        <w:shd w:val="clear" w:color="auto" w:fill="auto"/>
        <w:bidi w:val="0"/>
        <w:spacing w:before="0" w:line="302" w:lineRule="exact"/>
        <w:ind w:left="0" w:right="0" w:firstLine="840"/>
        <w:jc w:val="left"/>
      </w:pPr>
      <w:r>
        <w:rPr>
          <w:color w:val="000000"/>
          <w:spacing w:val="0"/>
          <w:w w:val="100"/>
          <w:position w:val="0"/>
        </w:rPr>
        <w:t>其他说明，包括本期增减变动情况、变动原因说明：</w:t>
      </w:r>
    </w:p>
    <w:p>
      <w:pPr>
        <w:pStyle w:val="Style32"/>
        <w:keepNext w:val="0"/>
        <w:keepLines w:val="0"/>
        <w:widowControl w:val="0"/>
        <w:shd w:val="clear" w:color="auto" w:fill="auto"/>
        <w:bidi w:val="0"/>
        <w:spacing w:before="0" w:after="380" w:line="302" w:lineRule="exact"/>
        <w:ind w:left="840" w:right="0" w:firstLine="0"/>
        <w:jc w:val="left"/>
      </w:pPr>
      <w:r>
        <w:rPr>
          <w:color w:val="000000"/>
          <w:spacing w:val="0"/>
          <w:w w:val="100"/>
          <w:position w:val="0"/>
        </w:rPr>
        <w:t>报告期内，本公司因解锁限制性股票减少库存股</w:t>
      </w:r>
      <w:r>
        <w:rPr>
          <w:color w:val="000000"/>
          <w:spacing w:val="0"/>
          <w:w w:val="100"/>
          <w:position w:val="0"/>
          <w:sz w:val="18"/>
          <w:szCs w:val="18"/>
        </w:rPr>
        <w:t xml:space="preserve">249. </w:t>
      </w:r>
      <w:r>
        <w:rPr>
          <w:color w:val="000000"/>
          <w:spacing w:val="0"/>
          <w:w w:val="100"/>
          <w:position w:val="0"/>
          <w:sz w:val="18"/>
          <w:szCs w:val="18"/>
        </w:rPr>
        <w:t>82</w:t>
      </w:r>
      <w:r>
        <w:rPr>
          <w:color w:val="000000"/>
          <w:spacing w:val="0"/>
          <w:w w:val="100"/>
          <w:position w:val="0"/>
        </w:rPr>
        <w:t>万元，按照应分配给预计未来可解锁限制性股票持有者的现金股利而 减少库存股</w:t>
      </w:r>
      <w:r>
        <w:rPr>
          <w:color w:val="000000"/>
          <w:spacing w:val="0"/>
          <w:w w:val="100"/>
          <w:position w:val="0"/>
          <w:sz w:val="18"/>
          <w:szCs w:val="18"/>
        </w:rPr>
        <w:t>6.72</w:t>
      </w:r>
      <w:r>
        <w:rPr>
          <w:color w:val="000000"/>
          <w:spacing w:val="0"/>
          <w:w w:val="100"/>
          <w:position w:val="0"/>
        </w:rPr>
        <w:t>万元。</w:t>
      </w:r>
    </w:p>
    <w:p>
      <w:pPr>
        <w:pStyle w:val="Style55"/>
        <w:keepNext/>
        <w:keepLines/>
        <w:widowControl w:val="0"/>
        <w:shd w:val="clear" w:color="auto" w:fill="auto"/>
        <w:bidi w:val="0"/>
        <w:spacing w:before="0" w:after="380" w:line="240" w:lineRule="auto"/>
        <w:ind w:left="0" w:right="0" w:firstLine="840"/>
        <w:jc w:val="left"/>
      </w:pPr>
      <w:bookmarkStart w:id="1747" w:name="bookmark1747"/>
      <w:bookmarkStart w:id="1748" w:name="bookmark1748"/>
      <w:bookmarkStart w:id="1749" w:name="bookmark1749"/>
      <w:bookmarkStart w:id="1750" w:name="bookmark1750"/>
      <w:r>
        <w:rPr>
          <w:rFonts w:ascii="Times New Roman" w:eastAsia="Times New Roman" w:hAnsi="Times New Roman" w:cs="Times New Roman"/>
          <w:color w:val="000000"/>
          <w:spacing w:val="0"/>
          <w:w w:val="100"/>
          <w:position w:val="0"/>
        </w:rPr>
        <w:t>5</w:t>
      </w:r>
      <w:bookmarkEnd w:id="1749"/>
      <w:r>
        <w:rPr>
          <w:rFonts w:ascii="Times New Roman" w:eastAsia="Times New Roman" w:hAnsi="Times New Roman" w:cs="Times New Roman"/>
          <w:color w:val="000000"/>
          <w:spacing w:val="0"/>
          <w:w w:val="100"/>
          <w:position w:val="0"/>
        </w:rPr>
        <w:t>7</w:t>
      </w:r>
      <w:r>
        <w:rPr>
          <w:color w:val="000000"/>
          <w:spacing w:val="0"/>
          <w:w w:val="100"/>
          <w:position w:val="0"/>
        </w:rPr>
        <w:t>、其他综合收益</w:t>
      </w:r>
      <w:bookmarkEnd w:id="1747"/>
      <w:bookmarkEnd w:id="1748"/>
      <w:bookmarkEnd w:id="1750"/>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136"/>
        <w:gridCol w:w="989"/>
        <w:gridCol w:w="1138"/>
        <w:gridCol w:w="1133"/>
        <w:gridCol w:w="1133"/>
        <w:gridCol w:w="994"/>
        <w:gridCol w:w="994"/>
        <w:gridCol w:w="850"/>
        <w:gridCol w:w="1070"/>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项目</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rPr>
              <w:t>期初余额</w:t>
            </w:r>
          </w:p>
        </w:tc>
        <w:tc>
          <w:tcPr>
            <w:gridSpan w:val="6"/>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本期发生额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20" w:firstLine="0"/>
              <w:jc w:val="right"/>
              <w:rPr>
                <w:sz w:val="15"/>
                <w:szCs w:val="15"/>
              </w:rPr>
            </w:pPr>
            <w:r>
              <w:rPr>
                <w:color w:val="000000"/>
                <w:spacing w:val="0"/>
                <w:w w:val="100"/>
                <w:position w:val="0"/>
                <w:sz w:val="15"/>
                <w:szCs w:val="15"/>
              </w:rPr>
              <w:t>期末余额</w:t>
            </w:r>
          </w:p>
        </w:tc>
      </w:tr>
      <w:tr>
        <w:trPr>
          <w:trHeight w:val="1022"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本期所得税前发</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生额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减：前期计入其</w:t>
            </w:r>
          </w:p>
          <w:p>
            <w:pPr>
              <w:pStyle w:val="Style44"/>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他综合收益当期</w:t>
            </w:r>
          </w:p>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转入损益</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减：前期计入其</w:t>
            </w:r>
          </w:p>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他综合收益当期</w:t>
            </w:r>
          </w:p>
          <w:p>
            <w:pPr>
              <w:pStyle w:val="Style44"/>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转入留存收益</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减：所得税费</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用</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税后归属于母</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公司</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税后归属于</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少数股东</w:t>
            </w:r>
          </w:p>
        </w:tc>
        <w:tc>
          <w:tcPr>
            <w:vMerge/>
            <w:tcBorders>
              <w:left w:val="single" w:sz="4"/>
              <w:right w:val="single" w:sz="4"/>
            </w:tcBorders>
            <w:shd w:val="clear" w:color="auto" w:fill="D4D4D4"/>
            <w:vAlign w:val="center"/>
          </w:tcPr>
          <w:p>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一、不能重分类进损益的其他综</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4,200,807.40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rPr>
                <w:sz w:val="15"/>
                <w:szCs w:val="15"/>
              </w:rPr>
            </w:pPr>
            <w:r>
              <w:rPr>
                <w:rFonts w:ascii="Times New Roman" w:eastAsia="Times New Roman" w:hAnsi="Times New Roman" w:cs="Times New Roman"/>
                <w:color w:val="000000"/>
                <w:spacing w:val="0"/>
                <w:w w:val="100"/>
                <w:position w:val="0"/>
                <w:sz w:val="15"/>
                <w:szCs w:val="15"/>
              </w:rPr>
              <w:t>-21,683,906.26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-21,683,906.26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-17,483,098.86</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480"/>
              <w:jc w:val="left"/>
              <w:rPr>
                <w:sz w:val="15"/>
                <w:szCs w:val="15"/>
              </w:rPr>
            </w:pPr>
            <w:r>
              <w:rPr>
                <w:color w:val="000000"/>
                <w:spacing w:val="0"/>
                <w:w w:val="100"/>
                <w:position w:val="0"/>
                <w:sz w:val="15"/>
                <w:szCs w:val="15"/>
              </w:rPr>
              <w:t>其他权益工具投资公允</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价值变动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4,200,807.40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rPr>
                <w:sz w:val="15"/>
                <w:szCs w:val="15"/>
              </w:rPr>
            </w:pPr>
            <w:r>
              <w:rPr>
                <w:rFonts w:ascii="Times New Roman" w:eastAsia="Times New Roman" w:hAnsi="Times New Roman" w:cs="Times New Roman"/>
                <w:color w:val="000000"/>
                <w:spacing w:val="0"/>
                <w:w w:val="100"/>
                <w:position w:val="0"/>
                <w:sz w:val="15"/>
                <w:szCs w:val="15"/>
              </w:rPr>
              <w:t>-21,683,906.26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-21,683,906.26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-17,483,098.86</w:t>
            </w: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7" w:lineRule="exact"/>
              <w:ind w:left="0" w:right="0" w:firstLine="0"/>
              <w:jc w:val="left"/>
              <w:rPr>
                <w:sz w:val="15"/>
                <w:szCs w:val="15"/>
              </w:rPr>
            </w:pPr>
            <w:r>
              <w:rPr>
                <w:color w:val="000000"/>
                <w:spacing w:val="0"/>
                <w:w w:val="100"/>
                <w:position w:val="0"/>
                <w:sz w:val="15"/>
                <w:szCs w:val="15"/>
              </w:rPr>
              <w:t>二、将重分类进损益的其他综合 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rPr>
                <w:sz w:val="15"/>
                <w:szCs w:val="15"/>
              </w:rPr>
            </w:pPr>
            <w:r>
              <w:rPr>
                <w:rFonts w:ascii="Times New Roman" w:eastAsia="Times New Roman" w:hAnsi="Times New Roman" w:cs="Times New Roman"/>
                <w:color w:val="000000"/>
                <w:spacing w:val="0"/>
                <w:w w:val="100"/>
                <w:position w:val="0"/>
                <w:sz w:val="15"/>
                <w:szCs w:val="15"/>
              </w:rPr>
              <w:t>956,258.75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rPr>
                <w:sz w:val="15"/>
                <w:szCs w:val="15"/>
              </w:rPr>
            </w:pPr>
            <w:r>
              <w:rPr>
                <w:rFonts w:ascii="Times New Roman" w:eastAsia="Times New Roman" w:hAnsi="Times New Roman" w:cs="Times New Roman"/>
                <w:color w:val="000000"/>
                <w:spacing w:val="0"/>
                <w:w w:val="100"/>
                <w:position w:val="0"/>
                <w:sz w:val="15"/>
                <w:szCs w:val="15"/>
              </w:rPr>
              <w:t>956,258.75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rPr>
              <w:t>-956,258.75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0.00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80"/>
              <w:jc w:val="left"/>
              <w:rPr>
                <w:sz w:val="15"/>
                <w:szCs w:val="15"/>
              </w:rPr>
            </w:pPr>
            <w:r>
              <w:rPr>
                <w:color w:val="000000"/>
                <w:spacing w:val="0"/>
                <w:w w:val="100"/>
                <w:position w:val="0"/>
                <w:sz w:val="15"/>
                <w:szCs w:val="15"/>
              </w:rPr>
              <w:t>夕卜币财务报表折算差额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rPr>
                <w:sz w:val="15"/>
                <w:szCs w:val="15"/>
              </w:rPr>
            </w:pPr>
            <w:r>
              <w:rPr>
                <w:rFonts w:ascii="Times New Roman" w:eastAsia="Times New Roman" w:hAnsi="Times New Roman" w:cs="Times New Roman"/>
                <w:color w:val="000000"/>
                <w:spacing w:val="0"/>
                <w:w w:val="100"/>
                <w:position w:val="0"/>
                <w:sz w:val="15"/>
                <w:szCs w:val="15"/>
              </w:rPr>
              <w:t>956,258.75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rPr>
                <w:sz w:val="15"/>
                <w:szCs w:val="15"/>
              </w:rPr>
            </w:pPr>
            <w:r>
              <w:rPr>
                <w:rFonts w:ascii="Times New Roman" w:eastAsia="Times New Roman" w:hAnsi="Times New Roman" w:cs="Times New Roman"/>
                <w:color w:val="000000"/>
                <w:spacing w:val="0"/>
                <w:w w:val="100"/>
                <w:position w:val="0"/>
                <w:sz w:val="15"/>
                <w:szCs w:val="15"/>
              </w:rPr>
              <w:t>956,258.75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-956,258.75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其他综合收益合计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5,157,066.15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rPr>
                <w:sz w:val="15"/>
                <w:szCs w:val="15"/>
              </w:rPr>
            </w:pPr>
            <w:r>
              <w:rPr>
                <w:rFonts w:ascii="Times New Roman" w:eastAsia="Times New Roman" w:hAnsi="Times New Roman" w:cs="Times New Roman"/>
                <w:color w:val="000000"/>
                <w:spacing w:val="0"/>
                <w:w w:val="100"/>
                <w:position w:val="0"/>
                <w:sz w:val="15"/>
                <w:szCs w:val="15"/>
              </w:rPr>
              <w:t>-21,683,906.26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20"/>
              <w:jc w:val="left"/>
              <w:rPr>
                <w:sz w:val="15"/>
                <w:szCs w:val="15"/>
              </w:rPr>
            </w:pPr>
            <w:r>
              <w:rPr>
                <w:rFonts w:ascii="Times New Roman" w:eastAsia="Times New Roman" w:hAnsi="Times New Roman" w:cs="Times New Roman"/>
                <w:color w:val="000000"/>
                <w:spacing w:val="0"/>
                <w:w w:val="100"/>
                <w:position w:val="0"/>
                <w:sz w:val="15"/>
                <w:szCs w:val="15"/>
              </w:rPr>
              <w:t>956,258.75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-22,640,165.01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-17,483,098.86</w:t>
            </w:r>
          </w:p>
        </w:tc>
      </w:tr>
    </w:tbl>
    <w:p>
      <w:pPr>
        <w:widowControl w:val="0"/>
        <w:spacing w:after="99" w:line="1" w:lineRule="exact"/>
      </w:pPr>
    </w:p>
    <w:p>
      <w:pPr>
        <w:pStyle w:val="Style32"/>
        <w:keepNext w:val="0"/>
        <w:keepLines w:val="0"/>
        <w:widowControl w:val="0"/>
        <w:shd w:val="clear" w:color="auto" w:fill="auto"/>
        <w:bidi w:val="0"/>
        <w:spacing w:before="0" w:after="140" w:line="240" w:lineRule="auto"/>
        <w:ind w:left="0" w:right="0" w:firstLine="840"/>
        <w:jc w:val="left"/>
      </w:pPr>
      <w:r>
        <w:rPr>
          <w:color w:val="000000"/>
          <w:spacing w:val="0"/>
          <w:w w:val="100"/>
          <w:position w:val="0"/>
        </w:rPr>
        <w:t>其他说明，包括对现金流量套期损益的有效部分转为被套期项目初始确认金额调整:</w:t>
      </w:r>
    </w:p>
    <w:p>
      <w:pPr>
        <w:pStyle w:val="Style32"/>
        <w:keepNext w:val="0"/>
        <w:keepLines w:val="0"/>
        <w:widowControl w:val="0"/>
        <w:shd w:val="clear" w:color="auto" w:fill="auto"/>
        <w:bidi w:val="0"/>
        <w:spacing w:before="0" w:after="260" w:line="240" w:lineRule="auto"/>
        <w:ind w:left="0" w:right="0" w:firstLine="840"/>
        <w:jc w:val="left"/>
        <w:sectPr>
          <w:footnotePr>
            <w:pos w:val="pageBottom"/>
            <w:numFmt w:val="decimal"/>
            <w:numRestart w:val="continuous"/>
          </w:footnotePr>
          <w:pgSz w:w="11900" w:h="16840"/>
          <w:pgMar w:top="692" w:right="1107" w:bottom="1158" w:left="272" w:header="0" w:footer="3" w:gutter="0"/>
          <w:cols w:space="720"/>
          <w:noEndnote/>
          <w:rtlGutter w:val="0"/>
          <w:docGrid w:linePitch="360"/>
        </w:sectPr>
      </w:pPr>
      <w:r>
        <w:rPr>
          <w:color w:val="000000"/>
          <w:spacing w:val="0"/>
          <w:w w:val="100"/>
          <w:position w:val="0"/>
        </w:rPr>
        <w:t>无</w:t>
      </w:r>
    </w:p>
    <w:p>
      <w:pPr>
        <w:pStyle w:val="Style5"/>
        <w:keepNext w:val="0"/>
        <w:keepLines w:val="0"/>
        <w:widowControl w:val="0"/>
        <w:shd w:val="clear" w:color="auto" w:fill="auto"/>
        <w:tabs>
          <w:tab w:pos="1544" w:val="left"/>
        </w:tabs>
        <w:bidi w:val="0"/>
        <w:spacing w:before="0" w:after="0" w:line="245" w:lineRule="exact"/>
        <w:ind w:left="980" w:right="0" w:hanging="180"/>
        <w:jc w:val="left"/>
        <w:rPr>
          <w:sz w:val="18"/>
          <w:szCs w:val="18"/>
        </w:rPr>
      </w:pPr>
      <w:r>
        <w:rPr>
          <w:color w:val="245994"/>
          <w:spacing w:val="0"/>
          <w:w w:val="100"/>
          <w:position w:val="0"/>
          <w:sz w:val="15"/>
          <w:szCs w:val="15"/>
        </w:rPr>
        <w:t>"g</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55"/>
        <w:keepNext/>
        <w:keepLines/>
        <w:widowControl w:val="0"/>
        <w:shd w:val="clear" w:color="auto" w:fill="auto"/>
        <w:tabs>
          <w:tab w:pos="1283" w:val="left"/>
        </w:tabs>
        <w:bidi w:val="0"/>
        <w:spacing w:before="0" w:after="380" w:line="245" w:lineRule="exact"/>
        <w:ind w:left="0" w:right="0" w:firstLine="800"/>
        <w:jc w:val="left"/>
      </w:pPr>
      <w:bookmarkStart w:id="1751" w:name="bookmark1751"/>
      <w:bookmarkStart w:id="1752" w:name="bookmark1752"/>
      <w:bookmarkStart w:id="1753" w:name="bookmark1753"/>
      <w:bookmarkStart w:id="1754" w:name="bookmark1754"/>
      <w:r>
        <w:rPr>
          <w:rFonts w:ascii="Times New Roman" w:eastAsia="Times New Roman" w:hAnsi="Times New Roman" w:cs="Times New Roman"/>
          <w:color w:val="000000"/>
          <w:spacing w:val="0"/>
          <w:w w:val="100"/>
          <w:position w:val="0"/>
        </w:rPr>
        <w:t>5</w:t>
      </w:r>
      <w:bookmarkEnd w:id="1753"/>
      <w:r>
        <w:rPr>
          <w:rFonts w:ascii="Times New Roman" w:eastAsia="Times New Roman" w:hAnsi="Times New Roman" w:cs="Times New Roman"/>
          <w:color w:val="000000"/>
          <w:spacing w:val="0"/>
          <w:w w:val="100"/>
          <w:position w:val="0"/>
        </w:rPr>
        <w:t>8</w:t>
      </w:r>
      <w:r>
        <w:rPr>
          <w:color w:val="000000"/>
          <w:spacing w:val="0"/>
          <w:w w:val="100"/>
          <w:position w:val="0"/>
        </w:rPr>
        <w:t>、</w:t>
        <w:tab/>
        <w:t>专项储备</w:t>
      </w:r>
      <w:bookmarkEnd w:id="1751"/>
      <w:bookmarkEnd w:id="1752"/>
      <w:bookmarkEnd w:id="1754"/>
    </w:p>
    <w:p>
      <w:pPr>
        <w:pStyle w:val="Style32"/>
        <w:keepNext w:val="0"/>
        <w:keepLines w:val="0"/>
        <w:widowControl w:val="0"/>
        <w:shd w:val="clear" w:color="auto" w:fill="auto"/>
        <w:bidi w:val="0"/>
        <w:spacing w:before="0" w:after="380" w:line="245" w:lineRule="exact"/>
        <w:ind w:left="0" w:right="0" w:firstLine="800"/>
        <w:jc w:val="left"/>
      </w:pPr>
      <w:r>
        <w:rPr>
          <w:color w:val="000000"/>
          <w:spacing w:val="0"/>
          <w:w w:val="100"/>
          <w:position w:val="0"/>
        </w:rPr>
        <w:t>无</w:t>
      </w:r>
    </w:p>
    <w:p>
      <w:pPr>
        <w:pStyle w:val="Style55"/>
        <w:keepNext/>
        <w:keepLines/>
        <w:widowControl w:val="0"/>
        <w:shd w:val="clear" w:color="auto" w:fill="auto"/>
        <w:tabs>
          <w:tab w:pos="1283" w:val="left"/>
        </w:tabs>
        <w:bidi w:val="0"/>
        <w:spacing w:before="0" w:after="380" w:line="245" w:lineRule="exact"/>
        <w:ind w:left="0" w:right="0" w:firstLine="800"/>
        <w:jc w:val="left"/>
      </w:pPr>
      <w:bookmarkStart w:id="1755" w:name="bookmark1755"/>
      <w:bookmarkStart w:id="1756" w:name="bookmark1756"/>
      <w:bookmarkStart w:id="1757" w:name="bookmark1757"/>
      <w:bookmarkStart w:id="1758" w:name="bookmark1758"/>
      <w:r>
        <w:rPr>
          <w:rFonts w:ascii="Times New Roman" w:eastAsia="Times New Roman" w:hAnsi="Times New Roman" w:cs="Times New Roman"/>
          <w:color w:val="000000"/>
          <w:spacing w:val="0"/>
          <w:w w:val="100"/>
          <w:position w:val="0"/>
        </w:rPr>
        <w:t>5</w:t>
      </w:r>
      <w:bookmarkEnd w:id="1757"/>
      <w:r>
        <w:rPr>
          <w:rFonts w:ascii="Times New Roman" w:eastAsia="Times New Roman" w:hAnsi="Times New Roman" w:cs="Times New Roman"/>
          <w:color w:val="000000"/>
          <w:spacing w:val="0"/>
          <w:w w:val="100"/>
          <w:position w:val="0"/>
        </w:rPr>
        <w:t>9</w:t>
      </w:r>
      <w:r>
        <w:rPr>
          <w:color w:val="000000"/>
          <w:spacing w:val="0"/>
          <w:w w:val="100"/>
          <w:position w:val="0"/>
        </w:rPr>
        <w:t>、</w:t>
        <w:tab/>
        <w:t>盈余公积</w:t>
      </w:r>
      <w:bookmarkEnd w:id="1755"/>
      <w:bookmarkEnd w:id="1756"/>
      <w:bookmarkEnd w:id="1758"/>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法定盈余公积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31,862,016.33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597,353.12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32,459,369.45</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31,862,016.33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597,353.12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32,459,369.45</w:t>
            </w:r>
          </w:p>
        </w:tc>
      </w:tr>
    </w:tbl>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800"/>
        <w:jc w:val="left"/>
      </w:pPr>
      <w:r>
        <w:rPr>
          <w:color w:val="000000"/>
          <w:spacing w:val="0"/>
          <w:w w:val="100"/>
          <w:position w:val="0"/>
        </w:rPr>
        <w:t>盈余公积说明，包括本期增减变动情况、变动原因说明：</w:t>
      </w:r>
    </w:p>
    <w:p>
      <w:pPr>
        <w:pStyle w:val="Style32"/>
        <w:keepNext w:val="0"/>
        <w:keepLines w:val="0"/>
        <w:widowControl w:val="0"/>
        <w:shd w:val="clear" w:color="auto" w:fill="auto"/>
        <w:bidi w:val="0"/>
        <w:spacing w:before="0" w:after="380" w:line="240" w:lineRule="auto"/>
        <w:ind w:left="0" w:right="0" w:firstLine="800"/>
        <w:jc w:val="left"/>
      </w:pPr>
      <w:r>
        <w:rPr>
          <w:color w:val="000000"/>
          <w:spacing w:val="0"/>
          <w:w w:val="100"/>
          <w:position w:val="0"/>
        </w:rPr>
        <w:t>报告期内盈余公积增加系本公司按《公司法》及本公司章程有关规定，按报告期净利润</w:t>
      </w:r>
      <w:r>
        <w:rPr>
          <w:rFonts w:ascii="Times New Roman" w:eastAsia="Times New Roman" w:hAnsi="Times New Roman" w:cs="Times New Roman"/>
          <w:color w:val="000000"/>
          <w:spacing w:val="0"/>
          <w:w w:val="100"/>
          <w:position w:val="0"/>
        </w:rPr>
        <w:t>10</w:t>
      </w:r>
      <w:r>
        <w:rPr>
          <w:color w:val="000000"/>
          <w:spacing w:val="0"/>
          <w:w w:val="100"/>
          <w:position w:val="0"/>
        </w:rPr>
        <w:t>%提取法定盈余公积金。</w:t>
      </w:r>
    </w:p>
    <w:p>
      <w:pPr>
        <w:pStyle w:val="Style55"/>
        <w:keepNext/>
        <w:keepLines/>
        <w:widowControl w:val="0"/>
        <w:shd w:val="clear" w:color="auto" w:fill="auto"/>
        <w:bidi w:val="0"/>
        <w:spacing w:before="0" w:after="380" w:line="240" w:lineRule="auto"/>
        <w:ind w:left="0" w:right="0" w:firstLine="800"/>
        <w:jc w:val="left"/>
      </w:pPr>
      <w:bookmarkStart w:id="1759" w:name="bookmark1759"/>
      <w:bookmarkStart w:id="1760" w:name="bookmark1760"/>
      <w:bookmarkStart w:id="1761" w:name="bookmark1761"/>
      <w:bookmarkStart w:id="1762" w:name="bookmark1762"/>
      <w:r>
        <w:rPr>
          <w:rFonts w:ascii="Times New Roman" w:eastAsia="Times New Roman" w:hAnsi="Times New Roman" w:cs="Times New Roman"/>
          <w:color w:val="000000"/>
          <w:spacing w:val="0"/>
          <w:w w:val="100"/>
          <w:position w:val="0"/>
        </w:rPr>
        <w:t>6</w:t>
      </w:r>
      <w:bookmarkEnd w:id="1761"/>
      <w:r>
        <w:rPr>
          <w:rFonts w:ascii="Times New Roman" w:eastAsia="Times New Roman" w:hAnsi="Times New Roman" w:cs="Times New Roman"/>
          <w:color w:val="000000"/>
          <w:spacing w:val="0"/>
          <w:w w:val="100"/>
          <w:position w:val="0"/>
        </w:rPr>
        <w:t>0</w:t>
      </w:r>
      <w:r>
        <w:rPr>
          <w:color w:val="000000"/>
          <w:spacing w:val="0"/>
          <w:w w:val="100"/>
          <w:position w:val="0"/>
        </w:rPr>
        <w:t>、未分配利润</w:t>
      </w:r>
      <w:bookmarkEnd w:id="1759"/>
      <w:bookmarkEnd w:id="1760"/>
      <w:bookmarkEnd w:id="1762"/>
    </w:p>
    <w:p>
      <w:pPr>
        <w:pStyle w:val="Style3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3734"/>
        <w:gridCol w:w="2923"/>
        <w:gridCol w:w="2928"/>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调整前上期末未分配利润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287,637,529.29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256,266,175.93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调整期初未分配利润合计数（调增</w:t>
            </w:r>
            <w:r>
              <w:rPr>
                <w:rFonts w:ascii="Times New Roman" w:eastAsia="Times New Roman" w:hAnsi="Times New Roman" w:cs="Times New Roman"/>
                <w:color w:val="000000"/>
                <w:spacing w:val="0"/>
                <w:w w:val="100"/>
                <w:position w:val="0"/>
              </w:rPr>
              <w:t>+</w:t>
            </w:r>
            <w:r>
              <w:rPr>
                <w:color w:val="000000"/>
                <w:spacing w:val="0"/>
                <w:w w:val="100"/>
                <w:position w:val="0"/>
              </w:rPr>
              <w:t>,调减</w:t>
            </w:r>
            <w:r>
              <w:rPr>
                <w:rFonts w:ascii="Times New Roman" w:eastAsia="Times New Roman" w:hAnsi="Times New Roman" w:cs="Times New Roman"/>
                <w:color w:val="000000"/>
                <w:spacing w:val="0"/>
                <w:w w:val="100"/>
                <w:position w:val="0"/>
              </w:rPr>
              <w:t>-</w:t>
            </w:r>
            <w:r>
              <w:rPr>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-11,812,053.73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-6,509,528.42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调整后期初未分配利润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275,825,475.56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both"/>
            </w:pPr>
            <w:r>
              <w:rPr>
                <w:rFonts w:ascii="Times New Roman" w:eastAsia="Times New Roman" w:hAnsi="Times New Roman" w:cs="Times New Roman"/>
                <w:color w:val="000000"/>
                <w:spacing w:val="0"/>
                <w:w w:val="100"/>
                <w:position w:val="0"/>
              </w:rPr>
              <w:t>249,756,647.51</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加：本期归属于母公司所有者的净利润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80,368,462.37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43,153,626.44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减：提取法定盈余公积</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597,353.12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842,690.97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应付普通股股利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9,204,722.73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4,430,053.69</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期末未分配利润</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346,391,862.08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287,637,529.29</w:t>
            </w:r>
          </w:p>
        </w:tc>
      </w:tr>
    </w:tbl>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800"/>
        <w:jc w:val="left"/>
      </w:pPr>
      <w:r>
        <w:rPr>
          <w:color w:val="000000"/>
          <w:spacing w:val="0"/>
          <w:w w:val="100"/>
          <w:position w:val="0"/>
        </w:rPr>
        <w:t>调整期初未分配利润明细：</w:t>
      </w:r>
    </w:p>
    <w:p>
      <w:pPr>
        <w:pStyle w:val="Style32"/>
        <w:keepNext w:val="0"/>
        <w:keepLines w:val="0"/>
        <w:widowControl w:val="0"/>
        <w:shd w:val="clear" w:color="auto" w:fill="auto"/>
        <w:tabs>
          <w:tab w:pos="1130" w:val="left"/>
        </w:tabs>
        <w:bidi w:val="0"/>
        <w:spacing w:before="0" w:after="120" w:line="240" w:lineRule="auto"/>
        <w:ind w:left="0" w:right="0" w:firstLine="800"/>
        <w:jc w:val="left"/>
      </w:pPr>
      <w:bookmarkStart w:id="1763" w:name="bookmark1763"/>
      <w:r>
        <w:rPr>
          <w:rFonts w:ascii="Times New Roman" w:eastAsia="Times New Roman" w:hAnsi="Times New Roman" w:cs="Times New Roman"/>
          <w:color w:val="000000"/>
          <w:spacing w:val="0"/>
          <w:w w:val="100"/>
          <w:position w:val="0"/>
        </w:rPr>
        <w:t>1</w:t>
      </w:r>
      <w:bookmarkEnd w:id="1763"/>
      <w:r>
        <w:rPr>
          <w:rFonts w:ascii="Times New Roman" w:eastAsia="Times New Roman" w:hAnsi="Times New Roman" w:cs="Times New Roman"/>
          <w:color w:val="000000"/>
          <w:spacing w:val="0"/>
          <w:w w:val="100"/>
          <w:position w:val="0"/>
        </w:rPr>
        <w:t>）</w:t>
        <w:tab/>
      </w:r>
      <w:r>
        <w:rPr>
          <w:color w:val="000000"/>
          <w:spacing w:val="0"/>
          <w:w w:val="100"/>
          <w:position w:val="0"/>
        </w:rPr>
        <w:t>、由于《企业会计准则》及其相关新规定进行追溯调整，影响期初未分配利润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32"/>
        <w:keepNext w:val="0"/>
        <w:keepLines w:val="0"/>
        <w:widowControl w:val="0"/>
        <w:shd w:val="clear" w:color="auto" w:fill="auto"/>
        <w:tabs>
          <w:tab w:pos="1149" w:val="left"/>
        </w:tabs>
        <w:bidi w:val="0"/>
        <w:spacing w:before="0" w:after="120" w:line="240" w:lineRule="auto"/>
        <w:ind w:left="0" w:right="0" w:firstLine="800"/>
        <w:jc w:val="left"/>
      </w:pPr>
      <w:bookmarkStart w:id="1764" w:name="bookmark1764"/>
      <w:r>
        <w:rPr>
          <w:rFonts w:ascii="Times New Roman" w:eastAsia="Times New Roman" w:hAnsi="Times New Roman" w:cs="Times New Roman"/>
          <w:color w:val="000000"/>
          <w:spacing w:val="0"/>
          <w:w w:val="100"/>
          <w:position w:val="0"/>
        </w:rPr>
        <w:t>2</w:t>
      </w:r>
      <w:bookmarkEnd w:id="1764"/>
      <w:r>
        <w:rPr>
          <w:rFonts w:ascii="Times New Roman" w:eastAsia="Times New Roman" w:hAnsi="Times New Roman" w:cs="Times New Roman"/>
          <w:color w:val="000000"/>
          <w:spacing w:val="0"/>
          <w:w w:val="100"/>
          <w:position w:val="0"/>
        </w:rPr>
        <w:t>）</w:t>
        <w:tab/>
      </w:r>
      <w:r>
        <w:rPr>
          <w:color w:val="000000"/>
          <w:spacing w:val="0"/>
          <w:w w:val="100"/>
          <w:position w:val="0"/>
        </w:rPr>
        <w:t>、由于会计政策变更，影响期初未分配利润</w:t>
      </w:r>
      <w:r>
        <w:rPr>
          <w:rFonts w:ascii="Times New Roman" w:eastAsia="Times New Roman" w:hAnsi="Times New Roman" w:cs="Times New Roman"/>
          <w:color w:val="000000"/>
          <w:spacing w:val="0"/>
          <w:w w:val="100"/>
          <w:position w:val="0"/>
        </w:rPr>
        <w:t>-11,812,053.73</w:t>
      </w:r>
      <w:r>
        <w:rPr>
          <w:color w:val="000000"/>
          <w:spacing w:val="0"/>
          <w:w w:val="100"/>
          <w:position w:val="0"/>
        </w:rPr>
        <w:t>元。</w:t>
      </w:r>
    </w:p>
    <w:p>
      <w:pPr>
        <w:pStyle w:val="Style32"/>
        <w:keepNext w:val="0"/>
        <w:keepLines w:val="0"/>
        <w:widowControl w:val="0"/>
        <w:shd w:val="clear" w:color="auto" w:fill="auto"/>
        <w:tabs>
          <w:tab w:pos="1149" w:val="left"/>
        </w:tabs>
        <w:bidi w:val="0"/>
        <w:spacing w:before="0" w:after="120" w:line="240" w:lineRule="auto"/>
        <w:ind w:left="0" w:right="0" w:firstLine="800"/>
        <w:jc w:val="left"/>
      </w:pPr>
      <w:bookmarkStart w:id="1765" w:name="bookmark1765"/>
      <w:r>
        <w:rPr>
          <w:rFonts w:ascii="Times New Roman" w:eastAsia="Times New Roman" w:hAnsi="Times New Roman" w:cs="Times New Roman"/>
          <w:color w:val="000000"/>
          <w:spacing w:val="0"/>
          <w:w w:val="100"/>
          <w:position w:val="0"/>
        </w:rPr>
        <w:t>3</w:t>
      </w:r>
      <w:bookmarkEnd w:id="1765"/>
      <w:r>
        <w:rPr>
          <w:rFonts w:ascii="Times New Roman" w:eastAsia="Times New Roman" w:hAnsi="Times New Roman" w:cs="Times New Roman"/>
          <w:color w:val="000000"/>
          <w:spacing w:val="0"/>
          <w:w w:val="100"/>
          <w:position w:val="0"/>
        </w:rPr>
        <w:t>）</w:t>
        <w:tab/>
      </w:r>
      <w:r>
        <w:rPr>
          <w:color w:val="000000"/>
          <w:spacing w:val="0"/>
          <w:w w:val="100"/>
          <w:position w:val="0"/>
        </w:rPr>
        <w:t>、由于重大会计差错更正，影响期初未分配利润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32"/>
        <w:keepNext w:val="0"/>
        <w:keepLines w:val="0"/>
        <w:widowControl w:val="0"/>
        <w:shd w:val="clear" w:color="auto" w:fill="auto"/>
        <w:tabs>
          <w:tab w:pos="1149" w:val="left"/>
        </w:tabs>
        <w:bidi w:val="0"/>
        <w:spacing w:before="0" w:after="120" w:line="240" w:lineRule="auto"/>
        <w:ind w:left="0" w:right="0" w:firstLine="800"/>
        <w:jc w:val="left"/>
      </w:pPr>
      <w:bookmarkStart w:id="1766" w:name="bookmark1766"/>
      <w:r>
        <w:rPr>
          <w:rFonts w:ascii="Times New Roman" w:eastAsia="Times New Roman" w:hAnsi="Times New Roman" w:cs="Times New Roman"/>
          <w:color w:val="000000"/>
          <w:spacing w:val="0"/>
          <w:w w:val="100"/>
          <w:position w:val="0"/>
        </w:rPr>
        <w:t>4</w:t>
      </w:r>
      <w:bookmarkEnd w:id="1766"/>
      <w:r>
        <w:rPr>
          <w:rFonts w:ascii="Times New Roman" w:eastAsia="Times New Roman" w:hAnsi="Times New Roman" w:cs="Times New Roman"/>
          <w:color w:val="000000"/>
          <w:spacing w:val="0"/>
          <w:w w:val="100"/>
          <w:position w:val="0"/>
        </w:rPr>
        <w:t>）</w:t>
        <w:tab/>
      </w:r>
      <w:r>
        <w:rPr>
          <w:color w:val="000000"/>
          <w:spacing w:val="0"/>
          <w:w w:val="100"/>
          <w:position w:val="0"/>
        </w:rPr>
        <w:t>、由于同一控制导致的合并范围变更，影响期初未分配利润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32"/>
        <w:keepNext w:val="0"/>
        <w:keepLines w:val="0"/>
        <w:widowControl w:val="0"/>
        <w:shd w:val="clear" w:color="auto" w:fill="auto"/>
        <w:tabs>
          <w:tab w:pos="1149" w:val="left"/>
        </w:tabs>
        <w:bidi w:val="0"/>
        <w:spacing w:before="0" w:after="380" w:line="240" w:lineRule="auto"/>
        <w:ind w:left="0" w:right="0" w:firstLine="800"/>
        <w:jc w:val="left"/>
      </w:pPr>
      <w:bookmarkStart w:id="1767" w:name="bookmark1767"/>
      <w:r>
        <w:rPr>
          <w:rFonts w:ascii="Times New Roman" w:eastAsia="Times New Roman" w:hAnsi="Times New Roman" w:cs="Times New Roman"/>
          <w:color w:val="000000"/>
          <w:spacing w:val="0"/>
          <w:w w:val="100"/>
          <w:position w:val="0"/>
        </w:rPr>
        <w:t>5</w:t>
      </w:r>
      <w:bookmarkEnd w:id="1767"/>
      <w:r>
        <w:rPr>
          <w:rFonts w:ascii="Times New Roman" w:eastAsia="Times New Roman" w:hAnsi="Times New Roman" w:cs="Times New Roman"/>
          <w:color w:val="000000"/>
          <w:spacing w:val="0"/>
          <w:w w:val="100"/>
          <w:position w:val="0"/>
        </w:rPr>
        <w:t>）</w:t>
        <w:tab/>
      </w:r>
      <w:r>
        <w:rPr>
          <w:color w:val="000000"/>
          <w:spacing w:val="0"/>
          <w:w w:val="100"/>
          <w:position w:val="0"/>
        </w:rPr>
        <w:t>、其他调整合计影响期初未分配利润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55"/>
        <w:keepNext/>
        <w:keepLines/>
        <w:widowControl w:val="0"/>
        <w:shd w:val="clear" w:color="auto" w:fill="auto"/>
        <w:bidi w:val="0"/>
        <w:spacing w:before="0" w:after="380" w:line="240" w:lineRule="auto"/>
        <w:ind w:left="0" w:right="0" w:firstLine="800"/>
        <w:jc w:val="left"/>
      </w:pPr>
      <w:bookmarkStart w:id="1768" w:name="bookmark1768"/>
      <w:bookmarkStart w:id="1769" w:name="bookmark1769"/>
      <w:bookmarkStart w:id="1770" w:name="bookmark1770"/>
      <w:bookmarkStart w:id="1771" w:name="bookmark1771"/>
      <w:r>
        <w:rPr>
          <w:rFonts w:ascii="Times New Roman" w:eastAsia="Times New Roman" w:hAnsi="Times New Roman" w:cs="Times New Roman"/>
          <w:color w:val="000000"/>
          <w:spacing w:val="0"/>
          <w:w w:val="100"/>
          <w:position w:val="0"/>
        </w:rPr>
        <w:t>6</w:t>
      </w:r>
      <w:bookmarkEnd w:id="1770"/>
      <w:r>
        <w:rPr>
          <w:rFonts w:ascii="Times New Roman" w:eastAsia="Times New Roman" w:hAnsi="Times New Roman" w:cs="Times New Roman"/>
          <w:color w:val="000000"/>
          <w:spacing w:val="0"/>
          <w:w w:val="100"/>
          <w:position w:val="0"/>
        </w:rPr>
        <w:t>1</w:t>
      </w:r>
      <w:r>
        <w:rPr>
          <w:color w:val="000000"/>
          <w:spacing w:val="0"/>
          <w:w w:val="100"/>
          <w:position w:val="0"/>
        </w:rPr>
        <w:t>、营业收入和营业成本</w:t>
      </w:r>
      <w:bookmarkEnd w:id="1768"/>
      <w:bookmarkEnd w:id="1769"/>
      <w:bookmarkEnd w:id="1771"/>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60"/>
              <w:jc w:val="left"/>
            </w:pPr>
            <w:r>
              <w:rPr>
                <w:color w:val="000000"/>
                <w:spacing w:val="0"/>
                <w:w w:val="100"/>
                <w:position w:val="0"/>
              </w:rPr>
              <w:t>收入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60"/>
              <w:jc w:val="left"/>
            </w:pPr>
            <w:r>
              <w:rPr>
                <w:color w:val="000000"/>
                <w:spacing w:val="0"/>
                <w:w w:val="100"/>
                <w:position w:val="0"/>
              </w:rPr>
              <w:t>成本</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786,821,295.77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486,473,870.42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722,687,806.90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452,095,018.63</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1,075,171.84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257,580.84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1,078,652.40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257,070.84</w:t>
            </w:r>
          </w:p>
        </w:tc>
      </w:tr>
    </w:tbl>
    <w:p>
      <w:pPr>
        <w:widowControl w:val="0"/>
        <w:spacing w:line="1" w:lineRule="exact"/>
      </w:pPr>
      <w:r>
        <w:br w:type="page"/>
      </w:r>
    </w:p>
    <w:p>
      <w:pPr>
        <w:pStyle w:val="Style49"/>
        <w:keepNext w:val="0"/>
        <w:keepLines w:val="0"/>
        <w:widowControl w:val="0"/>
        <w:shd w:val="clear" w:color="auto" w:fill="auto"/>
        <w:bidi w:val="0"/>
        <w:spacing w:before="0" w:after="0" w:line="240" w:lineRule="auto"/>
        <w:ind w:left="144" w:right="0" w:firstLine="0"/>
        <w:jc w:val="left"/>
        <w:rPr>
          <w:sz w:val="15"/>
          <w:szCs w:val="15"/>
        </w:rPr>
      </w:pPr>
      <w:r>
        <w:rPr>
          <w:rFonts w:ascii="SimHei" w:eastAsia="SimHei" w:hAnsi="SimHei" w:cs="SimHei"/>
          <w:color w:val="245994"/>
          <w:spacing w:val="0"/>
          <w:w w:val="100"/>
          <w:position w:val="0"/>
          <w:sz w:val="15"/>
          <w:szCs w:val="15"/>
        </w:rPr>
        <w:t>匕广</w:t>
      </w:r>
      <w:r>
        <w:rPr>
          <w:rFonts w:ascii="SimHei" w:eastAsia="SimHei" w:hAnsi="SimHei" w:cs="SimHei"/>
          <w:color w:val="2D2B2E"/>
          <w:spacing w:val="0"/>
          <w:w w:val="100"/>
          <w:position w:val="0"/>
          <w:sz w:val="15"/>
          <w:szCs w:val="15"/>
        </w:rPr>
        <w:t>i</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739" w:val="left"/>
        </w:tabs>
        <w:bidi w:val="0"/>
        <w:spacing w:before="0" w:after="0" w:line="240" w:lineRule="auto"/>
        <w:ind w:left="144" w:right="0" w:firstLine="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1920"/>
        <w:gridCol w:w="1915"/>
        <w:gridCol w:w="1915"/>
        <w:gridCol w:w="1915"/>
        <w:gridCol w:w="1925"/>
      </w:tblGrid>
      <w:tr>
        <w:trPr>
          <w:trHeight w:val="41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787,896,467.61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486,731,451.26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723,766,459.30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452,352,089.47</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经审计扣除非经常损益前后净利润孰低是否为负值</w:t>
      </w:r>
    </w:p>
    <w:p>
      <w:pPr>
        <w:widowControl w:val="0"/>
        <w:spacing w:after="479" w:line="1" w:lineRule="exact"/>
      </w:pPr>
    </w:p>
    <w:p>
      <w:pPr>
        <w:pStyle w:val="Style32"/>
        <w:keepNext w:val="0"/>
        <w:keepLines w:val="0"/>
        <w:widowControl w:val="0"/>
        <w:shd w:val="clear" w:color="auto" w:fill="auto"/>
        <w:bidi w:val="0"/>
        <w:spacing w:before="0" w:after="100" w:line="240" w:lineRule="auto"/>
        <w:ind w:left="0" w:right="0" w:firstLine="800"/>
        <w:jc w:val="left"/>
      </w:pPr>
      <w:r>
        <w:rPr>
          <w:color w:val="000000"/>
          <w:spacing w:val="0"/>
          <w:w w:val="100"/>
          <w:position w:val="0"/>
        </w:rPr>
        <w:t>收入相关信息:</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141"/>
        <w:gridCol w:w="1978"/>
        <w:gridCol w:w="2117"/>
        <w:gridCol w:w="1867"/>
        <w:gridCol w:w="1949"/>
      </w:tblGrid>
      <w:tr>
        <w:trPr>
          <w:trHeight w:val="341"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合同分类</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健康数据服务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智能融合云服务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60"/>
              <w:jc w:val="left"/>
            </w:pPr>
            <w:r>
              <w:rPr>
                <w:color w:val="000000"/>
                <w:spacing w:val="0"/>
                <w:w w:val="100"/>
                <w:position w:val="0"/>
              </w:rPr>
              <w:t>租赁收入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1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按商品转让的时间分类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436,529,211.76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350,292,084.01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1,075,171.84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787,896,467.61</w:t>
            </w:r>
          </w:p>
        </w:tc>
      </w:tr>
      <w:tr>
        <w:trPr>
          <w:trHeight w:val="331"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1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收入在某一时点确认</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410,132,057.22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259,060,689.24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669,192,746.46</w:t>
            </w:r>
          </w:p>
        </w:tc>
      </w:tr>
      <w:tr>
        <w:trPr>
          <w:trHeight w:val="41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在某段时间确认收入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26,397,154.54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91,231,394.77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1,075,171.84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118,703,721.15</w:t>
            </w:r>
          </w:p>
        </w:tc>
      </w:tr>
      <w:tr>
        <w:trPr>
          <w:trHeight w:val="427"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436,529,211.76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350,292,084.01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1,075,171.84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787,896,467.61</w:t>
            </w:r>
          </w:p>
        </w:tc>
      </w:tr>
    </w:tbl>
    <w:p>
      <w:pPr>
        <w:widowControl w:val="0"/>
        <w:spacing w:after="319" w:line="1" w:lineRule="exact"/>
      </w:pPr>
    </w:p>
    <w:p>
      <w:pPr>
        <w:pStyle w:val="Style32"/>
        <w:keepNext w:val="0"/>
        <w:keepLines w:val="0"/>
        <w:widowControl w:val="0"/>
        <w:shd w:val="clear" w:color="auto" w:fill="auto"/>
        <w:bidi w:val="0"/>
        <w:spacing w:before="0" w:after="0" w:line="312" w:lineRule="exact"/>
        <w:ind w:left="0" w:right="0" w:firstLine="800"/>
        <w:jc w:val="both"/>
      </w:pPr>
      <w:r>
        <w:rPr>
          <w:color w:val="000000"/>
          <w:spacing w:val="0"/>
          <w:w w:val="100"/>
          <w:position w:val="0"/>
        </w:rPr>
        <w:t>与履约义务相关的信息：</w:t>
      </w:r>
    </w:p>
    <w:p>
      <w:pPr>
        <w:pStyle w:val="Style32"/>
        <w:keepNext w:val="0"/>
        <w:keepLines w:val="0"/>
        <w:widowControl w:val="0"/>
        <w:shd w:val="clear" w:color="auto" w:fill="auto"/>
        <w:bidi w:val="0"/>
        <w:spacing w:before="0" w:after="380" w:line="312" w:lineRule="exact"/>
        <w:ind w:left="800" w:right="0" w:firstLine="0"/>
        <w:jc w:val="both"/>
      </w:pPr>
      <w:r>
        <w:rPr>
          <w:color w:val="000000"/>
          <w:spacing w:val="0"/>
          <w:w w:val="100"/>
          <w:position w:val="0"/>
        </w:rPr>
        <w:t>本公司根据合同的约定，作为主要责任人按照客户的要求及时履行义务。不同客户和不同产品的付款条件有所不同。销售商 品类业务，本公司在客户取得相关商品的控制权时完成履约义务。提供技术服务类业务，对于合同中约定按固定金额、固定 期限收取服务费用的，按合同约定的服务期限采用直线法确认已完成的履约义务；对于按次提供劳务的技术服务，本公司在 劳务已经提供，并符合合同约定的服务条款，同时提供劳务收入确认条件时完成履约义务。</w:t>
      </w:r>
    </w:p>
    <w:p>
      <w:pPr>
        <w:pStyle w:val="Style55"/>
        <w:keepNext/>
        <w:keepLines/>
        <w:widowControl w:val="0"/>
        <w:shd w:val="clear" w:color="auto" w:fill="auto"/>
        <w:bidi w:val="0"/>
        <w:spacing w:before="0" w:after="380" w:line="240" w:lineRule="auto"/>
        <w:ind w:left="0" w:right="0" w:firstLine="800"/>
        <w:jc w:val="both"/>
      </w:pPr>
      <w:bookmarkStart w:id="1772" w:name="bookmark1772"/>
      <w:bookmarkStart w:id="1773" w:name="bookmark1773"/>
      <w:bookmarkStart w:id="1774" w:name="bookmark1774"/>
      <w:bookmarkStart w:id="1775" w:name="bookmark1775"/>
      <w:r>
        <w:rPr>
          <w:rFonts w:ascii="Times New Roman" w:eastAsia="Times New Roman" w:hAnsi="Times New Roman" w:cs="Times New Roman"/>
          <w:color w:val="000000"/>
          <w:spacing w:val="0"/>
          <w:w w:val="100"/>
          <w:position w:val="0"/>
        </w:rPr>
        <w:t>6</w:t>
      </w:r>
      <w:bookmarkEnd w:id="1774"/>
      <w:r>
        <w:rPr>
          <w:rFonts w:ascii="Times New Roman" w:eastAsia="Times New Roman" w:hAnsi="Times New Roman" w:cs="Times New Roman"/>
          <w:color w:val="000000"/>
          <w:spacing w:val="0"/>
          <w:w w:val="100"/>
          <w:position w:val="0"/>
        </w:rPr>
        <w:t>2</w:t>
      </w:r>
      <w:r>
        <w:rPr>
          <w:color w:val="000000"/>
          <w:spacing w:val="0"/>
          <w:w w:val="100"/>
          <w:position w:val="0"/>
        </w:rPr>
        <w:t>、税金及附加</w:t>
      </w:r>
      <w:bookmarkEnd w:id="1772"/>
      <w:bookmarkEnd w:id="1773"/>
      <w:bookmarkEnd w:id="1775"/>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2,423,956.17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2,326,636.71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1,216,955.17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1,140,409.43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340" w:right="0" w:firstLine="0"/>
              <w:jc w:val="left"/>
            </w:pPr>
            <w:r>
              <w:rPr>
                <w:rFonts w:ascii="Times New Roman" w:eastAsia="Times New Roman" w:hAnsi="Times New Roman" w:cs="Times New Roman"/>
                <w:color w:val="000000"/>
                <w:spacing w:val="0"/>
                <w:w w:val="100"/>
                <w:position w:val="0"/>
              </w:rPr>
              <w:t>915,917.09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1,202,109.45</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340" w:right="0" w:firstLine="0"/>
              <w:jc w:val="left"/>
            </w:pPr>
            <w:r>
              <w:rPr>
                <w:rFonts w:ascii="Times New Roman" w:eastAsia="Times New Roman" w:hAnsi="Times New Roman" w:cs="Times New Roman"/>
                <w:color w:val="000000"/>
                <w:spacing w:val="0"/>
                <w:w w:val="100"/>
                <w:position w:val="0"/>
              </w:rPr>
              <w:t>195,868.74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223,789.32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车船使用税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340" w:right="0" w:firstLine="0"/>
              <w:jc w:val="left"/>
            </w:pPr>
            <w:r>
              <w:rPr>
                <w:rFonts w:ascii="Times New Roman" w:eastAsia="Times New Roman" w:hAnsi="Times New Roman" w:cs="Times New Roman"/>
                <w:color w:val="000000"/>
                <w:spacing w:val="0"/>
                <w:w w:val="100"/>
                <w:position w:val="0"/>
              </w:rPr>
              <w:t>482,682.86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418,372.75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340" w:right="0" w:firstLine="0"/>
              <w:jc w:val="left"/>
            </w:pPr>
            <w:r>
              <w:rPr>
                <w:rFonts w:ascii="Times New Roman" w:eastAsia="Times New Roman" w:hAnsi="Times New Roman" w:cs="Times New Roman"/>
                <w:color w:val="000000"/>
                <w:spacing w:val="0"/>
                <w:w w:val="100"/>
                <w:position w:val="0"/>
              </w:rPr>
              <w:t>810,025.17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725,465.92</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残疾人保障金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356,409.61</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6,053,805.20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6,401,593.19</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800"/>
        <w:jc w:val="left"/>
      </w:pPr>
      <w:bookmarkStart w:id="1776" w:name="bookmark1776"/>
      <w:bookmarkStart w:id="1777" w:name="bookmark1777"/>
      <w:bookmarkStart w:id="1778" w:name="bookmark1778"/>
      <w:bookmarkStart w:id="1779" w:name="bookmark1779"/>
      <w:r>
        <w:rPr>
          <w:rFonts w:ascii="Times New Roman" w:eastAsia="Times New Roman" w:hAnsi="Times New Roman" w:cs="Times New Roman"/>
          <w:color w:val="000000"/>
          <w:spacing w:val="0"/>
          <w:w w:val="100"/>
          <w:position w:val="0"/>
        </w:rPr>
        <w:t>6</w:t>
      </w:r>
      <w:bookmarkEnd w:id="1778"/>
      <w:r>
        <w:rPr>
          <w:rFonts w:ascii="Times New Roman" w:eastAsia="Times New Roman" w:hAnsi="Times New Roman" w:cs="Times New Roman"/>
          <w:color w:val="000000"/>
          <w:spacing w:val="0"/>
          <w:w w:val="100"/>
          <w:position w:val="0"/>
        </w:rPr>
        <w:t>3</w:t>
      </w:r>
      <w:r>
        <w:rPr>
          <w:color w:val="000000"/>
          <w:spacing w:val="0"/>
          <w:w w:val="100"/>
          <w:position w:val="0"/>
        </w:rPr>
        <w:t>、销售费用</w:t>
      </w:r>
      <w:bookmarkEnd w:id="1776"/>
      <w:bookmarkEnd w:id="1777"/>
      <w:bookmarkEnd w:id="1779"/>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47,989,797.42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47,623,635.09</w:t>
            </w:r>
          </w:p>
        </w:tc>
      </w:tr>
    </w:tbl>
    <w:p>
      <w:pPr>
        <w:widowControl w:val="0"/>
        <w:spacing w:line="1" w:lineRule="exact"/>
      </w:pPr>
      <w:r>
        <w:br w:type="page"/>
      </w:r>
    </w:p>
    <w:tbl>
      <w:tblPr>
        <w:tblOverlap w:val="never"/>
        <w:jc w:val="left"/>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0" w:right="0" w:firstLine="0"/>
              <w:jc w:val="left"/>
            </w:pPr>
            <w:r>
              <w:rPr>
                <w:color w:val="000000"/>
                <w:spacing w:val="0"/>
                <w:w w:val="100"/>
                <w:position w:val="0"/>
              </w:rPr>
              <w:t>差旅交通费</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8,269,911.57</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7,241,233.57</w:t>
            </w:r>
          </w:p>
        </w:tc>
      </w:tr>
      <w:tr>
        <w:trPr>
          <w:trHeight w:val="403" w:hRule="exact"/>
        </w:trPr>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0" w:right="0" w:firstLine="0"/>
              <w:jc w:val="left"/>
            </w:pPr>
            <w:r>
              <w:rPr>
                <w:color w:val="000000"/>
                <w:spacing w:val="0"/>
                <w:w w:val="100"/>
                <w:position w:val="0"/>
              </w:rPr>
              <w:t>招待费</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8,454,265.00</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3,944,306.34</w:t>
            </w:r>
          </w:p>
        </w:tc>
      </w:tr>
      <w:tr>
        <w:trPr>
          <w:trHeight w:val="403" w:hRule="exact"/>
        </w:trPr>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0" w:right="0" w:firstLine="0"/>
              <w:jc w:val="left"/>
            </w:pPr>
            <w:r>
              <w:rPr>
                <w:color w:val="000000"/>
                <w:spacing w:val="0"/>
                <w:w w:val="100"/>
                <w:position w:val="0"/>
              </w:rPr>
              <w:t>投标费</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3,519,403.23</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2,776,280.90</w:t>
            </w:r>
          </w:p>
        </w:tc>
      </w:tr>
      <w:tr>
        <w:trPr>
          <w:trHeight w:val="403" w:hRule="exact"/>
        </w:trPr>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0" w:right="0" w:firstLine="0"/>
              <w:jc w:val="left"/>
            </w:pPr>
            <w:r>
              <w:rPr>
                <w:color w:val="000000"/>
                <w:spacing w:val="0"/>
                <w:w w:val="100"/>
                <w:position w:val="0"/>
              </w:rPr>
              <w:t>办公费用</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3,440,069.11</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4,820,154.21</w:t>
            </w:r>
          </w:p>
        </w:tc>
      </w:tr>
      <w:tr>
        <w:trPr>
          <w:trHeight w:val="398" w:hRule="exact"/>
        </w:trPr>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0" w:right="0" w:firstLine="0"/>
              <w:jc w:val="left"/>
            </w:pPr>
            <w:r>
              <w:rPr>
                <w:color w:val="000000"/>
                <w:spacing w:val="0"/>
                <w:w w:val="100"/>
                <w:position w:val="0"/>
              </w:rPr>
              <w:t>业务宣传费及广告费</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4,515,578.06</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5,535,347.80</w:t>
            </w:r>
          </w:p>
        </w:tc>
      </w:tr>
      <w:tr>
        <w:trPr>
          <w:trHeight w:val="403" w:hRule="exact"/>
        </w:trPr>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0" w:right="0" w:firstLine="0"/>
              <w:jc w:val="left"/>
            </w:pPr>
            <w:r>
              <w:rPr>
                <w:color w:val="000000"/>
                <w:spacing w:val="0"/>
                <w:w w:val="100"/>
                <w:position w:val="0"/>
              </w:rPr>
              <w:t>折旧费</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440" w:right="0" w:firstLine="0"/>
              <w:jc w:val="both"/>
            </w:pPr>
            <w:r>
              <w:rPr>
                <w:rFonts w:ascii="Times New Roman" w:eastAsia="Times New Roman" w:hAnsi="Times New Roman" w:cs="Times New Roman"/>
                <w:color w:val="000000"/>
                <w:spacing w:val="0"/>
                <w:w w:val="100"/>
                <w:position w:val="0"/>
              </w:rPr>
              <w:t>86,213.90</w:t>
            </w:r>
          </w:p>
        </w:tc>
        <w:tc>
          <w:tcPr>
            <w:tcBorders>
              <w:top w:val="single" w:sz="4"/>
              <w:left w:val="single" w:sz="4"/>
              <w:righ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110,380.35</w:t>
            </w:r>
          </w:p>
        </w:tc>
      </w:tr>
      <w:tr>
        <w:trPr>
          <w:trHeight w:val="403" w:hRule="exact"/>
        </w:trPr>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812,366.46</w:t>
            </w:r>
          </w:p>
        </w:tc>
        <w:tc>
          <w:tcPr>
            <w:tcBorders>
              <w:top w:val="single" w:sz="4"/>
              <w:left w:val="single" w:sz="4"/>
              <w:right w:val="single" w:sz="4"/>
            </w:tcBorders>
            <w:shd w:val="clear" w:color="auto" w:fill="FFFFFF"/>
            <w:vAlign w:val="top"/>
          </w:tcPr>
          <w:p>
            <w:pPr>
              <w:framePr w:w="9586" w:h="3230" w:vSpace="365" w:wrap="notBeside" w:vAnchor="text" w:hAnchor="text" w:x="469" w:y="366"/>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77,087,604.75</w:t>
            </w:r>
          </w:p>
        </w:tc>
        <w:tc>
          <w:tcPr>
            <w:tcBorders>
              <w:top w:val="single" w:sz="4"/>
              <w:left w:val="single" w:sz="4"/>
              <w:bottom w:val="single" w:sz="4"/>
              <w:right w:val="single" w:sz="4"/>
            </w:tcBorders>
            <w:shd w:val="clear" w:color="auto" w:fill="FFFFFF"/>
            <w:vAlign w:val="center"/>
          </w:tcPr>
          <w:p>
            <w:pPr>
              <w:pStyle w:val="Style44"/>
              <w:keepNext w:val="0"/>
              <w:keepLines w:val="0"/>
              <w:framePr w:w="9586" w:h="3230" w:vSpace="365" w:wrap="notBeside" w:vAnchor="text" w:hAnchor="text" w:x="469" w:y="366"/>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72,051,338.26</w:t>
            </w:r>
          </w:p>
        </w:tc>
      </w:tr>
    </w:tbl>
    <w:p>
      <w:pPr>
        <w:pStyle w:val="Style49"/>
        <w:keepNext w:val="0"/>
        <w:keepLines w:val="0"/>
        <w:framePr w:w="1291" w:h="365" w:hSpace="468" w:wrap="notBeside" w:vAnchor="text" w:hAnchor="text" w:x="1271"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80" w:line="240" w:lineRule="auto"/>
        <w:ind w:left="0" w:right="0" w:firstLine="800"/>
        <w:jc w:val="left"/>
      </w:pPr>
      <w:r>
        <w:drawing>
          <wp:anchor distT="0" distB="0" distL="0" distR="0" simplePos="0" relativeHeight="125829656" behindDoc="0" locked="0" layoutInCell="1" allowOverlap="1">
            <wp:simplePos x="0" y="0"/>
            <wp:positionH relativeFrom="page">
              <wp:posOffset>727075</wp:posOffset>
            </wp:positionH>
            <wp:positionV relativeFrom="margin">
              <wp:posOffset>3175</wp:posOffset>
            </wp:positionV>
            <wp:extent cx="487680" cy="237490"/>
            <wp:wrapTight wrapText="bothSides">
              <wp:wrapPolygon>
                <wp:start x="0" y="0"/>
                <wp:lineTo x="21600" y="0"/>
                <wp:lineTo x="21600" y="21600"/>
                <wp:lineTo x="0" y="21600"/>
                <wp:lineTo x="0" y="0"/>
              </wp:wrapPolygon>
            </wp:wrapTight>
            <wp:docPr id="1058" name="Shape 1058"/>
            <a:graphic xmlns:a="http://schemas.openxmlformats.org/drawingml/2006/main">
              <a:graphicData uri="http://schemas.openxmlformats.org/drawingml/2006/picture">
                <pic:pic xmlns:pic="http://schemas.openxmlformats.org/drawingml/2006/picture">
                  <pic:nvPicPr>
                    <pic:cNvPr id="1059" name="Picture box 1059"/>
                    <pic:cNvPicPr/>
                  </pic:nvPicPr>
                  <pic:blipFill>
                    <a:blip r:embed="rId459"/>
                    <a:stretch/>
                  </pic:blipFill>
                  <pic:spPr>
                    <a:xfrm>
                      <a:ext cx="487680" cy="237490"/>
                    </a:xfrm>
                    <a:prstGeom prst="rect"/>
                  </pic:spPr>
                </pic:pic>
              </a:graphicData>
            </a:graphic>
          </wp:anchor>
        </w:drawing>
      </w:r>
      <w:bookmarkStart w:id="1780" w:name="bookmark1780"/>
      <w:bookmarkStart w:id="1781" w:name="bookmark1781"/>
      <w:bookmarkStart w:id="1782" w:name="bookmark1782"/>
      <w:bookmarkStart w:id="1783" w:name="bookmark1783"/>
      <w:r>
        <w:rPr>
          <w:rFonts w:ascii="Times New Roman" w:eastAsia="Times New Roman" w:hAnsi="Times New Roman" w:cs="Times New Roman"/>
          <w:color w:val="000000"/>
          <w:spacing w:val="0"/>
          <w:w w:val="100"/>
          <w:position w:val="0"/>
        </w:rPr>
        <w:t>6</w:t>
      </w:r>
      <w:bookmarkEnd w:id="1782"/>
      <w:r>
        <w:rPr>
          <w:rFonts w:ascii="Times New Roman" w:eastAsia="Times New Roman" w:hAnsi="Times New Roman" w:cs="Times New Roman"/>
          <w:color w:val="000000"/>
          <w:spacing w:val="0"/>
          <w:w w:val="100"/>
          <w:position w:val="0"/>
        </w:rPr>
        <w:t>4</w:t>
      </w:r>
      <w:r>
        <w:rPr>
          <w:color w:val="000000"/>
          <w:spacing w:val="0"/>
          <w:w w:val="100"/>
          <w:position w:val="0"/>
        </w:rPr>
        <w:t>、管理费用</w:t>
      </w:r>
      <w:bookmarkEnd w:id="1780"/>
      <w:bookmarkEnd w:id="1781"/>
      <w:bookmarkEnd w:id="1783"/>
    </w:p>
    <w:p>
      <w:pPr>
        <w:pStyle w:val="Style32"/>
        <w:keepNext w:val="0"/>
        <w:keepLines w:val="0"/>
        <w:widowControl w:val="0"/>
        <w:shd w:val="clear" w:color="auto" w:fill="auto"/>
        <w:bidi w:val="0"/>
        <w:spacing w:before="0" w:after="80" w:line="240" w:lineRule="auto"/>
        <w:ind w:left="97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37,654,768.08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33,963,485.82</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差旅交通费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2,934,462.62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4,237,662.94</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8,537,093.09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8,189,414.14</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中介机构服务费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8,403,439.89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10,554,857.26</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14,033,019.46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14,480,478.68</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长期待摊费用摊销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217,910.93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61,660.97</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5,911,285.44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3,434,929.79</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董事会经费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617,482.86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590,515.57</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业务招待费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3,368,915.40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2,396,532.07</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服务咨询费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7,579,456.08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6,388,870.38</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股份支付</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2,839,918.67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7,013,026.00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残疾人就业保障金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563,786.71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691,666.19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175,011.31</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93,353,205.42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91,486,444.93</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800"/>
        <w:jc w:val="left"/>
      </w:pPr>
      <w:bookmarkStart w:id="1784" w:name="bookmark1784"/>
      <w:bookmarkStart w:id="1785" w:name="bookmark1785"/>
      <w:bookmarkStart w:id="1786" w:name="bookmark1786"/>
      <w:bookmarkStart w:id="1787" w:name="bookmark1787"/>
      <w:r>
        <w:rPr>
          <w:rFonts w:ascii="Times New Roman" w:eastAsia="Times New Roman" w:hAnsi="Times New Roman" w:cs="Times New Roman"/>
          <w:color w:val="000000"/>
          <w:spacing w:val="0"/>
          <w:w w:val="100"/>
          <w:position w:val="0"/>
        </w:rPr>
        <w:t>6</w:t>
      </w:r>
      <w:bookmarkEnd w:id="1786"/>
      <w:r>
        <w:rPr>
          <w:rFonts w:ascii="Times New Roman" w:eastAsia="Times New Roman" w:hAnsi="Times New Roman" w:cs="Times New Roman"/>
          <w:color w:val="000000"/>
          <w:spacing w:val="0"/>
          <w:w w:val="100"/>
          <w:position w:val="0"/>
        </w:rPr>
        <w:t>5</w:t>
      </w:r>
      <w:r>
        <w:rPr>
          <w:color w:val="000000"/>
          <w:spacing w:val="0"/>
          <w:w w:val="100"/>
          <w:position w:val="0"/>
        </w:rPr>
        <w:t>、研发费用</w:t>
      </w:r>
      <w:bookmarkEnd w:id="1784"/>
      <w:bookmarkEnd w:id="1785"/>
      <w:bookmarkEnd w:id="1787"/>
    </w:p>
    <w:p>
      <w:pPr>
        <w:pStyle w:val="Style32"/>
        <w:keepNext w:val="0"/>
        <w:keepLines w:val="0"/>
        <w:widowControl w:val="0"/>
        <w:shd w:val="clear" w:color="auto" w:fill="auto"/>
        <w:bidi w:val="0"/>
        <w:spacing w:before="0" w:after="80" w:line="240" w:lineRule="auto"/>
        <w:ind w:left="97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33,627,525.57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20,137,641.30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委外研发费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21,428,331.09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22,775,408.20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折旧及摊销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1,129,962.52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1,107,922.10</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办公费及其他</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4,176,648.85</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1,594,912.60</w:t>
            </w:r>
          </w:p>
        </w:tc>
      </w:tr>
    </w:tbl>
    <w:p>
      <w:pPr>
        <w:widowControl w:val="0"/>
        <w:spacing w:line="1" w:lineRule="exact"/>
      </w:pPr>
      <w:r>
        <w:br w:type="page"/>
      </w:r>
    </w:p>
    <w:tbl>
      <w:tblPr>
        <w:tblOverlap w:val="never"/>
        <w:jc w:val="left"/>
        <w:tblLayout w:type="fixed"/>
      </w:tblPr>
      <w:tblGrid>
        <w:gridCol w:w="3197"/>
        <w:gridCol w:w="3192"/>
        <w:gridCol w:w="3197"/>
      </w:tblGrid>
      <w:tr>
        <w:trPr>
          <w:trHeight w:val="418" w:hRule="exact"/>
        </w:trPr>
        <w:tc>
          <w:tcPr>
            <w:tcBorders>
              <w:top w:val="single" w:sz="4"/>
              <w:left w:val="single" w:sz="4"/>
              <w:bottom w:val="single" w:sz="4"/>
            </w:tcBorders>
            <w:shd w:val="clear" w:color="auto" w:fill="D4D4D4"/>
            <w:vAlign w:val="center"/>
          </w:tcPr>
          <w:p>
            <w:pPr>
              <w:pStyle w:val="Style44"/>
              <w:keepNext w:val="0"/>
              <w:keepLines w:val="0"/>
              <w:framePr w:w="9586" w:h="418" w:vSpace="365" w:wrap="notBeside" w:vAnchor="text" w:hAnchor="text" w:x="937"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framePr w:w="9586" w:h="418" w:vSpace="365" w:wrap="notBeside" w:vAnchor="text" w:hAnchor="text" w:x="937" w:y="366"/>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60,362,468.03</w:t>
            </w:r>
          </w:p>
        </w:tc>
        <w:tc>
          <w:tcPr>
            <w:tcBorders>
              <w:top w:val="single" w:sz="4"/>
              <w:left w:val="single" w:sz="4"/>
              <w:bottom w:val="single" w:sz="4"/>
              <w:right w:val="single" w:sz="4"/>
            </w:tcBorders>
            <w:shd w:val="clear" w:color="auto" w:fill="FFFFFF"/>
            <w:vAlign w:val="center"/>
          </w:tcPr>
          <w:p>
            <w:pPr>
              <w:pStyle w:val="Style44"/>
              <w:keepNext w:val="0"/>
              <w:keepLines w:val="0"/>
              <w:framePr w:w="9586" w:h="418" w:vSpace="365" w:wrap="notBeside" w:vAnchor="text" w:hAnchor="text" w:x="93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45,615,884.20</w:t>
            </w:r>
          </w:p>
        </w:tc>
      </w:tr>
    </w:tbl>
    <w:p>
      <w:pPr>
        <w:pStyle w:val="Style49"/>
        <w:keepNext w:val="0"/>
        <w:keepLines w:val="0"/>
        <w:framePr w:w="1291" w:h="365" w:hSpace="936" w:wrap="notBeside" w:vAnchor="text" w:hAnchor="text" w:x="1739"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80" w:line="240" w:lineRule="auto"/>
        <w:ind w:left="0" w:right="0" w:firstLine="840"/>
        <w:jc w:val="left"/>
      </w:pPr>
      <w:r>
        <w:drawing>
          <wp:anchor distT="0" distB="0" distL="0" distR="0" simplePos="0" relativeHeight="125829657" behindDoc="0" locked="0" layoutInCell="1" allowOverlap="1">
            <wp:simplePos x="0" y="0"/>
            <wp:positionH relativeFrom="page">
              <wp:posOffset>751840</wp:posOffset>
            </wp:positionH>
            <wp:positionV relativeFrom="margin">
              <wp:posOffset>-60325</wp:posOffset>
            </wp:positionV>
            <wp:extent cx="487680" cy="237490"/>
            <wp:wrapTight wrapText="bothSides">
              <wp:wrapPolygon>
                <wp:start x="0" y="0"/>
                <wp:lineTo x="21600" y="0"/>
                <wp:lineTo x="21600" y="21600"/>
                <wp:lineTo x="0" y="21600"/>
                <wp:lineTo x="0" y="0"/>
              </wp:wrapPolygon>
            </wp:wrapTight>
            <wp:docPr id="1060" name="Shape 1060"/>
            <a:graphic xmlns:a="http://schemas.openxmlformats.org/drawingml/2006/main">
              <a:graphicData uri="http://schemas.openxmlformats.org/drawingml/2006/picture">
                <pic:pic xmlns:pic="http://schemas.openxmlformats.org/drawingml/2006/picture">
                  <pic:nvPicPr>
                    <pic:cNvPr id="1061" name="Picture box 1061"/>
                    <pic:cNvPicPr/>
                  </pic:nvPicPr>
                  <pic:blipFill>
                    <a:blip r:embed="rId461"/>
                    <a:stretch/>
                  </pic:blipFill>
                  <pic:spPr>
                    <a:xfrm>
                      <a:ext cx="487680" cy="237490"/>
                    </a:xfrm>
                    <a:prstGeom prst="rect"/>
                  </pic:spPr>
                </pic:pic>
              </a:graphicData>
            </a:graphic>
          </wp:anchor>
        </w:drawing>
      </w:r>
      <w:bookmarkStart w:id="1788" w:name="bookmark1788"/>
      <w:bookmarkStart w:id="1789" w:name="bookmark1789"/>
      <w:bookmarkStart w:id="1790" w:name="bookmark1790"/>
      <w:bookmarkStart w:id="1791" w:name="bookmark1791"/>
      <w:r>
        <w:rPr>
          <w:rFonts w:ascii="Times New Roman" w:eastAsia="Times New Roman" w:hAnsi="Times New Roman" w:cs="Times New Roman"/>
          <w:color w:val="000000"/>
          <w:spacing w:val="0"/>
          <w:w w:val="100"/>
          <w:position w:val="0"/>
        </w:rPr>
        <w:t>6</w:t>
      </w:r>
      <w:bookmarkEnd w:id="1790"/>
      <w:r>
        <w:rPr>
          <w:rFonts w:ascii="Times New Roman" w:eastAsia="Times New Roman" w:hAnsi="Times New Roman" w:cs="Times New Roman"/>
          <w:color w:val="000000"/>
          <w:spacing w:val="0"/>
          <w:w w:val="100"/>
          <w:position w:val="0"/>
        </w:rPr>
        <w:t>6</w:t>
      </w:r>
      <w:r>
        <w:rPr>
          <w:color w:val="000000"/>
          <w:spacing w:val="0"/>
          <w:w w:val="100"/>
          <w:position w:val="0"/>
        </w:rPr>
        <w:t>、财务费用</w:t>
      </w:r>
      <w:bookmarkEnd w:id="1788"/>
      <w:bookmarkEnd w:id="1789"/>
      <w:bookmarkEnd w:id="1791"/>
    </w:p>
    <w:p>
      <w:pPr>
        <w:pStyle w:val="Style32"/>
        <w:keepNext w:val="0"/>
        <w:keepLines w:val="0"/>
        <w:widowControl w:val="0"/>
        <w:shd w:val="clear" w:color="auto" w:fill="auto"/>
        <w:bidi w:val="0"/>
        <w:spacing w:before="0" w:after="80" w:line="240" w:lineRule="auto"/>
        <w:ind w:left="9760" w:right="0" w:firstLine="0"/>
        <w:jc w:val="left"/>
      </w:pPr>
      <w:r>
        <w:rPr>
          <w:color w:val="000000"/>
          <w:spacing w:val="0"/>
          <w:w w:val="100"/>
          <w:position w:val="0"/>
        </w:rPr>
        <w:t>单位：元</w:t>
      </w:r>
    </w:p>
    <w:tbl>
      <w:tblPr>
        <w:tblOverlap w:val="never"/>
        <w:jc w:val="right"/>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利息支出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8,013,143.24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9,557,741.20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减：利息收入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2,550,145.36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2,325,621.31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减：汇兑收益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486,085.13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-138,637.80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加：结算手续费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113,826.56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239,057.78</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加：担保费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99,500.00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189,685.47</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5,190,239.31</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7,799,500.94</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840"/>
        <w:jc w:val="left"/>
      </w:pPr>
      <w:bookmarkStart w:id="1792" w:name="bookmark1792"/>
      <w:bookmarkStart w:id="1793" w:name="bookmark1793"/>
      <w:bookmarkStart w:id="1794" w:name="bookmark1794"/>
      <w:bookmarkStart w:id="1795" w:name="bookmark1795"/>
      <w:r>
        <w:rPr>
          <w:rFonts w:ascii="Times New Roman" w:eastAsia="Times New Roman" w:hAnsi="Times New Roman" w:cs="Times New Roman"/>
          <w:color w:val="000000"/>
          <w:spacing w:val="0"/>
          <w:w w:val="100"/>
          <w:position w:val="0"/>
        </w:rPr>
        <w:t>6</w:t>
      </w:r>
      <w:bookmarkEnd w:id="1794"/>
      <w:r>
        <w:rPr>
          <w:rFonts w:ascii="Times New Roman" w:eastAsia="Times New Roman" w:hAnsi="Times New Roman" w:cs="Times New Roman"/>
          <w:color w:val="000000"/>
          <w:spacing w:val="0"/>
          <w:w w:val="100"/>
          <w:position w:val="0"/>
        </w:rPr>
        <w:t>7</w:t>
      </w:r>
      <w:r>
        <w:rPr>
          <w:color w:val="000000"/>
          <w:spacing w:val="0"/>
          <w:w w:val="100"/>
          <w:position w:val="0"/>
        </w:rPr>
        <w:t>、其他收益</w:t>
      </w:r>
      <w:bookmarkEnd w:id="1792"/>
      <w:bookmarkEnd w:id="1793"/>
      <w:bookmarkEnd w:id="1795"/>
    </w:p>
    <w:p>
      <w:pPr>
        <w:pStyle w:val="Style32"/>
        <w:keepNext w:val="0"/>
        <w:keepLines w:val="0"/>
        <w:widowControl w:val="0"/>
        <w:shd w:val="clear" w:color="auto" w:fill="auto"/>
        <w:bidi w:val="0"/>
        <w:spacing w:before="0" w:after="80" w:line="240" w:lineRule="auto"/>
        <w:ind w:left="9760" w:right="0" w:firstLine="0"/>
        <w:jc w:val="left"/>
      </w:pPr>
      <w:r>
        <w:rPr>
          <w:color w:val="000000"/>
          <w:spacing w:val="0"/>
          <w:w w:val="100"/>
          <w:position w:val="0"/>
        </w:rPr>
        <w:t>单位：元</w:t>
      </w:r>
    </w:p>
    <w:tbl>
      <w:tblPr>
        <w:tblOverlap w:val="never"/>
        <w:jc w:val="center"/>
        <w:tblLayout w:type="fixed"/>
      </w:tblPr>
      <w:tblGrid>
        <w:gridCol w:w="4046"/>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产生其他收益的来源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一、计入其他收益的政府补助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31,440,706.64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24,090,174.82</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其中：与递延收益相关的政府补助（与资产相关）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与递延收益相关的政府补助（与收益相关）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直接计入当期损益的政府补助（与收益相关）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31,440,706.64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24,090,174.82</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二、其他与日常活动相关且计入其他收益的项目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116,227.88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88,437.67</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其中：个税扣缴税款手续费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110,689.54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71,874.92</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增值税进项税加计扣除</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5,538.34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16,562.75</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31,556,934.52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24,178,612.49</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840"/>
        <w:jc w:val="left"/>
      </w:pPr>
      <w:bookmarkStart w:id="1796" w:name="bookmark1796"/>
      <w:bookmarkStart w:id="1797" w:name="bookmark1797"/>
      <w:bookmarkStart w:id="1798" w:name="bookmark1798"/>
      <w:bookmarkStart w:id="1799" w:name="bookmark1799"/>
      <w:r>
        <w:rPr>
          <w:rFonts w:ascii="Times New Roman" w:eastAsia="Times New Roman" w:hAnsi="Times New Roman" w:cs="Times New Roman"/>
          <w:color w:val="000000"/>
          <w:spacing w:val="0"/>
          <w:w w:val="100"/>
          <w:position w:val="0"/>
        </w:rPr>
        <w:t>6</w:t>
      </w:r>
      <w:bookmarkEnd w:id="1798"/>
      <w:r>
        <w:rPr>
          <w:rFonts w:ascii="Times New Roman" w:eastAsia="Times New Roman" w:hAnsi="Times New Roman" w:cs="Times New Roman"/>
          <w:color w:val="000000"/>
          <w:spacing w:val="0"/>
          <w:w w:val="100"/>
          <w:position w:val="0"/>
        </w:rPr>
        <w:t>8</w:t>
      </w:r>
      <w:r>
        <w:rPr>
          <w:color w:val="000000"/>
          <w:spacing w:val="0"/>
          <w:w w:val="100"/>
          <w:position w:val="0"/>
        </w:rPr>
        <w:t>、投资收益</w:t>
      </w:r>
      <w:bookmarkEnd w:id="1796"/>
      <w:bookmarkEnd w:id="1797"/>
      <w:bookmarkEnd w:id="1799"/>
    </w:p>
    <w:p>
      <w:pPr>
        <w:pStyle w:val="Style32"/>
        <w:keepNext w:val="0"/>
        <w:keepLines w:val="0"/>
        <w:widowControl w:val="0"/>
        <w:shd w:val="clear" w:color="auto" w:fill="auto"/>
        <w:bidi w:val="0"/>
        <w:spacing w:before="0" w:after="80" w:line="240" w:lineRule="auto"/>
        <w:ind w:left="9760" w:right="0" w:firstLine="0"/>
        <w:jc w:val="left"/>
      </w:pPr>
      <w:r>
        <w:rPr>
          <w:color w:val="000000"/>
          <w:spacing w:val="0"/>
          <w:w w:val="100"/>
          <w:position w:val="0"/>
        </w:rPr>
        <w:t>单位：元</w:t>
      </w:r>
    </w:p>
    <w:tbl>
      <w:tblPr>
        <w:tblOverlap w:val="never"/>
        <w:jc w:val="right"/>
        <w:tblLayout w:type="fixed"/>
      </w:tblPr>
      <w:tblGrid>
        <w:gridCol w:w="3470"/>
        <w:gridCol w:w="3187"/>
        <w:gridCol w:w="2928"/>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权益法核算的长期股权投资收益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-28,947.37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1,330,288.26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处置交易性金融资产取得的投资收益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1,381,622.64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理财产品投资收益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1,466,636.99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1,385,678.06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4,149,600.52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1,385,678.06</w:t>
            </w:r>
          </w:p>
        </w:tc>
      </w:tr>
    </w:tbl>
    <w:p>
      <w:pPr>
        <w:sectPr>
          <w:headerReference w:type="default" r:id="rId463"/>
          <w:footerReference w:type="default" r:id="rId464"/>
          <w:headerReference w:type="even" r:id="rId465"/>
          <w:footerReference w:type="even" r:id="rId466"/>
          <w:headerReference w:type="first" r:id="rId467"/>
          <w:footerReference w:type="first" r:id="rId468"/>
          <w:footnotePr>
            <w:pos w:val="pageBottom"/>
            <w:numFmt w:val="decimal"/>
            <w:numRestart w:val="continuous"/>
          </w:footnotePr>
          <w:pgSz w:w="11900" w:h="16840"/>
          <w:pgMar w:top="1149" w:right="1078" w:bottom="1493" w:left="301" w:header="0" w:footer="3" w:gutter="0"/>
          <w:cols w:space="720"/>
          <w:noEndnote/>
          <w:titlePg/>
          <w:rtlGutter w:val="0"/>
          <w:docGrid w:linePitch="360"/>
        </w:sectPr>
      </w:pPr>
    </w:p>
    <w:p>
      <w:pPr>
        <w:widowControl w:val="0"/>
        <w:spacing w:line="1" w:lineRule="exact"/>
      </w:pPr>
      <w:r>
        <mc:AlternateContent>
          <mc:Choice Requires="wps">
            <w:drawing>
              <wp:anchor distT="0" distB="1729105" distL="0" distR="0" simplePos="0" relativeHeight="125829658" behindDoc="0" locked="0" layoutInCell="1" allowOverlap="1">
                <wp:simplePos x="0" y="0"/>
                <wp:positionH relativeFrom="page">
                  <wp:posOffset>741680</wp:posOffset>
                </wp:positionH>
                <wp:positionV relativeFrom="paragraph">
                  <wp:posOffset>0</wp:posOffset>
                </wp:positionV>
                <wp:extent cx="1307465" cy="667385"/>
                <wp:wrapTopAndBottom/>
                <wp:docPr id="1075" name="Shape 1075"/>
                <a:graphic xmlns:a="http://schemas.openxmlformats.org/drawingml/2006/main">
                  <a:graphicData uri="http://schemas.microsoft.com/office/word/2010/wordprocessingShape">
                    <wps:wsp>
                      <wps:cNvSpPr txBox="1"/>
                      <wps:spPr>
                        <a:xfrm>
                          <a:ext cx="1307465" cy="667385"/>
                        </a:xfrm>
                        <a:prstGeom prst="rect"/>
                        <a:noFill/>
                      </wps:spPr>
                      <wps:txbx>
                        <w:txbxContent>
                          <w:p>
                            <w:pPr>
                              <w:pStyle w:val="Style2"/>
                              <w:keepNext/>
                              <w:keepLines/>
                              <w:widowControl w:val="0"/>
                              <w:shd w:val="clear" w:color="auto" w:fill="auto"/>
                              <w:bidi w:val="0"/>
                              <w:spacing w:before="0" w:after="0" w:line="240" w:lineRule="auto"/>
                              <w:ind w:left="0" w:right="0" w:firstLine="0"/>
                              <w:jc w:val="center"/>
                            </w:pPr>
                            <w:bookmarkStart w:id="1800" w:name="bookmark1800"/>
                            <w:bookmarkStart w:id="1801" w:name="bookmark1801"/>
                            <w:bookmarkStart w:id="1802" w:name="bookmark1802"/>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某超和技</w:t>
                            </w:r>
                            <w:bookmarkEnd w:id="1800"/>
                            <w:bookmarkEnd w:id="1801"/>
                            <w:bookmarkEnd w:id="1802"/>
                          </w:p>
                          <w:p>
                            <w:pPr>
                              <w:pStyle w:val="Style5"/>
                              <w:keepNext w:val="0"/>
                              <w:keepLines w:val="0"/>
                              <w:widowControl w:val="0"/>
                              <w:shd w:val="clear" w:color="auto" w:fill="auto"/>
                              <w:bidi w:val="0"/>
                              <w:spacing w:before="0" w:after="0" w:line="209" w:lineRule="exact"/>
                              <w:ind w:left="0" w:right="0" w:firstLine="0"/>
                              <w:jc w:val="right"/>
                              <w:rPr>
                                <w:sz w:val="20"/>
                                <w:szCs w:val="20"/>
                              </w:rPr>
                            </w:pPr>
                            <w:r>
                              <w:rPr>
                                <w:color w:val="245994"/>
                                <w:spacing w:val="0"/>
                                <w:w w:val="100"/>
                                <w:position w:val="0"/>
                                <w:sz w:val="15"/>
                                <w:szCs w:val="15"/>
                              </w:rPr>
                              <w:t>■</w:t>
                            </w:r>
                            <w:r>
                              <w:rPr>
                                <w:spacing w:val="0"/>
                                <w:w w:val="100"/>
                                <w:position w:val="0"/>
                                <w:sz w:val="15"/>
                                <w:szCs w:val="15"/>
                              </w:rPr>
                              <w:t>国家高新技术企业 股票代码：</w:t>
                            </w:r>
                            <w:r>
                              <w:rPr>
                                <w:rFonts w:ascii="SimSun" w:eastAsia="SimSun" w:hAnsi="SimSun" w:cs="SimSun"/>
                                <w:spacing w:val="0"/>
                                <w:w w:val="100"/>
                                <w:position w:val="0"/>
                                <w:sz w:val="18"/>
                                <w:szCs w:val="18"/>
                              </w:rPr>
                              <w:t xml:space="preserve">300290 </w:t>
                            </w:r>
                            <w:r>
                              <w:rPr>
                                <w:rFonts w:ascii="SimSun" w:eastAsia="SimSun" w:hAnsi="SimSun" w:cs="SimSun"/>
                                <w:b/>
                                <w:bCs/>
                                <w:color w:val="000000"/>
                                <w:spacing w:val="0"/>
                                <w:w w:val="100"/>
                                <w:position w:val="0"/>
                                <w:sz w:val="20"/>
                                <w:szCs w:val="20"/>
                              </w:rPr>
                              <w:t>净敞口套期收益</w:t>
                            </w:r>
                          </w:p>
                        </w:txbxContent>
                      </wps:txbx>
                      <wps:bodyPr lIns="0" tIns="0" rIns="0" bIns="0">
                        <a:noAutoFit/>
                      </wps:bodyPr>
                    </wps:wsp>
                  </a:graphicData>
                </a:graphic>
              </wp:anchor>
            </w:drawing>
          </mc:Choice>
          <mc:Fallback>
            <w:pict>
              <v:shape id="_x0000_s2101" type="#_x0000_t202" style="position:absolute;margin-left:58.399999999999999pt;margin-top:0;width:102.95pt;height:52.550000000000004pt;z-index:-125829095;mso-wrap-distance-left:0;mso-wrap-distance-right:0;mso-wrap-distance-bottom:136.15000000000001pt;mso-position-horizontal-relative:page" filled="f" stroked="f">
                <v:textbox inset="0,0,0,0">
                  <w:txbxContent>
                    <w:p>
                      <w:pPr>
                        <w:pStyle w:val="Style2"/>
                        <w:keepNext/>
                        <w:keepLines/>
                        <w:widowControl w:val="0"/>
                        <w:shd w:val="clear" w:color="auto" w:fill="auto"/>
                        <w:bidi w:val="0"/>
                        <w:spacing w:before="0" w:after="0" w:line="240" w:lineRule="auto"/>
                        <w:ind w:left="0" w:right="0" w:firstLine="0"/>
                        <w:jc w:val="center"/>
                      </w:pPr>
                      <w:bookmarkStart w:id="1800" w:name="bookmark1800"/>
                      <w:bookmarkStart w:id="1801" w:name="bookmark1801"/>
                      <w:bookmarkStart w:id="1802" w:name="bookmark1802"/>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某超和技</w:t>
                      </w:r>
                      <w:bookmarkEnd w:id="1800"/>
                      <w:bookmarkEnd w:id="1801"/>
                      <w:bookmarkEnd w:id="1802"/>
                    </w:p>
                    <w:p>
                      <w:pPr>
                        <w:pStyle w:val="Style5"/>
                        <w:keepNext w:val="0"/>
                        <w:keepLines w:val="0"/>
                        <w:widowControl w:val="0"/>
                        <w:shd w:val="clear" w:color="auto" w:fill="auto"/>
                        <w:bidi w:val="0"/>
                        <w:spacing w:before="0" w:after="0" w:line="209" w:lineRule="exact"/>
                        <w:ind w:left="0" w:right="0" w:firstLine="0"/>
                        <w:jc w:val="right"/>
                        <w:rPr>
                          <w:sz w:val="20"/>
                          <w:szCs w:val="20"/>
                        </w:rPr>
                      </w:pPr>
                      <w:r>
                        <w:rPr>
                          <w:color w:val="245994"/>
                          <w:spacing w:val="0"/>
                          <w:w w:val="100"/>
                          <w:position w:val="0"/>
                          <w:sz w:val="15"/>
                          <w:szCs w:val="15"/>
                        </w:rPr>
                        <w:t>■</w:t>
                      </w:r>
                      <w:r>
                        <w:rPr>
                          <w:spacing w:val="0"/>
                          <w:w w:val="100"/>
                          <w:position w:val="0"/>
                          <w:sz w:val="15"/>
                          <w:szCs w:val="15"/>
                        </w:rPr>
                        <w:t>国家高新技术企业 股票代码：</w:t>
                      </w:r>
                      <w:r>
                        <w:rPr>
                          <w:rFonts w:ascii="SimSun" w:eastAsia="SimSun" w:hAnsi="SimSun" w:cs="SimSun"/>
                          <w:spacing w:val="0"/>
                          <w:w w:val="100"/>
                          <w:position w:val="0"/>
                          <w:sz w:val="18"/>
                          <w:szCs w:val="18"/>
                        </w:rPr>
                        <w:t xml:space="preserve">300290 </w:t>
                      </w:r>
                      <w:r>
                        <w:rPr>
                          <w:rFonts w:ascii="SimSun" w:eastAsia="SimSun" w:hAnsi="SimSun" w:cs="SimSun"/>
                          <w:b/>
                          <w:bCs/>
                          <w:color w:val="000000"/>
                          <w:spacing w:val="0"/>
                          <w:w w:val="100"/>
                          <w:position w:val="0"/>
                          <w:sz w:val="20"/>
                          <w:szCs w:val="20"/>
                        </w:rPr>
                        <w:t>净敞口套期收益</w:t>
                      </w:r>
                    </w:p>
                  </w:txbxContent>
                </v:textbox>
                <w10:wrap type="topAndBottom" anchorx="page"/>
              </v:shape>
            </w:pict>
          </mc:Fallback>
        </mc:AlternateContent>
      </w:r>
      <w:r>
        <mc:AlternateContent>
          <mc:Choice Requires="wps">
            <w:drawing>
              <wp:anchor distT="490855" distB="1719580" distL="0" distR="0" simplePos="0" relativeHeight="125829660" behindDoc="0" locked="0" layoutInCell="1" allowOverlap="1">
                <wp:simplePos x="0" y="0"/>
                <wp:positionH relativeFrom="page">
                  <wp:posOffset>702310</wp:posOffset>
                </wp:positionH>
                <wp:positionV relativeFrom="paragraph">
                  <wp:posOffset>490855</wp:posOffset>
                </wp:positionV>
                <wp:extent cx="265430" cy="186055"/>
                <wp:wrapTopAndBottom/>
                <wp:docPr id="1077" name="Shape 1077"/>
                <a:graphic xmlns:a="http://schemas.openxmlformats.org/drawingml/2006/main">
                  <a:graphicData uri="http://schemas.microsoft.com/office/word/2010/wordprocessingShape">
                    <wps:wsp>
                      <wps:cNvSpPr txBox="1"/>
                      <wps:spPr>
                        <a:xfrm>
                          <a:ext cx="265430" cy="186055"/>
                        </a:xfrm>
                        <a:prstGeom prst="rect"/>
                        <a:noFill/>
                      </wps:spPr>
                      <wps:txbx>
                        <w:txbxContent>
                          <w:p>
                            <w:pPr>
                              <w:pStyle w:val="Style55"/>
                              <w:keepNext/>
                              <w:keepLines/>
                              <w:widowControl w:val="0"/>
                              <w:shd w:val="clear" w:color="auto" w:fill="auto"/>
                              <w:bidi w:val="0"/>
                              <w:spacing w:before="0" w:after="0" w:line="240" w:lineRule="auto"/>
                              <w:ind w:left="0" w:right="0" w:firstLine="0"/>
                              <w:jc w:val="both"/>
                            </w:pPr>
                            <w:bookmarkStart w:id="1803" w:name="bookmark1803"/>
                            <w:bookmarkStart w:id="1804" w:name="bookmark1804"/>
                            <w:bookmarkStart w:id="1805" w:name="bookmark1805"/>
                            <w:r>
                              <w:rPr>
                                <w:rFonts w:ascii="Times New Roman" w:eastAsia="Times New Roman" w:hAnsi="Times New Roman" w:cs="Times New Roman"/>
                                <w:color w:val="000000"/>
                                <w:spacing w:val="0"/>
                                <w:w w:val="100"/>
                                <w:position w:val="0"/>
                              </w:rPr>
                              <w:t>69</w:t>
                            </w:r>
                            <w:r>
                              <w:rPr>
                                <w:color w:val="000000"/>
                                <w:spacing w:val="0"/>
                                <w:w w:val="100"/>
                                <w:position w:val="0"/>
                              </w:rPr>
                              <w:t>、</w:t>
                            </w:r>
                            <w:bookmarkEnd w:id="1803"/>
                            <w:bookmarkEnd w:id="1804"/>
                            <w:bookmarkEnd w:id="1805"/>
                          </w:p>
                        </w:txbxContent>
                      </wps:txbx>
                      <wps:bodyPr wrap="none" lIns="0" tIns="0" rIns="0" bIns="0">
                        <a:noAutoFit/>
                      </wps:bodyPr>
                    </wps:wsp>
                  </a:graphicData>
                </a:graphic>
              </wp:anchor>
            </w:drawing>
          </mc:Choice>
          <mc:Fallback>
            <w:pict>
              <v:shape id="_x0000_s2103" type="#_x0000_t202" style="position:absolute;margin-left:55.300000000000004pt;margin-top:38.649999999999999pt;width:20.900000000000002pt;height:14.65pt;z-index:-125829093;mso-wrap-distance-left:0;mso-wrap-distance-top:38.649999999999999pt;mso-wrap-distance-right:0;mso-wrap-distance-bottom:135.40000000000001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both"/>
                      </w:pPr>
                      <w:bookmarkStart w:id="1803" w:name="bookmark1803"/>
                      <w:bookmarkStart w:id="1804" w:name="bookmark1804"/>
                      <w:bookmarkStart w:id="1805" w:name="bookmark1805"/>
                      <w:r>
                        <w:rPr>
                          <w:rFonts w:ascii="Times New Roman" w:eastAsia="Times New Roman" w:hAnsi="Times New Roman" w:cs="Times New Roman"/>
                          <w:color w:val="000000"/>
                          <w:spacing w:val="0"/>
                          <w:w w:val="100"/>
                          <w:position w:val="0"/>
                        </w:rPr>
                        <w:t>69</w:t>
                      </w:r>
                      <w:r>
                        <w:rPr>
                          <w:color w:val="000000"/>
                          <w:spacing w:val="0"/>
                          <w:w w:val="100"/>
                          <w:position w:val="0"/>
                        </w:rPr>
                        <w:t>、</w:t>
                      </w:r>
                      <w:bookmarkEnd w:id="1803"/>
                      <w:bookmarkEnd w:id="1804"/>
                      <w:bookmarkEnd w:id="1805"/>
                    </w:p>
                  </w:txbxContent>
                </v:textbox>
                <w10:wrap type="topAndBottom" anchorx="page"/>
              </v:shape>
            </w:pict>
          </mc:Fallback>
        </mc:AlternateContent>
      </w:r>
      <w:r>
        <mc:AlternateContent>
          <mc:Choice Requires="wps">
            <w:drawing>
              <wp:anchor distT="1286510" distB="942340" distL="0" distR="0" simplePos="0" relativeHeight="125829662" behindDoc="0" locked="0" layoutInCell="1" allowOverlap="1">
                <wp:simplePos x="0" y="0"/>
                <wp:positionH relativeFrom="page">
                  <wp:posOffset>705485</wp:posOffset>
                </wp:positionH>
                <wp:positionV relativeFrom="paragraph">
                  <wp:posOffset>1286510</wp:posOffset>
                </wp:positionV>
                <wp:extent cx="262255" cy="167640"/>
                <wp:wrapTopAndBottom/>
                <wp:docPr id="1079" name="Shape 1079"/>
                <a:graphic xmlns:a="http://schemas.openxmlformats.org/drawingml/2006/main">
                  <a:graphicData uri="http://schemas.microsoft.com/office/word/2010/wordprocessingShape">
                    <wps:wsp>
                      <wps:cNvSpPr txBox="1"/>
                      <wps:spPr>
                        <a:xfrm>
                          <a:ext cx="262255" cy="167640"/>
                        </a:xfrm>
                        <a:prstGeom prst="rect"/>
                        <a:noFill/>
                      </wps:spPr>
                      <wps:txbx>
                        <w:txbxContent>
                          <w:p>
                            <w:pPr>
                              <w:pStyle w:val="Style55"/>
                              <w:keepNext/>
                              <w:keepLines/>
                              <w:widowControl w:val="0"/>
                              <w:shd w:val="clear" w:color="auto" w:fill="auto"/>
                              <w:bidi w:val="0"/>
                              <w:spacing w:before="0" w:after="0" w:line="240" w:lineRule="auto"/>
                              <w:ind w:left="0" w:right="0" w:firstLine="0"/>
                              <w:jc w:val="both"/>
                            </w:pPr>
                            <w:bookmarkStart w:id="1806" w:name="bookmark1806"/>
                            <w:bookmarkStart w:id="1807" w:name="bookmark1807"/>
                            <w:bookmarkStart w:id="1808" w:name="bookmark1808"/>
                            <w:r>
                              <w:rPr>
                                <w:rFonts w:ascii="Times New Roman" w:eastAsia="Times New Roman" w:hAnsi="Times New Roman" w:cs="Times New Roman"/>
                                <w:color w:val="000000"/>
                                <w:spacing w:val="0"/>
                                <w:w w:val="100"/>
                                <w:position w:val="0"/>
                              </w:rPr>
                              <w:t>70</w:t>
                            </w:r>
                            <w:r>
                              <w:rPr>
                                <w:color w:val="000000"/>
                                <w:spacing w:val="0"/>
                                <w:w w:val="100"/>
                                <w:position w:val="0"/>
                              </w:rPr>
                              <w:t>、</w:t>
                            </w:r>
                            <w:bookmarkEnd w:id="1806"/>
                            <w:bookmarkEnd w:id="1807"/>
                            <w:bookmarkEnd w:id="1808"/>
                          </w:p>
                        </w:txbxContent>
                      </wps:txbx>
                      <wps:bodyPr wrap="none" lIns="0" tIns="0" rIns="0" bIns="0">
                        <a:noAutoFit/>
                      </wps:bodyPr>
                    </wps:wsp>
                  </a:graphicData>
                </a:graphic>
              </wp:anchor>
            </w:drawing>
          </mc:Choice>
          <mc:Fallback>
            <w:pict>
              <v:shape id="_x0000_s2105" type="#_x0000_t202" style="position:absolute;margin-left:55.550000000000004pt;margin-top:101.3pt;width:20.650000000000002pt;height:13.200000000000001pt;z-index:-125829091;mso-wrap-distance-left:0;mso-wrap-distance-top:101.3pt;mso-wrap-distance-right:0;mso-wrap-distance-bottom:74.200000000000003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both"/>
                      </w:pPr>
                      <w:bookmarkStart w:id="1806" w:name="bookmark1806"/>
                      <w:bookmarkStart w:id="1807" w:name="bookmark1807"/>
                      <w:bookmarkStart w:id="1808" w:name="bookmark1808"/>
                      <w:r>
                        <w:rPr>
                          <w:rFonts w:ascii="Times New Roman" w:eastAsia="Times New Roman" w:hAnsi="Times New Roman" w:cs="Times New Roman"/>
                          <w:color w:val="000000"/>
                          <w:spacing w:val="0"/>
                          <w:w w:val="100"/>
                          <w:position w:val="0"/>
                        </w:rPr>
                        <w:t>70</w:t>
                      </w:r>
                      <w:r>
                        <w:rPr>
                          <w:color w:val="000000"/>
                          <w:spacing w:val="0"/>
                          <w:w w:val="100"/>
                          <w:position w:val="0"/>
                        </w:rPr>
                        <w:t>、</w:t>
                      </w:r>
                      <w:bookmarkEnd w:id="1806"/>
                      <w:bookmarkEnd w:id="1807"/>
                      <w:bookmarkEnd w:id="1808"/>
                    </w:p>
                  </w:txbxContent>
                </v:textbox>
                <w10:wrap type="topAndBottom" anchorx="page"/>
              </v:shape>
            </w:pict>
          </mc:Fallback>
        </mc:AlternateContent>
      </w:r>
      <w:r>
        <mc:AlternateContent>
          <mc:Choice Requires="wps">
            <w:drawing>
              <wp:anchor distT="1283335" distB="942340" distL="0" distR="0" simplePos="0" relativeHeight="125829664" behindDoc="0" locked="0" layoutInCell="1" allowOverlap="1">
                <wp:simplePos x="0" y="0"/>
                <wp:positionH relativeFrom="page">
                  <wp:posOffset>973455</wp:posOffset>
                </wp:positionH>
                <wp:positionV relativeFrom="paragraph">
                  <wp:posOffset>1283335</wp:posOffset>
                </wp:positionV>
                <wp:extent cx="1097280" cy="170815"/>
                <wp:wrapTopAndBottom/>
                <wp:docPr id="1081" name="Shape 1081"/>
                <a:graphic xmlns:a="http://schemas.openxmlformats.org/drawingml/2006/main">
                  <a:graphicData uri="http://schemas.microsoft.com/office/word/2010/wordprocessingShape">
                    <wps:wsp>
                      <wps:cNvSpPr txBox="1"/>
                      <wps:spPr>
                        <a:xfrm>
                          <a:ext cx="1097280" cy="170815"/>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1809" w:name="bookmark1809"/>
                            <w:bookmarkStart w:id="1810" w:name="bookmark1810"/>
                            <w:bookmarkStart w:id="1811" w:name="bookmark1811"/>
                            <w:r>
                              <w:rPr>
                                <w:color w:val="000000"/>
                                <w:spacing w:val="0"/>
                                <w:w w:val="100"/>
                                <w:position w:val="0"/>
                              </w:rPr>
                              <w:t>公允价值变动收益</w:t>
                            </w:r>
                            <w:bookmarkEnd w:id="1809"/>
                            <w:bookmarkEnd w:id="1810"/>
                            <w:bookmarkEnd w:id="1811"/>
                          </w:p>
                        </w:txbxContent>
                      </wps:txbx>
                      <wps:bodyPr wrap="none" lIns="0" tIns="0" rIns="0" bIns="0">
                        <a:noAutoFit/>
                      </wps:bodyPr>
                    </wps:wsp>
                  </a:graphicData>
                </a:graphic>
              </wp:anchor>
            </w:drawing>
          </mc:Choice>
          <mc:Fallback>
            <w:pict>
              <v:shape id="_x0000_s2107" type="#_x0000_t202" style="position:absolute;margin-left:76.650000000000006pt;margin-top:101.05pt;width:86.400000000000006pt;height:13.450000000000001pt;z-index:-125829089;mso-wrap-distance-left:0;mso-wrap-distance-top:101.05pt;mso-wrap-distance-right:0;mso-wrap-distance-bottom:74.200000000000003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1809" w:name="bookmark1809"/>
                      <w:bookmarkStart w:id="1810" w:name="bookmark1810"/>
                      <w:bookmarkStart w:id="1811" w:name="bookmark1811"/>
                      <w:r>
                        <w:rPr>
                          <w:color w:val="000000"/>
                          <w:spacing w:val="0"/>
                          <w:w w:val="100"/>
                          <w:position w:val="0"/>
                        </w:rPr>
                        <w:t>公允价值变动收益</w:t>
                      </w:r>
                      <w:bookmarkEnd w:id="1809"/>
                      <w:bookmarkEnd w:id="1810"/>
                      <w:bookmarkEnd w:id="1811"/>
                    </w:p>
                  </w:txbxContent>
                </v:textbox>
                <w10:wrap type="topAndBottom" anchorx="page"/>
              </v:shape>
            </w:pict>
          </mc:Fallback>
        </mc:AlternateContent>
      </w:r>
      <w:r>
        <mc:AlternateContent>
          <mc:Choice Requires="wps">
            <w:drawing>
              <wp:anchor distT="2063750" distB="165100" distL="0" distR="0" simplePos="0" relativeHeight="125829666" behindDoc="0" locked="0" layoutInCell="1" allowOverlap="1">
                <wp:simplePos x="0" y="0"/>
                <wp:positionH relativeFrom="page">
                  <wp:posOffset>705485</wp:posOffset>
                </wp:positionH>
                <wp:positionV relativeFrom="paragraph">
                  <wp:posOffset>2063750</wp:posOffset>
                </wp:positionV>
                <wp:extent cx="262255" cy="167640"/>
                <wp:wrapTopAndBottom/>
                <wp:docPr id="1083" name="Shape 1083"/>
                <a:graphic xmlns:a="http://schemas.openxmlformats.org/drawingml/2006/main">
                  <a:graphicData uri="http://schemas.microsoft.com/office/word/2010/wordprocessingShape">
                    <wps:wsp>
                      <wps:cNvSpPr txBox="1"/>
                      <wps:spPr>
                        <a:xfrm>
                          <a:ext cx="262255" cy="167640"/>
                        </a:xfrm>
                        <a:prstGeom prst="rect"/>
                        <a:noFill/>
                      </wps:spPr>
                      <wps:txbx>
                        <w:txbxContent>
                          <w:p>
                            <w:pPr>
                              <w:pStyle w:val="Style55"/>
                              <w:keepNext/>
                              <w:keepLines/>
                              <w:widowControl w:val="0"/>
                              <w:shd w:val="clear" w:color="auto" w:fill="auto"/>
                              <w:bidi w:val="0"/>
                              <w:spacing w:before="0" w:after="0" w:line="240" w:lineRule="auto"/>
                              <w:ind w:left="0" w:right="0" w:firstLine="0"/>
                              <w:jc w:val="both"/>
                            </w:pPr>
                            <w:bookmarkStart w:id="1812" w:name="bookmark1812"/>
                            <w:bookmarkStart w:id="1813" w:name="bookmark1813"/>
                            <w:bookmarkStart w:id="1814" w:name="bookmark1814"/>
                            <w:r>
                              <w:rPr>
                                <w:rFonts w:ascii="Times New Roman" w:eastAsia="Times New Roman" w:hAnsi="Times New Roman" w:cs="Times New Roman"/>
                                <w:color w:val="000000"/>
                                <w:spacing w:val="0"/>
                                <w:w w:val="100"/>
                                <w:position w:val="0"/>
                              </w:rPr>
                              <w:t>71</w:t>
                            </w:r>
                            <w:r>
                              <w:rPr>
                                <w:color w:val="000000"/>
                                <w:spacing w:val="0"/>
                                <w:w w:val="100"/>
                                <w:position w:val="0"/>
                              </w:rPr>
                              <w:t>、</w:t>
                            </w:r>
                            <w:bookmarkEnd w:id="1812"/>
                            <w:bookmarkEnd w:id="1813"/>
                            <w:bookmarkEnd w:id="1814"/>
                          </w:p>
                        </w:txbxContent>
                      </wps:txbx>
                      <wps:bodyPr wrap="none" lIns="0" tIns="0" rIns="0" bIns="0">
                        <a:noAutoFit/>
                      </wps:bodyPr>
                    </wps:wsp>
                  </a:graphicData>
                </a:graphic>
              </wp:anchor>
            </w:drawing>
          </mc:Choice>
          <mc:Fallback>
            <w:pict>
              <v:shape id="_x0000_s2109" type="#_x0000_t202" style="position:absolute;margin-left:55.550000000000004pt;margin-top:162.5pt;width:20.650000000000002pt;height:13.200000000000001pt;z-index:-125829087;mso-wrap-distance-left:0;mso-wrap-distance-top:162.5pt;mso-wrap-distance-right:0;mso-wrap-distance-bottom:13.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both"/>
                      </w:pPr>
                      <w:bookmarkStart w:id="1812" w:name="bookmark1812"/>
                      <w:bookmarkStart w:id="1813" w:name="bookmark1813"/>
                      <w:bookmarkStart w:id="1814" w:name="bookmark1814"/>
                      <w:r>
                        <w:rPr>
                          <w:rFonts w:ascii="Times New Roman" w:eastAsia="Times New Roman" w:hAnsi="Times New Roman" w:cs="Times New Roman"/>
                          <w:color w:val="000000"/>
                          <w:spacing w:val="0"/>
                          <w:w w:val="100"/>
                          <w:position w:val="0"/>
                        </w:rPr>
                        <w:t>71</w:t>
                      </w:r>
                      <w:r>
                        <w:rPr>
                          <w:color w:val="000000"/>
                          <w:spacing w:val="0"/>
                          <w:w w:val="100"/>
                          <w:position w:val="0"/>
                        </w:rPr>
                        <w:t>、</w:t>
                      </w:r>
                      <w:bookmarkEnd w:id="1812"/>
                      <w:bookmarkEnd w:id="1813"/>
                      <w:bookmarkEnd w:id="1814"/>
                    </w:p>
                  </w:txbxContent>
                </v:textbox>
                <w10:wrap type="topAndBottom" anchorx="page"/>
              </v:shape>
            </w:pict>
          </mc:Fallback>
        </mc:AlternateContent>
      </w:r>
      <w:r>
        <mc:AlternateContent>
          <mc:Choice Requires="wps">
            <w:drawing>
              <wp:anchor distT="2060575" distB="165100" distL="0" distR="0" simplePos="0" relativeHeight="125829668" behindDoc="0" locked="0" layoutInCell="1" allowOverlap="1">
                <wp:simplePos x="0" y="0"/>
                <wp:positionH relativeFrom="page">
                  <wp:posOffset>970280</wp:posOffset>
                </wp:positionH>
                <wp:positionV relativeFrom="paragraph">
                  <wp:posOffset>2060575</wp:posOffset>
                </wp:positionV>
                <wp:extent cx="831850" cy="170815"/>
                <wp:wrapTopAndBottom/>
                <wp:docPr id="1085" name="Shape 1085"/>
                <a:graphic xmlns:a="http://schemas.openxmlformats.org/drawingml/2006/main">
                  <a:graphicData uri="http://schemas.microsoft.com/office/word/2010/wordprocessingShape">
                    <wps:wsp>
                      <wps:cNvSpPr txBox="1"/>
                      <wps:spPr>
                        <a:xfrm>
                          <a:ext cx="831850" cy="170815"/>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1815" w:name="bookmark1815"/>
                            <w:bookmarkStart w:id="1816" w:name="bookmark1816"/>
                            <w:bookmarkStart w:id="1817" w:name="bookmark1817"/>
                            <w:r>
                              <w:rPr>
                                <w:color w:val="000000"/>
                                <w:spacing w:val="0"/>
                                <w:w w:val="100"/>
                                <w:position w:val="0"/>
                              </w:rPr>
                              <w:t>信用减值损失</w:t>
                            </w:r>
                            <w:bookmarkEnd w:id="1815"/>
                            <w:bookmarkEnd w:id="1816"/>
                            <w:bookmarkEnd w:id="1817"/>
                          </w:p>
                        </w:txbxContent>
                      </wps:txbx>
                      <wps:bodyPr wrap="none" lIns="0" tIns="0" rIns="0" bIns="0">
                        <a:noAutoFit/>
                      </wps:bodyPr>
                    </wps:wsp>
                  </a:graphicData>
                </a:graphic>
              </wp:anchor>
            </w:drawing>
          </mc:Choice>
          <mc:Fallback>
            <w:pict>
              <v:shape id="_x0000_s2111" type="#_x0000_t202" style="position:absolute;margin-left:76.400000000000006pt;margin-top:162.25pt;width:65.5pt;height:13.450000000000001pt;z-index:-125829085;mso-wrap-distance-left:0;mso-wrap-distance-top:162.25pt;mso-wrap-distance-right:0;mso-wrap-distance-bottom:13.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1815" w:name="bookmark1815"/>
                      <w:bookmarkStart w:id="1816" w:name="bookmark1816"/>
                      <w:bookmarkStart w:id="1817" w:name="bookmark1817"/>
                      <w:r>
                        <w:rPr>
                          <w:color w:val="000000"/>
                          <w:spacing w:val="0"/>
                          <w:w w:val="100"/>
                          <w:position w:val="0"/>
                        </w:rPr>
                        <w:t>信用减值损失</w:t>
                      </w:r>
                      <w:bookmarkEnd w:id="1815"/>
                      <w:bookmarkEnd w:id="1816"/>
                      <w:bookmarkEnd w:id="1817"/>
                    </w:p>
                  </w:txbxContent>
                </v:textbox>
                <w10:wrap type="topAndBottom" anchorx="page"/>
              </v:shape>
            </w:pict>
          </mc:Fallback>
        </mc:AlternateContent>
      </w:r>
    </w:p>
    <w:p>
      <w:pPr>
        <w:pStyle w:val="Style32"/>
        <w:keepNext w:val="0"/>
        <w:keepLines w:val="0"/>
        <w:widowControl w:val="0"/>
        <w:shd w:val="clear" w:color="auto" w:fill="auto"/>
        <w:bidi w:val="0"/>
        <w:spacing w:before="0" w:after="80" w:line="240" w:lineRule="auto"/>
        <w:ind w:left="96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其他应收款坏账损失</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11,732.55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486,107.39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长期应收款坏账损失</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7,537.86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191,475.90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应收票据坏账损失</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-127,196.63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-12,258.80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应收账款坏账损失</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8,805,058.98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-28,869,590.88</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一年内到期非流动资产坏账损失</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20,435.58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44,923.64</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8,717,568.34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-28,159,342.75</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700"/>
        <w:jc w:val="left"/>
      </w:pPr>
      <w:bookmarkStart w:id="1818" w:name="bookmark1818"/>
      <w:bookmarkStart w:id="1819" w:name="bookmark1819"/>
      <w:bookmarkStart w:id="1820" w:name="bookmark1820"/>
      <w:bookmarkStart w:id="1821" w:name="bookmark1821"/>
      <w:r>
        <w:rPr>
          <w:rFonts w:ascii="Times New Roman" w:eastAsia="Times New Roman" w:hAnsi="Times New Roman" w:cs="Times New Roman"/>
          <w:color w:val="000000"/>
          <w:spacing w:val="0"/>
          <w:w w:val="100"/>
          <w:position w:val="0"/>
        </w:rPr>
        <w:t>7</w:t>
      </w:r>
      <w:bookmarkEnd w:id="1820"/>
      <w:r>
        <w:rPr>
          <w:rFonts w:ascii="Times New Roman" w:eastAsia="Times New Roman" w:hAnsi="Times New Roman" w:cs="Times New Roman"/>
          <w:color w:val="000000"/>
          <w:spacing w:val="0"/>
          <w:w w:val="100"/>
          <w:position w:val="0"/>
        </w:rPr>
        <w:t>2</w:t>
      </w:r>
      <w:r>
        <w:rPr>
          <w:color w:val="000000"/>
          <w:spacing w:val="0"/>
          <w:w w:val="100"/>
          <w:position w:val="0"/>
        </w:rPr>
        <w:t>、资产减值损失</w:t>
      </w:r>
      <w:bookmarkEnd w:id="1818"/>
      <w:bookmarkEnd w:id="1819"/>
      <w:bookmarkEnd w:id="1821"/>
    </w:p>
    <w:p>
      <w:pPr>
        <w:pStyle w:val="Style32"/>
        <w:keepNext w:val="0"/>
        <w:keepLines w:val="0"/>
        <w:widowControl w:val="0"/>
        <w:shd w:val="clear" w:color="auto" w:fill="auto"/>
        <w:bidi w:val="0"/>
        <w:spacing w:before="0" w:after="80" w:line="240" w:lineRule="auto"/>
        <w:ind w:left="96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存货跌价损失及合同履约成本减值损失</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-6,458,118.91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合同资产减值损失</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-169,363.37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-6,627,482.28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700"/>
        <w:jc w:val="left"/>
      </w:pPr>
      <w:bookmarkStart w:id="1822" w:name="bookmark1822"/>
      <w:bookmarkStart w:id="1823" w:name="bookmark1823"/>
      <w:bookmarkStart w:id="1824" w:name="bookmark1824"/>
      <w:bookmarkStart w:id="1825" w:name="bookmark1825"/>
      <w:r>
        <w:rPr>
          <w:rFonts w:ascii="Times New Roman" w:eastAsia="Times New Roman" w:hAnsi="Times New Roman" w:cs="Times New Roman"/>
          <w:color w:val="000000"/>
          <w:spacing w:val="0"/>
          <w:w w:val="100"/>
          <w:position w:val="0"/>
        </w:rPr>
        <w:t>7</w:t>
      </w:r>
      <w:bookmarkEnd w:id="1824"/>
      <w:r>
        <w:rPr>
          <w:rFonts w:ascii="Times New Roman" w:eastAsia="Times New Roman" w:hAnsi="Times New Roman" w:cs="Times New Roman"/>
          <w:color w:val="000000"/>
          <w:spacing w:val="0"/>
          <w:w w:val="100"/>
          <w:position w:val="0"/>
        </w:rPr>
        <w:t>3</w:t>
      </w:r>
      <w:r>
        <w:rPr>
          <w:color w:val="000000"/>
          <w:spacing w:val="0"/>
          <w:w w:val="100"/>
          <w:position w:val="0"/>
        </w:rPr>
        <w:t>、资产处置收益</w:t>
      </w:r>
      <w:bookmarkEnd w:id="1822"/>
      <w:bookmarkEnd w:id="1823"/>
      <w:bookmarkEnd w:id="1825"/>
    </w:p>
    <w:p>
      <w:pPr>
        <w:pStyle w:val="Style32"/>
        <w:keepNext w:val="0"/>
        <w:keepLines w:val="0"/>
        <w:widowControl w:val="0"/>
        <w:shd w:val="clear" w:color="auto" w:fill="auto"/>
        <w:bidi w:val="0"/>
        <w:spacing w:before="0" w:after="80" w:line="240" w:lineRule="auto"/>
        <w:ind w:left="9620" w:right="0" w:firstLine="0"/>
        <w:jc w:val="left"/>
      </w:pPr>
      <w:r>
        <w:rPr>
          <w:color w:val="000000"/>
          <w:spacing w:val="0"/>
          <w:w w:val="100"/>
          <w:position w:val="0"/>
        </w:rPr>
        <w:t>单位：元</w:t>
      </w:r>
    </w:p>
    <w:tbl>
      <w:tblPr>
        <w:tblOverlap w:val="never"/>
        <w:jc w:val="center"/>
        <w:tblLayout w:type="fixed"/>
      </w:tblPr>
      <w:tblGrid>
        <w:gridCol w:w="3902"/>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资产处置收益的来源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处置未划分为持有待售的固定资产、在建工程、 生产性生物资产及无形资产的处置利得或损失：</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373,021.16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722,019.57</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其中：固定资产处置利得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373,021.16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722,019.57</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373,021.16</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722,019.57</w:t>
            </w:r>
          </w:p>
        </w:tc>
      </w:tr>
    </w:tbl>
    <w:p>
      <w:pPr>
        <w:widowControl w:val="0"/>
        <w:spacing w:after="319" w:line="1" w:lineRule="exact"/>
      </w:pPr>
    </w:p>
    <w:p>
      <w:pPr>
        <w:pStyle w:val="Style55"/>
        <w:keepNext/>
        <w:keepLines/>
        <w:widowControl w:val="0"/>
        <w:shd w:val="clear" w:color="auto" w:fill="auto"/>
        <w:bidi w:val="0"/>
        <w:spacing w:before="0" w:after="320" w:line="240" w:lineRule="auto"/>
        <w:ind w:left="0" w:right="0" w:firstLine="700"/>
        <w:jc w:val="left"/>
        <w:sectPr>
          <w:headerReference w:type="default" r:id="rId469"/>
          <w:footerReference w:type="default" r:id="rId470"/>
          <w:headerReference w:type="even" r:id="rId471"/>
          <w:footerReference w:type="even" r:id="rId472"/>
          <w:footnotePr>
            <w:pos w:val="pageBottom"/>
            <w:numFmt w:val="decimal"/>
            <w:numRestart w:val="continuous"/>
          </w:footnotePr>
          <w:pgSz w:w="11900" w:h="16840"/>
          <w:pgMar w:top="1057" w:right="1107" w:bottom="2094" w:left="415" w:header="0" w:footer="3" w:gutter="0"/>
          <w:cols w:space="720"/>
          <w:noEndnote/>
          <w:rtlGutter w:val="0"/>
          <w:docGrid w:linePitch="360"/>
        </w:sectPr>
      </w:pPr>
      <w:bookmarkStart w:id="1826" w:name="bookmark1826"/>
      <w:bookmarkStart w:id="1827" w:name="bookmark1827"/>
      <w:bookmarkStart w:id="1828" w:name="bookmark1828"/>
      <w:bookmarkStart w:id="1829" w:name="bookmark1829"/>
      <w:r>
        <w:rPr>
          <w:rFonts w:ascii="Times New Roman" w:eastAsia="Times New Roman" w:hAnsi="Times New Roman" w:cs="Times New Roman"/>
          <w:color w:val="000000"/>
          <w:spacing w:val="0"/>
          <w:w w:val="100"/>
          <w:position w:val="0"/>
        </w:rPr>
        <w:t>7</w:t>
      </w:r>
      <w:bookmarkEnd w:id="1828"/>
      <w:r>
        <w:rPr>
          <w:rFonts w:ascii="Times New Roman" w:eastAsia="Times New Roman" w:hAnsi="Times New Roman" w:cs="Times New Roman"/>
          <w:color w:val="000000"/>
          <w:spacing w:val="0"/>
          <w:w w:val="100"/>
          <w:position w:val="0"/>
        </w:rPr>
        <w:t>4</w:t>
      </w:r>
      <w:r>
        <w:rPr>
          <w:color w:val="000000"/>
          <w:spacing w:val="0"/>
          <w:w w:val="100"/>
          <w:position w:val="0"/>
        </w:rPr>
        <w:t>、营业外收入</w:t>
      </w:r>
      <w:bookmarkEnd w:id="1826"/>
      <w:bookmarkEnd w:id="1827"/>
      <w:bookmarkEnd w:id="1829"/>
    </w:p>
    <w:p>
      <w:pPr>
        <w:pStyle w:val="Style49"/>
        <w:keepNext w:val="0"/>
        <w:keepLines w:val="0"/>
        <w:widowControl w:val="0"/>
        <w:shd w:val="clear" w:color="auto" w:fill="auto"/>
        <w:bidi w:val="0"/>
        <w:spacing w:before="0" w:after="0" w:line="240" w:lineRule="auto"/>
        <w:ind w:left="144" w:right="0" w:firstLine="0"/>
        <w:jc w:val="left"/>
        <w:rPr>
          <w:sz w:val="15"/>
          <w:szCs w:val="15"/>
        </w:rPr>
      </w:pPr>
      <w:r>
        <w:rPr>
          <w:rFonts w:ascii="SimHei" w:eastAsia="SimHei" w:hAnsi="SimHei" w:cs="SimHei"/>
          <w:color w:val="245994"/>
          <w:spacing w:val="0"/>
          <w:w w:val="100"/>
          <w:position w:val="0"/>
          <w:sz w:val="30"/>
          <w:szCs w:val="30"/>
        </w:rPr>
        <w:t>七一</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739" w:val="left"/>
        </w:tabs>
        <w:bidi w:val="0"/>
        <w:spacing w:before="0" w:after="0" w:line="240" w:lineRule="auto"/>
        <w:ind w:left="144"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2395"/>
        <w:gridCol w:w="2395"/>
        <w:gridCol w:w="2304"/>
        <w:gridCol w:w="2491"/>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0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00"/>
              <w:jc w:val="left"/>
            </w:pPr>
            <w:r>
              <w:rPr>
                <w:color w:val="000000"/>
                <w:spacing w:val="0"/>
                <w:w w:val="100"/>
                <w:position w:val="0"/>
              </w:rPr>
              <w:t>上期发生额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计入当期非经常性损益的金额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467,186.41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58,831.44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467,186.41</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467,186.41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58,831.44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467,186.41</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计入当期损益的政府补助:</w:t>
      </w:r>
    </w:p>
    <w:p>
      <w:pPr>
        <w:widowControl w:val="0"/>
        <w:spacing w:after="719" w:line="1" w:lineRule="exact"/>
      </w:pPr>
    </w:p>
    <w:p>
      <w:pPr>
        <w:pStyle w:val="Style55"/>
        <w:keepNext/>
        <w:keepLines/>
        <w:widowControl w:val="0"/>
        <w:shd w:val="clear" w:color="auto" w:fill="auto"/>
        <w:bidi w:val="0"/>
        <w:spacing w:before="0" w:after="380" w:line="240" w:lineRule="auto"/>
        <w:ind w:left="0" w:right="0" w:firstLine="680"/>
        <w:jc w:val="both"/>
      </w:pPr>
      <w:bookmarkStart w:id="1830" w:name="bookmark1830"/>
      <w:bookmarkStart w:id="1831" w:name="bookmark1831"/>
      <w:bookmarkStart w:id="1832" w:name="bookmark1832"/>
      <w:bookmarkStart w:id="1833" w:name="bookmark1833"/>
      <w:r>
        <w:rPr>
          <w:rFonts w:ascii="Times New Roman" w:eastAsia="Times New Roman" w:hAnsi="Times New Roman" w:cs="Times New Roman"/>
          <w:color w:val="000000"/>
          <w:spacing w:val="0"/>
          <w:w w:val="100"/>
          <w:position w:val="0"/>
        </w:rPr>
        <w:t>7</w:t>
      </w:r>
      <w:bookmarkEnd w:id="1832"/>
      <w:r>
        <w:rPr>
          <w:rFonts w:ascii="Times New Roman" w:eastAsia="Times New Roman" w:hAnsi="Times New Roman" w:cs="Times New Roman"/>
          <w:color w:val="000000"/>
          <w:spacing w:val="0"/>
          <w:w w:val="100"/>
          <w:position w:val="0"/>
        </w:rPr>
        <w:t>5</w:t>
      </w:r>
      <w:r>
        <w:rPr>
          <w:color w:val="000000"/>
          <w:spacing w:val="0"/>
          <w:w w:val="100"/>
          <w:position w:val="0"/>
        </w:rPr>
        <w:t>、营业外支出</w:t>
      </w:r>
      <w:bookmarkEnd w:id="1830"/>
      <w:bookmarkEnd w:id="1831"/>
      <w:bookmarkEnd w:id="1833"/>
    </w:p>
    <w:p>
      <w:pPr>
        <w:pStyle w:val="Style32"/>
        <w:keepNext w:val="0"/>
        <w:keepLines w:val="0"/>
        <w:widowControl w:val="0"/>
        <w:shd w:val="clear" w:color="auto" w:fill="auto"/>
        <w:bidi w:val="0"/>
        <w:spacing w:before="0" w:after="80" w:line="240" w:lineRule="auto"/>
        <w:ind w:left="9620" w:right="0" w:firstLine="0"/>
        <w:jc w:val="left"/>
      </w:pPr>
      <w:r>
        <w:rPr>
          <w:color w:val="000000"/>
          <w:spacing w:val="0"/>
          <w:w w:val="100"/>
          <w:position w:val="0"/>
        </w:rPr>
        <w:t>单位：元</w:t>
      </w:r>
    </w:p>
    <w:tbl>
      <w:tblPr>
        <w:tblOverlap w:val="never"/>
        <w:jc w:val="center"/>
        <w:tblLayout w:type="fixed"/>
      </w:tblPr>
      <w:tblGrid>
        <w:gridCol w:w="2395"/>
        <w:gridCol w:w="2395"/>
        <w:gridCol w:w="2304"/>
        <w:gridCol w:w="2491"/>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020" w:right="0" w:firstLine="0"/>
              <w:jc w:val="left"/>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计入当期非经常性损益的金额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对外捐赠</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164,520.71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164,520.71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罚款及滞纳金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22,031.72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8,184.15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22,031.72</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赔款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2,400,000.00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2,400,000.00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578.12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10,809.14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578.12</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2,587,130.55</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138,993.29</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2,587,130.55</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680"/>
        <w:jc w:val="both"/>
      </w:pPr>
      <w:bookmarkStart w:id="1834" w:name="bookmark1834"/>
      <w:bookmarkStart w:id="1835" w:name="bookmark1835"/>
      <w:bookmarkStart w:id="1836" w:name="bookmark1836"/>
      <w:bookmarkStart w:id="1837" w:name="bookmark1837"/>
      <w:r>
        <w:rPr>
          <w:rFonts w:ascii="Times New Roman" w:eastAsia="Times New Roman" w:hAnsi="Times New Roman" w:cs="Times New Roman"/>
          <w:color w:val="000000"/>
          <w:spacing w:val="0"/>
          <w:w w:val="100"/>
          <w:position w:val="0"/>
        </w:rPr>
        <w:t>7</w:t>
      </w:r>
      <w:bookmarkEnd w:id="1836"/>
      <w:r>
        <w:rPr>
          <w:rFonts w:ascii="Times New Roman" w:eastAsia="Times New Roman" w:hAnsi="Times New Roman" w:cs="Times New Roman"/>
          <w:color w:val="000000"/>
          <w:spacing w:val="0"/>
          <w:w w:val="100"/>
          <w:position w:val="0"/>
        </w:rPr>
        <w:t>6</w:t>
      </w:r>
      <w:r>
        <w:rPr>
          <w:color w:val="000000"/>
          <w:spacing w:val="0"/>
          <w:w w:val="100"/>
          <w:position w:val="0"/>
        </w:rPr>
        <w:t>、所得税费用</w:t>
      </w:r>
      <w:bookmarkEnd w:id="1834"/>
      <w:bookmarkEnd w:id="1835"/>
      <w:bookmarkEnd w:id="1837"/>
    </w:p>
    <w:p>
      <w:pPr>
        <w:pStyle w:val="Style55"/>
        <w:keepNext/>
        <w:keepLines/>
        <w:widowControl w:val="0"/>
        <w:shd w:val="clear" w:color="auto" w:fill="auto"/>
        <w:bidi w:val="0"/>
        <w:spacing w:before="0" w:after="380" w:line="240" w:lineRule="auto"/>
        <w:ind w:left="0" w:right="0" w:firstLine="680"/>
        <w:jc w:val="both"/>
      </w:pPr>
      <w:bookmarkStart w:id="1834" w:name="bookmark1834"/>
      <w:bookmarkStart w:id="1835" w:name="bookmark1835"/>
      <w:bookmarkStart w:id="1838" w:name="bookmark183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)所得税费用表</w:t>
      </w:r>
      <w:bookmarkEnd w:id="1834"/>
      <w:bookmarkEnd w:id="1835"/>
      <w:bookmarkEnd w:id="1838"/>
    </w:p>
    <w:p>
      <w:pPr>
        <w:pStyle w:val="Style32"/>
        <w:keepNext w:val="0"/>
        <w:keepLines w:val="0"/>
        <w:widowControl w:val="0"/>
        <w:shd w:val="clear" w:color="auto" w:fill="auto"/>
        <w:bidi w:val="0"/>
        <w:spacing w:before="0" w:after="80" w:line="240" w:lineRule="auto"/>
        <w:ind w:left="96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当期所得税费用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17,170,145.86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11,482,564.52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-16,720,310.41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-9,758,573.27</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449,835.45</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1,723,991.25</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820"/>
        <w:jc w:val="left"/>
      </w:pPr>
      <w:bookmarkStart w:id="1839" w:name="bookmark1839"/>
      <w:bookmarkStart w:id="1840" w:name="bookmark1840"/>
      <w:bookmarkStart w:id="1841" w:name="bookmark1841"/>
      <w:r>
        <w:rPr>
          <w:rFonts w:ascii="Times New Roman" w:eastAsia="Times New Roman" w:hAnsi="Times New Roman" w:cs="Times New Roman"/>
          <w:color w:val="000000"/>
          <w:spacing w:val="0"/>
          <w:w w:val="100"/>
          <w:position w:val="0"/>
        </w:rPr>
        <w:t>(2</w:t>
      </w:r>
      <w:r>
        <w:rPr>
          <w:color w:val="000000"/>
          <w:spacing w:val="0"/>
          <w:w w:val="100"/>
          <w:position w:val="0"/>
        </w:rPr>
        <w:t>)会计利润与所得税费用调整过程</w:t>
      </w:r>
      <w:bookmarkEnd w:id="1839"/>
      <w:bookmarkEnd w:id="1840"/>
      <w:bookmarkEnd w:id="1841"/>
    </w:p>
    <w:p>
      <w:pPr>
        <w:pStyle w:val="Style32"/>
        <w:keepNext w:val="0"/>
        <w:keepLines w:val="0"/>
        <w:widowControl w:val="0"/>
        <w:shd w:val="clear" w:color="auto" w:fill="auto"/>
        <w:bidi w:val="0"/>
        <w:spacing w:before="0" w:after="80" w:line="240" w:lineRule="auto"/>
        <w:ind w:left="9620" w:right="0" w:firstLine="0"/>
        <w:jc w:val="left"/>
      </w:pPr>
      <w:r>
        <w:rPr>
          <w:color w:val="000000"/>
          <w:spacing w:val="0"/>
          <w:w w:val="100"/>
          <w:position w:val="0"/>
        </w:rPr>
        <w:t>单位：元</w:t>
      </w:r>
    </w:p>
    <w:tbl>
      <w:tblPr>
        <w:tblOverlap w:val="never"/>
        <w:jc w:val="center"/>
        <w:tblLayout w:type="fixed"/>
      </w:tblPr>
      <w:tblGrid>
        <w:gridCol w:w="5539"/>
        <w:gridCol w:w="4046"/>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利润总额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95,167,391.76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按法定</w:t>
            </w:r>
            <w:r>
              <w:rPr>
                <w:rFonts w:ascii="Times New Roman" w:eastAsia="Times New Roman" w:hAnsi="Times New Roman" w:cs="Times New Roman"/>
                <w:color w:val="000000"/>
                <w:spacing w:val="0"/>
                <w:w w:val="100"/>
                <w:position w:val="0"/>
              </w:rPr>
              <w:t>/</w:t>
            </w:r>
            <w:r>
              <w:rPr>
                <w:color w:val="000000"/>
                <w:spacing w:val="0"/>
                <w:w w:val="100"/>
                <w:position w:val="0"/>
              </w:rPr>
              <w:t>适用税率计算的所得税费用</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14,275,108.76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子公司适用不同税率的影响</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980" w:right="0" w:firstLine="0"/>
              <w:jc w:val="both"/>
            </w:pPr>
            <w:r>
              <w:rPr>
                <w:rFonts w:ascii="Times New Roman" w:eastAsia="Times New Roman" w:hAnsi="Times New Roman" w:cs="Times New Roman"/>
                <w:color w:val="000000"/>
                <w:spacing w:val="0"/>
                <w:w w:val="100"/>
                <w:position w:val="0"/>
              </w:rPr>
              <w:t>-3,488,167.97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调整以前期间所得税的影响</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980" w:right="0" w:firstLine="0"/>
              <w:jc w:val="both"/>
            </w:pPr>
            <w:r>
              <w:rPr>
                <w:rFonts w:ascii="Times New Roman" w:eastAsia="Times New Roman" w:hAnsi="Times New Roman" w:cs="Times New Roman"/>
                <w:color w:val="000000"/>
                <w:spacing w:val="0"/>
                <w:w w:val="100"/>
                <w:position w:val="0"/>
              </w:rPr>
              <w:t>-1,778,752.00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不可抵扣的成本、费用和损失的影响</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3,459,035.29</w:t>
            </w:r>
          </w:p>
        </w:tc>
      </w:tr>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本期未确认递延所得税资产的可抵扣暂时性差异或可抵扣亏损的影响</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3,526,460.84</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研发费用加计扣除的影响</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980" w:right="0" w:firstLine="0"/>
              <w:jc w:val="both"/>
            </w:pPr>
            <w:r>
              <w:rPr>
                <w:rFonts w:ascii="Times New Roman" w:eastAsia="Times New Roman" w:hAnsi="Times New Roman" w:cs="Times New Roman"/>
                <w:color w:val="000000"/>
                <w:spacing w:val="0"/>
                <w:w w:val="100"/>
                <w:position w:val="0"/>
              </w:rPr>
              <w:t>-5,436,473.63</w:t>
            </w:r>
          </w:p>
        </w:tc>
      </w:tr>
    </w:tbl>
    <w:p>
      <w:pPr>
        <w:widowControl w:val="0"/>
        <w:spacing w:line="1" w:lineRule="exact"/>
      </w:pPr>
      <w:r>
        <w:br w:type="page"/>
      </w:r>
    </w:p>
    <w:tbl>
      <w:tblPr>
        <w:tblOverlap w:val="never"/>
        <w:jc w:val="left"/>
        <w:tblLayout w:type="fixed"/>
      </w:tblPr>
      <w:tblGrid>
        <w:gridCol w:w="5539"/>
        <w:gridCol w:w="4046"/>
      </w:tblGrid>
      <w:tr>
        <w:trPr>
          <w:trHeight w:val="403" w:hRule="exact"/>
        </w:trPr>
        <w:tc>
          <w:tcPr>
            <w:tcBorders>
              <w:top w:val="single" w:sz="4"/>
              <w:left w:val="single" w:sz="4"/>
            </w:tcBorders>
            <w:shd w:val="clear" w:color="auto" w:fill="FFFFFF"/>
            <w:vAlign w:val="center"/>
          </w:tcPr>
          <w:p>
            <w:pPr>
              <w:pStyle w:val="Style44"/>
              <w:keepNext w:val="0"/>
              <w:keepLines w:val="0"/>
              <w:framePr w:w="9586" w:h="816" w:vSpace="365" w:wrap="notBeside" w:vAnchor="text" w:hAnchor="text" w:x="397" w:y="366"/>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right w:val="single" w:sz="4"/>
            </w:tcBorders>
            <w:shd w:val="clear" w:color="auto" w:fill="FFFFFF"/>
            <w:vAlign w:val="center"/>
          </w:tcPr>
          <w:p>
            <w:pPr>
              <w:pStyle w:val="Style44"/>
              <w:keepNext w:val="0"/>
              <w:keepLines w:val="0"/>
              <w:framePr w:w="9586" w:h="816" w:vSpace="365" w:wrap="notBeside" w:vAnchor="text" w:hAnchor="text" w:x="3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-10,107,375.84</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816" w:vSpace="365" w:wrap="notBeside" w:vAnchor="text" w:hAnchor="text" w:x="397" w:y="366"/>
              <w:widowControl w:val="0"/>
              <w:shd w:val="clear" w:color="auto" w:fill="auto"/>
              <w:bidi w:val="0"/>
              <w:spacing w:before="0" w:after="0" w:line="240" w:lineRule="auto"/>
              <w:ind w:left="0" w:right="0" w:firstLine="0"/>
              <w:jc w:val="left"/>
            </w:pPr>
            <w:r>
              <w:rPr>
                <w:color w:val="000000"/>
                <w:spacing w:val="0"/>
                <w:w w:val="100"/>
                <w:position w:val="0"/>
              </w:rPr>
              <w:t>所得税费用</w:t>
            </w:r>
          </w:p>
        </w:tc>
        <w:tc>
          <w:tcPr>
            <w:tcBorders>
              <w:top w:val="single" w:sz="4"/>
              <w:left w:val="single" w:sz="4"/>
              <w:bottom w:val="single" w:sz="4"/>
              <w:right w:val="single" w:sz="4"/>
            </w:tcBorders>
            <w:shd w:val="clear" w:color="auto" w:fill="FFFFFF"/>
            <w:vAlign w:val="center"/>
          </w:tcPr>
          <w:p>
            <w:pPr>
              <w:pStyle w:val="Style44"/>
              <w:keepNext w:val="0"/>
              <w:keepLines w:val="0"/>
              <w:framePr w:w="9586" w:h="816" w:vSpace="365" w:wrap="notBeside" w:vAnchor="text" w:hAnchor="text" w:x="397"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449,835.45</w:t>
            </w:r>
          </w:p>
        </w:tc>
      </w:tr>
    </w:tbl>
    <w:p>
      <w:pPr>
        <w:pStyle w:val="Style49"/>
        <w:keepNext w:val="0"/>
        <w:keepLines w:val="0"/>
        <w:framePr w:w="1296" w:h="365" w:hSpace="396" w:wrap="notBeside" w:vAnchor="text" w:hAnchor="text" w:x="1199" w:y="1"/>
        <w:widowControl w:val="0"/>
        <w:shd w:val="clear" w:color="auto" w:fill="auto"/>
        <w:bidi w:val="0"/>
        <w:spacing w:before="0" w:after="0" w:line="173"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20" w:line="240" w:lineRule="auto"/>
        <w:ind w:left="0" w:right="0" w:firstLine="700"/>
        <w:jc w:val="left"/>
      </w:pPr>
      <w:r>
        <w:drawing>
          <wp:anchor distT="0" distB="0" distL="0" distR="0" simplePos="0" relativeHeight="125829670" behindDoc="0" locked="0" layoutInCell="1" allowOverlap="1">
            <wp:simplePos x="0" y="0"/>
            <wp:positionH relativeFrom="page">
              <wp:posOffset>777240</wp:posOffset>
            </wp:positionH>
            <wp:positionV relativeFrom="margin">
              <wp:posOffset>-60325</wp:posOffset>
            </wp:positionV>
            <wp:extent cx="487680" cy="237490"/>
            <wp:wrapTight wrapText="bothSides">
              <wp:wrapPolygon>
                <wp:start x="0" y="0"/>
                <wp:lineTo x="21600" y="0"/>
                <wp:lineTo x="21600" y="21600"/>
                <wp:lineTo x="0" y="21600"/>
                <wp:lineTo x="0" y="0"/>
              </wp:wrapPolygon>
            </wp:wrapTight>
            <wp:docPr id="1101" name="Shape 1101"/>
            <a:graphic xmlns:a="http://schemas.openxmlformats.org/drawingml/2006/main">
              <a:graphicData uri="http://schemas.openxmlformats.org/drawingml/2006/picture">
                <pic:pic xmlns:pic="http://schemas.openxmlformats.org/drawingml/2006/picture">
                  <pic:nvPicPr>
                    <pic:cNvPr id="1102" name="Picture box 1102"/>
                    <pic:cNvPicPr/>
                  </pic:nvPicPr>
                  <pic:blipFill>
                    <a:blip r:embed="rId473"/>
                    <a:stretch/>
                  </pic:blipFill>
                  <pic:spPr>
                    <a:xfrm>
                      <a:ext cx="487680" cy="237490"/>
                    </a:xfrm>
                    <a:prstGeom prst="rect"/>
                  </pic:spPr>
                </pic:pic>
              </a:graphicData>
            </a:graphic>
          </wp:anchor>
        </w:drawing>
      </w:r>
      <w:bookmarkStart w:id="1842" w:name="bookmark1842"/>
      <w:bookmarkStart w:id="1843" w:name="bookmark1843"/>
      <w:bookmarkStart w:id="1844" w:name="bookmark1844"/>
      <w:bookmarkStart w:id="1845" w:name="bookmark1845"/>
      <w:r>
        <w:rPr>
          <w:rFonts w:ascii="Times New Roman" w:eastAsia="Times New Roman" w:hAnsi="Times New Roman" w:cs="Times New Roman"/>
          <w:color w:val="000000"/>
          <w:spacing w:val="0"/>
          <w:w w:val="100"/>
          <w:position w:val="0"/>
        </w:rPr>
        <w:t>7</w:t>
      </w:r>
      <w:bookmarkEnd w:id="1844"/>
      <w:r>
        <w:rPr>
          <w:rFonts w:ascii="Times New Roman" w:eastAsia="Times New Roman" w:hAnsi="Times New Roman" w:cs="Times New Roman"/>
          <w:color w:val="000000"/>
          <w:spacing w:val="0"/>
          <w:w w:val="100"/>
          <w:position w:val="0"/>
        </w:rPr>
        <w:t>7</w:t>
      </w:r>
      <w:r>
        <w:rPr>
          <w:color w:val="000000"/>
          <w:spacing w:val="0"/>
          <w:w w:val="100"/>
          <w:position w:val="0"/>
        </w:rPr>
        <w:t>、其他综合收益</w:t>
      </w:r>
      <w:bookmarkEnd w:id="1842"/>
      <w:bookmarkEnd w:id="1843"/>
      <w:bookmarkEnd w:id="1845"/>
    </w:p>
    <w:p>
      <w:pPr>
        <w:pStyle w:val="Style32"/>
        <w:keepNext w:val="0"/>
        <w:keepLines w:val="0"/>
        <w:widowControl w:val="0"/>
        <w:shd w:val="clear" w:color="auto" w:fill="auto"/>
        <w:bidi w:val="0"/>
        <w:spacing w:before="0" w:after="380" w:line="302" w:lineRule="exact"/>
        <w:ind w:left="700" w:right="0" w:firstLine="0"/>
        <w:jc w:val="left"/>
      </w:pPr>
      <w:r>
        <w:rPr>
          <w:color w:val="000000"/>
          <w:spacing w:val="0"/>
          <w:w w:val="100"/>
          <w:position w:val="0"/>
        </w:rPr>
        <w:t>本期其他综合收益的税前金额、所得税金额及税后金额，以及前期计入其他综合收益当期转出计入当期损益的金额，详见本 报告第十二节、七、</w:t>
      </w:r>
      <w:r>
        <w:rPr>
          <w:rFonts w:ascii="Times New Roman" w:eastAsia="Times New Roman" w:hAnsi="Times New Roman" w:cs="Times New Roman"/>
          <w:color w:val="000000"/>
          <w:spacing w:val="0"/>
          <w:w w:val="100"/>
          <w:position w:val="0"/>
        </w:rPr>
        <w:t>57</w:t>
      </w:r>
      <w:r>
        <w:rPr>
          <w:color w:val="000000"/>
          <w:spacing w:val="0"/>
          <w:w w:val="100"/>
          <w:position w:val="0"/>
        </w:rPr>
        <w:t>。</w:t>
      </w:r>
    </w:p>
    <w:p>
      <w:pPr>
        <w:pStyle w:val="Style55"/>
        <w:keepNext/>
        <w:keepLines/>
        <w:widowControl w:val="0"/>
        <w:shd w:val="clear" w:color="auto" w:fill="auto"/>
        <w:bidi w:val="0"/>
        <w:spacing w:before="0" w:after="380" w:line="240" w:lineRule="auto"/>
        <w:ind w:left="0" w:right="0" w:firstLine="700"/>
        <w:jc w:val="left"/>
      </w:pPr>
      <w:bookmarkStart w:id="1846" w:name="bookmark1846"/>
      <w:bookmarkStart w:id="1847" w:name="bookmark1847"/>
      <w:bookmarkStart w:id="1848" w:name="bookmark1848"/>
      <w:bookmarkStart w:id="1849" w:name="bookmark1849"/>
      <w:r>
        <w:rPr>
          <w:rFonts w:ascii="Times New Roman" w:eastAsia="Times New Roman" w:hAnsi="Times New Roman" w:cs="Times New Roman"/>
          <w:color w:val="000000"/>
          <w:spacing w:val="0"/>
          <w:w w:val="100"/>
          <w:position w:val="0"/>
        </w:rPr>
        <w:t>7</w:t>
      </w:r>
      <w:bookmarkEnd w:id="1848"/>
      <w:r>
        <w:rPr>
          <w:rFonts w:ascii="Times New Roman" w:eastAsia="Times New Roman" w:hAnsi="Times New Roman" w:cs="Times New Roman"/>
          <w:color w:val="000000"/>
          <w:spacing w:val="0"/>
          <w:w w:val="100"/>
          <w:position w:val="0"/>
        </w:rPr>
        <w:t>8</w:t>
      </w:r>
      <w:r>
        <w:rPr>
          <w:color w:val="000000"/>
          <w:spacing w:val="0"/>
          <w:w w:val="100"/>
          <w:position w:val="0"/>
        </w:rPr>
        <w:t>、现金流量表项目</w:t>
      </w:r>
      <w:bookmarkEnd w:id="1846"/>
      <w:bookmarkEnd w:id="1847"/>
      <w:bookmarkEnd w:id="1849"/>
    </w:p>
    <w:p>
      <w:pPr>
        <w:pStyle w:val="Style55"/>
        <w:keepNext/>
        <w:keepLines/>
        <w:widowControl w:val="0"/>
        <w:shd w:val="clear" w:color="auto" w:fill="auto"/>
        <w:bidi w:val="0"/>
        <w:spacing w:before="0" w:after="380" w:line="240" w:lineRule="auto"/>
        <w:ind w:left="0" w:right="0" w:firstLine="820"/>
        <w:jc w:val="left"/>
      </w:pPr>
      <w:bookmarkStart w:id="1846" w:name="bookmark1846"/>
      <w:bookmarkStart w:id="1847" w:name="bookmark1847"/>
      <w:bookmarkStart w:id="1850" w:name="bookmark1850"/>
      <w:r>
        <w:rPr>
          <w:rFonts w:ascii="Times New Roman" w:eastAsia="Times New Roman" w:hAnsi="Times New Roman" w:cs="Times New Roman"/>
          <w:color w:val="000000"/>
          <w:spacing w:val="0"/>
          <w:w w:val="100"/>
          <w:position w:val="0"/>
        </w:rPr>
        <w:t>（1</w:t>
      </w:r>
      <w:r>
        <w:rPr>
          <w:color w:val="000000"/>
          <w:spacing w:val="0"/>
          <w:w w:val="100"/>
          <w:position w:val="0"/>
        </w:rPr>
        <w:t>）收到的其他与经营活动有关的现金</w:t>
      </w:r>
      <w:bookmarkEnd w:id="1846"/>
      <w:bookmarkEnd w:id="1847"/>
      <w:bookmarkEnd w:id="1850"/>
    </w:p>
    <w:p>
      <w:pPr>
        <w:pStyle w:val="Style32"/>
        <w:keepNext w:val="0"/>
        <w:keepLines w:val="0"/>
        <w:widowControl w:val="0"/>
        <w:shd w:val="clear" w:color="auto" w:fill="auto"/>
        <w:bidi w:val="0"/>
        <w:spacing w:before="0" w:after="80" w:line="240" w:lineRule="auto"/>
        <w:ind w:left="96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收到的利息收入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1,856,938.04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2,325,621.31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收到的备用金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565,318.39</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收到的往来款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2,654,956.50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6,340,000.00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收到的保证金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3,601,374.98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216,266.40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收到的政府补助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8,162,622.54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6,213,017.11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1,715,352.57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818,688.30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17,991,244.63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16,478,911.51</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820"/>
        <w:jc w:val="left"/>
      </w:pPr>
      <w:bookmarkStart w:id="1851" w:name="bookmark1851"/>
      <w:bookmarkStart w:id="1852" w:name="bookmark1852"/>
      <w:bookmarkStart w:id="1853" w:name="bookmark1853"/>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）支付的其他与经营活动有关的现金</w:t>
      </w:r>
      <w:bookmarkEnd w:id="1851"/>
      <w:bookmarkEnd w:id="1852"/>
      <w:bookmarkEnd w:id="1853"/>
    </w:p>
    <w:p>
      <w:pPr>
        <w:pStyle w:val="Style32"/>
        <w:keepNext w:val="0"/>
        <w:keepLines w:val="0"/>
        <w:widowControl w:val="0"/>
        <w:shd w:val="clear" w:color="auto" w:fill="auto"/>
        <w:bidi w:val="0"/>
        <w:spacing w:before="0" w:after="80" w:line="240" w:lineRule="auto"/>
        <w:ind w:left="96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支付的手续费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113,826.56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239,057.78</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三项费用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71,540,442.04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68,879,977.07</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支付的保证金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5,884,307.05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2,815,757.02</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支付的往来款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606,906.25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5,799,200.00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185,820.45</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83,944,681.90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72,120,612.32</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820"/>
        <w:jc w:val="left"/>
      </w:pPr>
      <w:bookmarkStart w:id="1854" w:name="bookmark1854"/>
      <w:bookmarkStart w:id="1855" w:name="bookmark1855"/>
      <w:bookmarkStart w:id="1856" w:name="bookmark1856"/>
      <w:bookmarkStart w:id="1857" w:name="bookmark1857"/>
      <w:r>
        <w:rPr>
          <w:color w:val="000000"/>
          <w:spacing w:val="0"/>
          <w:w w:val="100"/>
          <w:position w:val="0"/>
        </w:rPr>
        <w:t>（</w:t>
      </w:r>
      <w:bookmarkEnd w:id="1856"/>
      <w:r>
        <w:rPr>
          <w:rFonts w:ascii="Times New Roman" w:eastAsia="Times New Roman" w:hAnsi="Times New Roman" w:cs="Times New Roman"/>
          <w:color w:val="000000"/>
          <w:spacing w:val="0"/>
          <w:w w:val="100"/>
          <w:position w:val="0"/>
        </w:rPr>
        <w:t>3</w:t>
      </w:r>
      <w:r>
        <w:rPr>
          <w:color w:val="000000"/>
          <w:spacing w:val="0"/>
          <w:w w:val="100"/>
          <w:position w:val="0"/>
        </w:rPr>
        <w:t>）收到的其他与投资活动有关的现金</w:t>
      </w:r>
      <w:bookmarkEnd w:id="1854"/>
      <w:bookmarkEnd w:id="1855"/>
      <w:bookmarkEnd w:id="1857"/>
    </w:p>
    <w:p>
      <w:pPr>
        <w:pStyle w:val="Style32"/>
        <w:keepNext w:val="0"/>
        <w:keepLines w:val="0"/>
        <w:widowControl w:val="0"/>
        <w:shd w:val="clear" w:color="auto" w:fill="auto"/>
        <w:bidi w:val="0"/>
        <w:spacing w:before="0" w:after="380" w:line="240" w:lineRule="auto"/>
        <w:ind w:left="0" w:right="0" w:firstLine="700"/>
        <w:jc w:val="left"/>
      </w:pPr>
      <w:r>
        <w:rPr>
          <w:color w:val="000000"/>
          <w:spacing w:val="0"/>
          <w:w w:val="100"/>
          <w:position w:val="0"/>
        </w:rPr>
        <w:t>无</w:t>
      </w:r>
    </w:p>
    <w:p>
      <w:pPr>
        <w:pStyle w:val="Style55"/>
        <w:keepNext/>
        <w:keepLines/>
        <w:widowControl w:val="0"/>
        <w:shd w:val="clear" w:color="auto" w:fill="auto"/>
        <w:bidi w:val="0"/>
        <w:spacing w:before="0" w:after="380" w:line="240" w:lineRule="auto"/>
        <w:ind w:left="0" w:right="0" w:firstLine="700"/>
        <w:jc w:val="left"/>
      </w:pPr>
      <w:bookmarkStart w:id="1858" w:name="bookmark1858"/>
      <w:bookmarkStart w:id="1859" w:name="bookmark1859"/>
      <w:bookmarkStart w:id="1860" w:name="bookmark1860"/>
      <w:bookmarkStart w:id="1861" w:name="bookmark1861"/>
      <w:r>
        <w:rPr>
          <w:color w:val="000000"/>
          <w:spacing w:val="0"/>
          <w:w w:val="100"/>
          <w:position w:val="0"/>
        </w:rPr>
        <w:t>（</w:t>
      </w:r>
      <w:bookmarkEnd w:id="1860"/>
      <w:r>
        <w:rPr>
          <w:rFonts w:ascii="Times New Roman" w:eastAsia="Times New Roman" w:hAnsi="Times New Roman" w:cs="Times New Roman"/>
          <w:color w:val="000000"/>
          <w:spacing w:val="0"/>
          <w:w w:val="100"/>
          <w:position w:val="0"/>
        </w:rPr>
        <w:t>4</w:t>
      </w:r>
      <w:r>
        <w:rPr>
          <w:color w:val="000000"/>
          <w:spacing w:val="0"/>
          <w:w w:val="100"/>
          <w:position w:val="0"/>
        </w:rPr>
        <w:t>）支付的其他与投资活动有关的现金</w:t>
      </w:r>
      <w:bookmarkEnd w:id="1858"/>
      <w:bookmarkEnd w:id="1859"/>
      <w:bookmarkEnd w:id="1861"/>
    </w:p>
    <w:p>
      <w:pPr>
        <w:pStyle w:val="Style32"/>
        <w:keepNext w:val="0"/>
        <w:keepLines w:val="0"/>
        <w:widowControl w:val="0"/>
        <w:shd w:val="clear" w:color="auto" w:fill="auto"/>
        <w:bidi w:val="0"/>
        <w:spacing w:before="0" w:after="380" w:line="240" w:lineRule="auto"/>
        <w:ind w:left="9620" w:right="0" w:firstLine="0"/>
        <w:jc w:val="left"/>
      </w:pPr>
      <w:r>
        <w:rPr>
          <w:color w:val="000000"/>
          <w:spacing w:val="0"/>
          <w:w w:val="100"/>
          <w:position w:val="0"/>
        </w:rPr>
        <w:t>单位：元</w:t>
      </w:r>
      <w:r>
        <w:br w:type="page"/>
      </w:r>
    </w:p>
    <w:tbl>
      <w:tblPr>
        <w:tblOverlap w:val="never"/>
        <w:jc w:val="left"/>
        <w:tblLayout w:type="fixed"/>
      </w:tblPr>
      <w:tblGrid>
        <w:gridCol w:w="3624"/>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framePr w:w="10013" w:h="1622" w:vSpace="365" w:wrap="notBeside" w:vAnchor="text" w:hAnchor="text" w:x="183" w:y="366"/>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framePr w:w="10013" w:h="1622" w:vSpace="365" w:wrap="notBeside" w:vAnchor="text" w:hAnchor="text" w:x="183" w:y="366"/>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framePr w:w="10013" w:h="1622" w:vSpace="365" w:wrap="notBeside" w:vAnchor="text" w:hAnchor="text" w:x="183" w:y="366"/>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framePr w:w="10013" w:h="1622" w:vSpace="365" w:wrap="notBeside" w:vAnchor="text" w:hAnchor="text" w:x="183" w:y="366"/>
              <w:widowControl w:val="0"/>
              <w:shd w:val="clear" w:color="auto" w:fill="auto"/>
              <w:bidi w:val="0"/>
              <w:spacing w:before="0" w:after="0" w:line="240" w:lineRule="auto"/>
              <w:ind w:left="0" w:right="0" w:firstLine="0"/>
              <w:jc w:val="left"/>
            </w:pPr>
            <w:r>
              <w:rPr>
                <w:color w:val="000000"/>
                <w:spacing w:val="0"/>
                <w:w w:val="100"/>
                <w:position w:val="0"/>
              </w:rPr>
              <w:t>支付的并购费用</w:t>
            </w:r>
          </w:p>
        </w:tc>
        <w:tc>
          <w:tcPr>
            <w:tcBorders>
              <w:top w:val="single" w:sz="4"/>
              <w:left w:val="single" w:sz="4"/>
            </w:tcBorders>
            <w:shd w:val="clear" w:color="auto" w:fill="FFFFFF"/>
            <w:vAlign w:val="center"/>
          </w:tcPr>
          <w:p>
            <w:pPr>
              <w:pStyle w:val="Style44"/>
              <w:keepNext w:val="0"/>
              <w:keepLines w:val="0"/>
              <w:framePr w:w="10013" w:h="1622" w:vSpace="365" w:wrap="notBeside" w:vAnchor="text" w:hAnchor="text" w:x="183" w:y="366"/>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1,207,500.00</w:t>
            </w:r>
          </w:p>
        </w:tc>
        <w:tc>
          <w:tcPr>
            <w:tcBorders>
              <w:top w:val="single" w:sz="4"/>
              <w:left w:val="single" w:sz="4"/>
              <w:right w:val="single" w:sz="4"/>
            </w:tcBorders>
            <w:shd w:val="clear" w:color="auto" w:fill="FFFFFF"/>
            <w:vAlign w:val="top"/>
          </w:tcPr>
          <w:p>
            <w:pPr>
              <w:framePr w:w="10013" w:h="1622" w:vSpace="365" w:wrap="notBeside" w:vAnchor="text" w:hAnchor="text" w:x="183" w:y="366"/>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framePr w:w="10013" w:h="1622" w:vSpace="365" w:wrap="notBeside" w:vAnchor="text" w:hAnchor="text" w:x="183" w:y="366"/>
              <w:widowControl w:val="0"/>
              <w:shd w:val="clear" w:color="auto" w:fill="auto"/>
              <w:bidi w:val="0"/>
              <w:spacing w:before="0" w:after="0" w:line="240" w:lineRule="auto"/>
              <w:ind w:left="0" w:right="0" w:firstLine="0"/>
              <w:jc w:val="left"/>
            </w:pPr>
            <w:r>
              <w:rPr>
                <w:color w:val="000000"/>
                <w:spacing w:val="0"/>
                <w:w w:val="100"/>
                <w:position w:val="0"/>
              </w:rPr>
              <w:t>处置子公司及其他营业单位支付的现金净额</w:t>
            </w:r>
          </w:p>
        </w:tc>
        <w:tc>
          <w:tcPr>
            <w:tcBorders>
              <w:top w:val="single" w:sz="4"/>
              <w:left w:val="single" w:sz="4"/>
            </w:tcBorders>
            <w:shd w:val="clear" w:color="auto" w:fill="FFFFFF"/>
            <w:vAlign w:val="center"/>
          </w:tcPr>
          <w:p>
            <w:pPr>
              <w:pStyle w:val="Style44"/>
              <w:keepNext w:val="0"/>
              <w:keepLines w:val="0"/>
              <w:framePr w:w="10013" w:h="1622" w:vSpace="365" w:wrap="notBeside" w:vAnchor="text" w:hAnchor="text" w:x="183"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703,697.85</w:t>
            </w:r>
          </w:p>
        </w:tc>
        <w:tc>
          <w:tcPr>
            <w:tcBorders>
              <w:top w:val="single" w:sz="4"/>
              <w:left w:val="single" w:sz="4"/>
              <w:right w:val="single" w:sz="4"/>
            </w:tcBorders>
            <w:shd w:val="clear" w:color="auto" w:fill="FFFFFF"/>
            <w:vAlign w:val="top"/>
          </w:tcPr>
          <w:p>
            <w:pPr>
              <w:framePr w:w="10013" w:h="1622" w:vSpace="365" w:wrap="notBeside" w:vAnchor="text" w:hAnchor="text" w:x="183" w:y="366"/>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10013" w:h="1622" w:vSpace="365" w:wrap="notBeside" w:vAnchor="text" w:hAnchor="text" w:x="183"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framePr w:w="10013" w:h="1622" w:vSpace="365" w:wrap="notBeside" w:vAnchor="text" w:hAnchor="text" w:x="183" w:y="366"/>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1,911,197.85</w:t>
            </w:r>
          </w:p>
        </w:tc>
        <w:tc>
          <w:tcPr>
            <w:tcBorders>
              <w:top w:val="single" w:sz="4"/>
              <w:left w:val="single" w:sz="4"/>
              <w:bottom w:val="single" w:sz="4"/>
              <w:right w:val="single" w:sz="4"/>
            </w:tcBorders>
            <w:shd w:val="clear" w:color="auto" w:fill="FFFFFF"/>
            <w:vAlign w:val="top"/>
          </w:tcPr>
          <w:p>
            <w:pPr>
              <w:framePr w:w="10013" w:h="1622" w:vSpace="365" w:wrap="notBeside" w:vAnchor="text" w:hAnchor="text" w:x="183" w:y="366"/>
              <w:widowControl w:val="0"/>
              <w:rPr>
                <w:sz w:val="10"/>
                <w:szCs w:val="10"/>
              </w:rPr>
            </w:pPr>
          </w:p>
        </w:tc>
      </w:tr>
    </w:tbl>
    <w:p>
      <w:pPr>
        <w:pStyle w:val="Style49"/>
        <w:keepNext w:val="0"/>
        <w:keepLines w:val="0"/>
        <w:framePr w:w="1291" w:h="365" w:hSpace="182" w:wrap="notBeside" w:vAnchor="text" w:hAnchor="text" w:x="1412"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40" w:line="240" w:lineRule="auto"/>
        <w:ind w:left="0" w:right="0" w:firstLine="540"/>
        <w:jc w:val="left"/>
      </w:pPr>
      <w:r>
        <w:drawing>
          <wp:anchor distT="0" distB="0" distL="0" distR="0" simplePos="0" relativeHeight="125829671" behindDoc="0" locked="0" layoutInCell="1" allowOverlap="1">
            <wp:simplePos x="0" y="0"/>
            <wp:positionH relativeFrom="page">
              <wp:posOffset>688340</wp:posOffset>
            </wp:positionH>
            <wp:positionV relativeFrom="margin">
              <wp:posOffset>-60325</wp:posOffset>
            </wp:positionV>
            <wp:extent cx="487680" cy="237490"/>
            <wp:wrapTight wrapText="bothSides">
              <wp:wrapPolygon>
                <wp:start x="0" y="0"/>
                <wp:lineTo x="21600" y="0"/>
                <wp:lineTo x="21600" y="21600"/>
                <wp:lineTo x="0" y="21600"/>
                <wp:lineTo x="0" y="0"/>
              </wp:wrapPolygon>
            </wp:wrapTight>
            <wp:docPr id="1103" name="Shape 1103"/>
            <a:graphic xmlns:a="http://schemas.openxmlformats.org/drawingml/2006/main">
              <a:graphicData uri="http://schemas.openxmlformats.org/drawingml/2006/picture">
                <pic:pic xmlns:pic="http://schemas.openxmlformats.org/drawingml/2006/picture">
                  <pic:nvPicPr>
                    <pic:cNvPr id="1104" name="Picture box 1104"/>
                    <pic:cNvPicPr/>
                  </pic:nvPicPr>
                  <pic:blipFill>
                    <a:blip r:embed="rId475"/>
                    <a:stretch/>
                  </pic:blipFill>
                  <pic:spPr>
                    <a:xfrm>
                      <a:ext cx="487680" cy="237490"/>
                    </a:xfrm>
                    <a:prstGeom prst="rect"/>
                  </pic:spPr>
                </pic:pic>
              </a:graphicData>
            </a:graphic>
          </wp:anchor>
        </w:drawing>
      </w:r>
      <w:bookmarkStart w:id="1862" w:name="bookmark1862"/>
      <w:bookmarkStart w:id="1863" w:name="bookmark1863"/>
      <w:bookmarkStart w:id="1864" w:name="bookmark1864"/>
      <w:bookmarkStart w:id="1865" w:name="bookmark1865"/>
      <w:r>
        <w:rPr>
          <w:color w:val="000000"/>
          <w:spacing w:val="0"/>
          <w:w w:val="100"/>
          <w:position w:val="0"/>
        </w:rPr>
        <w:t>（</w:t>
      </w:r>
      <w:bookmarkEnd w:id="1864"/>
      <w:r>
        <w:rPr>
          <w:rFonts w:ascii="Times New Roman" w:eastAsia="Times New Roman" w:hAnsi="Times New Roman" w:cs="Times New Roman"/>
          <w:color w:val="000000"/>
          <w:spacing w:val="0"/>
          <w:w w:val="100"/>
          <w:position w:val="0"/>
        </w:rPr>
        <w:t>5</w:t>
      </w:r>
      <w:r>
        <w:rPr>
          <w:color w:val="000000"/>
          <w:spacing w:val="0"/>
          <w:w w:val="100"/>
          <w:position w:val="0"/>
        </w:rPr>
        <w:t>）收到的其他与筹资活动有关的现金</w:t>
      </w:r>
      <w:bookmarkEnd w:id="1862"/>
      <w:bookmarkEnd w:id="1863"/>
      <w:bookmarkEnd w:id="1865"/>
    </w:p>
    <w:p>
      <w:pPr>
        <w:pStyle w:val="Style32"/>
        <w:keepNext w:val="0"/>
        <w:keepLines w:val="0"/>
        <w:widowControl w:val="0"/>
        <w:shd w:val="clear" w:color="auto" w:fill="auto"/>
        <w:bidi w:val="0"/>
        <w:spacing w:before="0" w:after="80" w:line="240" w:lineRule="auto"/>
        <w:ind w:left="93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收到票据保证金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894,290.55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1,964,515.40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收到的其他融资款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5,894,290.55</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1,964,515.40</w:t>
            </w:r>
          </w:p>
        </w:tc>
      </w:tr>
    </w:tbl>
    <w:p>
      <w:pPr>
        <w:widowControl w:val="0"/>
        <w:spacing w:after="339" w:line="1" w:lineRule="exact"/>
      </w:pPr>
    </w:p>
    <w:p>
      <w:pPr>
        <w:pStyle w:val="Style55"/>
        <w:keepNext/>
        <w:keepLines/>
        <w:widowControl w:val="0"/>
        <w:shd w:val="clear" w:color="auto" w:fill="auto"/>
        <w:bidi w:val="0"/>
        <w:spacing w:before="0" w:after="340" w:line="240" w:lineRule="auto"/>
        <w:ind w:left="0" w:right="0" w:firstLine="540"/>
        <w:jc w:val="left"/>
      </w:pPr>
      <w:bookmarkStart w:id="1866" w:name="bookmark1866"/>
      <w:bookmarkStart w:id="1867" w:name="bookmark1867"/>
      <w:bookmarkStart w:id="1868" w:name="bookmark1868"/>
      <w:bookmarkStart w:id="1869" w:name="bookmark1869"/>
      <w:r>
        <w:rPr>
          <w:color w:val="000000"/>
          <w:spacing w:val="0"/>
          <w:w w:val="100"/>
          <w:position w:val="0"/>
        </w:rPr>
        <w:t>（</w:t>
      </w:r>
      <w:bookmarkEnd w:id="1868"/>
      <w:r>
        <w:rPr>
          <w:rFonts w:ascii="Times New Roman" w:eastAsia="Times New Roman" w:hAnsi="Times New Roman" w:cs="Times New Roman"/>
          <w:color w:val="000000"/>
          <w:spacing w:val="0"/>
          <w:w w:val="100"/>
          <w:position w:val="0"/>
        </w:rPr>
        <w:t>6</w:t>
      </w:r>
      <w:r>
        <w:rPr>
          <w:color w:val="000000"/>
          <w:spacing w:val="0"/>
          <w:w w:val="100"/>
          <w:position w:val="0"/>
        </w:rPr>
        <w:t>）支付的其他与筹资活动有关的现金</w:t>
      </w:r>
      <w:bookmarkEnd w:id="1866"/>
      <w:bookmarkEnd w:id="1867"/>
      <w:bookmarkEnd w:id="1869"/>
    </w:p>
    <w:p>
      <w:pPr>
        <w:pStyle w:val="Style32"/>
        <w:keepNext w:val="0"/>
        <w:keepLines w:val="0"/>
        <w:widowControl w:val="0"/>
        <w:shd w:val="clear" w:color="auto" w:fill="auto"/>
        <w:bidi w:val="0"/>
        <w:spacing w:before="0" w:after="80" w:line="240" w:lineRule="auto"/>
        <w:ind w:left="93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支付票据保证金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894,290.55</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支付担保费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99,500.00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191,610.00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支付股票发行费用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3,320,068.26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427,798.63</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支付股权收购款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20,000,000.00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支付的其他融资款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8,419,568.26</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21,513,699.18</w:t>
            </w:r>
          </w:p>
        </w:tc>
      </w:tr>
    </w:tbl>
    <w:p>
      <w:pPr>
        <w:widowControl w:val="0"/>
        <w:spacing w:after="339" w:line="1" w:lineRule="exact"/>
      </w:pPr>
    </w:p>
    <w:p>
      <w:pPr>
        <w:pStyle w:val="Style55"/>
        <w:keepNext/>
        <w:keepLines/>
        <w:widowControl w:val="0"/>
        <w:shd w:val="clear" w:color="auto" w:fill="auto"/>
        <w:bidi w:val="0"/>
        <w:spacing w:before="0" w:after="340" w:line="240" w:lineRule="auto"/>
        <w:ind w:left="0" w:right="0" w:firstLine="420"/>
        <w:jc w:val="left"/>
      </w:pPr>
      <w:bookmarkStart w:id="1870" w:name="bookmark1870"/>
      <w:bookmarkStart w:id="1871" w:name="bookmark1871"/>
      <w:bookmarkStart w:id="1872" w:name="bookmark1872"/>
      <w:bookmarkStart w:id="1873" w:name="bookmark1873"/>
      <w:r>
        <w:rPr>
          <w:rFonts w:ascii="Times New Roman" w:eastAsia="Times New Roman" w:hAnsi="Times New Roman" w:cs="Times New Roman"/>
          <w:color w:val="000000"/>
          <w:spacing w:val="0"/>
          <w:w w:val="100"/>
          <w:position w:val="0"/>
        </w:rPr>
        <w:t>7</w:t>
      </w:r>
      <w:bookmarkEnd w:id="1872"/>
      <w:r>
        <w:rPr>
          <w:rFonts w:ascii="Times New Roman" w:eastAsia="Times New Roman" w:hAnsi="Times New Roman" w:cs="Times New Roman"/>
          <w:color w:val="000000"/>
          <w:spacing w:val="0"/>
          <w:w w:val="100"/>
          <w:position w:val="0"/>
        </w:rPr>
        <w:t>9</w:t>
      </w:r>
      <w:r>
        <w:rPr>
          <w:color w:val="000000"/>
          <w:spacing w:val="0"/>
          <w:w w:val="100"/>
          <w:position w:val="0"/>
        </w:rPr>
        <w:t>、现金流量表补充资料</w:t>
      </w:r>
      <w:bookmarkEnd w:id="1870"/>
      <w:bookmarkEnd w:id="1871"/>
      <w:bookmarkEnd w:id="1873"/>
    </w:p>
    <w:p>
      <w:pPr>
        <w:pStyle w:val="Style55"/>
        <w:keepNext/>
        <w:keepLines/>
        <w:widowControl w:val="0"/>
        <w:shd w:val="clear" w:color="auto" w:fill="auto"/>
        <w:bidi w:val="0"/>
        <w:spacing w:before="0" w:after="340" w:line="240" w:lineRule="auto"/>
        <w:ind w:left="0" w:right="0" w:firstLine="540"/>
        <w:jc w:val="left"/>
      </w:pPr>
      <w:bookmarkStart w:id="1870" w:name="bookmark1870"/>
      <w:bookmarkStart w:id="1871" w:name="bookmark1871"/>
      <w:bookmarkStart w:id="1874" w:name="bookmark1874"/>
      <w:r>
        <w:rPr>
          <w:rFonts w:ascii="Times New Roman" w:eastAsia="Times New Roman" w:hAnsi="Times New Roman" w:cs="Times New Roman"/>
          <w:color w:val="000000"/>
          <w:spacing w:val="0"/>
          <w:w w:val="100"/>
          <w:position w:val="0"/>
        </w:rPr>
        <w:t>（1</w:t>
      </w:r>
      <w:r>
        <w:rPr>
          <w:color w:val="000000"/>
          <w:spacing w:val="0"/>
          <w:w w:val="100"/>
          <w:position w:val="0"/>
        </w:rPr>
        <w:t>）现金流量表补充资料</w:t>
      </w:r>
      <w:bookmarkEnd w:id="1870"/>
      <w:bookmarkEnd w:id="1871"/>
      <w:bookmarkEnd w:id="1874"/>
    </w:p>
    <w:p>
      <w:pPr>
        <w:pStyle w:val="Style32"/>
        <w:keepNext w:val="0"/>
        <w:keepLines w:val="0"/>
        <w:widowControl w:val="0"/>
        <w:shd w:val="clear" w:color="auto" w:fill="auto"/>
        <w:bidi w:val="0"/>
        <w:spacing w:before="0" w:after="80" w:line="240" w:lineRule="auto"/>
        <w:ind w:left="9340" w:right="0" w:firstLine="0"/>
        <w:jc w:val="left"/>
      </w:pPr>
      <w:r>
        <w:rPr>
          <w:color w:val="000000"/>
          <w:spacing w:val="0"/>
          <w:w w:val="100"/>
          <w:position w:val="0"/>
        </w:rPr>
        <w:t>单位：元</w:t>
      </w:r>
    </w:p>
    <w:tbl>
      <w:tblPr>
        <w:tblOverlap w:val="never"/>
        <w:jc w:val="center"/>
        <w:tblLayout w:type="fixed"/>
      </w:tblPr>
      <w:tblGrid>
        <w:gridCol w:w="6106"/>
        <w:gridCol w:w="1843"/>
        <w:gridCol w:w="163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60"/>
              <w:jc w:val="left"/>
            </w:pPr>
            <w:r>
              <w:rPr>
                <w:color w:val="000000"/>
                <w:spacing w:val="0"/>
                <w:w w:val="100"/>
                <w:position w:val="0"/>
              </w:rPr>
              <w:t>本期金额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上期金额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.将净利润调节为经营活动现金流量：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94,717,556.31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44,382,422.58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加：资产减值准备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-2,090,086.06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28,159,342.75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固定资产折旧、油气资产折耗、生产性生物资产折旧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15,544,053.11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16,280,220.69</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使用权资产折旧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14,741,586.77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10,054,265.64</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长期待摊费用摊销</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501,546.43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368,486.93</w:t>
            </w:r>
          </w:p>
        </w:tc>
      </w:tr>
    </w:tbl>
    <w:p>
      <w:pPr>
        <w:widowControl w:val="0"/>
        <w:spacing w:line="1" w:lineRule="exact"/>
        <w:sectPr>
          <w:headerReference w:type="default" r:id="rId477"/>
          <w:footerReference w:type="default" r:id="rId478"/>
          <w:headerReference w:type="even" r:id="rId479"/>
          <w:footerReference w:type="even" r:id="rId480"/>
          <w:headerReference w:type="first" r:id="rId481"/>
          <w:footerReference w:type="first" r:id="rId482"/>
          <w:footnotePr>
            <w:pos w:val="pageBottom"/>
            <w:numFmt w:val="decimal"/>
            <w:numRestart w:val="continuous"/>
          </w:footnotePr>
          <w:pgSz w:w="11900" w:h="16840"/>
          <w:pgMar w:top="1101" w:right="1038" w:bottom="1397" w:left="484" w:header="0" w:footer="3" w:gutter="0"/>
          <w:cols w:space="720"/>
          <w:noEndnote/>
          <w:titlePg/>
          <w:rtlGutter w:val="0"/>
          <w:docGrid w:linePitch="360"/>
        </w:sectPr>
      </w:pPr>
    </w:p>
    <w:p>
      <w:pPr>
        <w:pStyle w:val="Style49"/>
        <w:keepNext w:val="0"/>
        <w:keepLines w:val="0"/>
        <w:widowControl w:val="0"/>
        <w:shd w:val="clear" w:color="auto" w:fill="auto"/>
        <w:bidi w:val="0"/>
        <w:spacing w:before="0" w:after="0" w:line="240" w:lineRule="auto"/>
        <w:ind w:left="144" w:right="0" w:firstLine="0"/>
        <w:jc w:val="left"/>
        <w:rPr>
          <w:sz w:val="15"/>
          <w:szCs w:val="15"/>
        </w:rPr>
      </w:pPr>
      <w:r>
        <w:rPr>
          <w:rFonts w:ascii="SimHei" w:eastAsia="SimHei" w:hAnsi="SimHei" w:cs="SimHei"/>
          <w:color w:val="245994"/>
          <w:spacing w:val="0"/>
          <w:w w:val="100"/>
          <w:position w:val="0"/>
          <w:sz w:val="30"/>
          <w:szCs w:val="30"/>
        </w:rPr>
        <w:t>七一</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739" w:val="left"/>
        </w:tabs>
        <w:bidi w:val="0"/>
        <w:spacing w:before="0" w:after="0" w:line="240" w:lineRule="auto"/>
        <w:ind w:left="144"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center"/>
        <w:tblLayout w:type="fixed"/>
      </w:tblPr>
      <w:tblGrid>
        <w:gridCol w:w="6106"/>
        <w:gridCol w:w="1843"/>
        <w:gridCol w:w="163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处置固定资产、无形资产和其他长期资产的损失（收益以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-373,021.16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rPr>
              <w:t>-722,019.57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固定资产报废损失（收益以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公允价值变动损失（收益以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7,626,558.11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rPr>
              <w:t>9,886,064.47</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投资损失（收益以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-4,149,600.52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-1,385,678.06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递延所得税资产减少（增加以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-15,726,080.24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-10,058,793.92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递延所得税负债增加（减少以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60"/>
              <w:jc w:val="both"/>
            </w:pPr>
            <w:r>
              <w:rPr>
                <w:rFonts w:ascii="Times New Roman" w:eastAsia="Times New Roman" w:hAnsi="Times New Roman" w:cs="Times New Roman"/>
                <w:color w:val="000000"/>
                <w:spacing w:val="0"/>
                <w:w w:val="100"/>
                <w:position w:val="0"/>
              </w:rPr>
              <w:t>1,268,311.04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rPr>
              <w:t>-468,665.70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存货的减少（增加以</w:t>
            </w:r>
            <w:r>
              <w:rPr>
                <w:rFonts w:ascii="Times New Roman" w:eastAsia="Times New Roman" w:hAnsi="Times New Roman" w:cs="Times New Roman"/>
                <w:color w:val="000000"/>
                <w:spacing w:val="0"/>
                <w:w w:val="100"/>
                <w:position w:val="0"/>
              </w:rPr>
              <w:t>“</w:t>
            </w:r>
            <w:r>
              <w:rPr>
                <w:color w:val="000000"/>
                <w:spacing w:val="0"/>
                <w:w w:val="100"/>
                <w:position w:val="0"/>
              </w:rPr>
              <w:t>一</w:t>
            </w:r>
            <w:r>
              <w:rPr>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-35,998,572.80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-3,741,340.78</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经营性应收项目的减少（增加以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-38,375,538.75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-17,256,814.15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经营性应付项目的增加（减少以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76,146,508.36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rPr>
              <w:t>4,805,399.30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4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113,833,220.60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80,302,890.18</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不涉及现金收支的重大投资和筹资活动：</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债务转为资本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.现金及现金等价物净变动情况：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现金的期末余额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382,184,877.68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281,975,218.90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减：现金的期初余额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281,975,218.90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192,172,824.09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100,209,658.78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89,802,394.81</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540"/>
        <w:jc w:val="left"/>
      </w:pPr>
      <w:bookmarkStart w:id="1875" w:name="bookmark1875"/>
      <w:bookmarkStart w:id="1876" w:name="bookmark1876"/>
      <w:bookmarkStart w:id="1877" w:name="bookmark1877"/>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）本期支付的取得子公司的现金净额</w:t>
      </w:r>
      <w:bookmarkEnd w:id="1875"/>
      <w:bookmarkEnd w:id="1876"/>
      <w:bookmarkEnd w:id="1877"/>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997"/>
        <w:gridCol w:w="4589"/>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本期发生的企业合并于本期支付的现金或现金等价物</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3500" w:right="0" w:firstLine="0"/>
              <w:jc w:val="left"/>
            </w:pPr>
            <w:r>
              <w:rPr>
                <w:rFonts w:ascii="Times New Roman" w:eastAsia="Times New Roman" w:hAnsi="Times New Roman" w:cs="Times New Roman"/>
                <w:color w:val="000000"/>
                <w:spacing w:val="0"/>
                <w:w w:val="100"/>
                <w:position w:val="0"/>
              </w:rPr>
              <w:t>92,400,000.00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减：购买日子公司持有的现金及现金等价物</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3500" w:right="0" w:firstLine="0"/>
              <w:jc w:val="left"/>
            </w:pPr>
            <w:r>
              <w:rPr>
                <w:rFonts w:ascii="Times New Roman" w:eastAsia="Times New Roman" w:hAnsi="Times New Roman" w:cs="Times New Roman"/>
                <w:color w:val="000000"/>
                <w:spacing w:val="0"/>
                <w:w w:val="100"/>
                <w:position w:val="0"/>
              </w:rPr>
              <w:t>40,735,395.97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加：以前期间发生的企业合并于本期支付的现金或现金等价物</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取得子公司支付的现金净额</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3500" w:right="0" w:firstLine="0"/>
              <w:jc w:val="left"/>
            </w:pPr>
            <w:r>
              <w:rPr>
                <w:rFonts w:ascii="Times New Roman" w:eastAsia="Times New Roman" w:hAnsi="Times New Roman" w:cs="Times New Roman"/>
                <w:color w:val="000000"/>
                <w:spacing w:val="0"/>
                <w:w w:val="100"/>
                <w:position w:val="0"/>
              </w:rPr>
              <w:t>51,664,604.03</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540"/>
        <w:jc w:val="left"/>
      </w:pPr>
      <w:bookmarkStart w:id="1878" w:name="bookmark1878"/>
      <w:bookmarkStart w:id="1879" w:name="bookmark1879"/>
      <w:bookmarkStart w:id="1880" w:name="bookmark1880"/>
      <w:bookmarkStart w:id="1881" w:name="bookmark1881"/>
      <w:r>
        <w:rPr>
          <w:color w:val="000000"/>
          <w:spacing w:val="0"/>
          <w:w w:val="100"/>
          <w:position w:val="0"/>
        </w:rPr>
        <w:t>（</w:t>
      </w:r>
      <w:bookmarkEnd w:id="1880"/>
      <w:r>
        <w:rPr>
          <w:rFonts w:ascii="Times New Roman" w:eastAsia="Times New Roman" w:hAnsi="Times New Roman" w:cs="Times New Roman"/>
          <w:color w:val="000000"/>
          <w:spacing w:val="0"/>
          <w:w w:val="100"/>
          <w:position w:val="0"/>
        </w:rPr>
        <w:t>3</w:t>
      </w:r>
      <w:r>
        <w:rPr>
          <w:color w:val="000000"/>
          <w:spacing w:val="0"/>
          <w:w w:val="100"/>
          <w:position w:val="0"/>
        </w:rPr>
        <w:t>）本期收到的处置子公司的现金净额</w:t>
      </w:r>
      <w:bookmarkEnd w:id="1878"/>
      <w:bookmarkEnd w:id="1879"/>
      <w:bookmarkEnd w:id="1881"/>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997"/>
        <w:gridCol w:w="4589"/>
      </w:tblGrid>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bl>
    <w:p>
      <w:pPr>
        <w:sectPr>
          <w:headerReference w:type="default" r:id="rId483"/>
          <w:footerReference w:type="default" r:id="rId484"/>
          <w:headerReference w:type="even" r:id="rId485"/>
          <w:footerReference w:type="even" r:id="rId486"/>
          <w:footnotePr>
            <w:pos w:val="pageBottom"/>
            <w:numFmt w:val="decimal"/>
            <w:numRestart w:val="continuous"/>
          </w:footnotePr>
          <w:pgSz w:w="11900" w:h="16840"/>
          <w:pgMar w:top="1101" w:right="1038" w:bottom="1397" w:left="484" w:header="0" w:footer="3" w:gutter="0"/>
          <w:cols w:space="720"/>
          <w:noEndnote/>
          <w:rtlGutter w:val="0"/>
          <w:docGrid w:linePitch="360"/>
        </w:sectPr>
      </w:pPr>
    </w:p>
    <w:p>
      <w:pPr>
        <w:widowControl w:val="0"/>
        <w:jc w:val="center"/>
        <w:rPr>
          <w:sz w:val="2"/>
          <w:szCs w:val="2"/>
        </w:rPr>
      </w:pPr>
      <w:r>
        <w:drawing>
          <wp:inline>
            <wp:extent cx="1298575" cy="481330"/>
            <wp:docPr id="1131" name="Picutre 1131"/>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487"/>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240" w:lineRule="auto"/>
        <w:ind w:left="782"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782"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bl>
      <w:tblPr>
        <w:tblOverlap w:val="never"/>
        <w:jc w:val="right"/>
        <w:tblLayout w:type="fixed"/>
      </w:tblPr>
      <w:tblGrid>
        <w:gridCol w:w="4997"/>
        <w:gridCol w:w="4589"/>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本期处置子公司于本期收到的现金或现金等价物</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1,215,502.21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减：丧失控制权日子公司持有的现金及现金等价物</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295,184.44</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加：以前期间处置子公司于本期收到的现金或现金等价物</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处置子公司收到的现金净额</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920,317.77</w:t>
            </w:r>
          </w:p>
        </w:tc>
      </w:tr>
    </w:tbl>
    <w:p>
      <w:pPr>
        <w:widowControl w:val="0"/>
        <w:spacing w:after="339" w:line="1" w:lineRule="exact"/>
      </w:pPr>
    </w:p>
    <w:p>
      <w:pPr>
        <w:pStyle w:val="Style55"/>
        <w:keepNext/>
        <w:keepLines/>
        <w:widowControl w:val="0"/>
        <w:numPr>
          <w:ilvl w:val="0"/>
          <w:numId w:val="171"/>
        </w:numPr>
        <w:shd w:val="clear" w:color="auto" w:fill="auto"/>
        <w:bidi w:val="0"/>
        <w:spacing w:before="0" w:after="380" w:line="240" w:lineRule="auto"/>
        <w:ind w:left="1020" w:right="0" w:firstLine="0"/>
        <w:jc w:val="both"/>
      </w:pPr>
      <w:bookmarkStart w:id="1882" w:name="bookmark1882"/>
      <w:bookmarkStart w:id="1883" w:name="bookmark1883"/>
      <w:bookmarkStart w:id="1884" w:name="bookmark1884"/>
      <w:bookmarkStart w:id="1885" w:name="bookmark1885"/>
      <w:bookmarkEnd w:id="1884"/>
      <w:r>
        <w:rPr>
          <w:color w:val="000000"/>
          <w:spacing w:val="0"/>
          <w:w w:val="100"/>
          <w:position w:val="0"/>
        </w:rPr>
        <w:t>现金和现金等价物的构成</w:t>
      </w:r>
      <w:bookmarkEnd w:id="1882"/>
      <w:bookmarkEnd w:id="1883"/>
      <w:bookmarkEnd w:id="1885"/>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right"/>
        <w:tblLayout w:type="fixed"/>
      </w:tblPr>
      <w:tblGrid>
        <w:gridCol w:w="3336"/>
        <w:gridCol w:w="3058"/>
        <w:gridCol w:w="3192"/>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一、现金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382,184,877.68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20" w:right="0" w:firstLine="0"/>
              <w:jc w:val="left"/>
            </w:pPr>
            <w:r>
              <w:rPr>
                <w:rFonts w:ascii="Times New Roman" w:eastAsia="Times New Roman" w:hAnsi="Times New Roman" w:cs="Times New Roman"/>
                <w:color w:val="000000"/>
                <w:spacing w:val="0"/>
                <w:w w:val="100"/>
                <w:position w:val="0"/>
              </w:rPr>
              <w:t>281,975,218.90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其中：库存现金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23,872.44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17,010.04</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可随时用于支付的银行存款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381,616,044.09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20" w:right="0" w:firstLine="0"/>
              <w:jc w:val="left"/>
            </w:pPr>
            <w:r>
              <w:rPr>
                <w:rFonts w:ascii="Times New Roman" w:eastAsia="Times New Roman" w:hAnsi="Times New Roman" w:cs="Times New Roman"/>
                <w:color w:val="000000"/>
                <w:spacing w:val="0"/>
                <w:w w:val="100"/>
                <w:position w:val="0"/>
              </w:rPr>
              <w:t>281,958,208.86</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可随时用于支付的其他货币资金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544,961.15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三、期末现金及现金等价物余额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382,184,877.68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20" w:right="0" w:firstLine="0"/>
              <w:jc w:val="left"/>
            </w:pPr>
            <w:r>
              <w:rPr>
                <w:rFonts w:ascii="Times New Roman" w:eastAsia="Times New Roman" w:hAnsi="Times New Roman" w:cs="Times New Roman"/>
                <w:color w:val="000000"/>
                <w:spacing w:val="0"/>
                <w:w w:val="100"/>
                <w:position w:val="0"/>
              </w:rPr>
              <w:t>281,975,218.90</w:t>
            </w:r>
          </w:p>
        </w:tc>
      </w:tr>
    </w:tbl>
    <w:p>
      <w:pPr>
        <w:widowControl w:val="0"/>
        <w:spacing w:after="339" w:line="1" w:lineRule="exact"/>
      </w:pPr>
    </w:p>
    <w:p>
      <w:pPr>
        <w:pStyle w:val="Style55"/>
        <w:keepNext/>
        <w:keepLines/>
        <w:widowControl w:val="0"/>
        <w:shd w:val="clear" w:color="auto" w:fill="auto"/>
        <w:bidi w:val="0"/>
        <w:spacing w:before="0" w:after="140" w:line="240" w:lineRule="auto"/>
        <w:ind w:left="0" w:right="0" w:firstLine="880"/>
        <w:jc w:val="both"/>
      </w:pPr>
      <w:bookmarkStart w:id="1886" w:name="bookmark1886"/>
      <w:bookmarkStart w:id="1887" w:name="bookmark1887"/>
      <w:bookmarkStart w:id="1888" w:name="bookmark1888"/>
      <w:bookmarkStart w:id="1889" w:name="bookmark1889"/>
      <w:r>
        <w:rPr>
          <w:rFonts w:ascii="Times New Roman" w:eastAsia="Times New Roman" w:hAnsi="Times New Roman" w:cs="Times New Roman"/>
          <w:color w:val="000000"/>
          <w:spacing w:val="0"/>
          <w:w w:val="100"/>
          <w:position w:val="0"/>
        </w:rPr>
        <w:t>8</w:t>
      </w:r>
      <w:bookmarkEnd w:id="1888"/>
      <w:r>
        <w:rPr>
          <w:rFonts w:ascii="Times New Roman" w:eastAsia="Times New Roman" w:hAnsi="Times New Roman" w:cs="Times New Roman"/>
          <w:color w:val="000000"/>
          <w:spacing w:val="0"/>
          <w:w w:val="100"/>
          <w:position w:val="0"/>
        </w:rPr>
        <w:t>0</w:t>
      </w:r>
      <w:r>
        <w:rPr>
          <w:color w:val="000000"/>
          <w:spacing w:val="0"/>
          <w:w w:val="100"/>
          <w:position w:val="0"/>
        </w:rPr>
        <w:t>、所有者权益变动表项目注释</w:t>
      </w:r>
      <w:bookmarkEnd w:id="1886"/>
      <w:bookmarkEnd w:id="1887"/>
      <w:bookmarkEnd w:id="1889"/>
    </w:p>
    <w:p>
      <w:pPr>
        <w:pStyle w:val="Style32"/>
        <w:keepNext w:val="0"/>
        <w:keepLines w:val="0"/>
        <w:widowControl w:val="0"/>
        <w:shd w:val="clear" w:color="auto" w:fill="auto"/>
        <w:bidi w:val="0"/>
        <w:spacing w:before="0" w:after="380" w:line="398" w:lineRule="exact"/>
        <w:ind w:left="880" w:right="0" w:firstLine="20"/>
        <w:jc w:val="both"/>
      </w:pPr>
      <w:r>
        <w:rPr>
          <w:color w:val="000000"/>
          <w:spacing w:val="0"/>
          <w:w w:val="100"/>
          <w:position w:val="0"/>
        </w:rPr>
        <w:t>说明对上年期末余额进行调整的</w:t>
      </w:r>
      <w:r>
        <w:rPr>
          <w:rFonts w:ascii="Times New Roman" w:eastAsia="Times New Roman" w:hAnsi="Times New Roman" w:cs="Times New Roman"/>
          <w:color w:val="000000"/>
          <w:spacing w:val="0"/>
          <w:w w:val="100"/>
          <w:position w:val="0"/>
        </w:rPr>
        <w:t>“</w:t>
      </w:r>
      <w:r>
        <w:rPr>
          <w:color w:val="000000"/>
          <w:spacing w:val="0"/>
          <w:w w:val="100"/>
          <w:position w:val="0"/>
        </w:rPr>
        <w:t>其他，，项目名称及调整金额等事项: 无</w:t>
      </w:r>
    </w:p>
    <w:p>
      <w:pPr>
        <w:pStyle w:val="Style55"/>
        <w:keepNext/>
        <w:keepLines/>
        <w:widowControl w:val="0"/>
        <w:shd w:val="clear" w:color="auto" w:fill="auto"/>
        <w:bidi w:val="0"/>
        <w:spacing w:before="0" w:after="340" w:line="240" w:lineRule="auto"/>
        <w:ind w:left="0" w:right="0" w:firstLine="880"/>
        <w:jc w:val="both"/>
      </w:pPr>
      <w:bookmarkStart w:id="1890" w:name="bookmark1890"/>
      <w:bookmarkStart w:id="1891" w:name="bookmark1891"/>
      <w:bookmarkStart w:id="1892" w:name="bookmark1892"/>
      <w:bookmarkStart w:id="1893" w:name="bookmark1893"/>
      <w:r>
        <w:rPr>
          <w:rFonts w:ascii="Times New Roman" w:eastAsia="Times New Roman" w:hAnsi="Times New Roman" w:cs="Times New Roman"/>
          <w:color w:val="000000"/>
          <w:spacing w:val="0"/>
          <w:w w:val="100"/>
          <w:position w:val="0"/>
        </w:rPr>
        <w:t>8</w:t>
      </w:r>
      <w:bookmarkEnd w:id="1892"/>
      <w:r>
        <w:rPr>
          <w:rFonts w:ascii="Times New Roman" w:eastAsia="Times New Roman" w:hAnsi="Times New Roman" w:cs="Times New Roman"/>
          <w:color w:val="000000"/>
          <w:spacing w:val="0"/>
          <w:w w:val="100"/>
          <w:position w:val="0"/>
        </w:rPr>
        <w:t>1</w:t>
      </w:r>
      <w:r>
        <w:rPr>
          <w:color w:val="000000"/>
          <w:spacing w:val="0"/>
          <w:w w:val="100"/>
          <w:position w:val="0"/>
        </w:rPr>
        <w:t>、所有权或使用权受到限制的资产</w:t>
      </w:r>
      <w:bookmarkEnd w:id="1890"/>
      <w:bookmarkEnd w:id="1891"/>
      <w:bookmarkEnd w:id="1893"/>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right"/>
        <w:tblLayout w:type="fixed"/>
      </w:tblPr>
      <w:tblGrid>
        <w:gridCol w:w="3336"/>
        <w:gridCol w:w="3058"/>
        <w:gridCol w:w="3192"/>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受限原因</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80" w:right="0" w:firstLine="0"/>
              <w:jc w:val="both"/>
            </w:pPr>
            <w:r>
              <w:rPr>
                <w:rFonts w:ascii="Times New Roman" w:eastAsia="Times New Roman" w:hAnsi="Times New Roman" w:cs="Times New Roman"/>
                <w:color w:val="000000"/>
                <w:spacing w:val="0"/>
                <w:w w:val="100"/>
                <w:position w:val="0"/>
              </w:rPr>
              <w:t>1,665,386.29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保证金【详见第十二节、七、</w:t>
            </w:r>
            <w:r>
              <w:rPr>
                <w:rFonts w:ascii="Times New Roman" w:eastAsia="Times New Roman" w:hAnsi="Times New Roman" w:cs="Times New Roman"/>
                <w:color w:val="000000"/>
                <w:spacing w:val="0"/>
                <w:w w:val="100"/>
                <w:position w:val="0"/>
              </w:rPr>
              <w:t>1</w:t>
            </w:r>
            <w:r>
              <w:rPr>
                <w:color w:val="000000"/>
                <w:spacing w:val="0"/>
                <w:w w:val="100"/>
                <w:position w:val="0"/>
              </w:rPr>
              <w:t>】</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000000"/>
                <w:spacing w:val="0"/>
                <w:w w:val="100"/>
                <w:position w:val="0"/>
              </w:rPr>
              <w:t>72,056,455.45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抵押担保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000000"/>
                <w:spacing w:val="0"/>
                <w:w w:val="100"/>
                <w:position w:val="0"/>
              </w:rPr>
              <w:t>11,730,789.75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抵押担保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80" w:right="0" w:firstLine="0"/>
              <w:jc w:val="both"/>
            </w:pPr>
            <w:r>
              <w:rPr>
                <w:rFonts w:ascii="Times New Roman" w:eastAsia="Times New Roman" w:hAnsi="Times New Roman" w:cs="Times New Roman"/>
                <w:color w:val="000000"/>
                <w:spacing w:val="0"/>
                <w:w w:val="100"/>
                <w:position w:val="0"/>
              </w:rPr>
              <w:t>5,358,532.41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质押担保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473,928.00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质押担保</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080" w:right="0" w:firstLine="0"/>
              <w:jc w:val="both"/>
            </w:pPr>
            <w:r>
              <w:rPr>
                <w:rFonts w:ascii="Times New Roman" w:eastAsia="Times New Roman" w:hAnsi="Times New Roman" w:cs="Times New Roman"/>
                <w:color w:val="000000"/>
                <w:spacing w:val="0"/>
                <w:w w:val="100"/>
                <w:position w:val="0"/>
              </w:rPr>
              <w:t>6,187,087.17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抵押担保</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000000"/>
                <w:spacing w:val="0"/>
                <w:w w:val="100"/>
                <w:position w:val="0"/>
              </w:rPr>
              <w:t>97,472,179.07</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pStyle w:val="Style32"/>
        <w:keepNext w:val="0"/>
        <w:keepLines w:val="0"/>
        <w:widowControl w:val="0"/>
        <w:shd w:val="clear" w:color="auto" w:fill="auto"/>
        <w:bidi w:val="0"/>
        <w:spacing w:before="0" w:after="0" w:line="314" w:lineRule="exact"/>
        <w:ind w:left="880" w:right="0" w:firstLine="20"/>
        <w:jc w:val="both"/>
      </w:pPr>
      <w:r>
        <w:rPr>
          <w:color w:val="000000"/>
          <w:spacing w:val="0"/>
          <w:w w:val="100"/>
          <w:position w:val="0"/>
        </w:rPr>
        <w:t>公司及子公司辽宁荣科金融服务有限公司分别与中国建设银行股份有限公司沈阳铁西支行(以下简称建行沈阳铁西支行)签 订《最高额抵押合同》，以其拥有的账面价值共计</w:t>
      </w:r>
      <w:r>
        <w:rPr>
          <w:rFonts w:ascii="Times New Roman" w:eastAsia="Times New Roman" w:hAnsi="Times New Roman" w:cs="Times New Roman"/>
          <w:color w:val="000000"/>
          <w:spacing w:val="0"/>
          <w:w w:val="100"/>
          <w:position w:val="0"/>
        </w:rPr>
        <w:t>8,073.68</w:t>
      </w:r>
      <w:r>
        <w:rPr>
          <w:color w:val="000000"/>
          <w:spacing w:val="0"/>
          <w:w w:val="100"/>
          <w:position w:val="0"/>
        </w:rPr>
        <w:t>万元的房产及土地使用权作为抵押，为其在</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 xml:space="preserve">日至 </w:t>
      </w: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日期间内办理的各类融资业务提供最高额不超过人民币</w:t>
      </w:r>
      <w:r>
        <w:rPr>
          <w:rFonts w:ascii="Times New Roman" w:eastAsia="Times New Roman" w:hAnsi="Times New Roman" w:cs="Times New Roman"/>
          <w:color w:val="000000"/>
          <w:spacing w:val="0"/>
          <w:w w:val="100"/>
          <w:position w:val="0"/>
        </w:rPr>
        <w:t>3,156.60</w:t>
      </w:r>
      <w:r>
        <w:rPr>
          <w:color w:val="000000"/>
          <w:spacing w:val="0"/>
          <w:w w:val="100"/>
          <w:position w:val="0"/>
        </w:rPr>
        <w:t>万元的抵押担保，截至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 前述抵押依然存在。</w:t>
      </w:r>
    </w:p>
    <w:p>
      <w:pPr>
        <w:pStyle w:val="Style32"/>
        <w:keepNext w:val="0"/>
        <w:keepLines w:val="0"/>
        <w:widowControl w:val="0"/>
        <w:shd w:val="clear" w:color="auto" w:fill="auto"/>
        <w:bidi w:val="0"/>
        <w:spacing w:before="0" w:after="240" w:line="310" w:lineRule="exact"/>
        <w:ind w:left="880" w:right="0" w:firstLine="20"/>
        <w:jc w:val="both"/>
        <w:sectPr>
          <w:headerReference w:type="default" r:id="rId489"/>
          <w:footerReference w:type="default" r:id="rId490"/>
          <w:headerReference w:type="even" r:id="rId491"/>
          <w:footerReference w:type="even" r:id="rId492"/>
          <w:footnotePr>
            <w:pos w:val="pageBottom"/>
            <w:numFmt w:val="decimal"/>
            <w:numRestart w:val="continuous"/>
          </w:footnotePr>
          <w:pgSz w:w="11900" w:h="16840"/>
          <w:pgMar w:top="692" w:right="1020" w:bottom="1162" w:left="219" w:header="0" w:footer="3" w:gutter="0"/>
          <w:cols w:space="720"/>
          <w:noEndnote/>
          <w:rtlGutter w:val="0"/>
          <w:docGrid w:linePitch="360"/>
        </w:sectPr>
      </w:pPr>
      <w:r>
        <w:rPr>
          <w:color w:val="000000"/>
          <w:spacing w:val="0"/>
          <w:w w:val="100"/>
          <w:position w:val="0"/>
        </w:rPr>
        <w:t>公司之子公司北京荣科爱信科技有限公司与建行沈阳铁西支行签订《主债权及不动产最高额抵押合同》，以其拥有的账面价 值共计</w:t>
      </w:r>
      <w:r>
        <w:rPr>
          <w:rFonts w:ascii="Times New Roman" w:eastAsia="Times New Roman" w:hAnsi="Times New Roman" w:cs="Times New Roman"/>
          <w:color w:val="000000"/>
          <w:spacing w:val="0"/>
          <w:w w:val="100"/>
          <w:position w:val="0"/>
        </w:rPr>
        <w:t>923.75</w:t>
      </w:r>
      <w:r>
        <w:rPr>
          <w:color w:val="000000"/>
          <w:spacing w:val="0"/>
          <w:w w:val="100"/>
          <w:position w:val="0"/>
        </w:rPr>
        <w:t>万元的的不动产作为抵押，为公司在</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日至</w:t>
      </w: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日期间内办理的各类融资业务提供 最高额不超过人民币</w:t>
      </w:r>
      <w:r>
        <w:rPr>
          <w:rFonts w:ascii="Times New Roman" w:eastAsia="Times New Roman" w:hAnsi="Times New Roman" w:cs="Times New Roman"/>
          <w:color w:val="000000"/>
          <w:spacing w:val="0"/>
          <w:w w:val="100"/>
          <w:position w:val="0"/>
        </w:rPr>
        <w:t>3,000.00</w:t>
      </w:r>
      <w:r>
        <w:rPr>
          <w:color w:val="000000"/>
          <w:spacing w:val="0"/>
          <w:w w:val="100"/>
          <w:position w:val="0"/>
        </w:rPr>
        <w:t>万元的抵押担保，截至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日，前述抵押依然存在。</w:t>
      </w:r>
    </w:p>
    <w:p>
      <w:pPr>
        <w:widowControl w:val="0"/>
        <w:spacing w:line="1" w:lineRule="exact"/>
      </w:pPr>
      <w:r>
        <mc:AlternateContent>
          <mc:Choice Requires="wps">
            <w:drawing>
              <wp:anchor distT="0" distB="0" distL="114300" distR="114300" simplePos="0" relativeHeight="125829672" behindDoc="0" locked="0" layoutInCell="1" allowOverlap="1">
                <wp:simplePos x="0" y="0"/>
                <wp:positionH relativeFrom="page">
                  <wp:posOffset>812165</wp:posOffset>
                </wp:positionH>
                <wp:positionV relativeFrom="paragraph">
                  <wp:posOffset>12700</wp:posOffset>
                </wp:positionV>
                <wp:extent cx="1243330" cy="298450"/>
                <wp:wrapTopAndBottom/>
                <wp:docPr id="1142" name="Shape 1142"/>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168" type="#_x0000_t202" style="position:absolute;margin-left:63.950000000000003pt;margin-top:1.pt;width:97.900000000000006pt;height:23.5pt;z-index:-125829081;mso-wrap-distance-left:9.pt;mso-wrap-distance-right:9.pt;mso-position-horizontal-relative:page"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v:shape>
            </w:pict>
          </mc:Fallback>
        </mc:AlternateContent>
      </w:r>
    </w:p>
    <w:p>
      <w:pPr>
        <w:pStyle w:val="Style32"/>
        <w:keepNext w:val="0"/>
        <w:keepLines w:val="0"/>
        <w:widowControl w:val="0"/>
        <w:shd w:val="clear" w:color="auto" w:fill="auto"/>
        <w:bidi w:val="0"/>
        <w:spacing w:before="0" w:after="80" w:line="240" w:lineRule="auto"/>
        <w:ind w:left="0" w:right="0" w:firstLine="980"/>
        <w:jc w:val="both"/>
      </w:pPr>
      <w:r>
        <w:rPr>
          <w:color w:val="000000"/>
          <w:spacing w:val="0"/>
          <w:w w:val="100"/>
          <w:position w:val="0"/>
        </w:rPr>
        <w:t>公司之子公司上海米健信息技术有限公司与上海创业接力融资担保有限公司签订担保合同，由上海创业接力融资担保有限公</w:t>
      </w:r>
    </w:p>
    <w:p>
      <w:pPr>
        <w:pStyle w:val="Style32"/>
        <w:keepNext w:val="0"/>
        <w:keepLines w:val="0"/>
        <w:widowControl w:val="0"/>
        <w:shd w:val="clear" w:color="auto" w:fill="auto"/>
        <w:bidi w:val="0"/>
        <w:spacing w:before="0" w:after="80" w:line="240" w:lineRule="auto"/>
        <w:ind w:left="0" w:right="0" w:firstLine="980"/>
        <w:jc w:val="both"/>
      </w:pPr>
      <w:r>
        <w:rPr>
          <w:color w:val="000000"/>
          <w:spacing w:val="0"/>
          <w:w w:val="100"/>
          <w:position w:val="0"/>
        </w:rPr>
        <w:t>司为上海米健信息技术有限公司与中国工商银行股份有限公司上海市杨浦支行签订的</w:t>
      </w:r>
      <w:r>
        <w:rPr>
          <w:rFonts w:ascii="Times New Roman" w:eastAsia="Times New Roman" w:hAnsi="Times New Roman" w:cs="Times New Roman"/>
          <w:color w:val="000000"/>
          <w:spacing w:val="0"/>
          <w:w w:val="100"/>
          <w:position w:val="0"/>
        </w:rPr>
        <w:t>300.00</w:t>
      </w:r>
      <w:r>
        <w:rPr>
          <w:color w:val="000000"/>
          <w:spacing w:val="0"/>
          <w:w w:val="100"/>
          <w:position w:val="0"/>
        </w:rPr>
        <w:t>万元借款提供保证担保，上海</w:t>
      </w:r>
    </w:p>
    <w:p>
      <w:pPr>
        <w:pStyle w:val="Style32"/>
        <w:keepNext w:val="0"/>
        <w:keepLines w:val="0"/>
        <w:widowControl w:val="0"/>
        <w:shd w:val="clear" w:color="auto" w:fill="auto"/>
        <w:bidi w:val="0"/>
        <w:spacing w:before="0" w:after="80" w:line="240" w:lineRule="auto"/>
        <w:ind w:left="0" w:right="0" w:firstLine="980"/>
        <w:jc w:val="both"/>
      </w:pPr>
      <w:r>
        <w:rPr>
          <w:color w:val="000000"/>
          <w:spacing w:val="0"/>
          <w:w w:val="100"/>
          <w:position w:val="0"/>
        </w:rPr>
        <w:t>米健信息技术有限公司以其</w:t>
      </w:r>
      <w:r>
        <w:rPr>
          <w:rFonts w:ascii="Times New Roman" w:eastAsia="Times New Roman" w:hAnsi="Times New Roman" w:cs="Times New Roman"/>
          <w:color w:val="000000"/>
          <w:spacing w:val="0"/>
          <w:w w:val="100"/>
          <w:position w:val="0"/>
        </w:rPr>
        <w:t>583.25</w:t>
      </w:r>
      <w:r>
        <w:rPr>
          <w:color w:val="000000"/>
          <w:spacing w:val="0"/>
          <w:w w:val="100"/>
          <w:position w:val="0"/>
        </w:rPr>
        <w:t>万元的应收账款及合同资产为前述担保提供质押反担保，截至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日，前述</w:t>
      </w:r>
    </w:p>
    <w:p>
      <w:pPr>
        <w:pStyle w:val="Style32"/>
        <w:keepNext w:val="0"/>
        <w:keepLines w:val="0"/>
        <w:widowControl w:val="0"/>
        <w:shd w:val="clear" w:color="auto" w:fill="auto"/>
        <w:bidi w:val="0"/>
        <w:spacing w:before="0" w:after="360" w:line="240" w:lineRule="auto"/>
        <w:ind w:left="0" w:right="0" w:firstLine="980"/>
        <w:jc w:val="left"/>
      </w:pPr>
      <w:r>
        <w:rPr>
          <w:color w:val="000000"/>
          <w:spacing w:val="0"/>
          <w:w w:val="100"/>
          <w:position w:val="0"/>
        </w:rPr>
        <w:t>质押依然存在。</w:t>
      </w:r>
    </w:p>
    <w:p>
      <w:pPr>
        <w:pStyle w:val="Style55"/>
        <w:keepNext/>
        <w:keepLines/>
        <w:widowControl w:val="0"/>
        <w:shd w:val="clear" w:color="auto" w:fill="auto"/>
        <w:tabs>
          <w:tab w:pos="1463" w:val="left"/>
        </w:tabs>
        <w:bidi w:val="0"/>
        <w:spacing w:before="0" w:after="360" w:line="240" w:lineRule="auto"/>
        <w:ind w:left="0" w:right="0" w:firstLine="980"/>
        <w:jc w:val="left"/>
      </w:pPr>
      <w:bookmarkStart w:id="1894" w:name="bookmark1894"/>
      <w:bookmarkStart w:id="1895" w:name="bookmark1895"/>
      <w:bookmarkStart w:id="1896" w:name="bookmark1896"/>
      <w:bookmarkStart w:id="1897" w:name="bookmark1897"/>
      <w:r>
        <w:rPr>
          <w:rFonts w:ascii="Times New Roman" w:eastAsia="Times New Roman" w:hAnsi="Times New Roman" w:cs="Times New Roman"/>
          <w:color w:val="000000"/>
          <w:spacing w:val="0"/>
          <w:w w:val="100"/>
          <w:position w:val="0"/>
        </w:rPr>
        <w:t>8</w:t>
      </w:r>
      <w:bookmarkEnd w:id="1896"/>
      <w:r>
        <w:rPr>
          <w:rFonts w:ascii="Times New Roman" w:eastAsia="Times New Roman" w:hAnsi="Times New Roman" w:cs="Times New Roman"/>
          <w:color w:val="000000"/>
          <w:spacing w:val="0"/>
          <w:w w:val="100"/>
          <w:position w:val="0"/>
        </w:rPr>
        <w:t>2</w:t>
      </w:r>
      <w:r>
        <w:rPr>
          <w:color w:val="000000"/>
          <w:spacing w:val="0"/>
          <w:w w:val="100"/>
          <w:position w:val="0"/>
        </w:rPr>
        <w:t>、</w:t>
        <w:tab/>
        <w:t>外币货币性项目</w:t>
      </w:r>
      <w:bookmarkEnd w:id="1894"/>
      <w:bookmarkEnd w:id="1895"/>
      <w:bookmarkEnd w:id="1897"/>
    </w:p>
    <w:p>
      <w:pPr>
        <w:pStyle w:val="Style32"/>
        <w:keepNext w:val="0"/>
        <w:keepLines w:val="0"/>
        <w:widowControl w:val="0"/>
        <w:shd w:val="clear" w:color="auto" w:fill="auto"/>
        <w:bidi w:val="0"/>
        <w:spacing w:before="0" w:after="360" w:line="240" w:lineRule="auto"/>
        <w:ind w:left="0" w:right="0" w:firstLine="980"/>
        <w:jc w:val="left"/>
      </w:pPr>
      <w:r>
        <w:rPr>
          <w:color w:val="000000"/>
          <w:spacing w:val="0"/>
          <w:w w:val="100"/>
          <w:position w:val="0"/>
        </w:rPr>
        <w:t>无</w:t>
      </w:r>
    </w:p>
    <w:p>
      <w:pPr>
        <w:pStyle w:val="Style55"/>
        <w:keepNext/>
        <w:keepLines/>
        <w:widowControl w:val="0"/>
        <w:shd w:val="clear" w:color="auto" w:fill="auto"/>
        <w:tabs>
          <w:tab w:pos="1463" w:val="left"/>
        </w:tabs>
        <w:bidi w:val="0"/>
        <w:spacing w:before="0" w:after="360" w:line="240" w:lineRule="auto"/>
        <w:ind w:left="0" w:right="0" w:firstLine="980"/>
        <w:jc w:val="left"/>
      </w:pPr>
      <w:bookmarkStart w:id="1898" w:name="bookmark1898"/>
      <w:bookmarkStart w:id="1899" w:name="bookmark1899"/>
      <w:bookmarkStart w:id="1900" w:name="bookmark1900"/>
      <w:bookmarkStart w:id="1901" w:name="bookmark1901"/>
      <w:r>
        <w:rPr>
          <w:rFonts w:ascii="Times New Roman" w:eastAsia="Times New Roman" w:hAnsi="Times New Roman" w:cs="Times New Roman"/>
          <w:color w:val="000000"/>
          <w:spacing w:val="0"/>
          <w:w w:val="100"/>
          <w:position w:val="0"/>
        </w:rPr>
        <w:t>8</w:t>
      </w:r>
      <w:bookmarkEnd w:id="1900"/>
      <w:r>
        <w:rPr>
          <w:rFonts w:ascii="Times New Roman" w:eastAsia="Times New Roman" w:hAnsi="Times New Roman" w:cs="Times New Roman"/>
          <w:color w:val="000000"/>
          <w:spacing w:val="0"/>
          <w:w w:val="100"/>
          <w:position w:val="0"/>
        </w:rPr>
        <w:t>3</w:t>
      </w:r>
      <w:r>
        <w:rPr>
          <w:color w:val="000000"/>
          <w:spacing w:val="0"/>
          <w:w w:val="100"/>
          <w:position w:val="0"/>
        </w:rPr>
        <w:t>、</w:t>
        <w:tab/>
        <w:t>套期</w:t>
      </w:r>
      <w:bookmarkEnd w:id="1898"/>
      <w:bookmarkEnd w:id="1899"/>
      <w:bookmarkEnd w:id="1901"/>
    </w:p>
    <w:p>
      <w:pPr>
        <w:pStyle w:val="Style32"/>
        <w:keepNext w:val="0"/>
        <w:keepLines w:val="0"/>
        <w:widowControl w:val="0"/>
        <w:shd w:val="clear" w:color="auto" w:fill="auto"/>
        <w:bidi w:val="0"/>
        <w:spacing w:before="0" w:after="360" w:line="240" w:lineRule="auto"/>
        <w:ind w:left="0" w:right="0" w:firstLine="980"/>
        <w:jc w:val="left"/>
      </w:pPr>
      <w:r>
        <w:rPr>
          <w:color w:val="000000"/>
          <w:spacing w:val="0"/>
          <w:w w:val="100"/>
          <w:position w:val="0"/>
        </w:rPr>
        <w:t>无</w:t>
      </w:r>
    </w:p>
    <w:p>
      <w:pPr>
        <w:pStyle w:val="Style55"/>
        <w:keepNext/>
        <w:keepLines/>
        <w:widowControl w:val="0"/>
        <w:shd w:val="clear" w:color="auto" w:fill="auto"/>
        <w:tabs>
          <w:tab w:pos="1463" w:val="left"/>
        </w:tabs>
        <w:bidi w:val="0"/>
        <w:spacing w:before="0" w:after="360" w:line="240" w:lineRule="auto"/>
        <w:ind w:left="0" w:right="0" w:firstLine="980"/>
        <w:jc w:val="left"/>
      </w:pPr>
      <w:bookmarkStart w:id="1902" w:name="bookmark1902"/>
      <w:bookmarkStart w:id="1903" w:name="bookmark1903"/>
      <w:bookmarkStart w:id="1904" w:name="bookmark1904"/>
      <w:bookmarkStart w:id="1905" w:name="bookmark1905"/>
      <w:r>
        <w:rPr>
          <w:rFonts w:ascii="Times New Roman" w:eastAsia="Times New Roman" w:hAnsi="Times New Roman" w:cs="Times New Roman"/>
          <w:color w:val="000000"/>
          <w:spacing w:val="0"/>
          <w:w w:val="100"/>
          <w:position w:val="0"/>
        </w:rPr>
        <w:t>8</w:t>
      </w:r>
      <w:bookmarkEnd w:id="1904"/>
      <w:r>
        <w:rPr>
          <w:rFonts w:ascii="Times New Roman" w:eastAsia="Times New Roman" w:hAnsi="Times New Roman" w:cs="Times New Roman"/>
          <w:color w:val="000000"/>
          <w:spacing w:val="0"/>
          <w:w w:val="100"/>
          <w:position w:val="0"/>
        </w:rPr>
        <w:t>4</w:t>
      </w:r>
      <w:r>
        <w:rPr>
          <w:color w:val="000000"/>
          <w:spacing w:val="0"/>
          <w:w w:val="100"/>
          <w:position w:val="0"/>
        </w:rPr>
        <w:t>、</w:t>
        <w:tab/>
        <w:t>政府补助</w:t>
      </w:r>
      <w:bookmarkEnd w:id="1902"/>
      <w:bookmarkEnd w:id="1903"/>
      <w:bookmarkEnd w:id="1905"/>
    </w:p>
    <w:p>
      <w:pPr>
        <w:pStyle w:val="Style55"/>
        <w:keepNext/>
        <w:keepLines/>
        <w:widowControl w:val="0"/>
        <w:shd w:val="clear" w:color="auto" w:fill="auto"/>
        <w:bidi w:val="0"/>
        <w:spacing w:before="0" w:after="360" w:line="240" w:lineRule="auto"/>
        <w:ind w:left="0" w:right="0" w:firstLine="980"/>
        <w:jc w:val="left"/>
      </w:pPr>
      <w:bookmarkStart w:id="1902" w:name="bookmark1902"/>
      <w:bookmarkStart w:id="1903" w:name="bookmark1903"/>
      <w:bookmarkStart w:id="1906" w:name="bookmark190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）政府补助基本情况</w:t>
      </w:r>
      <w:bookmarkEnd w:id="1902"/>
      <w:bookmarkEnd w:id="1903"/>
      <w:bookmarkEnd w:id="1906"/>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right"/>
        <w:tblLayout w:type="fixed"/>
      </w:tblPr>
      <w:tblGrid>
        <w:gridCol w:w="2400"/>
        <w:gridCol w:w="2390"/>
        <w:gridCol w:w="2395"/>
        <w:gridCol w:w="2400"/>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列报项目</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计入当期损益的金额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13,378,496.00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31,440,706.64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31,440,706.64</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227,545.98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227,545.98</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980"/>
        <w:jc w:val="left"/>
      </w:pPr>
      <w:bookmarkStart w:id="1907" w:name="bookmark1907"/>
      <w:bookmarkStart w:id="1908" w:name="bookmark1908"/>
      <w:bookmarkStart w:id="1909" w:name="bookmark1909"/>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）政府补助退回情况</w:t>
      </w:r>
      <w:bookmarkEnd w:id="1907"/>
      <w:bookmarkEnd w:id="1908"/>
      <w:bookmarkEnd w:id="1909"/>
    </w:p>
    <w:p>
      <w:pPr>
        <w:pStyle w:val="Style32"/>
        <w:keepNext w:val="0"/>
        <w:keepLines w:val="0"/>
        <w:widowControl w:val="0"/>
        <w:shd w:val="clear" w:color="auto" w:fill="auto"/>
        <w:bidi w:val="0"/>
        <w:spacing w:before="0" w:after="36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bidi w:val="0"/>
        <w:spacing w:before="0" w:after="960" w:line="240" w:lineRule="auto"/>
        <w:ind w:left="0" w:right="0" w:firstLine="980"/>
        <w:jc w:val="left"/>
      </w:pPr>
      <w:bookmarkStart w:id="1910" w:name="bookmark1910"/>
      <w:bookmarkStart w:id="1911" w:name="bookmark1911"/>
      <w:bookmarkStart w:id="1912" w:name="bookmark1912"/>
      <w:bookmarkStart w:id="1913" w:name="bookmark1913"/>
      <w:r>
        <w:rPr>
          <w:rFonts w:ascii="Times New Roman" w:eastAsia="Times New Roman" w:hAnsi="Times New Roman" w:cs="Times New Roman"/>
          <w:color w:val="000000"/>
          <w:spacing w:val="0"/>
          <w:w w:val="100"/>
          <w:position w:val="0"/>
        </w:rPr>
        <w:t>8</w:t>
      </w:r>
      <w:bookmarkEnd w:id="1912"/>
      <w:r>
        <w:rPr>
          <w:rFonts w:ascii="Times New Roman" w:eastAsia="Times New Roman" w:hAnsi="Times New Roman" w:cs="Times New Roman"/>
          <w:color w:val="000000"/>
          <w:spacing w:val="0"/>
          <w:w w:val="100"/>
          <w:position w:val="0"/>
        </w:rPr>
        <w:t>5</w:t>
      </w:r>
      <w:r>
        <w:rPr>
          <w:color w:val="000000"/>
          <w:spacing w:val="0"/>
          <w:w w:val="100"/>
          <w:position w:val="0"/>
        </w:rPr>
        <w:t>、其他</w:t>
      </w:r>
      <w:bookmarkEnd w:id="1910"/>
      <w:bookmarkEnd w:id="1911"/>
      <w:bookmarkEnd w:id="1913"/>
    </w:p>
    <w:p>
      <w:pPr>
        <w:pStyle w:val="Style47"/>
        <w:keepNext/>
        <w:keepLines/>
        <w:widowControl w:val="0"/>
        <w:shd w:val="clear" w:color="auto" w:fill="auto"/>
        <w:bidi w:val="0"/>
        <w:spacing w:before="0" w:after="360" w:line="240" w:lineRule="auto"/>
        <w:ind w:left="0" w:right="0" w:firstLine="980"/>
        <w:jc w:val="both"/>
      </w:pPr>
      <w:bookmarkStart w:id="1914" w:name="bookmark1914"/>
      <w:bookmarkStart w:id="1915" w:name="bookmark1915"/>
      <w:bookmarkStart w:id="1916" w:name="bookmark1916"/>
      <w:bookmarkStart w:id="1917" w:name="bookmark1917"/>
      <w:r>
        <w:rPr>
          <w:color w:val="000000"/>
          <w:spacing w:val="0"/>
          <w:w w:val="100"/>
          <w:position w:val="0"/>
          <w:sz w:val="24"/>
          <w:szCs w:val="24"/>
        </w:rPr>
        <w:t>八</w:t>
      </w:r>
      <w:bookmarkEnd w:id="1916"/>
      <w:r>
        <w:rPr>
          <w:color w:val="000000"/>
          <w:spacing w:val="0"/>
          <w:w w:val="100"/>
          <w:position w:val="0"/>
          <w:sz w:val="24"/>
          <w:szCs w:val="24"/>
        </w:rPr>
        <w:t>、合并范围的变更</w:t>
      </w:r>
      <w:bookmarkEnd w:id="1914"/>
      <w:bookmarkEnd w:id="1915"/>
      <w:bookmarkEnd w:id="1917"/>
    </w:p>
    <w:p>
      <w:pPr>
        <w:pStyle w:val="Style55"/>
        <w:keepNext/>
        <w:keepLines/>
        <w:widowControl w:val="0"/>
        <w:shd w:val="clear" w:color="auto" w:fill="auto"/>
        <w:bidi w:val="0"/>
        <w:spacing w:before="0" w:after="360" w:line="240" w:lineRule="auto"/>
        <w:ind w:left="0" w:right="0" w:firstLine="980"/>
        <w:jc w:val="both"/>
      </w:pPr>
      <w:bookmarkStart w:id="1918" w:name="bookmark1918"/>
      <w:bookmarkStart w:id="1919" w:name="bookmark1919"/>
      <w:bookmarkStart w:id="1920" w:name="bookmark1920"/>
      <w:bookmarkStart w:id="1921" w:name="bookmark1921"/>
      <w:r>
        <w:rPr>
          <w:rFonts w:ascii="Times New Roman" w:eastAsia="Times New Roman" w:hAnsi="Times New Roman" w:cs="Times New Roman"/>
          <w:color w:val="000000"/>
          <w:spacing w:val="0"/>
          <w:w w:val="100"/>
          <w:position w:val="0"/>
        </w:rPr>
        <w:t>1</w:t>
      </w:r>
      <w:bookmarkEnd w:id="1920"/>
      <w:r>
        <w:rPr>
          <w:color w:val="000000"/>
          <w:spacing w:val="0"/>
          <w:w w:val="100"/>
          <w:position w:val="0"/>
        </w:rPr>
        <w:t>、非同一控制下企业合并</w:t>
      </w:r>
      <w:bookmarkEnd w:id="1918"/>
      <w:bookmarkEnd w:id="1919"/>
      <w:bookmarkEnd w:id="1921"/>
    </w:p>
    <w:p>
      <w:pPr>
        <w:pStyle w:val="Style55"/>
        <w:keepNext/>
        <w:keepLines/>
        <w:widowControl w:val="0"/>
        <w:shd w:val="clear" w:color="auto" w:fill="auto"/>
        <w:bidi w:val="0"/>
        <w:spacing w:before="0" w:after="360" w:line="240" w:lineRule="auto"/>
        <w:ind w:left="1100" w:right="0" w:firstLine="0"/>
        <w:jc w:val="left"/>
      </w:pPr>
      <w:bookmarkStart w:id="1918" w:name="bookmark1918"/>
      <w:bookmarkStart w:id="1919" w:name="bookmark1919"/>
      <w:bookmarkStart w:id="1922" w:name="bookmark1922"/>
      <w:r>
        <w:rPr>
          <w:rFonts w:ascii="Times New Roman" w:eastAsia="Times New Roman" w:hAnsi="Times New Roman" w:cs="Times New Roman"/>
          <w:color w:val="000000"/>
          <w:spacing w:val="0"/>
          <w:w w:val="100"/>
          <w:position w:val="0"/>
        </w:rPr>
        <w:t>（1</w:t>
      </w:r>
      <w:r>
        <w:rPr>
          <w:color w:val="000000"/>
          <w:spacing w:val="0"/>
          <w:w w:val="100"/>
          <w:position w:val="0"/>
        </w:rPr>
        <w:t>）本期发生的非同一控制下企业合并</w:t>
      </w:r>
      <w:bookmarkEnd w:id="1918"/>
      <w:bookmarkEnd w:id="1919"/>
      <w:bookmarkEnd w:id="1922"/>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center"/>
        <w:tblLayout w:type="fixed"/>
      </w:tblPr>
      <w:tblGrid>
        <w:gridCol w:w="1992"/>
        <w:gridCol w:w="1272"/>
        <w:gridCol w:w="1138"/>
        <w:gridCol w:w="850"/>
        <w:gridCol w:w="850"/>
        <w:gridCol w:w="1282"/>
        <w:gridCol w:w="845"/>
        <w:gridCol w:w="1133"/>
        <w:gridCol w:w="1214"/>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被购买方名称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股权取得时点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股权取得成本</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股权取得比</w:t>
            </w:r>
          </w:p>
          <w:p>
            <w:pPr>
              <w:pStyle w:val="Style44"/>
              <w:keepNext w:val="0"/>
              <w:keepLines w:val="0"/>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5"/>
                <w:szCs w:val="15"/>
              </w:rPr>
              <w:t>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股权取得方</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购买日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购买日的确</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定依据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right"/>
              <w:rPr>
                <w:sz w:val="15"/>
                <w:szCs w:val="15"/>
              </w:rPr>
            </w:pPr>
            <w:r>
              <w:rPr>
                <w:color w:val="000000"/>
                <w:spacing w:val="0"/>
                <w:w w:val="100"/>
                <w:position w:val="0"/>
                <w:sz w:val="15"/>
                <w:szCs w:val="15"/>
              </w:rPr>
              <w:t>购买日至期末被</w:t>
            </w:r>
          </w:p>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购买方的收入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right"/>
              <w:rPr>
                <w:sz w:val="15"/>
                <w:szCs w:val="15"/>
              </w:rPr>
            </w:pPr>
            <w:r>
              <w:rPr>
                <w:color w:val="000000"/>
                <w:spacing w:val="0"/>
                <w:w w:val="100"/>
                <w:position w:val="0"/>
                <w:sz w:val="15"/>
                <w:szCs w:val="15"/>
              </w:rPr>
              <w:t>购买日至期末被</w:t>
            </w:r>
          </w:p>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购买方的净利润</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上海今创信息技术有限公司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2020</w:t>
            </w:r>
            <w:r>
              <w:rPr>
                <w:color w:val="000000"/>
                <w:spacing w:val="0"/>
                <w:w w:val="100"/>
                <w:position w:val="0"/>
                <w:sz w:val="15"/>
                <w:szCs w:val="15"/>
              </w:rPr>
              <w:t>年</w:t>
            </w:r>
            <w:r>
              <w:rPr>
                <w:rFonts w:ascii="Times New Roman" w:eastAsia="Times New Roman" w:hAnsi="Times New Roman" w:cs="Times New Roman"/>
                <w:color w:val="000000"/>
                <w:spacing w:val="0"/>
                <w:w w:val="100"/>
                <w:position w:val="0"/>
                <w:sz w:val="15"/>
                <w:szCs w:val="15"/>
              </w:rPr>
              <w:t>03</w:t>
            </w:r>
            <w:r>
              <w:rPr>
                <w:color w:val="000000"/>
                <w:spacing w:val="0"/>
                <w:w w:val="100"/>
                <w:position w:val="0"/>
                <w:sz w:val="15"/>
                <w:szCs w:val="15"/>
              </w:rPr>
              <w:t>月</w:t>
            </w:r>
            <w:r>
              <w:rPr>
                <w:rFonts w:ascii="Times New Roman" w:eastAsia="Times New Roman" w:hAnsi="Times New Roman" w:cs="Times New Roman"/>
                <w:color w:val="000000"/>
                <w:spacing w:val="0"/>
                <w:w w:val="100"/>
                <w:position w:val="0"/>
                <w:sz w:val="15"/>
                <w:szCs w:val="15"/>
              </w:rPr>
              <w:t>01</w:t>
            </w:r>
            <w:r>
              <w:rPr>
                <w:color w:val="000000"/>
                <w:spacing w:val="0"/>
                <w:w w:val="100"/>
                <w:position w:val="0"/>
                <w:sz w:val="15"/>
                <w:szCs w:val="15"/>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209,999,991.60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40"/>
              <w:jc w:val="left"/>
              <w:rPr>
                <w:sz w:val="15"/>
                <w:szCs w:val="15"/>
              </w:rPr>
            </w:pPr>
            <w:r>
              <w:rPr>
                <w:rFonts w:ascii="Times New Roman" w:eastAsia="Times New Roman" w:hAnsi="Times New Roman" w:cs="Times New Roman"/>
                <w:color w:val="000000"/>
                <w:spacing w:val="0"/>
                <w:w w:val="100"/>
                <w:position w:val="0"/>
                <w:sz w:val="15"/>
                <w:szCs w:val="15"/>
              </w:rPr>
              <w:t>70.00%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收购股权</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2020</w:t>
            </w:r>
            <w:r>
              <w:rPr>
                <w:color w:val="000000"/>
                <w:spacing w:val="0"/>
                <w:w w:val="100"/>
                <w:position w:val="0"/>
                <w:sz w:val="15"/>
                <w:szCs w:val="15"/>
              </w:rPr>
              <w:t>年</w:t>
            </w:r>
            <w:r>
              <w:rPr>
                <w:rFonts w:ascii="Times New Roman" w:eastAsia="Times New Roman" w:hAnsi="Times New Roman" w:cs="Times New Roman"/>
                <w:color w:val="000000"/>
                <w:spacing w:val="0"/>
                <w:w w:val="100"/>
                <w:position w:val="0"/>
                <w:sz w:val="15"/>
                <w:szCs w:val="15"/>
              </w:rPr>
              <w:t>03</w:t>
            </w:r>
            <w:r>
              <w:rPr>
                <w:color w:val="000000"/>
                <w:spacing w:val="0"/>
                <w:w w:val="100"/>
                <w:position w:val="0"/>
                <w:sz w:val="15"/>
                <w:szCs w:val="15"/>
              </w:rPr>
              <w:t>月</w:t>
            </w:r>
            <w:r>
              <w:rPr>
                <w:rFonts w:ascii="Times New Roman" w:eastAsia="Times New Roman" w:hAnsi="Times New Roman" w:cs="Times New Roman"/>
                <w:color w:val="000000"/>
                <w:spacing w:val="0"/>
                <w:w w:val="100"/>
                <w:position w:val="0"/>
                <w:sz w:val="15"/>
                <w:szCs w:val="15"/>
              </w:rPr>
              <w:t>01</w:t>
            </w:r>
            <w:r>
              <w:rPr>
                <w:color w:val="000000"/>
                <w:spacing w:val="0"/>
                <w:w w:val="100"/>
                <w:position w:val="0"/>
                <w:sz w:val="15"/>
                <w:szCs w:val="15"/>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rPr>
              <w:t>取得控制权</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101,132,746.87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32,321,988.63</w:t>
            </w:r>
          </w:p>
        </w:tc>
      </w:tr>
    </w:tbl>
    <w:p>
      <w:pPr>
        <w:spacing w:lineRule="exact" w:line="1"/>
        <w:rPr>
          <w:sz w:val="2"/>
          <w:szCs w:val="2"/>
        </w:rPr>
      </w:pPr>
      <w:r>
        <w:br w:type="page"/>
      </w:r>
    </w:p>
    <w:p>
      <w:pPr>
        <w:pStyle w:val="Style5"/>
        <w:keepNext w:val="0"/>
        <w:keepLines w:val="0"/>
        <w:widowControl w:val="0"/>
        <w:shd w:val="clear" w:color="auto" w:fill="auto"/>
        <w:tabs>
          <w:tab w:pos="624" w:val="left"/>
        </w:tabs>
        <w:bidi w:val="0"/>
        <w:spacing w:before="0" w:after="0"/>
        <w:ind w:left="0" w:right="0" w:firstLine="0"/>
        <w:jc w:val="center"/>
        <w:rPr>
          <w:sz w:val="18"/>
          <w:szCs w:val="18"/>
        </w:rPr>
      </w:pPr>
      <w:r>
        <mc:AlternateContent>
          <mc:Choice Requires="wps">
            <w:drawing>
              <wp:anchor distT="0" distB="0" distL="114300" distR="114300" simplePos="0" relativeHeight="125829674" behindDoc="0" locked="0" layoutInCell="1" allowOverlap="1">
                <wp:simplePos x="0" y="0"/>
                <wp:positionH relativeFrom="page">
                  <wp:posOffset>714375</wp:posOffset>
                </wp:positionH>
                <wp:positionV relativeFrom="paragraph">
                  <wp:posOffset>292100</wp:posOffset>
                </wp:positionV>
                <wp:extent cx="597535" cy="143510"/>
                <wp:wrapTopAndBottom/>
                <wp:docPr id="1144" name="Shape 1144"/>
                <a:graphic xmlns:a="http://schemas.openxmlformats.org/drawingml/2006/main">
                  <a:graphicData uri="http://schemas.microsoft.com/office/word/2010/wordprocessingShape">
                    <wps:wsp>
                      <wps:cNvSpPr txBox="1"/>
                      <wps:spPr>
                        <a:xfrm>
                          <a:ext cx="597535" cy="14351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txbxContent>
                      </wps:txbx>
                      <wps:bodyPr wrap="none" lIns="0" tIns="0" rIns="0" bIns="0">
                        <a:noAutoFit/>
                      </wps:bodyPr>
                    </wps:wsp>
                  </a:graphicData>
                </a:graphic>
              </wp:anchor>
            </w:drawing>
          </mc:Choice>
          <mc:Fallback>
            <w:pict>
              <v:shape id="_x0000_s2170" type="#_x0000_t202" style="position:absolute;margin-left:56.25pt;margin-top:23.pt;width:47.050000000000004pt;height:11.300000000000001pt;z-index:-125829079;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txbxContent>
                </v:textbox>
                <w10:wrap type="topAndBottom" anchorx="page"/>
              </v:shape>
            </w:pict>
          </mc:Fallback>
        </mc:AlternateContent>
      </w: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国家高新技术企业</w:t>
        <w:br/>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32"/>
        <w:keepNext w:val="0"/>
        <w:keepLines w:val="0"/>
        <w:widowControl w:val="0"/>
        <w:shd w:val="clear" w:color="auto" w:fill="auto"/>
        <w:bidi w:val="0"/>
        <w:spacing w:before="0" w:after="380" w:line="312" w:lineRule="exact"/>
        <w:ind w:left="980" w:right="0" w:firstLine="0"/>
        <w:jc w:val="both"/>
      </w:pPr>
      <w:r>
        <w:rPr>
          <w:color w:val="000000"/>
          <w:spacing w:val="0"/>
          <w:w w:val="100"/>
          <w:position w:val="0"/>
        </w:rPr>
        <w:t>上海今创信息技术有限公司之子公司上海今创软件技术有限公司、南京今创信息技术有限公司本次合并报表将其纳入合并范 围。</w:t>
      </w:r>
    </w:p>
    <w:p>
      <w:pPr>
        <w:pStyle w:val="Style55"/>
        <w:keepNext/>
        <w:keepLines/>
        <w:widowControl w:val="0"/>
        <w:shd w:val="clear" w:color="auto" w:fill="auto"/>
        <w:bidi w:val="0"/>
        <w:spacing w:before="0" w:after="380" w:line="240" w:lineRule="auto"/>
        <w:ind w:left="1100" w:right="0" w:firstLine="0"/>
        <w:jc w:val="left"/>
      </w:pPr>
      <w:bookmarkStart w:id="1923" w:name="bookmark1923"/>
      <w:bookmarkStart w:id="1924" w:name="bookmark1924"/>
      <w:bookmarkStart w:id="1925" w:name="bookmark1925"/>
      <w:r>
        <w:rPr>
          <w:rFonts w:ascii="Times New Roman" w:eastAsia="Times New Roman" w:hAnsi="Times New Roman" w:cs="Times New Roman"/>
          <w:color w:val="000000"/>
          <w:spacing w:val="0"/>
          <w:w w:val="100"/>
          <w:position w:val="0"/>
        </w:rPr>
        <w:t>(2</w:t>
      </w:r>
      <w:r>
        <w:rPr>
          <w:color w:val="000000"/>
          <w:spacing w:val="0"/>
          <w:w w:val="100"/>
          <w:position w:val="0"/>
        </w:rPr>
        <w:t>)合并成本及商誉</w:t>
      </w:r>
      <w:bookmarkEnd w:id="1923"/>
      <w:bookmarkEnd w:id="1924"/>
      <w:bookmarkEnd w:id="1925"/>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right"/>
        <w:tblLayout w:type="fixed"/>
      </w:tblPr>
      <w:tblGrid>
        <w:gridCol w:w="5112"/>
        <w:gridCol w:w="4474"/>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合并成本</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上海今创信息技术有限公司</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现金</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92,400,000.00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发行的权益性证券的公允价值</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117,599,991.60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合并成本合计</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209,999,991.60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减：取得的可辨认净资产公允价值份额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65,485,500.26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商誉</w:t>
            </w:r>
            <w:r>
              <w:rPr>
                <w:rFonts w:ascii="Times New Roman" w:eastAsia="Times New Roman" w:hAnsi="Times New Roman" w:cs="Times New Roman"/>
                <w:color w:val="000000"/>
                <w:spacing w:val="0"/>
                <w:w w:val="100"/>
                <w:position w:val="0"/>
              </w:rPr>
              <w:t>/</w:t>
            </w:r>
            <w:r>
              <w:rPr>
                <w:color w:val="000000"/>
                <w:spacing w:val="0"/>
                <w:w w:val="100"/>
                <w:position w:val="0"/>
              </w:rPr>
              <w:t>合并成本小于取得的可辨认净资产公允价值份额的金额</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144,514,491.34</w:t>
            </w:r>
          </w:p>
        </w:tc>
      </w:tr>
    </w:tbl>
    <w:p>
      <w:pPr>
        <w:pStyle w:val="Style32"/>
        <w:keepNext w:val="0"/>
        <w:keepLines w:val="0"/>
        <w:widowControl w:val="0"/>
        <w:shd w:val="clear" w:color="auto" w:fill="auto"/>
        <w:bidi w:val="0"/>
        <w:spacing w:before="0" w:after="0" w:line="314" w:lineRule="exact"/>
        <w:ind w:left="980" w:right="0" w:firstLine="0"/>
        <w:jc w:val="both"/>
      </w:pPr>
      <w:r>
        <w:rPr>
          <w:color w:val="000000"/>
          <w:spacing w:val="0"/>
          <w:w w:val="100"/>
          <w:position w:val="0"/>
        </w:rPr>
        <w:t>大额商誉形成的主要原因：</w:t>
      </w:r>
    </w:p>
    <w:p>
      <w:pPr>
        <w:pStyle w:val="Style32"/>
        <w:keepNext w:val="0"/>
        <w:keepLines w:val="0"/>
        <w:widowControl w:val="0"/>
        <w:shd w:val="clear" w:color="auto" w:fill="auto"/>
        <w:bidi w:val="0"/>
        <w:spacing w:before="0" w:after="380" w:line="314" w:lineRule="exact"/>
        <w:ind w:left="980" w:right="0" w:firstLine="0"/>
        <w:jc w:val="both"/>
      </w:pPr>
      <w:r>
        <w:rPr>
          <w:color w:val="000000"/>
          <w:spacing w:val="0"/>
          <w:w w:val="100"/>
          <w:position w:val="0"/>
        </w:rPr>
        <w:t>报告期内，公司收购上海今创信息技术有限公司</w:t>
      </w:r>
      <w:r>
        <w:rPr>
          <w:rFonts w:ascii="Times New Roman" w:eastAsia="Times New Roman" w:hAnsi="Times New Roman" w:cs="Times New Roman"/>
          <w:color w:val="000000"/>
          <w:spacing w:val="0"/>
          <w:w w:val="100"/>
          <w:position w:val="0"/>
        </w:rPr>
        <w:t>70%</w:t>
      </w:r>
      <w:r>
        <w:rPr>
          <w:color w:val="000000"/>
          <w:spacing w:val="0"/>
          <w:w w:val="100"/>
          <w:position w:val="0"/>
        </w:rPr>
        <w:t>股权，合并成本为</w:t>
      </w:r>
      <w:r>
        <w:rPr>
          <w:rFonts w:ascii="Times New Roman" w:eastAsia="Times New Roman" w:hAnsi="Times New Roman" w:cs="Times New Roman"/>
          <w:color w:val="000000"/>
          <w:spacing w:val="0"/>
          <w:w w:val="100"/>
          <w:position w:val="0"/>
        </w:rPr>
        <w:t>209,999,991.60</w:t>
      </w:r>
      <w:r>
        <w:rPr>
          <w:color w:val="000000"/>
          <w:spacing w:val="0"/>
          <w:w w:val="100"/>
          <w:position w:val="0"/>
        </w:rPr>
        <w:t>元。购买日，上海今创信息技术有限 公司可辨认净资产公允价值为</w:t>
      </w:r>
      <w:r>
        <w:rPr>
          <w:rFonts w:ascii="Times New Roman" w:eastAsia="Times New Roman" w:hAnsi="Times New Roman" w:cs="Times New Roman"/>
          <w:color w:val="000000"/>
          <w:spacing w:val="0"/>
          <w:w w:val="100"/>
          <w:position w:val="0"/>
        </w:rPr>
        <w:t>93,550,714.65</w:t>
      </w:r>
      <w:r>
        <w:rPr>
          <w:color w:val="000000"/>
          <w:spacing w:val="0"/>
          <w:w w:val="100"/>
          <w:position w:val="0"/>
        </w:rPr>
        <w:t>元，归属于公司的可辨认净资产公允价值为</w:t>
      </w:r>
      <w:r>
        <w:rPr>
          <w:rFonts w:ascii="Times New Roman" w:eastAsia="Times New Roman" w:hAnsi="Times New Roman" w:cs="Times New Roman"/>
          <w:color w:val="000000"/>
          <w:spacing w:val="0"/>
          <w:w w:val="100"/>
          <w:position w:val="0"/>
        </w:rPr>
        <w:t>65,485,500.26</w:t>
      </w:r>
      <w:r>
        <w:rPr>
          <w:color w:val="000000"/>
          <w:spacing w:val="0"/>
          <w:w w:val="100"/>
          <w:position w:val="0"/>
        </w:rPr>
        <w:t>元，合并成本大于合 并中取得的被购买方可辨认净资产公允价值份额的差额</w:t>
      </w:r>
      <w:r>
        <w:rPr>
          <w:rFonts w:ascii="Times New Roman" w:eastAsia="Times New Roman" w:hAnsi="Times New Roman" w:cs="Times New Roman"/>
          <w:color w:val="000000"/>
          <w:spacing w:val="0"/>
          <w:w w:val="100"/>
          <w:position w:val="0"/>
        </w:rPr>
        <w:t>144,514,491.34</w:t>
      </w:r>
      <w:r>
        <w:rPr>
          <w:color w:val="000000"/>
          <w:spacing w:val="0"/>
          <w:w w:val="100"/>
          <w:position w:val="0"/>
        </w:rPr>
        <w:t>元确认为商誉。</w:t>
      </w:r>
    </w:p>
    <w:p>
      <w:pPr>
        <w:pStyle w:val="Style55"/>
        <w:keepNext/>
        <w:keepLines/>
        <w:widowControl w:val="0"/>
        <w:numPr>
          <w:ilvl w:val="0"/>
          <w:numId w:val="173"/>
        </w:numPr>
        <w:shd w:val="clear" w:color="auto" w:fill="auto"/>
        <w:bidi w:val="0"/>
        <w:spacing w:before="0" w:after="380" w:line="240" w:lineRule="auto"/>
        <w:ind w:left="980" w:right="0" w:firstLine="0"/>
        <w:jc w:val="both"/>
      </w:pPr>
      <w:bookmarkStart w:id="1926" w:name="bookmark1926"/>
      <w:bookmarkStart w:id="1927" w:name="bookmark1927"/>
      <w:bookmarkStart w:id="1928" w:name="bookmark1928"/>
      <w:bookmarkStart w:id="1929" w:name="bookmark1929"/>
      <w:bookmarkEnd w:id="1928"/>
      <w:r>
        <w:rPr>
          <w:color w:val="000000"/>
          <w:spacing w:val="0"/>
          <w:w w:val="100"/>
          <w:position w:val="0"/>
        </w:rPr>
        <w:t>被购买方于购买日可辨认资产、负债</w:t>
      </w:r>
      <w:bookmarkEnd w:id="1926"/>
      <w:bookmarkEnd w:id="1927"/>
      <w:bookmarkEnd w:id="1929"/>
    </w:p>
    <w:p>
      <w:pPr>
        <w:pStyle w:val="Style49"/>
        <w:keepNext w:val="0"/>
        <w:keepLines w:val="0"/>
        <w:widowControl w:val="0"/>
        <w:shd w:val="clear" w:color="auto" w:fill="auto"/>
        <w:bidi w:val="0"/>
        <w:spacing w:before="0" w:after="0" w:line="240" w:lineRule="auto"/>
        <w:ind w:left="8914" w:right="0" w:firstLine="0"/>
        <w:jc w:val="left"/>
      </w:pPr>
      <w:r>
        <w:rPr>
          <w:color w:val="000000"/>
          <w:spacing w:val="0"/>
          <w:w w:val="100"/>
          <w:position w:val="0"/>
        </w:rPr>
        <w:t>单位：元</w:t>
      </w:r>
    </w:p>
    <w:tbl>
      <w:tblPr>
        <w:tblOverlap w:val="never"/>
        <w:jc w:val="right"/>
        <w:tblLayout w:type="fixed"/>
      </w:tblPr>
      <w:tblGrid>
        <w:gridCol w:w="3197"/>
        <w:gridCol w:w="3192"/>
        <w:gridCol w:w="3202"/>
      </w:tblGrid>
      <w:tr>
        <w:trPr>
          <w:trHeight w:val="403" w:hRule="exact"/>
        </w:trPr>
        <w:tc>
          <w:tcPr>
            <w:tcBorders>
              <w:top w:val="single" w:sz="4"/>
              <w:left w:val="single" w:sz="4"/>
            </w:tcBorders>
            <w:shd w:val="clear" w:color="auto" w:fill="D4D4D4"/>
            <w:vAlign w:val="top"/>
          </w:tcPr>
          <w:p>
            <w:pPr>
              <w:widowControl w:val="0"/>
              <w:rPr>
                <w:sz w:val="10"/>
                <w:szCs w:val="10"/>
              </w:rPr>
            </w:pP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上海今创信息技术有限公司</w:t>
            </w: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购买日公允价值</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购买日账面价值</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117,472,306.21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103,587,457.73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40,735,395.97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40,735,395.97</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54,240,356.75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54,240,356.75</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6,554,787.38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6,554,787.38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179,484.50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179,484.50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13,884,848.48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812,774.93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812,774.93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309,589.00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309,589.00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755,069.20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755,069.20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23,568,661.79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21,485,934.52</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10,120,814.01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10,120,814.01</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2,082,727.27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11,365,120.51</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11,365,120.51</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净资产</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93,903,644.42</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82,101,523.21</w:t>
            </w:r>
          </w:p>
        </w:tc>
      </w:tr>
    </w:tbl>
    <w:p>
      <w:pPr>
        <w:widowControl w:val="0"/>
        <w:spacing w:line="1" w:lineRule="exact"/>
        <w:sectPr>
          <w:headerReference w:type="default" r:id="rId493"/>
          <w:footerReference w:type="default" r:id="rId494"/>
          <w:headerReference w:type="even" r:id="rId495"/>
          <w:footerReference w:type="even" r:id="rId496"/>
          <w:footnotePr>
            <w:pos w:val="pageBottom"/>
            <w:numFmt w:val="decimal"/>
            <w:numRestart w:val="continuous"/>
          </w:footnotePr>
          <w:pgSz w:w="11900" w:h="16840"/>
          <w:pgMar w:top="1159" w:right="1055" w:bottom="1573" w:left="108" w:header="0" w:footer="3" w:gutter="0"/>
          <w:cols w:space="720"/>
          <w:noEndnote/>
          <w:rtlGutter w:val="0"/>
          <w:docGrid w:linePitch="360"/>
        </w:sectPr>
      </w:pPr>
    </w:p>
    <w:p>
      <w:pPr>
        <w:framePr w:w="768" w:h="370" w:hSpace="1296" w:vSpace="5" w:wrap="notBeside" w:vAnchor="text" w:hAnchor="text" w:x="1023" w:y="1"/>
        <w:widowControl w:val="0"/>
        <w:rPr>
          <w:sz w:val="2"/>
          <w:szCs w:val="2"/>
        </w:rPr>
      </w:pPr>
      <w:r>
        <w:drawing>
          <wp:inline>
            <wp:extent cx="487680" cy="237490"/>
            <wp:docPr id="1158" name="Picutre 1158"/>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497"/>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648970" distR="4758055" simplePos="0" relativeHeight="125829676" behindDoc="0" locked="0" layoutInCell="1" allowOverlap="1">
                <wp:simplePos x="0" y="0"/>
                <wp:positionH relativeFrom="column">
                  <wp:posOffset>1136650</wp:posOffset>
                </wp:positionH>
                <wp:positionV relativeFrom="paragraph">
                  <wp:posOffset>6350</wp:posOffset>
                </wp:positionV>
                <wp:extent cx="822960" cy="231775"/>
                <wp:wrapTopAndBottom/>
                <wp:docPr id="1159" name="Shape 1159"/>
                <a:graphic xmlns:a="http://schemas.openxmlformats.org/drawingml/2006/main">
                  <a:graphicData uri="http://schemas.microsoft.com/office/word/2010/wordprocessingShape">
                    <wps:wsp>
                      <wps:cNvSpPr txBox="1"/>
                      <wps:spPr>
                        <a:xfrm>
                          <a:ext cx="822960" cy="231775"/>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185" type="#_x0000_t202" style="position:absolute;margin-left:89.5pt;margin-top:0.5pt;width:64.799999999999997pt;height:18.25pt;z-index:-125829077;mso-wrap-distance-left:51.100000000000001pt;mso-wrap-distance-right:374.65000000000003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tbl>
      <w:tblPr>
        <w:tblOverlap w:val="never"/>
        <w:jc w:val="right"/>
        <w:tblLayout w:type="fixed"/>
      </w:tblPr>
      <w:tblGrid>
        <w:gridCol w:w="3197"/>
        <w:gridCol w:w="3192"/>
        <w:gridCol w:w="3202"/>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减：少数股东权益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352,929.77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352,929.77</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取得的净资产</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93,550,714.65</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81,748,593.44</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可辨认资产、负债公允价值的确定方法:</w:t>
      </w:r>
    </w:p>
    <w:p>
      <w:pPr>
        <w:pStyle w:val="Style32"/>
        <w:keepNext w:val="0"/>
        <w:keepLines w:val="0"/>
        <w:widowControl w:val="0"/>
        <w:shd w:val="clear" w:color="auto" w:fill="auto"/>
        <w:bidi w:val="0"/>
        <w:spacing w:before="0" w:after="380" w:line="322" w:lineRule="exact"/>
        <w:ind w:left="960" w:right="0" w:firstLine="20"/>
        <w:jc w:val="left"/>
      </w:pPr>
      <w:r>
        <w:rPr>
          <w:color w:val="000000"/>
          <w:spacing w:val="0"/>
          <w:w w:val="100"/>
          <w:position w:val="0"/>
        </w:rPr>
        <w:t>公司根据上海东洲资产评估有限公司出具的东洲评报字【</w:t>
      </w:r>
      <w:r>
        <w:rPr>
          <w:rFonts w:ascii="Times New Roman" w:eastAsia="Times New Roman" w:hAnsi="Times New Roman" w:cs="Times New Roman"/>
          <w:color w:val="000000"/>
          <w:spacing w:val="0"/>
          <w:w w:val="100"/>
          <w:position w:val="0"/>
        </w:rPr>
        <w:t>2019</w:t>
      </w:r>
      <w:r>
        <w:rPr>
          <w:color w:val="000000"/>
          <w:spacing w:val="0"/>
          <w:w w:val="100"/>
          <w:position w:val="0"/>
        </w:rPr>
        <w:t>】第</w:t>
      </w:r>
      <w:r>
        <w:rPr>
          <w:rFonts w:ascii="Times New Roman" w:eastAsia="Times New Roman" w:hAnsi="Times New Roman" w:cs="Times New Roman"/>
          <w:color w:val="000000"/>
          <w:spacing w:val="0"/>
          <w:w w:val="100"/>
          <w:position w:val="0"/>
        </w:rPr>
        <w:t>0878</w:t>
      </w:r>
      <w:r>
        <w:rPr>
          <w:color w:val="000000"/>
          <w:spacing w:val="0"/>
          <w:w w:val="100"/>
          <w:position w:val="0"/>
        </w:rPr>
        <w:t>号评估报告并综合考虑评估基准日至购买日期间的 资产价值变动情况等因素后确定购买日上海今创信息技术有限公司的可辨认资产、负债公允价值。</w:t>
      </w:r>
    </w:p>
    <w:p>
      <w:pPr>
        <w:pStyle w:val="Style55"/>
        <w:keepNext/>
        <w:keepLines/>
        <w:widowControl w:val="0"/>
        <w:numPr>
          <w:ilvl w:val="0"/>
          <w:numId w:val="173"/>
        </w:numPr>
        <w:shd w:val="clear" w:color="auto" w:fill="auto"/>
        <w:tabs>
          <w:tab w:pos="1473" w:val="left"/>
        </w:tabs>
        <w:bidi w:val="0"/>
        <w:spacing w:before="0" w:after="380" w:line="240" w:lineRule="auto"/>
        <w:ind w:left="960" w:right="0" w:firstLine="20"/>
        <w:jc w:val="left"/>
      </w:pPr>
      <w:bookmarkStart w:id="1930" w:name="bookmark1930"/>
      <w:bookmarkStart w:id="1931" w:name="bookmark1931"/>
      <w:bookmarkStart w:id="1932" w:name="bookmark1932"/>
      <w:bookmarkStart w:id="1933" w:name="bookmark1933"/>
      <w:bookmarkEnd w:id="1932"/>
      <w:r>
        <w:rPr>
          <w:color w:val="000000"/>
          <w:spacing w:val="0"/>
          <w:w w:val="100"/>
          <w:position w:val="0"/>
        </w:rPr>
        <w:t>购买日之前持有的股权按照公允价值重新计量产生的利得或损失</w:t>
      </w:r>
      <w:bookmarkEnd w:id="1930"/>
      <w:bookmarkEnd w:id="1931"/>
      <w:bookmarkEnd w:id="1933"/>
    </w:p>
    <w:p>
      <w:pPr>
        <w:pStyle w:val="Style32"/>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是否存在通过多次交易分步实现企业合并且在报告期内取得控制权的交易</w:t>
      </w:r>
    </w:p>
    <w:p>
      <w:pPr>
        <w:pStyle w:val="Style32"/>
        <w:keepNext w:val="0"/>
        <w:keepLines w:val="0"/>
        <w:widowControl w:val="0"/>
        <w:shd w:val="clear" w:color="auto" w:fill="auto"/>
        <w:bidi w:val="0"/>
        <w:spacing w:before="0" w:after="380" w:line="240" w:lineRule="auto"/>
        <w:ind w:left="0" w:right="0" w:firstLine="96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55"/>
        <w:keepNext/>
        <w:keepLines/>
        <w:widowControl w:val="0"/>
        <w:numPr>
          <w:ilvl w:val="0"/>
          <w:numId w:val="173"/>
        </w:numPr>
        <w:shd w:val="clear" w:color="auto" w:fill="auto"/>
        <w:bidi w:val="0"/>
        <w:spacing w:before="0" w:after="380" w:line="240" w:lineRule="auto"/>
        <w:ind w:left="0" w:right="0" w:firstLine="960"/>
        <w:jc w:val="left"/>
      </w:pPr>
      <w:bookmarkStart w:id="1934" w:name="bookmark1934"/>
      <w:bookmarkStart w:id="1935" w:name="bookmark1935"/>
      <w:bookmarkStart w:id="1936" w:name="bookmark1936"/>
      <w:bookmarkStart w:id="1937" w:name="bookmark1937"/>
      <w:bookmarkEnd w:id="1936"/>
      <w:r>
        <w:rPr>
          <w:color w:val="000000"/>
          <w:spacing w:val="0"/>
          <w:w w:val="100"/>
          <w:position w:val="0"/>
        </w:rPr>
        <w:t xml:space="preserve"> 购买日或合并当期期末无法合理确定合并对价或被购买方可辨认资产、负债公允价值的相关说明</w:t>
      </w:r>
      <w:bookmarkEnd w:id="1934"/>
      <w:bookmarkEnd w:id="1935"/>
      <w:bookmarkEnd w:id="1937"/>
    </w:p>
    <w:p>
      <w:pPr>
        <w:pStyle w:val="Style32"/>
        <w:keepNext w:val="0"/>
        <w:keepLines w:val="0"/>
        <w:widowControl w:val="0"/>
        <w:shd w:val="clear" w:color="auto" w:fill="auto"/>
        <w:bidi w:val="0"/>
        <w:spacing w:before="0" w:after="380" w:line="240" w:lineRule="auto"/>
        <w:ind w:left="0" w:right="0" w:firstLine="960"/>
        <w:jc w:val="left"/>
      </w:pPr>
      <w:r>
        <w:rPr>
          <w:color w:val="000000"/>
          <w:spacing w:val="0"/>
          <w:w w:val="100"/>
          <w:position w:val="0"/>
        </w:rPr>
        <w:t>无</w:t>
      </w:r>
    </w:p>
    <w:p>
      <w:pPr>
        <w:pStyle w:val="Style55"/>
        <w:keepNext/>
        <w:keepLines/>
        <w:widowControl w:val="0"/>
        <w:numPr>
          <w:ilvl w:val="0"/>
          <w:numId w:val="173"/>
        </w:numPr>
        <w:shd w:val="clear" w:color="auto" w:fill="auto"/>
        <w:bidi w:val="0"/>
        <w:spacing w:before="0" w:after="380" w:line="240" w:lineRule="auto"/>
        <w:ind w:left="1100" w:right="0" w:firstLine="0"/>
        <w:jc w:val="left"/>
      </w:pPr>
      <w:bookmarkStart w:id="1938" w:name="bookmark1938"/>
      <w:bookmarkStart w:id="1939" w:name="bookmark1939"/>
      <w:bookmarkStart w:id="1940" w:name="bookmark1940"/>
      <w:bookmarkStart w:id="1941" w:name="bookmark1941"/>
      <w:bookmarkEnd w:id="1940"/>
      <w:r>
        <w:rPr>
          <w:color w:val="000000"/>
          <w:spacing w:val="0"/>
          <w:w w:val="100"/>
          <w:position w:val="0"/>
        </w:rPr>
        <w:t>其他说明</w:t>
      </w:r>
      <w:bookmarkEnd w:id="1938"/>
      <w:bookmarkEnd w:id="1939"/>
      <w:bookmarkEnd w:id="1941"/>
    </w:p>
    <w:p>
      <w:pPr>
        <w:pStyle w:val="Style32"/>
        <w:keepNext w:val="0"/>
        <w:keepLines w:val="0"/>
        <w:widowControl w:val="0"/>
        <w:shd w:val="clear" w:color="auto" w:fill="auto"/>
        <w:bidi w:val="0"/>
        <w:spacing w:before="0" w:after="380" w:line="240" w:lineRule="auto"/>
        <w:ind w:left="0" w:right="0" w:firstLine="960"/>
        <w:jc w:val="left"/>
      </w:pPr>
      <w:r>
        <w:rPr>
          <w:color w:val="000000"/>
          <w:spacing w:val="0"/>
          <w:w w:val="100"/>
          <w:position w:val="0"/>
        </w:rPr>
        <w:t>无</w:t>
      </w:r>
    </w:p>
    <w:p>
      <w:pPr>
        <w:pStyle w:val="Style55"/>
        <w:keepNext/>
        <w:keepLines/>
        <w:widowControl w:val="0"/>
        <w:shd w:val="clear" w:color="auto" w:fill="auto"/>
        <w:tabs>
          <w:tab w:pos="1338" w:val="left"/>
        </w:tabs>
        <w:bidi w:val="0"/>
        <w:spacing w:before="0" w:after="380" w:line="240" w:lineRule="auto"/>
        <w:ind w:left="0" w:right="0" w:firstLine="960"/>
        <w:jc w:val="left"/>
      </w:pPr>
      <w:bookmarkStart w:id="1942" w:name="bookmark1942"/>
      <w:bookmarkStart w:id="1943" w:name="bookmark1943"/>
      <w:bookmarkStart w:id="1944" w:name="bookmark1944"/>
      <w:bookmarkStart w:id="1945" w:name="bookmark1945"/>
      <w:r>
        <w:rPr>
          <w:rFonts w:ascii="Times New Roman" w:eastAsia="Times New Roman" w:hAnsi="Times New Roman" w:cs="Times New Roman"/>
          <w:color w:val="000000"/>
          <w:spacing w:val="0"/>
          <w:w w:val="100"/>
          <w:position w:val="0"/>
        </w:rPr>
        <w:t>2</w:t>
      </w:r>
      <w:bookmarkEnd w:id="1944"/>
      <w:r>
        <w:rPr>
          <w:color w:val="000000"/>
          <w:spacing w:val="0"/>
          <w:w w:val="100"/>
          <w:position w:val="0"/>
        </w:rPr>
        <w:t>、</w:t>
        <w:tab/>
        <w:t>同一控制下企业合并</w:t>
      </w:r>
      <w:bookmarkEnd w:id="1942"/>
      <w:bookmarkEnd w:id="1943"/>
      <w:bookmarkEnd w:id="1945"/>
    </w:p>
    <w:p>
      <w:pPr>
        <w:pStyle w:val="Style32"/>
        <w:keepNext w:val="0"/>
        <w:keepLines w:val="0"/>
        <w:widowControl w:val="0"/>
        <w:shd w:val="clear" w:color="auto" w:fill="auto"/>
        <w:bidi w:val="0"/>
        <w:spacing w:before="0" w:after="380" w:line="240" w:lineRule="auto"/>
        <w:ind w:left="0" w:right="0" w:firstLine="960"/>
        <w:jc w:val="left"/>
      </w:pPr>
      <w:r>
        <w:rPr>
          <w:color w:val="000000"/>
          <w:spacing w:val="0"/>
          <w:w w:val="100"/>
          <w:position w:val="0"/>
        </w:rPr>
        <w:t>无</w:t>
      </w:r>
    </w:p>
    <w:p>
      <w:pPr>
        <w:pStyle w:val="Style55"/>
        <w:keepNext/>
        <w:keepLines/>
        <w:widowControl w:val="0"/>
        <w:shd w:val="clear" w:color="auto" w:fill="auto"/>
        <w:tabs>
          <w:tab w:pos="1338" w:val="left"/>
        </w:tabs>
        <w:bidi w:val="0"/>
        <w:spacing w:before="0" w:after="380" w:line="240" w:lineRule="auto"/>
        <w:ind w:left="0" w:right="0" w:firstLine="960"/>
        <w:jc w:val="left"/>
      </w:pPr>
      <w:bookmarkStart w:id="1946" w:name="bookmark1946"/>
      <w:bookmarkStart w:id="1947" w:name="bookmark1947"/>
      <w:bookmarkStart w:id="1948" w:name="bookmark1948"/>
      <w:bookmarkStart w:id="1949" w:name="bookmark1949"/>
      <w:r>
        <w:rPr>
          <w:rFonts w:ascii="Times New Roman" w:eastAsia="Times New Roman" w:hAnsi="Times New Roman" w:cs="Times New Roman"/>
          <w:color w:val="000000"/>
          <w:spacing w:val="0"/>
          <w:w w:val="100"/>
          <w:position w:val="0"/>
        </w:rPr>
        <w:t>3</w:t>
      </w:r>
      <w:bookmarkEnd w:id="1948"/>
      <w:r>
        <w:rPr>
          <w:color w:val="000000"/>
          <w:spacing w:val="0"/>
          <w:w w:val="100"/>
          <w:position w:val="0"/>
        </w:rPr>
        <w:t>、</w:t>
        <w:tab/>
        <w:t>反向购买</w:t>
      </w:r>
      <w:bookmarkEnd w:id="1946"/>
      <w:bookmarkEnd w:id="1947"/>
      <w:bookmarkEnd w:id="1949"/>
    </w:p>
    <w:p>
      <w:pPr>
        <w:pStyle w:val="Style32"/>
        <w:keepNext w:val="0"/>
        <w:keepLines w:val="0"/>
        <w:widowControl w:val="0"/>
        <w:shd w:val="clear" w:color="auto" w:fill="auto"/>
        <w:bidi w:val="0"/>
        <w:spacing w:before="0" w:after="380" w:line="240" w:lineRule="auto"/>
        <w:ind w:left="0" w:right="0" w:firstLine="960"/>
        <w:jc w:val="left"/>
      </w:pPr>
      <w:r>
        <w:rPr>
          <w:color w:val="000000"/>
          <w:spacing w:val="0"/>
          <w:w w:val="100"/>
          <w:position w:val="0"/>
        </w:rPr>
        <w:t>无</w:t>
      </w:r>
    </w:p>
    <w:p>
      <w:pPr>
        <w:pStyle w:val="Style55"/>
        <w:keepNext/>
        <w:keepLines/>
        <w:widowControl w:val="0"/>
        <w:shd w:val="clear" w:color="auto" w:fill="auto"/>
        <w:tabs>
          <w:tab w:pos="1338" w:val="left"/>
        </w:tabs>
        <w:bidi w:val="0"/>
        <w:spacing w:before="0" w:after="380" w:line="240" w:lineRule="auto"/>
        <w:ind w:left="0" w:right="0" w:firstLine="960"/>
        <w:jc w:val="left"/>
      </w:pPr>
      <w:bookmarkStart w:id="1950" w:name="bookmark1950"/>
      <w:bookmarkStart w:id="1951" w:name="bookmark1951"/>
      <w:bookmarkStart w:id="1952" w:name="bookmark1952"/>
      <w:bookmarkStart w:id="1953" w:name="bookmark1953"/>
      <w:r>
        <w:rPr>
          <w:rFonts w:ascii="Times New Roman" w:eastAsia="Times New Roman" w:hAnsi="Times New Roman" w:cs="Times New Roman"/>
          <w:color w:val="000000"/>
          <w:spacing w:val="0"/>
          <w:w w:val="100"/>
          <w:position w:val="0"/>
        </w:rPr>
        <w:t>4</w:t>
      </w:r>
      <w:bookmarkEnd w:id="1952"/>
      <w:r>
        <w:rPr>
          <w:color w:val="000000"/>
          <w:spacing w:val="0"/>
          <w:w w:val="100"/>
          <w:position w:val="0"/>
        </w:rPr>
        <w:t>、</w:t>
        <w:tab/>
        <w:t>处置子公司</w:t>
      </w:r>
      <w:bookmarkEnd w:id="1950"/>
      <w:bookmarkEnd w:id="1951"/>
      <w:bookmarkEnd w:id="1953"/>
    </w:p>
    <w:p>
      <w:pPr>
        <w:pStyle w:val="Style32"/>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是否存在单次处置对子公司投资即丧失控制权的情形</w:t>
      </w:r>
    </w:p>
    <w:p>
      <w:pPr>
        <w:pStyle w:val="Style32"/>
        <w:keepNext w:val="0"/>
        <w:keepLines w:val="0"/>
        <w:widowControl w:val="0"/>
        <w:shd w:val="clear" w:color="auto" w:fill="auto"/>
        <w:bidi w:val="0"/>
        <w:spacing w:before="0" w:after="140" w:line="240" w:lineRule="auto"/>
        <w:ind w:left="0" w:right="0" w:firstLine="960"/>
        <w:jc w:val="left"/>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138"/>
        <w:gridCol w:w="994"/>
        <w:gridCol w:w="710"/>
        <w:gridCol w:w="850"/>
        <w:gridCol w:w="710"/>
        <w:gridCol w:w="850"/>
        <w:gridCol w:w="1133"/>
        <w:gridCol w:w="710"/>
        <w:gridCol w:w="706"/>
        <w:gridCol w:w="552"/>
        <w:gridCol w:w="739"/>
        <w:gridCol w:w="734"/>
        <w:gridCol w:w="744"/>
      </w:tblGrid>
      <w:tr>
        <w:trPr>
          <w:trHeight w:val="1694"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5"/>
                <w:szCs w:val="15"/>
              </w:rPr>
              <w:t>子公司名称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股权处置价款</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35" w:lineRule="exact"/>
              <w:ind w:left="0" w:right="0" w:firstLine="0"/>
              <w:jc w:val="center"/>
              <w:rPr>
                <w:sz w:val="15"/>
                <w:szCs w:val="15"/>
              </w:rPr>
            </w:pPr>
            <w:r>
              <w:rPr>
                <w:color w:val="000000"/>
                <w:spacing w:val="0"/>
                <w:w w:val="100"/>
                <w:position w:val="0"/>
                <w:sz w:val="15"/>
                <w:szCs w:val="15"/>
              </w:rPr>
              <w:t>股权处置 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5" w:lineRule="exact"/>
              <w:ind w:left="0" w:right="0" w:firstLine="0"/>
              <w:jc w:val="center"/>
              <w:rPr>
                <w:sz w:val="15"/>
                <w:szCs w:val="15"/>
              </w:rPr>
            </w:pPr>
            <w:r>
              <w:rPr>
                <w:color w:val="000000"/>
                <w:spacing w:val="0"/>
                <w:w w:val="100"/>
                <w:position w:val="0"/>
                <w:sz w:val="15"/>
                <w:szCs w:val="15"/>
              </w:rPr>
              <w:t>股权处置方 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35" w:lineRule="exact"/>
              <w:ind w:left="0" w:right="0" w:firstLine="0"/>
              <w:jc w:val="left"/>
              <w:rPr>
                <w:sz w:val="15"/>
                <w:szCs w:val="15"/>
              </w:rPr>
            </w:pPr>
            <w:r>
              <w:rPr>
                <w:color w:val="000000"/>
                <w:spacing w:val="0"/>
                <w:w w:val="100"/>
                <w:position w:val="0"/>
                <w:sz w:val="15"/>
                <w:szCs w:val="15"/>
              </w:rPr>
              <w:t>丧失控制 权的时点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center"/>
              <w:rPr>
                <w:sz w:val="15"/>
                <w:szCs w:val="15"/>
              </w:rPr>
            </w:pPr>
            <w:r>
              <w:rPr>
                <w:color w:val="000000"/>
                <w:spacing w:val="0"/>
                <w:w w:val="100"/>
                <w:position w:val="0"/>
                <w:sz w:val="15"/>
                <w:szCs w:val="15"/>
              </w:rPr>
              <w:t>丧失控制权 时点的确定 依据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both"/>
              <w:rPr>
                <w:sz w:val="15"/>
                <w:szCs w:val="15"/>
              </w:rPr>
            </w:pPr>
            <w:r>
              <w:rPr>
                <w:color w:val="000000"/>
                <w:spacing w:val="0"/>
                <w:w w:val="100"/>
                <w:position w:val="0"/>
                <w:sz w:val="15"/>
                <w:szCs w:val="15"/>
              </w:rPr>
              <w:t>处置价款与处置 投资对应的合并 财务报表层面享 有该子公司净资 产份额的差额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38" w:lineRule="exact"/>
              <w:ind w:left="0" w:right="0" w:firstLine="0"/>
              <w:jc w:val="center"/>
              <w:rPr>
                <w:sz w:val="15"/>
                <w:szCs w:val="15"/>
              </w:rPr>
            </w:pPr>
            <w:r>
              <w:rPr>
                <w:color w:val="000000"/>
                <w:spacing w:val="0"/>
                <w:w w:val="100"/>
                <w:position w:val="0"/>
                <w:sz w:val="15"/>
                <w:szCs w:val="15"/>
              </w:rPr>
              <w:t>丧失控制 权之日剩 余股权的 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38" w:lineRule="exact"/>
              <w:ind w:left="0" w:right="0" w:firstLine="0"/>
              <w:jc w:val="both"/>
              <w:rPr>
                <w:sz w:val="15"/>
                <w:szCs w:val="15"/>
              </w:rPr>
            </w:pPr>
            <w:r>
              <w:rPr>
                <w:color w:val="000000"/>
                <w:spacing w:val="0"/>
                <w:w w:val="100"/>
                <w:position w:val="0"/>
                <w:sz w:val="15"/>
                <w:szCs w:val="15"/>
              </w:rPr>
              <w:t>丧失控制 权之日剩 余股权的 账面价值</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exact"/>
              <w:ind w:left="0" w:right="0" w:firstLine="0"/>
              <w:jc w:val="both"/>
              <w:rPr>
                <w:sz w:val="15"/>
                <w:szCs w:val="15"/>
              </w:rPr>
            </w:pPr>
            <w:r>
              <w:rPr>
                <w:color w:val="000000"/>
                <w:spacing w:val="0"/>
                <w:w w:val="100"/>
                <w:position w:val="0"/>
                <w:sz w:val="15"/>
                <w:szCs w:val="15"/>
              </w:rPr>
              <w:t>丧失控 制权之 日剩余 股权的 公允价 值</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1" w:lineRule="exact"/>
              <w:ind w:left="0" w:right="0" w:firstLine="0"/>
              <w:jc w:val="center"/>
              <w:rPr>
                <w:sz w:val="15"/>
                <w:szCs w:val="15"/>
              </w:rPr>
            </w:pPr>
            <w:r>
              <w:rPr>
                <w:color w:val="000000"/>
                <w:spacing w:val="0"/>
                <w:w w:val="100"/>
                <w:position w:val="0"/>
                <w:sz w:val="15"/>
                <w:szCs w:val="15"/>
              </w:rPr>
              <w:t>按照公允 价值重新 计量剩余 股权产生 的利得或 损失</w:t>
            </w:r>
          </w:p>
        </w:tc>
        <w:tc>
          <w:tcPr>
            <w:tcBorders>
              <w:top w:val="single" w:sz="4"/>
              <w:left w:val="single" w:sz="4"/>
            </w:tcBorders>
            <w:shd w:val="clear" w:color="auto" w:fill="D4D4D4"/>
            <w:vAlign w:val="bottom"/>
          </w:tcPr>
          <w:p>
            <w:pPr>
              <w:pStyle w:val="Style44"/>
              <w:keepNext w:val="0"/>
              <w:keepLines w:val="0"/>
              <w:widowControl w:val="0"/>
              <w:shd w:val="clear" w:color="auto" w:fill="auto"/>
              <w:bidi w:val="0"/>
              <w:spacing w:before="0" w:after="0" w:line="240" w:lineRule="exact"/>
              <w:ind w:left="0" w:right="0" w:firstLine="0"/>
              <w:jc w:val="left"/>
              <w:rPr>
                <w:sz w:val="15"/>
                <w:szCs w:val="15"/>
              </w:rPr>
            </w:pPr>
            <w:r>
              <w:rPr>
                <w:color w:val="000000"/>
                <w:spacing w:val="0"/>
                <w:w w:val="100"/>
                <w:position w:val="0"/>
                <w:sz w:val="15"/>
                <w:szCs w:val="15"/>
              </w:rPr>
              <w:t>丧失控制 权之日剩 余股权公 允价值的 确定方法 及主要假 设</w:t>
            </w:r>
          </w:p>
        </w:tc>
        <w:tc>
          <w:tcPr>
            <w:tcBorders>
              <w:top w:val="single" w:sz="4"/>
              <w:left w:val="single" w:sz="4"/>
              <w:right w:val="single" w:sz="4"/>
            </w:tcBorders>
            <w:shd w:val="clear" w:color="auto" w:fill="D4D4D4"/>
            <w:vAlign w:val="bottom"/>
          </w:tcPr>
          <w:p>
            <w:pPr>
              <w:pStyle w:val="Style44"/>
              <w:keepNext w:val="0"/>
              <w:keepLines w:val="0"/>
              <w:widowControl w:val="0"/>
              <w:shd w:val="clear" w:color="auto" w:fill="auto"/>
              <w:bidi w:val="0"/>
              <w:spacing w:before="0" w:after="0" w:line="239" w:lineRule="exact"/>
              <w:ind w:left="0" w:right="0" w:firstLine="0"/>
              <w:jc w:val="left"/>
              <w:rPr>
                <w:sz w:val="15"/>
                <w:szCs w:val="15"/>
              </w:rPr>
            </w:pPr>
            <w:r>
              <w:rPr>
                <w:color w:val="000000"/>
                <w:spacing w:val="0"/>
                <w:w w:val="100"/>
                <w:position w:val="0"/>
                <w:sz w:val="15"/>
                <w:szCs w:val="15"/>
              </w:rPr>
              <w:t>与原子公 司股权投 资相关的 其他综合 收益转入 投资损益 的金额</w:t>
            </w:r>
          </w:p>
        </w:tc>
      </w:tr>
      <w:tr>
        <w:trPr>
          <w:trHeight w:val="71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北京荣科智维云</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80"/>
              <w:jc w:val="left"/>
              <w:rPr>
                <w:sz w:val="15"/>
                <w:szCs w:val="15"/>
              </w:rPr>
            </w:pPr>
            <w:r>
              <w:rPr>
                <w:rFonts w:ascii="Times New Roman" w:eastAsia="Times New Roman" w:hAnsi="Times New Roman" w:cs="Times New Roman"/>
                <w:color w:val="000000"/>
                <w:spacing w:val="0"/>
                <w:w w:val="100"/>
                <w:position w:val="0"/>
                <w:sz w:val="15"/>
                <w:szCs w:val="15"/>
              </w:rPr>
              <w:t>1,000,000.00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60.00%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出售</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 xml:space="preserve">2020 </w:t>
            </w:r>
            <w:r>
              <w:rPr>
                <w:color w:val="000000"/>
                <w:spacing w:val="0"/>
                <w:w w:val="100"/>
                <w:position w:val="0"/>
                <w:sz w:val="15"/>
                <w:szCs w:val="15"/>
              </w:rPr>
              <w:t xml:space="preserve">年 </w:t>
            </w:r>
            <w:r>
              <w:rPr>
                <w:rFonts w:ascii="Times New Roman" w:eastAsia="Times New Roman" w:hAnsi="Times New Roman" w:cs="Times New Roman"/>
                <w:color w:val="000000"/>
                <w:spacing w:val="0"/>
                <w:w w:val="100"/>
                <w:position w:val="0"/>
                <w:sz w:val="15"/>
                <w:szCs w:val="15"/>
              </w:rPr>
              <w:t>06</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月</w:t>
            </w:r>
            <w:r>
              <w:rPr>
                <w:rFonts w:ascii="Times New Roman" w:eastAsia="Times New Roman" w:hAnsi="Times New Roman" w:cs="Times New Roman"/>
                <w:color w:val="000000"/>
                <w:spacing w:val="0"/>
                <w:w w:val="100"/>
                <w:position w:val="0"/>
                <w:sz w:val="15"/>
                <w:szCs w:val="15"/>
              </w:rPr>
              <w:t>01</w:t>
            </w:r>
            <w:r>
              <w:rPr>
                <w:color w:val="000000"/>
                <w:spacing w:val="0"/>
                <w:w w:val="100"/>
                <w:position w:val="0"/>
                <w:sz w:val="15"/>
                <w:szCs w:val="15"/>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rPr>
              <w:t>控制权转移</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623,590.37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不适用</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享云科技有限责</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任公司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17,000,000.00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出售</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 xml:space="preserve">2020 </w:t>
            </w:r>
            <w:r>
              <w:rPr>
                <w:color w:val="000000"/>
                <w:spacing w:val="0"/>
                <w:w w:val="100"/>
                <w:position w:val="0"/>
                <w:sz w:val="15"/>
                <w:szCs w:val="15"/>
              </w:rPr>
              <w:t xml:space="preserve">年 </w:t>
            </w:r>
            <w:r>
              <w:rPr>
                <w:rFonts w:ascii="Times New Roman" w:eastAsia="Times New Roman" w:hAnsi="Times New Roman" w:cs="Times New Roman"/>
                <w:color w:val="000000"/>
                <w:spacing w:val="0"/>
                <w:w w:val="100"/>
                <w:position w:val="0"/>
                <w:sz w:val="15"/>
                <w:szCs w:val="15"/>
              </w:rPr>
              <w:t>12</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月</w:t>
            </w:r>
            <w:r>
              <w:rPr>
                <w:rFonts w:ascii="Times New Roman" w:eastAsia="Times New Roman" w:hAnsi="Times New Roman" w:cs="Times New Roman"/>
                <w:color w:val="000000"/>
                <w:spacing w:val="0"/>
                <w:w w:val="100"/>
                <w:position w:val="0"/>
                <w:sz w:val="15"/>
                <w:szCs w:val="15"/>
              </w:rPr>
              <w:t>31</w:t>
            </w:r>
            <w:r>
              <w:rPr>
                <w:color w:val="000000"/>
                <w:spacing w:val="0"/>
                <w:w w:val="100"/>
                <w:position w:val="0"/>
                <w:sz w:val="15"/>
                <w:szCs w:val="15"/>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rPr>
              <w:t>控制权转移</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750,843.47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rPr>
                <w:sz w:val="15"/>
                <w:szCs w:val="15"/>
              </w:rPr>
            </w:pPr>
            <w:r>
              <w:rPr>
                <w:rFonts w:ascii="Times New Roman" w:eastAsia="Times New Roman" w:hAnsi="Times New Roman" w:cs="Times New Roman"/>
                <w:color w:val="000000"/>
                <w:spacing w:val="0"/>
                <w:w w:val="100"/>
                <w:position w:val="0"/>
                <w:sz w:val="15"/>
                <w:szCs w:val="15"/>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不适用</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9"/>
        <w:keepNext w:val="0"/>
        <w:keepLines w:val="0"/>
        <w:widowControl w:val="0"/>
        <w:shd w:val="clear" w:color="auto" w:fill="auto"/>
        <w:bidi w:val="0"/>
        <w:spacing w:before="0" w:after="0" w:line="240" w:lineRule="auto"/>
        <w:ind w:left="979" w:right="0" w:firstLine="0"/>
        <w:jc w:val="left"/>
      </w:pPr>
      <w:r>
        <w:rPr>
          <w:color w:val="000000"/>
          <w:spacing w:val="0"/>
          <w:w w:val="100"/>
          <w:position w:val="0"/>
        </w:rPr>
        <w:t>其他说明:</w:t>
      </w:r>
      <w:r>
        <w:br w:type="page"/>
      </w:r>
    </w:p>
    <w:p>
      <w:pPr>
        <w:pStyle w:val="Style32"/>
        <w:keepNext w:val="0"/>
        <w:keepLines w:val="0"/>
        <w:widowControl w:val="0"/>
        <w:shd w:val="clear" w:color="auto" w:fill="auto"/>
        <w:bidi w:val="0"/>
        <w:spacing w:before="0" w:after="80" w:line="240" w:lineRule="auto"/>
        <w:ind w:left="0" w:right="0" w:firstLine="980"/>
        <w:jc w:val="left"/>
      </w:pPr>
      <w:r>
        <mc:AlternateContent>
          <mc:Choice Requires="wps">
            <w:drawing>
              <wp:anchor distT="0" distB="0" distL="114300" distR="114300" simplePos="0" relativeHeight="125829678" behindDoc="0" locked="0" layoutInCell="1" allowOverlap="1">
                <wp:simplePos x="0" y="0"/>
                <wp:positionH relativeFrom="page">
                  <wp:posOffset>787400</wp:posOffset>
                </wp:positionH>
                <wp:positionV relativeFrom="margin">
                  <wp:posOffset>-75565</wp:posOffset>
                </wp:positionV>
                <wp:extent cx="1243330" cy="298450"/>
                <wp:wrapTopAndBottom/>
                <wp:docPr id="1161" name="Shape 1161"/>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187" type="#_x0000_t202" style="position:absolute;margin-left:62.pt;margin-top:-5.9500000000000002pt;width:97.900000000000006pt;height:23.5pt;z-index:-125829075;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color w:val="2D2B2E"/>
                          <w:spacing w:val="0"/>
                          <w:w w:val="100"/>
                          <w:position w:val="0"/>
                          <w:sz w:val="15"/>
                          <w:szCs w:val="15"/>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月，根据公司二级控股子公司南京今创信息技术有限公司股东会决议，南京今创信息技术有限公司股东刘厚荣、</w:t>
      </w:r>
    </w:p>
    <w:p>
      <w:pPr>
        <w:pStyle w:val="Style32"/>
        <w:keepNext w:val="0"/>
        <w:keepLines w:val="0"/>
        <w:widowControl w:val="0"/>
        <w:shd w:val="clear" w:color="auto" w:fill="auto"/>
        <w:bidi w:val="0"/>
        <w:spacing w:before="0" w:after="80" w:line="240" w:lineRule="auto"/>
        <w:ind w:left="0" w:right="0" w:firstLine="980"/>
        <w:jc w:val="left"/>
      </w:pPr>
      <w:r>
        <w:rPr>
          <w:color w:val="000000"/>
          <w:spacing w:val="0"/>
          <w:w w:val="100"/>
          <w:position w:val="0"/>
        </w:rPr>
        <w:t>陆玲分别对南京今创信息技术有限公司增资</w:t>
      </w:r>
      <w:r>
        <w:rPr>
          <w:rFonts w:ascii="Times New Roman" w:eastAsia="Times New Roman" w:hAnsi="Times New Roman" w:cs="Times New Roman"/>
          <w:color w:val="000000"/>
          <w:spacing w:val="0"/>
          <w:w w:val="100"/>
          <w:position w:val="0"/>
        </w:rPr>
        <w:t>27.50</w:t>
      </w:r>
      <w:r>
        <w:rPr>
          <w:color w:val="000000"/>
          <w:spacing w:val="0"/>
          <w:w w:val="100"/>
          <w:position w:val="0"/>
        </w:rPr>
        <w:t>万元，共计增资</w:t>
      </w:r>
      <w:r>
        <w:rPr>
          <w:rFonts w:ascii="Times New Roman" w:eastAsia="Times New Roman" w:hAnsi="Times New Roman" w:cs="Times New Roman"/>
          <w:color w:val="000000"/>
          <w:spacing w:val="0"/>
          <w:w w:val="100"/>
          <w:position w:val="0"/>
        </w:rPr>
        <w:t>55.00</w:t>
      </w:r>
      <w:r>
        <w:rPr>
          <w:color w:val="000000"/>
          <w:spacing w:val="0"/>
          <w:w w:val="100"/>
          <w:position w:val="0"/>
        </w:rPr>
        <w:t>万元，增资后公司对南京今创信息技术有限公司持</w:t>
      </w:r>
    </w:p>
    <w:p>
      <w:pPr>
        <w:pStyle w:val="Style32"/>
        <w:keepNext w:val="0"/>
        <w:keepLines w:val="0"/>
        <w:widowControl w:val="0"/>
        <w:shd w:val="clear" w:color="auto" w:fill="auto"/>
        <w:bidi w:val="0"/>
        <w:spacing w:before="0" w:after="0" w:line="240" w:lineRule="auto"/>
        <w:ind w:left="0" w:right="0" w:firstLine="980"/>
        <w:jc w:val="left"/>
      </w:pPr>
      <w:r>
        <w:rPr>
          <w:color w:val="000000"/>
          <w:spacing w:val="0"/>
          <w:w w:val="100"/>
          <w:position w:val="0"/>
        </w:rPr>
        <w:t>股比例下降为</w:t>
      </w:r>
      <w:r>
        <w:rPr>
          <w:rFonts w:ascii="Times New Roman" w:eastAsia="Times New Roman" w:hAnsi="Times New Roman" w:cs="Times New Roman"/>
          <w:color w:val="000000"/>
          <w:spacing w:val="0"/>
          <w:w w:val="100"/>
          <w:position w:val="0"/>
        </w:rPr>
        <w:t>40%</w:t>
      </w:r>
      <w:r>
        <w:rPr>
          <w:color w:val="000000"/>
          <w:spacing w:val="0"/>
          <w:w w:val="100"/>
          <w:position w:val="0"/>
        </w:rPr>
        <w:t>，公司编制</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月财务报表时不再将其纳入合并财务报表范围。</w:t>
      </w:r>
    </w:p>
    <w:p>
      <w:pPr>
        <w:pStyle w:val="Style32"/>
        <w:keepNext w:val="0"/>
        <w:keepLines w:val="0"/>
        <w:widowControl w:val="0"/>
        <w:shd w:val="clear" w:color="auto" w:fill="auto"/>
        <w:bidi w:val="0"/>
        <w:spacing w:before="0" w:after="360" w:line="341" w:lineRule="exact"/>
        <w:ind w:left="980" w:right="0" w:firstLine="0"/>
        <w:jc w:val="left"/>
      </w:pPr>
      <w:r>
        <w:rPr>
          <w:color w:val="000000"/>
          <w:spacing w:val="0"/>
          <w:w w:val="100"/>
          <w:position w:val="0"/>
        </w:rPr>
        <w:t xml:space="preserve">是否存在通过多次交易分步处置对子公司投资且在本期丧失控制权的情形 </w:t>
      </w: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55"/>
        <w:keepNext/>
        <w:keepLines/>
        <w:widowControl w:val="0"/>
        <w:shd w:val="clear" w:color="auto" w:fill="auto"/>
        <w:bidi w:val="0"/>
        <w:spacing w:before="0" w:after="260" w:line="240" w:lineRule="auto"/>
        <w:ind w:left="0" w:right="0" w:firstLine="980"/>
        <w:jc w:val="left"/>
      </w:pPr>
      <w:bookmarkStart w:id="1954" w:name="bookmark1954"/>
      <w:bookmarkStart w:id="1955" w:name="bookmark1955"/>
      <w:bookmarkStart w:id="1956" w:name="bookmark1956"/>
      <w:bookmarkStart w:id="1957" w:name="bookmark1957"/>
      <w:r>
        <w:rPr>
          <w:rFonts w:ascii="Times New Roman" w:eastAsia="Times New Roman" w:hAnsi="Times New Roman" w:cs="Times New Roman"/>
          <w:color w:val="000000"/>
          <w:spacing w:val="0"/>
          <w:w w:val="100"/>
          <w:position w:val="0"/>
        </w:rPr>
        <w:t>5</w:t>
      </w:r>
      <w:bookmarkEnd w:id="1956"/>
      <w:r>
        <w:rPr>
          <w:color w:val="000000"/>
          <w:spacing w:val="0"/>
          <w:w w:val="100"/>
          <w:position w:val="0"/>
        </w:rPr>
        <w:t>、其他原因的合并范围变动</w:t>
      </w:r>
      <w:bookmarkEnd w:id="1954"/>
      <w:bookmarkEnd w:id="1955"/>
      <w:bookmarkEnd w:id="1957"/>
    </w:p>
    <w:p>
      <w:pPr>
        <w:pStyle w:val="Style32"/>
        <w:keepNext w:val="0"/>
        <w:keepLines w:val="0"/>
        <w:widowControl w:val="0"/>
        <w:shd w:val="clear" w:color="auto" w:fill="auto"/>
        <w:bidi w:val="0"/>
        <w:spacing w:before="0" w:after="0" w:line="312" w:lineRule="exact"/>
        <w:ind w:left="0" w:right="0" w:firstLine="980"/>
        <w:jc w:val="left"/>
      </w:pPr>
      <w:r>
        <w:rPr>
          <w:color w:val="000000"/>
          <w:spacing w:val="0"/>
          <w:w w:val="100"/>
          <w:position w:val="0"/>
        </w:rPr>
        <w:t>说明其他原因导致的合并范围变动（如，新设子公司、清算子公司等）及其相关情况：</w:t>
      </w:r>
    </w:p>
    <w:p>
      <w:pPr>
        <w:pStyle w:val="Style32"/>
        <w:keepNext w:val="0"/>
        <w:keepLines w:val="0"/>
        <w:widowControl w:val="0"/>
        <w:shd w:val="clear" w:color="auto" w:fill="auto"/>
        <w:bidi w:val="0"/>
        <w:spacing w:before="0" w:after="360" w:line="312" w:lineRule="exact"/>
        <w:ind w:left="98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月，根据公司之二级子公司神州视翰科技</w:t>
      </w:r>
      <w:r>
        <w:rPr>
          <w:rFonts w:ascii="Times New Roman" w:eastAsia="Times New Roman" w:hAnsi="Times New Roman" w:cs="Times New Roman"/>
          <w:color w:val="000000"/>
          <w:spacing w:val="0"/>
          <w:w w:val="100"/>
          <w:position w:val="0"/>
        </w:rPr>
        <w:t>（</w:t>
      </w:r>
      <w:r>
        <w:rPr>
          <w:color w:val="000000"/>
          <w:spacing w:val="0"/>
          <w:w w:val="100"/>
          <w:position w:val="0"/>
        </w:rPr>
        <w:t>深圳</w:t>
      </w:r>
      <w:r>
        <w:rPr>
          <w:rFonts w:ascii="Times New Roman" w:eastAsia="Times New Roman" w:hAnsi="Times New Roman" w:cs="Times New Roman"/>
          <w:color w:val="000000"/>
          <w:spacing w:val="0"/>
          <w:w w:val="100"/>
          <w:position w:val="0"/>
        </w:rPr>
        <w:t>）</w:t>
      </w:r>
      <w:r>
        <w:rPr>
          <w:color w:val="000000"/>
          <w:spacing w:val="0"/>
          <w:w w:val="100"/>
          <w:position w:val="0"/>
        </w:rPr>
        <w:t>有限公司股东会决议，拟注销神州视翰科技</w:t>
      </w:r>
      <w:r>
        <w:rPr>
          <w:rFonts w:ascii="Times New Roman" w:eastAsia="Times New Roman" w:hAnsi="Times New Roman" w:cs="Times New Roman"/>
          <w:color w:val="000000"/>
          <w:spacing w:val="0"/>
          <w:w w:val="100"/>
          <w:position w:val="0"/>
        </w:rPr>
        <w:t>（</w:t>
      </w:r>
      <w:r>
        <w:rPr>
          <w:color w:val="000000"/>
          <w:spacing w:val="0"/>
          <w:w w:val="100"/>
          <w:position w:val="0"/>
        </w:rPr>
        <w:t>深圳</w:t>
      </w:r>
      <w:r>
        <w:rPr>
          <w:rFonts w:ascii="Times New Roman" w:eastAsia="Times New Roman" w:hAnsi="Times New Roman" w:cs="Times New Roman"/>
          <w:color w:val="000000"/>
          <w:spacing w:val="0"/>
          <w:w w:val="100"/>
          <w:position w:val="0"/>
        </w:rPr>
        <w:t>）</w:t>
      </w:r>
      <w:r>
        <w:rPr>
          <w:color w:val="000000"/>
          <w:spacing w:val="0"/>
          <w:w w:val="100"/>
          <w:position w:val="0"/>
        </w:rPr>
        <w:t>有限公司。</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日，神州视翰科技</w:t>
      </w:r>
      <w:r>
        <w:rPr>
          <w:rFonts w:ascii="Times New Roman" w:eastAsia="Times New Roman" w:hAnsi="Times New Roman" w:cs="Times New Roman"/>
          <w:color w:val="000000"/>
          <w:spacing w:val="0"/>
          <w:w w:val="100"/>
          <w:position w:val="0"/>
        </w:rPr>
        <w:t>（</w:t>
      </w:r>
      <w:r>
        <w:rPr>
          <w:color w:val="000000"/>
          <w:spacing w:val="0"/>
          <w:w w:val="100"/>
          <w:position w:val="0"/>
        </w:rPr>
        <w:t>深圳</w:t>
      </w:r>
      <w:r>
        <w:rPr>
          <w:rFonts w:ascii="Times New Roman" w:eastAsia="Times New Roman" w:hAnsi="Times New Roman" w:cs="Times New Roman"/>
          <w:color w:val="000000"/>
          <w:spacing w:val="0"/>
          <w:w w:val="100"/>
          <w:position w:val="0"/>
        </w:rPr>
        <w:t>）</w:t>
      </w:r>
      <w:r>
        <w:rPr>
          <w:color w:val="000000"/>
          <w:spacing w:val="0"/>
          <w:w w:val="100"/>
          <w:position w:val="0"/>
        </w:rPr>
        <w:t>有限公司获得深圳市市场监督管理局企业注销通知书，相关注销工作已完成。</w:t>
      </w:r>
    </w:p>
    <w:p>
      <w:pPr>
        <w:pStyle w:val="Style55"/>
        <w:keepNext/>
        <w:keepLines/>
        <w:widowControl w:val="0"/>
        <w:shd w:val="clear" w:color="auto" w:fill="auto"/>
        <w:bidi w:val="0"/>
        <w:spacing w:before="0" w:after="360" w:line="240" w:lineRule="auto"/>
        <w:ind w:left="0" w:right="0" w:firstLine="980"/>
        <w:jc w:val="left"/>
      </w:pPr>
      <w:bookmarkStart w:id="1958" w:name="bookmark1958"/>
      <w:bookmarkStart w:id="1959" w:name="bookmark1959"/>
      <w:bookmarkStart w:id="1960" w:name="bookmark1960"/>
      <w:bookmarkStart w:id="1961" w:name="bookmark1961"/>
      <w:r>
        <w:rPr>
          <w:rFonts w:ascii="Times New Roman" w:eastAsia="Times New Roman" w:hAnsi="Times New Roman" w:cs="Times New Roman"/>
          <w:color w:val="000000"/>
          <w:spacing w:val="0"/>
          <w:w w:val="100"/>
          <w:position w:val="0"/>
        </w:rPr>
        <w:t>6</w:t>
      </w:r>
      <w:bookmarkEnd w:id="1960"/>
      <w:r>
        <w:rPr>
          <w:color w:val="000000"/>
          <w:spacing w:val="0"/>
          <w:w w:val="100"/>
          <w:position w:val="0"/>
        </w:rPr>
        <w:t>、其他</w:t>
      </w:r>
      <w:bookmarkEnd w:id="1958"/>
      <w:bookmarkEnd w:id="1959"/>
      <w:bookmarkEnd w:id="1961"/>
    </w:p>
    <w:p>
      <w:pPr>
        <w:pStyle w:val="Style32"/>
        <w:keepNext w:val="0"/>
        <w:keepLines w:val="0"/>
        <w:widowControl w:val="0"/>
        <w:shd w:val="clear" w:color="auto" w:fill="auto"/>
        <w:bidi w:val="0"/>
        <w:spacing w:before="0" w:after="360" w:line="240" w:lineRule="auto"/>
        <w:ind w:left="0" w:right="0" w:firstLine="980"/>
        <w:jc w:val="left"/>
      </w:pPr>
      <w:r>
        <w:rPr>
          <w:color w:val="000000"/>
          <w:spacing w:val="0"/>
          <w:w w:val="100"/>
          <w:position w:val="0"/>
        </w:rPr>
        <w:t>无</w:t>
      </w:r>
    </w:p>
    <w:p>
      <w:pPr>
        <w:pStyle w:val="Style47"/>
        <w:keepNext/>
        <w:keepLines/>
        <w:widowControl w:val="0"/>
        <w:shd w:val="clear" w:color="auto" w:fill="auto"/>
        <w:bidi w:val="0"/>
        <w:spacing w:before="0" w:after="360" w:line="240" w:lineRule="auto"/>
        <w:ind w:left="0" w:right="0" w:firstLine="980"/>
        <w:jc w:val="both"/>
      </w:pPr>
      <w:bookmarkStart w:id="1962" w:name="bookmark1962"/>
      <w:bookmarkStart w:id="1963" w:name="bookmark1963"/>
      <w:bookmarkStart w:id="1964" w:name="bookmark1964"/>
      <w:bookmarkStart w:id="1965" w:name="bookmark1965"/>
      <w:r>
        <w:rPr>
          <w:color w:val="000000"/>
          <w:spacing w:val="0"/>
          <w:w w:val="100"/>
          <w:position w:val="0"/>
          <w:sz w:val="24"/>
          <w:szCs w:val="24"/>
        </w:rPr>
        <w:t>九</w:t>
      </w:r>
      <w:bookmarkEnd w:id="1964"/>
      <w:r>
        <w:rPr>
          <w:color w:val="000000"/>
          <w:spacing w:val="0"/>
          <w:w w:val="100"/>
          <w:position w:val="0"/>
          <w:sz w:val="24"/>
          <w:szCs w:val="24"/>
        </w:rPr>
        <w:t>、在其他主体中的权益</w:t>
      </w:r>
      <w:bookmarkEnd w:id="1962"/>
      <w:bookmarkEnd w:id="1963"/>
      <w:bookmarkEnd w:id="1965"/>
    </w:p>
    <w:p>
      <w:pPr>
        <w:pStyle w:val="Style55"/>
        <w:keepNext/>
        <w:keepLines/>
        <w:widowControl w:val="0"/>
        <w:shd w:val="clear" w:color="auto" w:fill="auto"/>
        <w:bidi w:val="0"/>
        <w:spacing w:before="0" w:after="360" w:line="240" w:lineRule="auto"/>
        <w:ind w:left="0" w:right="0" w:firstLine="980"/>
        <w:jc w:val="both"/>
      </w:pPr>
      <w:bookmarkStart w:id="1966" w:name="bookmark1966"/>
      <w:bookmarkStart w:id="1967" w:name="bookmark1967"/>
      <w:bookmarkStart w:id="1968" w:name="bookmark1968"/>
      <w:r>
        <w:rPr>
          <w:rFonts w:ascii="Times New Roman" w:eastAsia="Times New Roman" w:hAnsi="Times New Roman" w:cs="Times New Roman"/>
          <w:color w:val="000000"/>
          <w:spacing w:val="0"/>
          <w:w w:val="100"/>
          <w:position w:val="0"/>
        </w:rPr>
        <w:t>1</w:t>
      </w:r>
      <w:r>
        <w:rPr>
          <w:color w:val="000000"/>
          <w:spacing w:val="0"/>
          <w:w w:val="100"/>
          <w:position w:val="0"/>
        </w:rPr>
        <w:t>、在子公司中的权益</w:t>
      </w:r>
      <w:bookmarkEnd w:id="1966"/>
      <w:bookmarkEnd w:id="1967"/>
      <w:bookmarkEnd w:id="1968"/>
    </w:p>
    <w:p>
      <w:pPr>
        <w:pStyle w:val="Style55"/>
        <w:keepNext/>
        <w:keepLines/>
        <w:widowControl w:val="0"/>
        <w:shd w:val="clear" w:color="auto" w:fill="auto"/>
        <w:bidi w:val="0"/>
        <w:spacing w:before="0" w:after="260" w:line="240" w:lineRule="auto"/>
        <w:ind w:left="1100" w:right="0" w:firstLine="0"/>
        <w:jc w:val="left"/>
      </w:pPr>
      <w:bookmarkStart w:id="1966" w:name="bookmark1966"/>
      <w:bookmarkStart w:id="1967" w:name="bookmark1967"/>
      <w:bookmarkStart w:id="1969" w:name="bookmark1969"/>
      <w:r>
        <w:rPr>
          <w:rFonts w:ascii="Times New Roman" w:eastAsia="Times New Roman" w:hAnsi="Times New Roman" w:cs="Times New Roman"/>
          <w:color w:val="000000"/>
          <w:spacing w:val="0"/>
          <w:w w:val="100"/>
          <w:position w:val="0"/>
        </w:rPr>
        <w:t>（1</w:t>
      </w:r>
      <w:r>
        <w:rPr>
          <w:color w:val="000000"/>
          <w:spacing w:val="0"/>
          <w:w w:val="100"/>
          <w:position w:val="0"/>
        </w:rPr>
        <w:t>）企业集团的构成</w:t>
      </w:r>
      <w:bookmarkEnd w:id="1966"/>
      <w:bookmarkEnd w:id="1967"/>
      <w:bookmarkEnd w:id="1969"/>
    </w:p>
    <w:tbl>
      <w:tblPr>
        <w:tblOverlap w:val="never"/>
        <w:jc w:val="center"/>
        <w:tblLayout w:type="fixed"/>
      </w:tblPr>
      <w:tblGrid>
        <w:gridCol w:w="2698"/>
        <w:gridCol w:w="994"/>
        <w:gridCol w:w="850"/>
        <w:gridCol w:w="1138"/>
        <w:gridCol w:w="850"/>
        <w:gridCol w:w="850"/>
        <w:gridCol w:w="2918"/>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子公司名称</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主要经营地</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40"/>
              <w:jc w:val="left"/>
            </w:pPr>
            <w:r>
              <w:rPr>
                <w:color w:val="000000"/>
                <w:spacing w:val="0"/>
                <w:w w:val="100"/>
                <w:position w:val="0"/>
              </w:rPr>
              <w:t>注册地</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业务性质</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1080" w:right="0" w:firstLine="0"/>
              <w:jc w:val="left"/>
            </w:pPr>
            <w:r>
              <w:rPr>
                <w:color w:val="000000"/>
                <w:spacing w:val="0"/>
                <w:w w:val="100"/>
                <w:position w:val="0"/>
              </w:rPr>
              <w:t>取得方式</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40" w:firstLine="0"/>
              <w:jc w:val="right"/>
            </w:pPr>
            <w:r>
              <w:rPr>
                <w:color w:val="000000"/>
                <w:spacing w:val="0"/>
                <w:w w:val="100"/>
                <w:position w:val="0"/>
              </w:rPr>
              <w:t>直接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40" w:firstLine="0"/>
              <w:jc w:val="right"/>
            </w:pPr>
            <w:r>
              <w:rPr>
                <w:color w:val="000000"/>
                <w:spacing w:val="0"/>
                <w:w w:val="100"/>
                <w:position w:val="0"/>
              </w:rPr>
              <w:t>间接</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辽宁荣科金融服务有限公司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铁岭</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铁岭</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北京荣科爱信科技有限公司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上海米健信息技术有限公司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收购（非同一控制下的企业合并）</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苏州易健医疗信息技术有限公司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苏州</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苏州</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收购（非同一控制下的企业合并）</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西藏米健信息技术有限公司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西藏</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西藏</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上海米健健康科技有限公司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北京神州视翰科技有限公司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收购（非同一控制下的企业合并）</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武汉视界物联科技有限公司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武汉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武汉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收购（非同一控制下的企业合并）</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东莞益视智能设备有限公司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东莞</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东莞</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制造业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收购（非同一控制下的企业合并）</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广州市聚点电子科技有限公司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60.00%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收购（非同一控制下的企业合并）</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辽宁荣科智维云科技有限公司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沈阳</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沈抚新区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50.20%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上海今创信息技术有限公司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徐州</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收购（非同一控制下的企业合并）</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上海今创软件技术有限公司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徐州</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软件服务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70.00%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收购（非同一控制下的企业合并）</w:t>
            </w:r>
          </w:p>
        </w:tc>
      </w:tr>
    </w:tbl>
    <w:p>
      <w:pPr>
        <w:pStyle w:val="Style32"/>
        <w:keepNext w:val="0"/>
        <w:keepLines w:val="0"/>
        <w:widowControl w:val="0"/>
        <w:shd w:val="clear" w:color="auto" w:fill="auto"/>
        <w:bidi w:val="0"/>
        <w:spacing w:before="0" w:after="360" w:line="365" w:lineRule="exact"/>
        <w:ind w:left="980" w:right="0" w:firstLine="0"/>
        <w:jc w:val="both"/>
      </w:pPr>
      <w:r>
        <w:rPr>
          <w:color w:val="000000"/>
          <w:spacing w:val="0"/>
          <w:w w:val="100"/>
          <w:position w:val="0"/>
        </w:rPr>
        <w:t>在子公司的持股比例不同于表决权比例的说明: 无</w:t>
      </w:r>
      <w:r>
        <w:br w:type="page"/>
      </w:r>
    </w:p>
    <w:p>
      <w:pPr>
        <w:pStyle w:val="Style5"/>
        <w:keepNext w:val="0"/>
        <w:keepLines w:val="0"/>
        <w:widowControl w:val="0"/>
        <w:shd w:val="clear" w:color="auto" w:fill="auto"/>
        <w:bidi w:val="0"/>
        <w:spacing w:before="0" w:after="60" w:line="240" w:lineRule="auto"/>
        <w:ind w:left="1060" w:right="0" w:firstLine="0"/>
        <w:jc w:val="left"/>
      </w:pPr>
      <w:r>
        <w:rPr>
          <w:rFonts w:ascii="SimSun" w:eastAsia="SimSun" w:hAnsi="SimSun" w:cs="SimSun"/>
          <w:b/>
          <w:bCs/>
          <w:color w:val="245994"/>
          <w:spacing w:val="0"/>
          <w:w w:val="100"/>
          <w:position w:val="0"/>
          <w:sz w:val="20"/>
          <w:szCs w:val="20"/>
        </w:rPr>
        <w:t>,广</w:t>
      </w:r>
      <w:r>
        <w:rPr>
          <w:rFonts w:ascii="Times New Roman" w:eastAsia="Times New Roman" w:hAnsi="Times New Roman" w:cs="Times New Roman"/>
          <w:b/>
          <w:bCs/>
          <w:color w:val="245994"/>
          <w:spacing w:val="0"/>
          <w:w w:val="100"/>
          <w:position w:val="0"/>
          <w:sz w:val="20"/>
          <w:szCs w:val="20"/>
        </w:rPr>
        <w:t>1</w:t>
      </w:r>
      <w:r>
        <w:rPr>
          <w:spacing w:val="0"/>
          <w:w w:val="100"/>
          <w:position w:val="0"/>
        </w:rPr>
        <w:t xml:space="preserve">国家高新技术企业 </w:t>
      </w:r>
      <w:r>
        <w:rPr>
          <w:color w:val="000000"/>
          <w:spacing w:val="0"/>
          <w:w w:val="100"/>
          <w:position w:val="0"/>
        </w:rPr>
        <w:t>一</w:t>
      </w:r>
    </w:p>
    <w:p>
      <w:pPr>
        <w:pStyle w:val="Style32"/>
        <w:keepNext w:val="0"/>
        <w:keepLines w:val="0"/>
        <w:widowControl w:val="0"/>
        <w:shd w:val="clear" w:color="auto" w:fill="auto"/>
        <w:bidi w:val="0"/>
        <w:spacing w:before="0" w:after="0" w:line="240" w:lineRule="auto"/>
        <w:ind w:left="1140" w:right="0" w:firstLine="0"/>
        <w:jc w:val="left"/>
      </w:pPr>
      <w:r>
        <w:rPr>
          <w:rFonts w:ascii="SimHei" w:eastAsia="SimHei" w:hAnsi="SimHei" w:cs="SimHei"/>
          <w:color w:val="245994"/>
          <w:spacing w:val="0"/>
          <w:w w:val="100"/>
          <w:position w:val="0"/>
          <w:sz w:val="15"/>
          <w:szCs w:val="15"/>
        </w:rPr>
        <w:t xml:space="preserve">，| </w:t>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380" w:line="240" w:lineRule="auto"/>
        <w:ind w:left="1060" w:right="0" w:firstLine="0"/>
        <w:jc w:val="left"/>
      </w:pPr>
      <w:bookmarkStart w:id="1970" w:name="bookmark1970"/>
      <w:bookmarkStart w:id="1971" w:name="bookmark1971"/>
      <w:bookmarkStart w:id="1972" w:name="bookmark1972"/>
      <w:r>
        <w:rPr>
          <w:rFonts w:ascii="Times New Roman" w:eastAsia="Times New Roman" w:hAnsi="Times New Roman" w:cs="Times New Roman"/>
          <w:color w:val="000000"/>
          <w:spacing w:val="0"/>
          <w:w w:val="100"/>
          <w:position w:val="0"/>
        </w:rPr>
        <w:t>（2</w:t>
      </w:r>
      <w:r>
        <w:rPr>
          <w:color w:val="000000"/>
          <w:spacing w:val="0"/>
          <w:w w:val="100"/>
          <w:position w:val="0"/>
        </w:rPr>
        <w:t>）重要的非全资子公司</w:t>
      </w:r>
      <w:bookmarkEnd w:id="1970"/>
      <w:bookmarkEnd w:id="1971"/>
      <w:bookmarkEnd w:id="1972"/>
    </w:p>
    <w:p>
      <w:pPr>
        <w:pStyle w:val="Style32"/>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2486"/>
        <w:gridCol w:w="1915"/>
        <w:gridCol w:w="1910"/>
        <w:gridCol w:w="1915"/>
        <w:gridCol w:w="1925"/>
      </w:tblGrid>
      <w:tr>
        <w:trPr>
          <w:trHeight w:val="76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少数股东持股比例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本期归属于少数股东的</w:t>
            </w:r>
          </w:p>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损益</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本期向少数股东宣告分</w:t>
            </w:r>
          </w:p>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派的股利</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期末少数股东权益余额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上海今创信息技术有限公司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rPr>
                <w:sz w:val="15"/>
                <w:szCs w:val="15"/>
              </w:rPr>
            </w:pPr>
            <w:r>
              <w:rPr>
                <w:rFonts w:ascii="Times New Roman" w:eastAsia="Times New Roman" w:hAnsi="Times New Roman" w:cs="Times New Roman"/>
                <w:color w:val="000000"/>
                <w:spacing w:val="0"/>
                <w:w w:val="100"/>
                <w:position w:val="0"/>
                <w:sz w:val="15"/>
                <w:szCs w:val="15"/>
              </w:rPr>
              <w:t>30.00%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9,094,603.80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3,600,000.00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33,559,818.19</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辽宁荣科智维云科技有限公司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420" w:right="0" w:firstLine="0"/>
              <w:jc w:val="left"/>
              <w:rPr>
                <w:sz w:val="15"/>
                <w:szCs w:val="15"/>
              </w:rPr>
            </w:pPr>
            <w:r>
              <w:rPr>
                <w:rFonts w:ascii="Times New Roman" w:eastAsia="Times New Roman" w:hAnsi="Times New Roman" w:cs="Times New Roman"/>
                <w:color w:val="000000"/>
                <w:spacing w:val="0"/>
                <w:w w:val="100"/>
                <w:position w:val="0"/>
                <w:sz w:val="15"/>
                <w:szCs w:val="15"/>
              </w:rPr>
              <w:t>49.80%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4,466,690.44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9,320,633.92</w:t>
            </w:r>
          </w:p>
        </w:tc>
      </w:tr>
    </w:tbl>
    <w:p>
      <w:pPr>
        <w:widowControl w:val="0"/>
        <w:spacing w:after="319" w:line="1" w:lineRule="exact"/>
      </w:pPr>
    </w:p>
    <w:p>
      <w:pPr>
        <w:pStyle w:val="Style55"/>
        <w:keepNext/>
        <w:keepLines/>
        <w:widowControl w:val="0"/>
        <w:shd w:val="clear" w:color="auto" w:fill="auto"/>
        <w:bidi w:val="0"/>
        <w:spacing w:before="0" w:after="380" w:line="240" w:lineRule="auto"/>
        <w:ind w:left="1060" w:right="0" w:firstLine="0"/>
        <w:jc w:val="left"/>
      </w:pPr>
      <w:bookmarkStart w:id="1973" w:name="bookmark1973"/>
      <w:bookmarkStart w:id="1974" w:name="bookmark1974"/>
      <w:bookmarkStart w:id="1975" w:name="bookmark1975"/>
      <w:bookmarkStart w:id="1976" w:name="bookmark1976"/>
      <w:r>
        <w:rPr>
          <w:rFonts w:ascii="Times New Roman" w:eastAsia="Times New Roman" w:hAnsi="Times New Roman" w:cs="Times New Roman"/>
          <w:color w:val="000000"/>
          <w:spacing w:val="0"/>
          <w:w w:val="100"/>
          <w:position w:val="0"/>
        </w:rPr>
        <w:t>（</w:t>
      </w:r>
      <w:bookmarkEnd w:id="1975"/>
      <w:r>
        <w:rPr>
          <w:rFonts w:ascii="Times New Roman" w:eastAsia="Times New Roman" w:hAnsi="Times New Roman" w:cs="Times New Roman"/>
          <w:color w:val="000000"/>
          <w:spacing w:val="0"/>
          <w:w w:val="100"/>
          <w:position w:val="0"/>
        </w:rPr>
        <w:t>3</w:t>
      </w:r>
      <w:r>
        <w:rPr>
          <w:color w:val="000000"/>
          <w:spacing w:val="0"/>
          <w:w w:val="100"/>
          <w:position w:val="0"/>
        </w:rPr>
        <w:t>）重要非全资子公司的主要财务信息</w:t>
      </w:r>
      <w:bookmarkEnd w:id="1973"/>
      <w:bookmarkEnd w:id="1974"/>
      <w:bookmarkEnd w:id="1976"/>
    </w:p>
    <w:p>
      <w:pPr>
        <w:pStyle w:val="Style32"/>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008"/>
        <w:gridCol w:w="955"/>
        <w:gridCol w:w="768"/>
        <w:gridCol w:w="960"/>
        <w:gridCol w:w="850"/>
        <w:gridCol w:w="461"/>
        <w:gridCol w:w="912"/>
        <w:gridCol w:w="850"/>
        <w:gridCol w:w="715"/>
        <w:gridCol w:w="869"/>
        <w:gridCol w:w="922"/>
        <w:gridCol w:w="518"/>
        <w:gridCol w:w="859"/>
      </w:tblGrid>
      <w:tr>
        <w:trPr>
          <w:trHeight w:val="254"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180"/>
              <w:jc w:val="left"/>
              <w:rPr>
                <w:sz w:val="13"/>
                <w:szCs w:val="13"/>
              </w:rPr>
            </w:pPr>
            <w:r>
              <w:rPr>
                <w:color w:val="000000"/>
                <w:spacing w:val="0"/>
                <w:w w:val="100"/>
                <w:position w:val="0"/>
                <w:sz w:val="13"/>
                <w:szCs w:val="13"/>
              </w:rPr>
              <w:t>子公司名称</w:t>
            </w:r>
          </w:p>
        </w:tc>
        <w:tc>
          <w:tcPr>
            <w:gridSpan w:val="6"/>
            <w:tcBorders>
              <w:top w:val="single" w:sz="4"/>
              <w:left w:val="single" w:sz="4"/>
            </w:tcBorders>
            <w:shd w:val="clear" w:color="auto" w:fill="D4D4D4"/>
            <w:vAlign w:val="bottom"/>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期末余额</w:t>
            </w:r>
          </w:p>
        </w:tc>
        <w:tc>
          <w:tcPr>
            <w:gridSpan w:val="6"/>
            <w:tcBorders>
              <w:top w:val="single" w:sz="4"/>
              <w:left w:val="single" w:sz="4"/>
              <w:right w:val="single" w:sz="4"/>
            </w:tcBorders>
            <w:shd w:val="clear" w:color="auto" w:fill="D4D4D4"/>
            <w:vAlign w:val="bottom"/>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期初余额</w:t>
            </w:r>
          </w:p>
        </w:tc>
      </w:tr>
      <w:tr>
        <w:trPr>
          <w:trHeight w:val="490"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流动资产</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非流动资产</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资产合计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流动负债</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80" w:line="240" w:lineRule="auto"/>
              <w:ind w:left="0" w:right="0" w:firstLine="0"/>
              <w:jc w:val="left"/>
              <w:rPr>
                <w:sz w:val="13"/>
                <w:szCs w:val="13"/>
              </w:rPr>
            </w:pPr>
            <w:r>
              <w:rPr>
                <w:color w:val="000000"/>
                <w:spacing w:val="0"/>
                <w:w w:val="100"/>
                <w:position w:val="0"/>
                <w:sz w:val="13"/>
                <w:szCs w:val="13"/>
              </w:rPr>
              <w:t>非流动</w:t>
            </w:r>
          </w:p>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负债</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负债合计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流动资产</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非流动资产</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资产合计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流动负债</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80" w:line="240" w:lineRule="auto"/>
              <w:ind w:left="0" w:right="0" w:firstLine="0"/>
              <w:jc w:val="center"/>
              <w:rPr>
                <w:sz w:val="13"/>
                <w:szCs w:val="13"/>
              </w:rPr>
            </w:pPr>
            <w:r>
              <w:rPr>
                <w:color w:val="000000"/>
                <w:spacing w:val="0"/>
                <w:w w:val="100"/>
                <w:position w:val="0"/>
                <w:sz w:val="13"/>
                <w:szCs w:val="13"/>
              </w:rPr>
              <w:t>非流动</w:t>
            </w:r>
          </w:p>
          <w:p>
            <w:pPr>
              <w:pStyle w:val="Style44"/>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负债</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负债合计</w:t>
            </w:r>
          </w:p>
        </w:tc>
      </w:tr>
      <w:tr>
        <w:trPr>
          <w:trHeight w:val="49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rPr>
                <w:sz w:val="13"/>
                <w:szCs w:val="13"/>
              </w:rPr>
            </w:pPr>
            <w:r>
              <w:rPr>
                <w:color w:val="000000"/>
                <w:spacing w:val="0"/>
                <w:w w:val="100"/>
                <w:position w:val="0"/>
                <w:sz w:val="13"/>
                <w:szCs w:val="13"/>
              </w:rPr>
              <w:t>上海今创信息技</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148,620,741.22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3,173,326.78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151,794,068.00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49,695,280.08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49,695,280.08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04"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left"/>
              <w:rPr>
                <w:sz w:val="13"/>
                <w:szCs w:val="13"/>
              </w:rPr>
            </w:pPr>
            <w:r>
              <w:rPr>
                <w:color w:val="000000"/>
                <w:spacing w:val="0"/>
                <w:w w:val="100"/>
                <w:position w:val="0"/>
                <w:sz w:val="13"/>
                <w:szCs w:val="13"/>
              </w:rPr>
              <w:t>辽宁荣科智维云</w:t>
            </w:r>
          </w:p>
          <w:p>
            <w:pPr>
              <w:pStyle w:val="Style4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科技有限公司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108,843,636.49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1,133,726.42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109,977,362.91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71,226,557.53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71,226,557.53</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44,600,635.69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64,299.22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44,664,934.91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34,957,047.95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34,957,047.95</w:t>
            </w:r>
          </w:p>
        </w:tc>
      </w:tr>
    </w:tbl>
    <w:p>
      <w:pPr>
        <w:widowControl w:val="0"/>
        <w:spacing w:after="59" w:line="1" w:lineRule="exact"/>
      </w:pPr>
    </w:p>
    <w:p>
      <w:pPr>
        <w:pStyle w:val="Style32"/>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2059"/>
        <w:gridCol w:w="1061"/>
        <w:gridCol w:w="1061"/>
        <w:gridCol w:w="1066"/>
        <w:gridCol w:w="1066"/>
        <w:gridCol w:w="1061"/>
        <w:gridCol w:w="1066"/>
        <w:gridCol w:w="1061"/>
        <w:gridCol w:w="1075"/>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子公司名称</w:t>
            </w:r>
          </w:p>
        </w:tc>
        <w:tc>
          <w:tcPr>
            <w:gridSpan w:val="4"/>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本期发生额</w:t>
            </w:r>
          </w:p>
        </w:tc>
        <w:tc>
          <w:tcPr>
            <w:gridSpan w:val="4"/>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上期发生额</w:t>
            </w:r>
          </w:p>
        </w:tc>
      </w:tr>
      <w:tr>
        <w:trPr>
          <w:trHeight w:val="715"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营业收入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净利润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综合收益总额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right"/>
              <w:rPr>
                <w:sz w:val="15"/>
                <w:szCs w:val="15"/>
              </w:rPr>
            </w:pPr>
            <w:r>
              <w:rPr>
                <w:color w:val="000000"/>
                <w:spacing w:val="0"/>
                <w:w w:val="100"/>
                <w:position w:val="0"/>
                <w:sz w:val="15"/>
                <w:szCs w:val="15"/>
              </w:rPr>
              <w:t>经营活动现金</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流量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营业收入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rPr>
                <w:sz w:val="15"/>
                <w:szCs w:val="15"/>
              </w:rPr>
            </w:pPr>
            <w:r>
              <w:rPr>
                <w:color w:val="000000"/>
                <w:spacing w:val="0"/>
                <w:w w:val="100"/>
                <w:position w:val="0"/>
                <w:sz w:val="15"/>
                <w:szCs w:val="15"/>
              </w:rPr>
              <w:t>净利润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综合收益总额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right"/>
              <w:rPr>
                <w:sz w:val="15"/>
                <w:szCs w:val="15"/>
              </w:rPr>
            </w:pPr>
            <w:r>
              <w:rPr>
                <w:color w:val="000000"/>
                <w:spacing w:val="0"/>
                <w:w w:val="100"/>
                <w:position w:val="0"/>
                <w:sz w:val="15"/>
                <w:szCs w:val="15"/>
              </w:rPr>
              <w:t>经营活动现金</w:t>
            </w:r>
          </w:p>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流量</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上海今创信息技术有限公司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101,132,746.87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32,321,988.63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32,321,988.63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27,638,454.27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辽宁荣科智维云科技有限公司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164,601,891.98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color w:val="000000"/>
                <w:spacing w:val="0"/>
                <w:w w:val="100"/>
                <w:position w:val="0"/>
                <w:sz w:val="15"/>
                <w:szCs w:val="15"/>
              </w:rPr>
              <w:t>8,942,918.42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8,942,918.42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10,260,298.88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66,037,864.87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rPr>
                <w:sz w:val="15"/>
                <w:szCs w:val="15"/>
              </w:rPr>
            </w:pPr>
            <w:r>
              <w:rPr>
                <w:rFonts w:ascii="Times New Roman" w:eastAsia="Times New Roman" w:hAnsi="Times New Roman" w:cs="Times New Roman"/>
                <w:color w:val="000000"/>
                <w:spacing w:val="0"/>
                <w:w w:val="100"/>
                <w:position w:val="0"/>
                <w:sz w:val="15"/>
                <w:szCs w:val="15"/>
              </w:rPr>
              <w:t>-292,113.04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-292,113.04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-2,188,882.29</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980"/>
        <w:jc w:val="left"/>
      </w:pPr>
      <w:bookmarkStart w:id="1977" w:name="bookmark1977"/>
      <w:bookmarkStart w:id="1978" w:name="bookmark1978"/>
      <w:bookmarkStart w:id="1979" w:name="bookmark1979"/>
      <w:bookmarkStart w:id="1980" w:name="bookmark1980"/>
      <w:r>
        <w:rPr>
          <w:color w:val="000000"/>
          <w:spacing w:val="0"/>
          <w:w w:val="100"/>
          <w:position w:val="0"/>
        </w:rPr>
        <w:t>（</w:t>
      </w:r>
      <w:bookmarkEnd w:id="1979"/>
      <w:r>
        <w:rPr>
          <w:rFonts w:ascii="Times New Roman" w:eastAsia="Times New Roman" w:hAnsi="Times New Roman" w:cs="Times New Roman"/>
          <w:color w:val="000000"/>
          <w:spacing w:val="0"/>
          <w:w w:val="100"/>
          <w:position w:val="0"/>
        </w:rPr>
        <w:t>4</w:t>
      </w:r>
      <w:r>
        <w:rPr>
          <w:color w:val="000000"/>
          <w:spacing w:val="0"/>
          <w:w w:val="100"/>
          <w:position w:val="0"/>
        </w:rPr>
        <w:t>）使用企业集团资产和清偿企业集团债务的重大限制</w:t>
      </w:r>
      <w:bookmarkEnd w:id="1977"/>
      <w:bookmarkEnd w:id="1978"/>
      <w:bookmarkEnd w:id="1980"/>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bidi w:val="0"/>
        <w:spacing w:before="0" w:after="960" w:line="240" w:lineRule="auto"/>
        <w:ind w:left="1060" w:right="0" w:firstLine="0"/>
        <w:jc w:val="left"/>
      </w:pPr>
      <w:bookmarkStart w:id="1981" w:name="bookmark1981"/>
      <w:bookmarkStart w:id="1982" w:name="bookmark1982"/>
      <w:bookmarkStart w:id="1983" w:name="bookmark1983"/>
      <w:bookmarkStart w:id="1984" w:name="bookmark1984"/>
      <w:r>
        <w:rPr>
          <w:rFonts w:ascii="Times New Roman" w:eastAsia="Times New Roman" w:hAnsi="Times New Roman" w:cs="Times New Roman"/>
          <w:color w:val="000000"/>
          <w:spacing w:val="0"/>
          <w:w w:val="100"/>
          <w:position w:val="0"/>
        </w:rPr>
        <w:t>（</w:t>
      </w:r>
      <w:bookmarkEnd w:id="1983"/>
      <w:r>
        <w:rPr>
          <w:rFonts w:ascii="Times New Roman" w:eastAsia="Times New Roman" w:hAnsi="Times New Roman" w:cs="Times New Roman"/>
          <w:color w:val="000000"/>
          <w:spacing w:val="0"/>
          <w:w w:val="100"/>
          <w:position w:val="0"/>
        </w:rPr>
        <w:t>5</w:t>
      </w:r>
      <w:r>
        <w:rPr>
          <w:color w:val="000000"/>
          <w:spacing w:val="0"/>
          <w:w w:val="100"/>
          <w:position w:val="0"/>
        </w:rPr>
        <w:t>）向纳入合并财务报表范围的结构化主体提供的财务支持或其他支持</w:t>
      </w:r>
      <w:bookmarkEnd w:id="1981"/>
      <w:bookmarkEnd w:id="1982"/>
      <w:bookmarkEnd w:id="1984"/>
    </w:p>
    <w:p>
      <w:pPr>
        <w:pStyle w:val="Style55"/>
        <w:keepNext/>
        <w:keepLines/>
        <w:widowControl w:val="0"/>
        <w:shd w:val="clear" w:color="auto" w:fill="auto"/>
        <w:bidi w:val="0"/>
        <w:spacing w:before="0" w:after="380" w:line="240" w:lineRule="auto"/>
        <w:ind w:left="980" w:right="0" w:firstLine="0"/>
        <w:jc w:val="left"/>
      </w:pPr>
      <w:bookmarkStart w:id="1985" w:name="bookmark1985"/>
      <w:bookmarkStart w:id="1986" w:name="bookmark1986"/>
      <w:bookmarkStart w:id="1987" w:name="bookmark1987"/>
      <w:bookmarkStart w:id="1988" w:name="bookmark1988"/>
      <w:r>
        <w:rPr>
          <w:rFonts w:ascii="Times New Roman" w:eastAsia="Times New Roman" w:hAnsi="Times New Roman" w:cs="Times New Roman"/>
          <w:color w:val="000000"/>
          <w:spacing w:val="0"/>
          <w:w w:val="100"/>
          <w:position w:val="0"/>
        </w:rPr>
        <w:t>2</w:t>
      </w:r>
      <w:bookmarkEnd w:id="1987"/>
      <w:r>
        <w:rPr>
          <w:color w:val="000000"/>
          <w:spacing w:val="0"/>
          <w:w w:val="100"/>
          <w:position w:val="0"/>
        </w:rPr>
        <w:t>、在子公司的所有者权益份额发生变化且仍控制子公司的交易</w:t>
      </w:r>
      <w:bookmarkEnd w:id="1985"/>
      <w:bookmarkEnd w:id="1986"/>
      <w:bookmarkEnd w:id="1988"/>
    </w:p>
    <w:p>
      <w:pPr>
        <w:pStyle w:val="Style55"/>
        <w:keepNext/>
        <w:keepLines/>
        <w:widowControl w:val="0"/>
        <w:shd w:val="clear" w:color="auto" w:fill="auto"/>
        <w:bidi w:val="0"/>
        <w:spacing w:before="0" w:after="260" w:line="240" w:lineRule="auto"/>
        <w:ind w:left="980" w:right="0" w:firstLine="0"/>
        <w:jc w:val="left"/>
      </w:pPr>
      <w:bookmarkStart w:id="1985" w:name="bookmark1985"/>
      <w:bookmarkStart w:id="1986" w:name="bookmark1986"/>
      <w:bookmarkStart w:id="1989" w:name="bookmark1989"/>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）在子公司所有者权益份额发生变化的情况说明</w:t>
      </w:r>
      <w:bookmarkEnd w:id="1985"/>
      <w:bookmarkEnd w:id="1986"/>
      <w:bookmarkEnd w:id="1989"/>
    </w:p>
    <w:p>
      <w:pPr>
        <w:pStyle w:val="Style32"/>
        <w:keepNext w:val="0"/>
        <w:keepLines w:val="0"/>
        <w:widowControl w:val="0"/>
        <w:shd w:val="clear" w:color="auto" w:fill="auto"/>
        <w:bidi w:val="0"/>
        <w:spacing w:before="0" w:after="320" w:line="314" w:lineRule="exact"/>
        <w:ind w:left="980" w:right="0" w:firstLine="0"/>
        <w:jc w:val="left"/>
        <w:sectPr>
          <w:headerReference w:type="default" r:id="rId499"/>
          <w:footerReference w:type="default" r:id="rId500"/>
          <w:headerReference w:type="even" r:id="rId501"/>
          <w:footerReference w:type="even" r:id="rId502"/>
          <w:headerReference w:type="first" r:id="rId503"/>
          <w:footerReference w:type="first" r:id="rId504"/>
          <w:footnotePr>
            <w:pos w:val="pageBottom"/>
            <w:numFmt w:val="decimal"/>
            <w:numRestart w:val="continuous"/>
          </w:footnotePr>
          <w:pgSz w:w="11900" w:h="16840"/>
          <w:pgMar w:top="1159" w:right="1055" w:bottom="1573" w:left="108"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日，根据公司与宁波华悦泰衡咨询合伙企业（有限合伙）签订的《辽宁荣科智维云科技有限公司股权转让协议》 的约定，公司将所持辽宁荣科智维云科技有限公司</w:t>
      </w:r>
      <w:r>
        <w:rPr>
          <w:rFonts w:ascii="Times New Roman" w:eastAsia="Times New Roman" w:hAnsi="Times New Roman" w:cs="Times New Roman"/>
          <w:color w:val="000000"/>
          <w:spacing w:val="0"/>
          <w:w w:val="100"/>
          <w:position w:val="0"/>
        </w:rPr>
        <w:t>19.80%</w:t>
      </w:r>
      <w:r>
        <w:rPr>
          <w:color w:val="000000"/>
          <w:spacing w:val="0"/>
          <w:w w:val="100"/>
          <w:position w:val="0"/>
        </w:rPr>
        <w:t>的股权转让给宁波华悦泰衡咨询合伙企业（有限合伙），工商手 续已办理完毕，公司持有辽宁荣科智维云科技有限公司的股权比例变更为</w:t>
      </w:r>
      <w:r>
        <w:rPr>
          <w:rFonts w:ascii="Times New Roman" w:eastAsia="Times New Roman" w:hAnsi="Times New Roman" w:cs="Times New Roman"/>
          <w:color w:val="000000"/>
          <w:spacing w:val="0"/>
          <w:w w:val="100"/>
          <w:position w:val="0"/>
        </w:rPr>
        <w:t>50.20%</w:t>
      </w:r>
      <w:r>
        <w:rPr>
          <w:color w:val="000000"/>
          <w:spacing w:val="0"/>
          <w:w w:val="100"/>
          <w:position w:val="0"/>
        </w:rPr>
        <w:t>。</w:t>
      </w:r>
    </w:p>
    <w:p>
      <w:pPr>
        <w:pStyle w:val="Style5"/>
        <w:keepNext w:val="0"/>
        <w:keepLines w:val="0"/>
        <w:widowControl w:val="0"/>
        <w:shd w:val="clear" w:color="auto" w:fill="auto"/>
        <w:bidi w:val="0"/>
        <w:spacing w:before="0" w:after="0" w:line="240" w:lineRule="auto"/>
        <w:ind w:left="1800" w:right="0" w:firstLine="0"/>
        <w:jc w:val="left"/>
      </w:pPr>
      <w:r>
        <w:rPr>
          <w:spacing w:val="0"/>
          <w:w w:val="100"/>
          <w:position w:val="0"/>
        </w:rPr>
        <w:t>国家高新技术企业</w:t>
      </w:r>
    </w:p>
    <w:p>
      <w:pPr>
        <w:pStyle w:val="Style32"/>
        <w:keepNext w:val="0"/>
        <w:keepLines w:val="0"/>
        <w:widowControl w:val="0"/>
        <w:shd w:val="clear" w:color="auto" w:fill="auto"/>
        <w:tabs>
          <w:tab w:pos="1710" w:val="left"/>
        </w:tabs>
        <w:bidi w:val="0"/>
        <w:spacing w:before="0" w:after="0" w:line="240" w:lineRule="auto"/>
        <w:ind w:left="1100"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160"/>
        <w:keepNext w:val="0"/>
        <w:keepLines w:val="0"/>
        <w:widowControl w:val="0"/>
        <w:shd w:val="clear" w:color="auto" w:fill="auto"/>
        <w:bidi w:val="0"/>
        <w:spacing w:before="0" w:after="980" w:line="240" w:lineRule="auto"/>
        <w:ind w:left="110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）交易对于少数股东权益及归属于母公司所有者权益的影响</w:t>
      </w:r>
    </w:p>
    <w:p>
      <w:pPr>
        <w:pStyle w:val="Style160"/>
        <w:keepNext w:val="0"/>
        <w:keepLines w:val="0"/>
        <w:widowControl w:val="0"/>
        <w:shd w:val="clear" w:color="auto" w:fill="auto"/>
        <w:bidi w:val="0"/>
        <w:spacing w:before="0" w:line="240" w:lineRule="auto"/>
        <w:ind w:left="0" w:right="0"/>
        <w:jc w:val="left"/>
      </w:pPr>
      <w:bookmarkStart w:id="1990" w:name="bookmark1990"/>
      <w:r>
        <w:rPr>
          <w:rFonts w:ascii="Times New Roman" w:eastAsia="Times New Roman" w:hAnsi="Times New Roman" w:cs="Times New Roman"/>
          <w:color w:val="000000"/>
          <w:spacing w:val="0"/>
          <w:w w:val="100"/>
          <w:position w:val="0"/>
        </w:rPr>
        <w:t>3</w:t>
      </w:r>
      <w:bookmarkEnd w:id="1990"/>
      <w:r>
        <w:rPr>
          <w:color w:val="000000"/>
          <w:spacing w:val="0"/>
          <w:w w:val="100"/>
          <w:position w:val="0"/>
        </w:rPr>
        <w:t>、在合营安排或联营企业中的权益</w:t>
      </w:r>
    </w:p>
    <w:p>
      <w:pPr>
        <w:pStyle w:val="Style160"/>
        <w:keepNext w:val="0"/>
        <w:keepLines w:val="0"/>
        <w:widowControl w:val="0"/>
        <w:shd w:val="clear" w:color="auto" w:fill="auto"/>
        <w:tabs>
          <w:tab w:pos="1473" w:val="left"/>
        </w:tabs>
        <w:bidi w:val="0"/>
        <w:spacing w:before="0" w:line="240" w:lineRule="auto"/>
        <w:ind w:left="0" w:right="0"/>
        <w:jc w:val="left"/>
      </w:pPr>
      <w:bookmarkStart w:id="1991" w:name="bookmark1991"/>
      <w:r>
        <w:rPr>
          <w:color w:val="000000"/>
          <w:spacing w:val="0"/>
          <w:w w:val="100"/>
          <w:position w:val="0"/>
        </w:rPr>
        <w:t>（</w:t>
      </w:r>
      <w:bookmarkEnd w:id="1991"/>
      <w:r>
        <w:rPr>
          <w:rFonts w:ascii="Times New Roman" w:eastAsia="Times New Roman" w:hAnsi="Times New Roman" w:cs="Times New Roman"/>
          <w:color w:val="000000"/>
          <w:spacing w:val="0"/>
          <w:w w:val="100"/>
          <w:position w:val="0"/>
        </w:rPr>
        <w:t>1</w:t>
      </w:r>
      <w:r>
        <w:rPr>
          <w:color w:val="000000"/>
          <w:spacing w:val="0"/>
          <w:w w:val="100"/>
          <w:position w:val="0"/>
        </w:rPr>
        <w:t>）</w:t>
        <w:tab/>
        <w:t>重要的合营企业或联营企业</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160"/>
        <w:keepNext w:val="0"/>
        <w:keepLines w:val="0"/>
        <w:widowControl w:val="0"/>
        <w:shd w:val="clear" w:color="auto" w:fill="auto"/>
        <w:tabs>
          <w:tab w:pos="1473" w:val="left"/>
        </w:tabs>
        <w:bidi w:val="0"/>
        <w:spacing w:before="0" w:line="240" w:lineRule="auto"/>
        <w:ind w:left="0" w:right="0"/>
        <w:jc w:val="left"/>
      </w:pPr>
      <w:bookmarkStart w:id="1992" w:name="bookmark1992"/>
      <w:r>
        <w:rPr>
          <w:color w:val="000000"/>
          <w:spacing w:val="0"/>
          <w:w w:val="100"/>
          <w:position w:val="0"/>
        </w:rPr>
        <w:t>（</w:t>
      </w:r>
      <w:bookmarkEnd w:id="1992"/>
      <w:r>
        <w:rPr>
          <w:rFonts w:ascii="Times New Roman" w:eastAsia="Times New Roman" w:hAnsi="Times New Roman" w:cs="Times New Roman"/>
          <w:color w:val="000000"/>
          <w:spacing w:val="0"/>
          <w:w w:val="100"/>
          <w:position w:val="0"/>
        </w:rPr>
        <w:t>2</w:t>
      </w:r>
      <w:r>
        <w:rPr>
          <w:color w:val="000000"/>
          <w:spacing w:val="0"/>
          <w:w w:val="100"/>
          <w:position w:val="0"/>
        </w:rPr>
        <w:t>）</w:t>
        <w:tab/>
        <w:t>重要合营企业的主要财务信息</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160"/>
        <w:keepNext w:val="0"/>
        <w:keepLines w:val="0"/>
        <w:widowControl w:val="0"/>
        <w:shd w:val="clear" w:color="auto" w:fill="auto"/>
        <w:tabs>
          <w:tab w:pos="1473" w:val="left"/>
        </w:tabs>
        <w:bidi w:val="0"/>
        <w:spacing w:before="0" w:line="240" w:lineRule="auto"/>
        <w:ind w:left="0" w:right="0"/>
        <w:jc w:val="left"/>
      </w:pPr>
      <w:bookmarkStart w:id="1993" w:name="bookmark1993"/>
      <w:r>
        <w:rPr>
          <w:color w:val="000000"/>
          <w:spacing w:val="0"/>
          <w:w w:val="100"/>
          <w:position w:val="0"/>
        </w:rPr>
        <w:t>（</w:t>
      </w:r>
      <w:bookmarkEnd w:id="1993"/>
      <w:r>
        <w:rPr>
          <w:rFonts w:ascii="Times New Roman" w:eastAsia="Times New Roman" w:hAnsi="Times New Roman" w:cs="Times New Roman"/>
          <w:color w:val="000000"/>
          <w:spacing w:val="0"/>
          <w:w w:val="100"/>
          <w:position w:val="0"/>
        </w:rPr>
        <w:t>3</w:t>
      </w:r>
      <w:r>
        <w:rPr>
          <w:color w:val="000000"/>
          <w:spacing w:val="0"/>
          <w:w w:val="100"/>
          <w:position w:val="0"/>
        </w:rPr>
        <w:t>）</w:t>
        <w:tab/>
        <w:t>重要联营企业的主要财务信息</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160"/>
        <w:keepNext w:val="0"/>
        <w:keepLines w:val="0"/>
        <w:widowControl w:val="0"/>
        <w:shd w:val="clear" w:color="auto" w:fill="auto"/>
        <w:tabs>
          <w:tab w:pos="1473" w:val="left"/>
        </w:tabs>
        <w:bidi w:val="0"/>
        <w:spacing w:before="0" w:line="240" w:lineRule="auto"/>
        <w:ind w:left="0" w:right="0"/>
        <w:jc w:val="left"/>
      </w:pPr>
      <w:bookmarkStart w:id="1994" w:name="bookmark1994"/>
      <w:r>
        <w:rPr>
          <w:color w:val="000000"/>
          <w:spacing w:val="0"/>
          <w:w w:val="100"/>
          <w:position w:val="0"/>
        </w:rPr>
        <w:t>（</w:t>
      </w:r>
      <w:bookmarkEnd w:id="1994"/>
      <w:r>
        <w:rPr>
          <w:rFonts w:ascii="Times New Roman" w:eastAsia="Times New Roman" w:hAnsi="Times New Roman" w:cs="Times New Roman"/>
          <w:color w:val="000000"/>
          <w:spacing w:val="0"/>
          <w:w w:val="100"/>
          <w:position w:val="0"/>
        </w:rPr>
        <w:t>4</w:t>
      </w:r>
      <w:r>
        <w:rPr>
          <w:color w:val="000000"/>
          <w:spacing w:val="0"/>
          <w:w w:val="100"/>
          <w:position w:val="0"/>
        </w:rPr>
        <w:t>）</w:t>
        <w:tab/>
        <w:t>不重要的合营企业和联营企业的汇总财务信息</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3331"/>
        <w:gridCol w:w="3062"/>
        <w:gridCol w:w="3192"/>
      </w:tblGrid>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r>
              <w:rPr>
                <w:rFonts w:ascii="Times New Roman" w:eastAsia="Times New Roman" w:hAnsi="Times New Roman" w:cs="Times New Roman"/>
                <w:color w:val="000000"/>
                <w:spacing w:val="0"/>
                <w:w w:val="100"/>
                <w:position w:val="0"/>
              </w:rPr>
              <w:t>/</w:t>
            </w: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r>
              <w:rPr>
                <w:rFonts w:ascii="Times New Roman" w:eastAsia="Times New Roman" w:hAnsi="Times New Roman" w:cs="Times New Roman"/>
                <w:color w:val="000000"/>
                <w:spacing w:val="0"/>
                <w:w w:val="100"/>
                <w:position w:val="0"/>
              </w:rPr>
              <w:t>/</w:t>
            </w:r>
            <w:r>
              <w:rPr>
                <w:color w:val="000000"/>
                <w:spacing w:val="0"/>
                <w:w w:val="100"/>
                <w:position w:val="0"/>
              </w:rPr>
              <w:t>上期发生额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投资账面价值合计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195,893.26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下列各项按持股比例计算的合计数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净利润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-28,947.37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综合收益总额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-28,947.37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79" w:line="1" w:lineRule="exact"/>
      </w:pPr>
    </w:p>
    <w:p>
      <w:pPr>
        <w:pStyle w:val="Style160"/>
        <w:keepNext w:val="0"/>
        <w:keepLines w:val="0"/>
        <w:widowControl w:val="0"/>
        <w:shd w:val="clear" w:color="auto" w:fill="auto"/>
        <w:tabs>
          <w:tab w:pos="1473" w:val="left"/>
        </w:tabs>
        <w:bidi w:val="0"/>
        <w:spacing w:before="0" w:line="240" w:lineRule="auto"/>
        <w:ind w:left="0" w:right="0"/>
        <w:jc w:val="left"/>
      </w:pPr>
      <w:bookmarkStart w:id="1995" w:name="bookmark1995"/>
      <w:r>
        <w:rPr>
          <w:color w:val="000000"/>
          <w:spacing w:val="0"/>
          <w:w w:val="100"/>
          <w:position w:val="0"/>
        </w:rPr>
        <w:t>（</w:t>
      </w:r>
      <w:bookmarkEnd w:id="1995"/>
      <w:r>
        <w:rPr>
          <w:rFonts w:ascii="Times New Roman" w:eastAsia="Times New Roman" w:hAnsi="Times New Roman" w:cs="Times New Roman"/>
          <w:color w:val="000000"/>
          <w:spacing w:val="0"/>
          <w:w w:val="100"/>
          <w:position w:val="0"/>
        </w:rPr>
        <w:t>5</w:t>
      </w:r>
      <w:r>
        <w:rPr>
          <w:color w:val="000000"/>
          <w:spacing w:val="0"/>
          <w:w w:val="100"/>
          <w:position w:val="0"/>
        </w:rPr>
        <w:t>）</w:t>
        <w:tab/>
        <w:t>合营企业或联营企业向本公司转移资金的能力存在重大限制的说明</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160"/>
        <w:keepNext w:val="0"/>
        <w:keepLines w:val="0"/>
        <w:widowControl w:val="0"/>
        <w:shd w:val="clear" w:color="auto" w:fill="auto"/>
        <w:tabs>
          <w:tab w:pos="1473" w:val="left"/>
        </w:tabs>
        <w:bidi w:val="0"/>
        <w:spacing w:before="0" w:line="240" w:lineRule="auto"/>
        <w:ind w:left="0" w:right="0"/>
        <w:jc w:val="left"/>
      </w:pPr>
      <w:bookmarkStart w:id="1996" w:name="bookmark1996"/>
      <w:r>
        <w:rPr>
          <w:color w:val="000000"/>
          <w:spacing w:val="0"/>
          <w:w w:val="100"/>
          <w:position w:val="0"/>
        </w:rPr>
        <w:t>（</w:t>
      </w:r>
      <w:bookmarkEnd w:id="1996"/>
      <w:r>
        <w:rPr>
          <w:rFonts w:ascii="Times New Roman" w:eastAsia="Times New Roman" w:hAnsi="Times New Roman" w:cs="Times New Roman"/>
          <w:color w:val="000000"/>
          <w:spacing w:val="0"/>
          <w:w w:val="100"/>
          <w:position w:val="0"/>
        </w:rPr>
        <w:t>6</w:t>
      </w:r>
      <w:r>
        <w:rPr>
          <w:color w:val="000000"/>
          <w:spacing w:val="0"/>
          <w:w w:val="100"/>
          <w:position w:val="0"/>
        </w:rPr>
        <w:t>）</w:t>
        <w:tab/>
        <w:t>合营企业或联营企业发生的超额亏损</w:t>
      </w:r>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160"/>
        <w:keepNext w:val="0"/>
        <w:keepLines w:val="0"/>
        <w:widowControl w:val="0"/>
        <w:shd w:val="clear" w:color="auto" w:fill="auto"/>
        <w:tabs>
          <w:tab w:pos="1473" w:val="left"/>
        </w:tabs>
        <w:bidi w:val="0"/>
        <w:spacing w:before="0" w:line="240" w:lineRule="auto"/>
        <w:ind w:left="0" w:right="0"/>
        <w:jc w:val="left"/>
      </w:pPr>
      <w:bookmarkStart w:id="1997" w:name="bookmark1997"/>
      <w:r>
        <w:rPr>
          <w:color w:val="000000"/>
          <w:spacing w:val="0"/>
          <w:w w:val="100"/>
          <w:position w:val="0"/>
        </w:rPr>
        <w:t>（</w:t>
      </w:r>
      <w:bookmarkEnd w:id="1997"/>
      <w:r>
        <w:rPr>
          <w:rFonts w:ascii="Times New Roman" w:eastAsia="Times New Roman" w:hAnsi="Times New Roman" w:cs="Times New Roman"/>
          <w:color w:val="000000"/>
          <w:spacing w:val="0"/>
          <w:w w:val="100"/>
          <w:position w:val="0"/>
        </w:rPr>
        <w:t>7</w:t>
      </w:r>
      <w:r>
        <w:rPr>
          <w:color w:val="000000"/>
          <w:spacing w:val="0"/>
          <w:w w:val="100"/>
          <w:position w:val="0"/>
        </w:rPr>
        <w:t>）</w:t>
        <w:tab/>
        <w:t>与合营企业投资相关的未确认承诺</w:t>
      </w:r>
    </w:p>
    <w:p>
      <w:pPr>
        <w:pStyle w:val="Style32"/>
        <w:keepNext w:val="0"/>
        <w:keepLines w:val="0"/>
        <w:widowControl w:val="0"/>
        <w:shd w:val="clear" w:color="auto" w:fill="auto"/>
        <w:bidi w:val="0"/>
        <w:spacing w:before="0" w:after="380" w:line="240" w:lineRule="auto"/>
        <w:ind w:left="0" w:right="0" w:firstLine="980"/>
        <w:jc w:val="left"/>
        <w:sectPr>
          <w:headerReference w:type="default" r:id="rId505"/>
          <w:footerReference w:type="default" r:id="rId506"/>
          <w:headerReference w:type="even" r:id="rId507"/>
          <w:footerReference w:type="even" r:id="rId508"/>
          <w:footnotePr>
            <w:pos w:val="pageBottom"/>
            <w:numFmt w:val="decimal"/>
            <w:numRestart w:val="continuous"/>
          </w:footnotePr>
          <w:type w:val="continuous"/>
          <w:pgSz w:w="11900" w:h="16840"/>
          <w:pgMar w:top="1159" w:right="1055" w:bottom="1573" w:left="108" w:header="0" w:footer="3" w:gutter="0"/>
          <w:cols w:space="720"/>
          <w:noEndnote/>
          <w:rtlGutter w:val="0"/>
          <w:docGrid w:linePitch="360"/>
        </w:sectPr>
      </w:pPr>
      <w:r>
        <w:rPr>
          <w:color w:val="000000"/>
          <w:spacing w:val="0"/>
          <w:w w:val="100"/>
          <w:position w:val="0"/>
        </w:rPr>
        <w:t>无</w:t>
      </w:r>
    </w:p>
    <w:p>
      <w:pPr>
        <w:pStyle w:val="Style2"/>
        <w:keepNext/>
        <w:keepLines/>
        <w:widowControl w:val="0"/>
        <w:shd w:val="clear" w:color="auto" w:fill="auto"/>
        <w:bidi w:val="0"/>
        <w:spacing w:before="0" w:after="0" w:line="240" w:lineRule="auto"/>
        <w:ind w:left="0" w:right="0" w:firstLine="980"/>
        <w:jc w:val="left"/>
      </w:pPr>
      <w:bookmarkStart w:id="1998" w:name="bookmark1998"/>
      <w:bookmarkStart w:id="1999" w:name="bookmark1999"/>
      <w:bookmarkStart w:id="2000" w:name="bookmark2000"/>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1998"/>
      <w:bookmarkEnd w:id="1999"/>
      <w:bookmarkEnd w:id="2000"/>
    </w:p>
    <w:p>
      <w:pPr>
        <w:pStyle w:val="Style5"/>
        <w:keepNext w:val="0"/>
        <w:keepLines w:val="0"/>
        <w:widowControl w:val="0"/>
        <w:shd w:val="clear" w:color="auto" w:fill="auto"/>
        <w:bidi w:val="0"/>
        <w:spacing w:before="0" w:after="60" w:line="240" w:lineRule="auto"/>
        <w:ind w:left="0" w:right="0" w:firstLine="980"/>
        <w:jc w:val="left"/>
      </w:pPr>
      <w:r>
        <w:rPr>
          <w:color w:val="245994"/>
          <w:spacing w:val="0"/>
          <w:w w:val="100"/>
          <w:position w:val="0"/>
        </w:rPr>
        <w:t>"g</w:t>
      </w:r>
      <w:r>
        <w:rPr>
          <w:spacing w:val="0"/>
          <w:w w:val="100"/>
          <w:position w:val="0"/>
        </w:rPr>
        <w:t>国家高新技术企业</w:t>
      </w:r>
    </w:p>
    <w:p>
      <w:pPr>
        <w:pStyle w:val="Style32"/>
        <w:keepNext w:val="0"/>
        <w:keepLines w:val="0"/>
        <w:widowControl w:val="0"/>
        <w:shd w:val="clear" w:color="auto" w:fill="auto"/>
        <w:tabs>
          <w:tab w:pos="1726" w:val="left"/>
        </w:tabs>
        <w:bidi w:val="0"/>
        <w:spacing w:before="0" w:after="0" w:line="240" w:lineRule="auto"/>
        <w:ind w:left="1140" w:right="0" w:firstLine="0"/>
        <w:jc w:val="both"/>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numPr>
          <w:ilvl w:val="0"/>
          <w:numId w:val="175"/>
        </w:numPr>
        <w:shd w:val="clear" w:color="auto" w:fill="auto"/>
        <w:bidi w:val="0"/>
        <w:spacing w:before="0" w:after="380" w:line="240" w:lineRule="auto"/>
        <w:ind w:left="0" w:right="0" w:firstLine="980"/>
        <w:jc w:val="left"/>
      </w:pPr>
      <w:bookmarkStart w:id="2001" w:name="bookmark2001"/>
      <w:bookmarkStart w:id="2002" w:name="bookmark2002"/>
      <w:bookmarkStart w:id="2003" w:name="bookmark2003"/>
      <w:bookmarkStart w:id="2004" w:name="bookmark2004"/>
      <w:bookmarkEnd w:id="2003"/>
      <w:r>
        <w:rPr>
          <w:color w:val="000000"/>
          <w:spacing w:val="0"/>
          <w:w w:val="100"/>
          <w:position w:val="0"/>
        </w:rPr>
        <w:t>与合营企业或联营企业投资相关的或有负债</w:t>
      </w:r>
      <w:bookmarkEnd w:id="2001"/>
      <w:bookmarkEnd w:id="2002"/>
      <w:bookmarkEnd w:id="2004"/>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tabs>
          <w:tab w:pos="1358" w:val="left"/>
        </w:tabs>
        <w:bidi w:val="0"/>
        <w:spacing w:before="0" w:after="380" w:line="240" w:lineRule="auto"/>
        <w:ind w:left="0" w:right="0" w:firstLine="980"/>
        <w:jc w:val="left"/>
      </w:pPr>
      <w:bookmarkStart w:id="2005" w:name="bookmark2005"/>
      <w:bookmarkStart w:id="2006" w:name="bookmark2006"/>
      <w:bookmarkStart w:id="2007" w:name="bookmark2007"/>
      <w:bookmarkStart w:id="2008" w:name="bookmark2008"/>
      <w:r>
        <w:rPr>
          <w:rFonts w:ascii="Times New Roman" w:eastAsia="Times New Roman" w:hAnsi="Times New Roman" w:cs="Times New Roman"/>
          <w:color w:val="000000"/>
          <w:spacing w:val="0"/>
          <w:w w:val="100"/>
          <w:position w:val="0"/>
        </w:rPr>
        <w:t>4</w:t>
      </w:r>
      <w:bookmarkEnd w:id="2007"/>
      <w:r>
        <w:rPr>
          <w:color w:val="000000"/>
          <w:spacing w:val="0"/>
          <w:w w:val="100"/>
          <w:position w:val="0"/>
        </w:rPr>
        <w:t>、</w:t>
        <w:tab/>
        <w:t>重要的共同经营</w:t>
      </w:r>
      <w:bookmarkEnd w:id="2005"/>
      <w:bookmarkEnd w:id="2006"/>
      <w:bookmarkEnd w:id="2008"/>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tabs>
          <w:tab w:pos="1358" w:val="left"/>
        </w:tabs>
        <w:bidi w:val="0"/>
        <w:spacing w:before="0" w:after="380" w:line="240" w:lineRule="auto"/>
        <w:ind w:left="0" w:right="0" w:firstLine="980"/>
        <w:jc w:val="left"/>
      </w:pPr>
      <w:bookmarkStart w:id="2009" w:name="bookmark2009"/>
      <w:bookmarkStart w:id="2010" w:name="bookmark2010"/>
      <w:bookmarkStart w:id="2011" w:name="bookmark2011"/>
      <w:bookmarkStart w:id="2012" w:name="bookmark2012"/>
      <w:r>
        <w:rPr>
          <w:rFonts w:ascii="Times New Roman" w:eastAsia="Times New Roman" w:hAnsi="Times New Roman" w:cs="Times New Roman"/>
          <w:color w:val="000000"/>
          <w:spacing w:val="0"/>
          <w:w w:val="100"/>
          <w:position w:val="0"/>
        </w:rPr>
        <w:t>5</w:t>
      </w:r>
      <w:bookmarkEnd w:id="2011"/>
      <w:r>
        <w:rPr>
          <w:color w:val="000000"/>
          <w:spacing w:val="0"/>
          <w:w w:val="100"/>
          <w:position w:val="0"/>
        </w:rPr>
        <w:t>、</w:t>
        <w:tab/>
        <w:t>在未纳入合并财务报表范围的结构化主体中的权益</w:t>
      </w:r>
      <w:bookmarkEnd w:id="2009"/>
      <w:bookmarkEnd w:id="2010"/>
      <w:bookmarkEnd w:id="2012"/>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tabs>
          <w:tab w:pos="1358" w:val="left"/>
        </w:tabs>
        <w:bidi w:val="0"/>
        <w:spacing w:before="0" w:after="260" w:line="240" w:lineRule="auto"/>
        <w:ind w:left="0" w:right="0" w:firstLine="980"/>
        <w:jc w:val="left"/>
      </w:pPr>
      <w:bookmarkStart w:id="2013" w:name="bookmark2013"/>
      <w:bookmarkStart w:id="2014" w:name="bookmark2014"/>
      <w:bookmarkStart w:id="2015" w:name="bookmark2015"/>
      <w:bookmarkStart w:id="2016" w:name="bookmark2016"/>
      <w:r>
        <w:rPr>
          <w:rFonts w:ascii="Times New Roman" w:eastAsia="Times New Roman" w:hAnsi="Times New Roman" w:cs="Times New Roman"/>
          <w:color w:val="000000"/>
          <w:spacing w:val="0"/>
          <w:w w:val="100"/>
          <w:position w:val="0"/>
        </w:rPr>
        <w:t>6</w:t>
      </w:r>
      <w:bookmarkEnd w:id="2015"/>
      <w:r>
        <w:rPr>
          <w:color w:val="000000"/>
          <w:spacing w:val="0"/>
          <w:w w:val="100"/>
          <w:position w:val="0"/>
        </w:rPr>
        <w:t>、</w:t>
        <w:tab/>
        <w:t>其他</w:t>
      </w:r>
      <w:bookmarkEnd w:id="2013"/>
      <w:bookmarkEnd w:id="2014"/>
      <w:bookmarkEnd w:id="2016"/>
    </w:p>
    <w:p>
      <w:pPr>
        <w:pStyle w:val="Style32"/>
        <w:keepNext w:val="0"/>
        <w:keepLines w:val="0"/>
        <w:widowControl w:val="0"/>
        <w:shd w:val="clear" w:color="auto" w:fill="auto"/>
        <w:bidi w:val="0"/>
        <w:spacing w:before="0" w:after="380" w:line="312" w:lineRule="exact"/>
        <w:ind w:left="0" w:right="0" w:firstLine="980"/>
        <w:jc w:val="left"/>
      </w:pPr>
      <w:r>
        <w:rPr>
          <w:color w:val="000000"/>
          <w:spacing w:val="0"/>
          <w:w w:val="100"/>
          <w:position w:val="0"/>
        </w:rPr>
        <w:t>无</w:t>
      </w:r>
    </w:p>
    <w:p>
      <w:pPr>
        <w:pStyle w:val="Style47"/>
        <w:keepNext/>
        <w:keepLines/>
        <w:widowControl w:val="0"/>
        <w:shd w:val="clear" w:color="auto" w:fill="auto"/>
        <w:bidi w:val="0"/>
        <w:spacing w:before="0" w:after="260" w:line="240" w:lineRule="auto"/>
        <w:ind w:left="0" w:right="0" w:firstLine="980"/>
        <w:jc w:val="left"/>
      </w:pPr>
      <w:bookmarkStart w:id="2017" w:name="bookmark2017"/>
      <w:bookmarkStart w:id="2018" w:name="bookmark2018"/>
      <w:bookmarkStart w:id="2019" w:name="bookmark2019"/>
      <w:r>
        <w:rPr>
          <w:color w:val="000000"/>
          <w:spacing w:val="0"/>
          <w:w w:val="100"/>
          <w:position w:val="0"/>
          <w:sz w:val="24"/>
          <w:szCs w:val="24"/>
        </w:rPr>
        <w:t>十、与金融工具相关的风险</w:t>
      </w:r>
      <w:bookmarkEnd w:id="2017"/>
      <w:bookmarkEnd w:id="2018"/>
      <w:bookmarkEnd w:id="2019"/>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本公司与金融工具相关的风险源于本公司在经营过程中所确认的各类金融资产和金融负债，包括：信用风险、流动性风险和 市场风险。</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本公司与金融工具相关的各类风险的管理目标和政策的制度由本公司管理层负责。经营管理层通过职能部门负责日常的风险 管理。本公司内部审计部门对公司风险管理的政策和程序的执行情况进行日常监督，并且将有关发现及时报告给本公司审计 委员会。</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本公司风险管理的总体目标是在不过度影响公司竞争力和应变力的情况下,制定尽可能降低各类与金融工具相关风险的风险 管理政策。</w:t>
      </w:r>
    </w:p>
    <w:p>
      <w:pPr>
        <w:pStyle w:val="Style32"/>
        <w:keepNext w:val="0"/>
        <w:keepLines w:val="0"/>
        <w:widowControl w:val="0"/>
        <w:numPr>
          <w:ilvl w:val="0"/>
          <w:numId w:val="177"/>
        </w:numPr>
        <w:shd w:val="clear" w:color="auto" w:fill="auto"/>
        <w:bidi w:val="0"/>
        <w:spacing w:before="0" w:after="0" w:line="312" w:lineRule="exact"/>
        <w:ind w:left="980" w:right="0" w:firstLine="0"/>
        <w:jc w:val="left"/>
      </w:pPr>
      <w:bookmarkStart w:id="2020" w:name="bookmark2020"/>
      <w:bookmarkEnd w:id="2020"/>
      <w:r>
        <w:rPr>
          <w:color w:val="000000"/>
          <w:spacing w:val="0"/>
          <w:w w:val="100"/>
          <w:position w:val="0"/>
        </w:rPr>
        <w:t>信用风险</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信用风险，是指金融工具的一方未能履行义务从而导致另一方发生财务损失的风险。本公司的信用风险主要产生于货币资金、 应收票据、应收账款、其他应收款以及长期应收款等，这些金融资产的信用风险源自交易对手违约，最大的风险敞口等于这 些工具的账面金额。</w:t>
      </w:r>
    </w:p>
    <w:p>
      <w:pPr>
        <w:pStyle w:val="Style32"/>
        <w:keepNext w:val="0"/>
        <w:keepLines w:val="0"/>
        <w:widowControl w:val="0"/>
        <w:shd w:val="clear" w:color="auto" w:fill="auto"/>
        <w:bidi w:val="0"/>
        <w:spacing w:before="0" w:after="0" w:line="312" w:lineRule="exact"/>
        <w:ind w:left="980" w:right="0" w:firstLine="0"/>
        <w:jc w:val="left"/>
      </w:pPr>
      <w:r>
        <w:rPr>
          <w:color w:val="000000"/>
          <w:spacing w:val="0"/>
          <w:w w:val="100"/>
          <w:position w:val="0"/>
        </w:rPr>
        <w:t>本公司货币资金主要存放于商业银行等金融机构，本公司认为这些商业银行具备较高信誉和资产状况，存在较低的信用风险。 对于应收票据、应收账款、其他应收款及长期应收款，本公司设定相关政策以控制信用风险敞口。本公司基于对客户的财务 状况、从第三方获取担保的可能性、信用记录及其他因素诸如目前市场状况等评估客户的信用资质并设置相应信用期。本公 司会定期对客户信用记录进行监控，对于信用记录不良的客户，本公司会采用书面催款、缩短信用期或取消信用期等方式， 以确保本公司的整体信用风险在可控的范围内。</w:t>
      </w:r>
    </w:p>
    <w:p>
      <w:pPr>
        <w:pStyle w:val="Style32"/>
        <w:keepNext w:val="0"/>
        <w:keepLines w:val="0"/>
        <w:widowControl w:val="0"/>
        <w:numPr>
          <w:ilvl w:val="0"/>
          <w:numId w:val="179"/>
        </w:numPr>
        <w:shd w:val="clear" w:color="auto" w:fill="auto"/>
        <w:tabs>
          <w:tab w:pos="1300" w:val="left"/>
        </w:tabs>
        <w:bidi w:val="0"/>
        <w:spacing w:before="0" w:after="0" w:line="312" w:lineRule="exact"/>
        <w:ind w:left="980" w:right="0" w:firstLine="0"/>
        <w:jc w:val="both"/>
      </w:pPr>
      <w:bookmarkStart w:id="2021" w:name="bookmark2021"/>
      <w:bookmarkEnd w:id="2021"/>
      <w:r>
        <w:rPr>
          <w:color w:val="000000"/>
          <w:spacing w:val="0"/>
          <w:w w:val="100"/>
          <w:position w:val="0"/>
        </w:rPr>
        <w:t>信用风险显著增加判断标准</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本公司在每个资产负债表日评估相关金融工具的信用风险自初始确认后是否已显著增加。在确定信用风险自初始确认后是否 显著增加时，本公司考虑在无须付出不必要的额外成本或努力即可获得合理且有依据的信息，包括基于本公司历史数据的定 性和定量分析、外部信用风险评级以及前瞻性信息。本公司以单项金融工具或者具有相似信用风险特征的金融工具组合为基 础，通过比较金融工具在资产负债表日发生违约的风险与在初始确认日发生违约的风险，以确定金融工具预计存续期内发生 违约风险的变化情况。</w:t>
      </w:r>
    </w:p>
    <w:p>
      <w:pPr>
        <w:pStyle w:val="Style32"/>
        <w:keepNext w:val="0"/>
        <w:keepLines w:val="0"/>
        <w:widowControl w:val="0"/>
        <w:shd w:val="clear" w:color="auto" w:fill="auto"/>
        <w:bidi w:val="0"/>
        <w:spacing w:before="0" w:after="0" w:line="312" w:lineRule="exact"/>
        <w:ind w:left="980" w:right="0" w:firstLine="0"/>
        <w:jc w:val="both"/>
      </w:pPr>
      <w:r>
        <w:rPr>
          <w:color w:val="000000"/>
          <w:spacing w:val="0"/>
          <w:w w:val="100"/>
          <w:position w:val="0"/>
        </w:rPr>
        <w:t>当触发以下一个或多个定量、定性标准时，本公司认为金融工具的信用风险已发生显著增加：定量标准主要为报告日剩余存 续期违约概率较初始确认时上升超过一定比例；定性标准为主要债务人经营或财务情况出现重大不利变化、预警客户清单等。</w:t>
      </w:r>
    </w:p>
    <w:p>
      <w:pPr>
        <w:pStyle w:val="Style32"/>
        <w:keepNext w:val="0"/>
        <w:keepLines w:val="0"/>
        <w:widowControl w:val="0"/>
        <w:numPr>
          <w:ilvl w:val="0"/>
          <w:numId w:val="179"/>
        </w:numPr>
        <w:shd w:val="clear" w:color="auto" w:fill="auto"/>
        <w:tabs>
          <w:tab w:pos="1310" w:val="left"/>
        </w:tabs>
        <w:bidi w:val="0"/>
        <w:spacing w:before="0" w:after="0" w:line="312" w:lineRule="exact"/>
        <w:ind w:left="0" w:right="0" w:firstLine="980"/>
        <w:jc w:val="left"/>
      </w:pPr>
      <w:bookmarkStart w:id="2022" w:name="bookmark2022"/>
      <w:bookmarkEnd w:id="2022"/>
      <w:r>
        <w:rPr>
          <w:color w:val="000000"/>
          <w:spacing w:val="0"/>
          <w:w w:val="100"/>
          <w:position w:val="0"/>
        </w:rPr>
        <w:t>已发生信用减值资产的定义</w:t>
      </w:r>
    </w:p>
    <w:p>
      <w:pPr>
        <w:pStyle w:val="Style32"/>
        <w:keepNext w:val="0"/>
        <w:keepLines w:val="0"/>
        <w:widowControl w:val="0"/>
        <w:shd w:val="clear" w:color="auto" w:fill="auto"/>
        <w:bidi w:val="0"/>
        <w:spacing w:before="0" w:after="380" w:line="312" w:lineRule="exact"/>
        <w:ind w:left="980" w:right="0" w:firstLine="0"/>
        <w:jc w:val="both"/>
        <w:sectPr>
          <w:headerReference w:type="default" r:id="rId509"/>
          <w:footerReference w:type="default" r:id="rId510"/>
          <w:headerReference w:type="even" r:id="rId511"/>
          <w:footerReference w:type="even" r:id="rId512"/>
          <w:footnotePr>
            <w:pos w:val="pageBottom"/>
            <w:numFmt w:val="decimal"/>
            <w:numRestart w:val="continuous"/>
          </w:footnotePr>
          <w:pgSz w:w="11900" w:h="16840"/>
          <w:pgMar w:top="678" w:right="1019" w:bottom="1158" w:left="143" w:header="0" w:footer="3" w:gutter="0"/>
          <w:cols w:space="720"/>
          <w:noEndnote/>
          <w:rtlGutter w:val="0"/>
          <w:docGrid w:linePitch="360"/>
        </w:sectPr>
      </w:pPr>
      <w:r>
        <w:rPr>
          <w:color w:val="000000"/>
          <w:spacing w:val="0"/>
          <w:w w:val="100"/>
          <w:position w:val="0"/>
        </w:rPr>
        <w:t>为确定是否发生信用减值，本公司所采用的界定标准，与内部针对相关金融工具的信用风险管理目标保持一致，同时考虑定 量、定性指标。</w:t>
      </w:r>
    </w:p>
    <w:p>
      <w:pPr>
        <w:widowControl w:val="0"/>
        <w:spacing w:line="1" w:lineRule="exact"/>
      </w:pPr>
      <w:r>
        <w:drawing>
          <wp:anchor distT="0" distB="0" distL="0" distR="0" simplePos="0" relativeHeight="125829680" behindDoc="0" locked="0" layoutInCell="1" allowOverlap="1">
            <wp:simplePos x="0" y="0"/>
            <wp:positionH relativeFrom="page">
              <wp:posOffset>731520</wp:posOffset>
            </wp:positionH>
            <wp:positionV relativeFrom="paragraph">
              <wp:posOffset>12700</wp:posOffset>
            </wp:positionV>
            <wp:extent cx="1298575" cy="518160"/>
            <wp:wrapTight wrapText="right">
              <wp:wrapPolygon>
                <wp:start x="0" y="0"/>
                <wp:lineTo x="8589" y="0"/>
                <wp:lineTo x="8589" y="254"/>
                <wp:lineTo x="21600" y="254"/>
                <wp:lineTo x="21600" y="11054"/>
                <wp:lineTo x="8589" y="11054"/>
                <wp:lineTo x="8589" y="21600"/>
                <wp:lineTo x="0" y="21600"/>
                <wp:lineTo x="0" y="0"/>
              </wp:wrapPolygon>
            </wp:wrapTight>
            <wp:docPr id="1201" name="Shape 1201"/>
            <a:graphic xmlns:a="http://schemas.openxmlformats.org/drawingml/2006/main">
              <a:graphicData uri="http://schemas.openxmlformats.org/drawingml/2006/picture">
                <pic:pic xmlns:pic="http://schemas.openxmlformats.org/drawingml/2006/picture">
                  <pic:nvPicPr>
                    <pic:cNvPr id="1202" name="Picture box 1202"/>
                    <pic:cNvPicPr/>
                  </pic:nvPicPr>
                  <pic:blipFill>
                    <a:blip r:embed="rId513"/>
                    <a:stretch/>
                  </pic:blipFill>
                  <pic:spPr>
                    <a:xfrm>
                      <a:ext cx="1298575" cy="518160"/>
                    </a:xfrm>
                    <a:prstGeom prst="rect"/>
                  </pic:spPr>
                </pic:pic>
              </a:graphicData>
            </a:graphic>
          </wp:anchor>
        </w:drawing>
      </w:r>
    </w:p>
    <w:p>
      <w:pPr>
        <w:pStyle w:val="Style5"/>
        <w:keepNext w:val="0"/>
        <w:keepLines w:val="0"/>
        <w:widowControl w:val="0"/>
        <w:shd w:val="clear" w:color="auto" w:fill="auto"/>
        <w:bidi w:val="0"/>
        <w:spacing w:before="0" w:after="0" w:line="173" w:lineRule="exact"/>
        <w:ind w:left="0" w:right="7660" w:firstLine="0"/>
        <w:jc w:val="righ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本公司评估债务人是否发生信用减值时，主要考虑以下因素：发行方或债务人发生重大财务困难；债务人违反合同，如偿付 利息或本金违约或逾期等；债权人出于与债务人财务困难有关的经济或合同考虑，给予债务人在任何其他情况下都不会做出 的让步；债务人很可能破产或进行其他财务重组；发行方或债务人财务困难导致该金融资产的活跃市场消失；以大幅折扣购 买或源生一项金融资产，该折扣反映了发生信用损失的事实。</w:t>
      </w:r>
    </w:p>
    <w:p>
      <w:pPr>
        <w:pStyle w:val="Style32"/>
        <w:keepNext w:val="0"/>
        <w:keepLines w:val="0"/>
        <w:widowControl w:val="0"/>
        <w:shd w:val="clear" w:color="auto" w:fill="auto"/>
        <w:bidi w:val="0"/>
        <w:spacing w:before="0" w:after="0" w:line="313" w:lineRule="exact"/>
        <w:ind w:left="0" w:right="0" w:firstLine="980"/>
        <w:jc w:val="left"/>
      </w:pPr>
      <w:r>
        <w:rPr>
          <w:color w:val="000000"/>
          <w:spacing w:val="0"/>
          <w:w w:val="100"/>
          <w:position w:val="0"/>
        </w:rPr>
        <w:t>金融资产发生信用减值，有可能是多个事件的共同作用所致，未必是可单独识别的事件所致。</w:t>
      </w:r>
    </w:p>
    <w:p>
      <w:pPr>
        <w:pStyle w:val="Style32"/>
        <w:keepNext w:val="0"/>
        <w:keepLines w:val="0"/>
        <w:widowControl w:val="0"/>
        <w:numPr>
          <w:ilvl w:val="0"/>
          <w:numId w:val="179"/>
        </w:numPr>
        <w:shd w:val="clear" w:color="auto" w:fill="auto"/>
        <w:bidi w:val="0"/>
        <w:spacing w:before="0" w:after="0" w:line="313" w:lineRule="exact"/>
        <w:ind w:left="980" w:right="0" w:firstLine="0"/>
        <w:jc w:val="both"/>
      </w:pPr>
      <w:bookmarkStart w:id="2023" w:name="bookmark2023"/>
      <w:bookmarkEnd w:id="2023"/>
      <w:r>
        <w:rPr>
          <w:color w:val="000000"/>
          <w:spacing w:val="0"/>
          <w:w w:val="100"/>
          <w:position w:val="0"/>
        </w:rPr>
        <w:t>预期信用损失计量的参数</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根据信用风险是否发生显著增加以及是否已发生信用减值,本公司对不同的资产分别以</w:t>
      </w:r>
      <w:r>
        <w:rPr>
          <w:color w:val="000000"/>
          <w:spacing w:val="0"/>
          <w:w w:val="100"/>
          <w:position w:val="0"/>
          <w:sz w:val="18"/>
          <w:szCs w:val="18"/>
        </w:rPr>
        <w:t>12</w:t>
      </w:r>
      <w:r>
        <w:rPr>
          <w:color w:val="000000"/>
          <w:spacing w:val="0"/>
          <w:w w:val="100"/>
          <w:position w:val="0"/>
        </w:rPr>
        <w:t>个月或整个存续期的预期信用损失 计量减值准备。预期信用损失计量的关键参数包括违约概率、违约损失率和违约风险敞口。本公司考虑历史统计数据（如交 易对手评级、担保方式及抵质押物类别、还款方式等）的定量分析及前瞻性信息，建立违约概率、违约损失率及违约风险敞 口模型。</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相关定义如下：</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违约概率是指债务人在未来</w:t>
      </w:r>
      <w:r>
        <w:rPr>
          <w:color w:val="000000"/>
          <w:spacing w:val="0"/>
          <w:w w:val="100"/>
          <w:position w:val="0"/>
          <w:sz w:val="18"/>
          <w:szCs w:val="18"/>
        </w:rPr>
        <w:t>12</w:t>
      </w:r>
      <w:r>
        <w:rPr>
          <w:color w:val="000000"/>
          <w:spacing w:val="0"/>
          <w:w w:val="100"/>
          <w:position w:val="0"/>
        </w:rPr>
        <w:t>个月或在整个剩余存续期，无法履行其偿付义务的可能性。</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违约损失率是指本公司对违约风险暴露发生损失程度作出的预期。根据交易对手的类型、追索的方式和优先级，以及担保品 的不同，违约损失率也有所不同。违约损失率为违约发生时风险敞口损失的百分比，以未来</w:t>
      </w:r>
      <w:r>
        <w:rPr>
          <w:color w:val="000000"/>
          <w:spacing w:val="0"/>
          <w:w w:val="100"/>
          <w:position w:val="0"/>
          <w:sz w:val="18"/>
          <w:szCs w:val="18"/>
        </w:rPr>
        <w:t>12</w:t>
      </w:r>
      <w:r>
        <w:rPr>
          <w:color w:val="000000"/>
          <w:spacing w:val="0"/>
          <w:w w:val="100"/>
          <w:position w:val="0"/>
        </w:rPr>
        <w:t>个月内或整个存续期为基准进 行计算；</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违约风险敞口是指，在未来</w:t>
      </w:r>
      <w:r>
        <w:rPr>
          <w:color w:val="000000"/>
          <w:spacing w:val="0"/>
          <w:w w:val="100"/>
          <w:position w:val="0"/>
          <w:sz w:val="18"/>
          <w:szCs w:val="18"/>
        </w:rPr>
        <w:t>12</w:t>
      </w:r>
      <w:r>
        <w:rPr>
          <w:color w:val="000000"/>
          <w:spacing w:val="0"/>
          <w:w w:val="100"/>
          <w:position w:val="0"/>
        </w:rPr>
        <w:t>个月或在整个剩余存续期中，在违约发生时，本公司应被偿付的金额。前瞻性信息信用风险显 著增加的评估及预期信用损失的计算均涉及前瞻性信息。本公司通过进行历史数据分析，识别出影响各业务类型信用风险及 预期信用损失的关键经济指标。</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本公司所承受的最大信用风险敞口为资产负债表中每项金融资产的账面金额。本公司还因提供财务担保而面临信用风险，详 见本报告第十二节、十四、</w:t>
      </w:r>
      <w:r>
        <w:rPr>
          <w:color w:val="000000"/>
          <w:spacing w:val="0"/>
          <w:w w:val="100"/>
          <w:position w:val="0"/>
          <w:sz w:val="18"/>
          <w:szCs w:val="18"/>
        </w:rPr>
        <w:t>2</w:t>
      </w:r>
      <w:r>
        <w:rPr>
          <w:color w:val="000000"/>
          <w:spacing w:val="0"/>
          <w:w w:val="100"/>
          <w:position w:val="0"/>
        </w:rPr>
        <w:t>。</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本公司应收账款中，前五大客户的应收账款占本公司应收账款总额的</w:t>
      </w:r>
      <w:r>
        <w:rPr>
          <w:color w:val="000000"/>
          <w:spacing w:val="0"/>
          <w:w w:val="100"/>
          <w:position w:val="0"/>
          <w:sz w:val="18"/>
          <w:szCs w:val="18"/>
        </w:rPr>
        <w:t>11.28% （</w:t>
      </w:r>
      <w:r>
        <w:rPr>
          <w:color w:val="000000"/>
          <w:spacing w:val="0"/>
          <w:w w:val="100"/>
          <w:position w:val="0"/>
        </w:rPr>
        <w:t>比较期：</w:t>
      </w:r>
      <w:r>
        <w:rPr>
          <w:color w:val="000000"/>
          <w:spacing w:val="0"/>
          <w:w w:val="100"/>
          <w:position w:val="0"/>
          <w:sz w:val="18"/>
          <w:szCs w:val="18"/>
        </w:rPr>
        <w:t xml:space="preserve">19. </w:t>
      </w:r>
      <w:r>
        <w:rPr>
          <w:color w:val="000000"/>
          <w:spacing w:val="0"/>
          <w:w w:val="100"/>
          <w:position w:val="0"/>
          <w:sz w:val="18"/>
          <w:szCs w:val="18"/>
        </w:rPr>
        <w:t>68%）；</w:t>
      </w:r>
      <w:r>
        <w:rPr>
          <w:color w:val="000000"/>
          <w:spacing w:val="0"/>
          <w:w w:val="100"/>
          <w:position w:val="0"/>
        </w:rPr>
        <w:t>本公司其他应收款中，欠 款金额前五大公司的其他应收款占本公司其他应收款总额的</w:t>
      </w:r>
      <w:r>
        <w:rPr>
          <w:color w:val="000000"/>
          <w:spacing w:val="0"/>
          <w:w w:val="100"/>
          <w:position w:val="0"/>
          <w:sz w:val="18"/>
          <w:szCs w:val="18"/>
        </w:rPr>
        <w:t xml:space="preserve">64. </w:t>
      </w:r>
      <w:r>
        <w:rPr>
          <w:color w:val="000000"/>
          <w:spacing w:val="0"/>
          <w:w w:val="100"/>
          <w:position w:val="0"/>
          <w:sz w:val="18"/>
          <w:szCs w:val="18"/>
        </w:rPr>
        <w:t>02% （</w:t>
      </w:r>
      <w:r>
        <w:rPr>
          <w:color w:val="000000"/>
          <w:spacing w:val="0"/>
          <w:w w:val="100"/>
          <w:position w:val="0"/>
        </w:rPr>
        <w:t>比较期：</w:t>
      </w:r>
      <w:r>
        <w:rPr>
          <w:color w:val="000000"/>
          <w:spacing w:val="0"/>
          <w:w w:val="100"/>
          <w:position w:val="0"/>
          <w:sz w:val="18"/>
          <w:szCs w:val="18"/>
        </w:rPr>
        <w:t>20.78%）</w:t>
      </w:r>
      <w:r>
        <w:rPr>
          <w:color w:val="000000"/>
          <w:spacing w:val="0"/>
          <w:w w:val="100"/>
          <w:position w:val="0"/>
        </w:rPr>
        <w:t>。</w:t>
      </w:r>
    </w:p>
    <w:p>
      <w:pPr>
        <w:pStyle w:val="Style32"/>
        <w:keepNext w:val="0"/>
        <w:keepLines w:val="0"/>
        <w:widowControl w:val="0"/>
        <w:shd w:val="clear" w:color="auto" w:fill="auto"/>
        <w:tabs>
          <w:tab w:pos="1481" w:val="left"/>
        </w:tabs>
        <w:bidi w:val="0"/>
        <w:spacing w:before="0" w:after="0" w:line="313" w:lineRule="exact"/>
        <w:ind w:left="980" w:right="0" w:firstLine="0"/>
        <w:jc w:val="both"/>
      </w:pPr>
      <w:bookmarkStart w:id="2024" w:name="bookmark2024"/>
      <w:r>
        <w:rPr>
          <w:color w:val="000000"/>
          <w:spacing w:val="0"/>
          <w:w w:val="100"/>
          <w:position w:val="0"/>
        </w:rPr>
        <w:t>（</w:t>
      </w:r>
      <w:bookmarkEnd w:id="2024"/>
      <w:r>
        <w:rPr>
          <w:color w:val="000000"/>
          <w:spacing w:val="0"/>
          <w:w w:val="100"/>
          <w:position w:val="0"/>
        </w:rPr>
        <w:t>二）</w:t>
        <w:tab/>
        <w:t>流动风险</w:t>
      </w:r>
    </w:p>
    <w:p>
      <w:pPr>
        <w:pStyle w:val="Style32"/>
        <w:keepNext w:val="0"/>
        <w:keepLines w:val="0"/>
        <w:widowControl w:val="0"/>
        <w:shd w:val="clear" w:color="auto" w:fill="auto"/>
        <w:bidi w:val="0"/>
        <w:spacing w:before="0" w:after="0" w:line="313" w:lineRule="exact"/>
        <w:ind w:left="980" w:right="0" w:firstLine="0"/>
        <w:jc w:val="both"/>
      </w:pPr>
      <w:r>
        <w:rPr>
          <w:color w:val="000000"/>
          <w:spacing w:val="0"/>
          <w:w w:val="100"/>
          <w:position w:val="0"/>
        </w:rPr>
        <w:t>流动性风险，是指企业在履行以交付现金或其他金融资产的方式结算的义务时发生资金短缺的风险。本公司统筹负责集团内 各子公司的现金管理工作，包括现金盈余的短期投资和筹措贷款以应付预计现金需求。本公司的政策是定期监控短期和长期 的流动资金需求，以及是否符合借款协议的规定，以确保维持充裕的现金储备和可供随时变现的有价证券。</w:t>
      </w:r>
    </w:p>
    <w:p>
      <w:pPr>
        <w:pStyle w:val="Style32"/>
        <w:keepNext w:val="0"/>
        <w:keepLines w:val="0"/>
        <w:widowControl w:val="0"/>
        <w:shd w:val="clear" w:color="auto" w:fill="auto"/>
        <w:tabs>
          <w:tab w:pos="1481" w:val="left"/>
        </w:tabs>
        <w:bidi w:val="0"/>
        <w:spacing w:before="0" w:after="0" w:line="313" w:lineRule="exact"/>
        <w:ind w:left="0" w:right="0" w:firstLine="980"/>
        <w:jc w:val="both"/>
      </w:pPr>
      <w:bookmarkStart w:id="2025" w:name="bookmark2025"/>
      <w:r>
        <w:rPr>
          <w:color w:val="000000"/>
          <w:spacing w:val="0"/>
          <w:w w:val="100"/>
          <w:position w:val="0"/>
        </w:rPr>
        <w:t>（</w:t>
      </w:r>
      <w:bookmarkEnd w:id="2025"/>
      <w:r>
        <w:rPr>
          <w:color w:val="000000"/>
          <w:spacing w:val="0"/>
          <w:w w:val="100"/>
          <w:position w:val="0"/>
        </w:rPr>
        <w:t>三）</w:t>
        <w:tab/>
        <w:t>市场风险</w:t>
      </w:r>
    </w:p>
    <w:p>
      <w:pPr>
        <w:pStyle w:val="Style32"/>
        <w:keepNext w:val="0"/>
        <w:keepLines w:val="0"/>
        <w:widowControl w:val="0"/>
        <w:numPr>
          <w:ilvl w:val="0"/>
          <w:numId w:val="181"/>
        </w:numPr>
        <w:shd w:val="clear" w:color="auto" w:fill="auto"/>
        <w:bidi w:val="0"/>
        <w:spacing w:before="0" w:after="0" w:line="313" w:lineRule="exact"/>
        <w:ind w:left="0" w:right="0" w:firstLine="980"/>
        <w:jc w:val="both"/>
      </w:pPr>
      <w:bookmarkStart w:id="2026" w:name="bookmark2026"/>
      <w:bookmarkEnd w:id="2026"/>
      <w:r>
        <w:rPr>
          <w:color w:val="000000"/>
          <w:spacing w:val="0"/>
          <w:w w:val="100"/>
          <w:position w:val="0"/>
        </w:rPr>
        <w:t>外汇风险</w:t>
      </w:r>
    </w:p>
    <w:p>
      <w:pPr>
        <w:pStyle w:val="Style32"/>
        <w:keepNext w:val="0"/>
        <w:keepLines w:val="0"/>
        <w:widowControl w:val="0"/>
        <w:shd w:val="clear" w:color="auto" w:fill="auto"/>
        <w:bidi w:val="0"/>
        <w:spacing w:before="0" w:after="0" w:line="317" w:lineRule="exact"/>
        <w:ind w:left="980" w:right="0" w:firstLine="0"/>
        <w:jc w:val="both"/>
      </w:pPr>
      <w:r>
        <w:rPr>
          <w:color w:val="000000"/>
          <w:spacing w:val="0"/>
          <w:w w:val="100"/>
          <w:position w:val="0"/>
        </w:rPr>
        <w:t>本公司的汇率风险主要来自本公司持有的不以其记账本位币计价的外币资产。本公司承受外汇风险主要与所持有美元的银行 存款、以美元结算的购销业务有关，由于美元与本公司的功能货币之间的汇率变动使本公司面临外汇风险。</w:t>
      </w:r>
    </w:p>
    <w:p>
      <w:pPr>
        <w:pStyle w:val="Style32"/>
        <w:keepNext w:val="0"/>
        <w:keepLines w:val="0"/>
        <w:widowControl w:val="0"/>
        <w:shd w:val="clear" w:color="auto" w:fill="auto"/>
        <w:bidi w:val="0"/>
        <w:spacing w:before="0" w:after="0" w:line="317" w:lineRule="exact"/>
        <w:ind w:left="980" w:right="0" w:firstLine="0"/>
        <w:jc w:val="both"/>
      </w:pPr>
      <w:r>
        <w:rPr>
          <w:color w:val="000000"/>
          <w:spacing w:val="0"/>
          <w:w w:val="100"/>
          <w:position w:val="0"/>
        </w:rPr>
        <w:t>本公司密切关注汇率变动对本公司汇率风险的影响。本公司目前并未采取任何措施规避汇率风险。但管理层负责监控汇率风 险，并将于需要时考虑对冲重大汇率风险。</w:t>
      </w:r>
    </w:p>
    <w:p>
      <w:pPr>
        <w:pStyle w:val="Style32"/>
        <w:keepNext w:val="0"/>
        <w:keepLines w:val="0"/>
        <w:widowControl w:val="0"/>
        <w:shd w:val="clear" w:color="auto" w:fill="auto"/>
        <w:bidi w:val="0"/>
        <w:spacing w:before="0" w:after="0" w:line="315" w:lineRule="exact"/>
        <w:ind w:left="0" w:right="0" w:firstLine="980"/>
        <w:jc w:val="both"/>
      </w:pPr>
      <w:r>
        <w:rPr>
          <w:color w:val="000000"/>
          <w:spacing w:val="0"/>
          <w:w w:val="100"/>
          <w:position w:val="0"/>
        </w:rPr>
        <w:t>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日，本公司已无外币资产。</w:t>
      </w:r>
    </w:p>
    <w:p>
      <w:pPr>
        <w:pStyle w:val="Style32"/>
        <w:keepNext w:val="0"/>
        <w:keepLines w:val="0"/>
        <w:widowControl w:val="0"/>
        <w:numPr>
          <w:ilvl w:val="0"/>
          <w:numId w:val="181"/>
        </w:numPr>
        <w:shd w:val="clear" w:color="auto" w:fill="auto"/>
        <w:bidi w:val="0"/>
        <w:spacing w:before="0" w:after="0" w:line="315" w:lineRule="exact"/>
        <w:ind w:left="0" w:right="0" w:firstLine="980"/>
        <w:jc w:val="both"/>
      </w:pPr>
      <w:bookmarkStart w:id="2027" w:name="bookmark2027"/>
      <w:bookmarkEnd w:id="2027"/>
      <w:r>
        <w:rPr>
          <w:color w:val="000000"/>
          <w:spacing w:val="0"/>
          <w:w w:val="100"/>
          <w:position w:val="0"/>
        </w:rPr>
        <w:t>利率风险</w:t>
      </w:r>
    </w:p>
    <w:p>
      <w:pPr>
        <w:pStyle w:val="Style32"/>
        <w:keepNext w:val="0"/>
        <w:keepLines w:val="0"/>
        <w:widowControl w:val="0"/>
        <w:shd w:val="clear" w:color="auto" w:fill="auto"/>
        <w:bidi w:val="0"/>
        <w:spacing w:before="0" w:after="0" w:line="315" w:lineRule="exact"/>
        <w:ind w:left="980" w:right="0" w:firstLine="0"/>
        <w:jc w:val="both"/>
      </w:pPr>
      <w:r>
        <w:rPr>
          <w:color w:val="000000"/>
          <w:spacing w:val="0"/>
          <w:w w:val="100"/>
          <w:position w:val="0"/>
        </w:rPr>
        <w:t>本公司的利率风险主要产生于长期银行借款。浮动利率的金融负债使本公司面临现金流量利率风险，固定利率的金融负债和 金融资产使本公司面临公允价值利率风险。本公司根据当时的市场环境来决定固定利率及浮动利率合同的相对比例。</w:t>
      </w:r>
    </w:p>
    <w:p>
      <w:pPr>
        <w:pStyle w:val="Style32"/>
        <w:keepNext w:val="0"/>
        <w:keepLines w:val="0"/>
        <w:widowControl w:val="0"/>
        <w:shd w:val="clear" w:color="auto" w:fill="auto"/>
        <w:bidi w:val="0"/>
        <w:spacing w:before="0" w:after="0" w:line="315" w:lineRule="exact"/>
        <w:ind w:left="980" w:right="0" w:firstLine="0"/>
        <w:jc w:val="both"/>
      </w:pPr>
      <w:r>
        <w:rPr>
          <w:color w:val="000000"/>
          <w:spacing w:val="0"/>
          <w:w w:val="100"/>
          <w:position w:val="0"/>
        </w:rPr>
        <w:t>本公司总部财务部门持续监控集团利率水平。利率上升会增加新增带息债务的成本以及本公司尚未付清的以浮动利率计息的 带息债务的利息支出，并对本公司的财务业绩产生重大的不利影响，管理层会依据最新的市场状况及时做出调整。</w:t>
      </w:r>
    </w:p>
    <w:p>
      <w:pPr>
        <w:pStyle w:val="Style32"/>
        <w:keepNext w:val="0"/>
        <w:keepLines w:val="0"/>
        <w:widowControl w:val="0"/>
        <w:shd w:val="clear" w:color="auto" w:fill="auto"/>
        <w:bidi w:val="0"/>
        <w:spacing w:before="0" w:after="0" w:line="315" w:lineRule="exact"/>
        <w:ind w:left="980" w:right="0" w:firstLine="0"/>
        <w:jc w:val="both"/>
        <w:sectPr>
          <w:footnotePr>
            <w:pos w:val="pageBottom"/>
            <w:numFmt w:val="decimal"/>
            <w:numRestart w:val="continuous"/>
          </w:footnotePr>
          <w:pgSz w:w="11900" w:h="16840"/>
          <w:pgMar w:top="1161" w:right="1007" w:bottom="1433" w:left="151" w:header="0" w:footer="3" w:gutter="0"/>
          <w:cols w:space="720"/>
          <w:noEndnote/>
          <w:rtlGutter w:val="0"/>
          <w:docGrid w:linePitch="360"/>
        </w:sectPr>
      </w:pPr>
      <w:r>
        <w:rPr>
          <w:color w:val="000000"/>
          <w:spacing w:val="0"/>
          <w:w w:val="100"/>
          <w:position w:val="0"/>
        </w:rPr>
        <w:t>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日为止期间，在其他风险变量保持不变的情况下，如果以浮动利率计算的借款利率上升或下降</w:t>
      </w:r>
      <w:r>
        <w:rPr>
          <w:color w:val="000000"/>
          <w:spacing w:val="0"/>
          <w:w w:val="100"/>
          <w:position w:val="0"/>
          <w:sz w:val="18"/>
          <w:szCs w:val="18"/>
        </w:rPr>
        <w:t>50</w:t>
      </w:r>
      <w:r>
        <w:rPr>
          <w:color w:val="000000"/>
          <w:spacing w:val="0"/>
          <w:w w:val="100"/>
          <w:position w:val="0"/>
        </w:rPr>
        <w:t>个基点， 本公司当年的净利润就会下降或增加</w:t>
      </w:r>
      <w:r>
        <w:rPr>
          <w:color w:val="000000"/>
          <w:spacing w:val="0"/>
          <w:w w:val="100"/>
          <w:position w:val="0"/>
          <w:sz w:val="18"/>
          <w:szCs w:val="18"/>
        </w:rPr>
        <w:t>37.95</w:t>
      </w:r>
      <w:r>
        <w:rPr>
          <w:color w:val="000000"/>
          <w:spacing w:val="0"/>
          <w:w w:val="100"/>
          <w:position w:val="0"/>
        </w:rPr>
        <w:t>万元。</w:t>
      </w:r>
    </w:p>
    <w:p>
      <w:pPr>
        <w:pStyle w:val="Style5"/>
        <w:keepNext w:val="0"/>
        <w:keepLines w:val="0"/>
        <w:widowControl w:val="0"/>
        <w:shd w:val="clear" w:color="auto" w:fill="auto"/>
        <w:tabs>
          <w:tab w:pos="1598" w:val="left"/>
        </w:tabs>
        <w:bidi w:val="0"/>
        <w:spacing w:before="0" w:after="0" w:line="240" w:lineRule="auto"/>
        <w:ind w:left="1200" w:right="0" w:firstLine="0"/>
        <w:jc w:val="both"/>
      </w:pPr>
      <w:r>
        <w:rPr>
          <w:rFonts w:ascii="Arial" w:eastAsia="Arial" w:hAnsi="Arial" w:cs="Arial"/>
          <w:spacing w:val="0"/>
          <w:w w:val="100"/>
          <w:position w:val="0"/>
          <w:sz w:val="14"/>
          <w:szCs w:val="14"/>
        </w:rPr>
        <w:t>A</w:t>
        <w:tab/>
      </w:r>
      <w:r>
        <w:rPr>
          <w:spacing w:val="0"/>
          <w:w w:val="100"/>
          <w:position w:val="0"/>
        </w:rPr>
        <w:t>国家高新技术企业</w:t>
      </w:r>
      <w:r>
        <w:rPr>
          <w:color w:val="000000"/>
          <w:spacing w:val="0"/>
          <w:w w:val="100"/>
          <w:position w:val="0"/>
        </w:rPr>
        <w:t>一</w:t>
      </w:r>
    </w:p>
    <w:p>
      <w:pPr>
        <w:pStyle w:val="Style32"/>
        <w:keepNext w:val="0"/>
        <w:keepLines w:val="0"/>
        <w:widowControl w:val="0"/>
        <w:shd w:val="clear" w:color="auto" w:fill="auto"/>
        <w:bidi w:val="0"/>
        <w:spacing w:before="0" w:after="0" w:line="283" w:lineRule="exact"/>
        <w:ind w:left="1660" w:right="0" w:firstLine="0"/>
        <w:jc w:val="left"/>
      </w:pPr>
      <w:r>
        <w:rPr>
          <w:rFonts w:ascii="SimHei" w:eastAsia="SimHei" w:hAnsi="SimHei" w:cs="SimHei"/>
          <w:color w:val="4E698D"/>
          <w:spacing w:val="0"/>
          <w:w w:val="100"/>
          <w:position w:val="0"/>
          <w:sz w:val="15"/>
          <w:szCs w:val="15"/>
          <w:shd w:val="clear" w:color="auto" w:fill="FFFFFF"/>
        </w:rPr>
        <w:t>股票代码:</w:t>
      </w:r>
      <w:r>
        <w:rPr>
          <w:color w:val="4E698D"/>
          <w:spacing w:val="0"/>
          <w:w w:val="100"/>
          <w:position w:val="0"/>
          <w:sz w:val="18"/>
          <w:szCs w:val="18"/>
          <w:shd w:val="clear" w:color="auto" w:fill="FFFFFF"/>
        </w:rPr>
        <w:t>300290</w:t>
      </w:r>
    </w:p>
    <w:p>
      <w:pPr>
        <w:pStyle w:val="Style47"/>
        <w:keepNext/>
        <w:keepLines/>
        <w:widowControl w:val="0"/>
        <w:shd w:val="clear" w:color="auto" w:fill="auto"/>
        <w:bidi w:val="0"/>
        <w:spacing w:before="0" w:after="360" w:line="283" w:lineRule="exact"/>
        <w:ind w:left="840" w:right="0" w:firstLine="0"/>
        <w:jc w:val="both"/>
      </w:pPr>
      <w:bookmarkStart w:id="2028" w:name="bookmark2028"/>
      <w:bookmarkStart w:id="2029" w:name="bookmark2029"/>
      <w:bookmarkStart w:id="2030" w:name="bookmark2030"/>
      <w:r>
        <w:rPr>
          <w:color w:val="000000"/>
          <w:spacing w:val="0"/>
          <w:w w:val="100"/>
          <w:position w:val="0"/>
          <w:sz w:val="24"/>
          <w:szCs w:val="24"/>
        </w:rPr>
        <w:t>十一、公允价值的披露</w:t>
      </w:r>
      <w:bookmarkEnd w:id="2028"/>
      <w:bookmarkEnd w:id="2029"/>
      <w:bookmarkEnd w:id="2030"/>
    </w:p>
    <w:p>
      <w:pPr>
        <w:pStyle w:val="Style55"/>
        <w:keepNext/>
        <w:keepLines/>
        <w:widowControl w:val="0"/>
        <w:shd w:val="clear" w:color="auto" w:fill="auto"/>
        <w:bidi w:val="0"/>
        <w:spacing w:before="0" w:after="360" w:line="240" w:lineRule="auto"/>
        <w:ind w:left="840" w:right="0" w:firstLine="0"/>
        <w:jc w:val="both"/>
      </w:pPr>
      <w:bookmarkStart w:id="2031" w:name="bookmark2031"/>
      <w:bookmarkStart w:id="2032" w:name="bookmark2032"/>
      <w:bookmarkStart w:id="2033" w:name="bookmark2033"/>
      <w:r>
        <w:rPr>
          <w:rFonts w:ascii="Times New Roman" w:eastAsia="Times New Roman" w:hAnsi="Times New Roman" w:cs="Times New Roman"/>
          <w:color w:val="000000"/>
          <w:spacing w:val="0"/>
          <w:w w:val="100"/>
          <w:position w:val="0"/>
        </w:rPr>
        <w:t>1</w:t>
      </w:r>
      <w:r>
        <w:rPr>
          <w:color w:val="000000"/>
          <w:spacing w:val="0"/>
          <w:w w:val="100"/>
          <w:position w:val="0"/>
        </w:rPr>
        <w:t>、以公允价值计量的资产和负债的期末公允价值</w:t>
      </w:r>
      <w:bookmarkEnd w:id="2031"/>
      <w:bookmarkEnd w:id="2032"/>
      <w:bookmarkEnd w:id="2033"/>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702"/>
        <w:gridCol w:w="1987"/>
        <w:gridCol w:w="1910"/>
        <w:gridCol w:w="1915"/>
        <w:gridCol w:w="1925"/>
      </w:tblGrid>
      <w:tr>
        <w:trPr>
          <w:trHeight w:val="403"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4"/>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期末公允价值</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第一层次公允价值计量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第二层次公允价值计量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第三层次公允价值计量</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持续的公允价值计量</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4,721,135.31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4,721,135.31</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85,450,790.14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85,450,790.14</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持续以公允价值计量的资产总额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4,721,135.31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85,450,790.14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90,171,925.45</w:t>
            </w:r>
          </w:p>
        </w:tc>
      </w:tr>
    </w:tbl>
    <w:p>
      <w:pPr>
        <w:widowControl w:val="0"/>
        <w:spacing w:after="359" w:line="1" w:lineRule="exact"/>
      </w:pPr>
    </w:p>
    <w:p>
      <w:pPr>
        <w:pStyle w:val="Style55"/>
        <w:keepNext/>
        <w:keepLines/>
        <w:widowControl w:val="0"/>
        <w:shd w:val="clear" w:color="auto" w:fill="auto"/>
        <w:bidi w:val="0"/>
        <w:spacing w:before="0" w:after="280" w:line="240" w:lineRule="auto"/>
        <w:ind w:left="840" w:right="0" w:firstLine="0"/>
        <w:jc w:val="both"/>
      </w:pPr>
      <w:bookmarkStart w:id="2034" w:name="bookmark2034"/>
      <w:bookmarkStart w:id="2035" w:name="bookmark2035"/>
      <w:bookmarkStart w:id="2036" w:name="bookmark2036"/>
      <w:bookmarkStart w:id="2037" w:name="bookmark2037"/>
      <w:r>
        <w:rPr>
          <w:rFonts w:ascii="Times New Roman" w:eastAsia="Times New Roman" w:hAnsi="Times New Roman" w:cs="Times New Roman"/>
          <w:color w:val="000000"/>
          <w:spacing w:val="0"/>
          <w:w w:val="100"/>
          <w:position w:val="0"/>
        </w:rPr>
        <w:t>2</w:t>
      </w:r>
      <w:bookmarkEnd w:id="2036"/>
      <w:r>
        <w:rPr>
          <w:color w:val="000000"/>
          <w:spacing w:val="0"/>
          <w:w w:val="100"/>
          <w:position w:val="0"/>
        </w:rPr>
        <w:t>、持续和非持续第一层次公允价值计量项目市价的确定依据</w:t>
      </w:r>
      <w:bookmarkEnd w:id="2034"/>
      <w:bookmarkEnd w:id="2035"/>
      <w:bookmarkEnd w:id="2037"/>
    </w:p>
    <w:p>
      <w:pPr>
        <w:pStyle w:val="Style32"/>
        <w:keepNext w:val="0"/>
        <w:keepLines w:val="0"/>
        <w:widowControl w:val="0"/>
        <w:shd w:val="clear" w:color="auto" w:fill="auto"/>
        <w:bidi w:val="0"/>
        <w:spacing w:before="0" w:after="360" w:line="314" w:lineRule="exact"/>
        <w:ind w:left="840" w:right="0" w:firstLine="0"/>
        <w:jc w:val="both"/>
      </w:pPr>
      <w:r>
        <w:rPr>
          <w:color w:val="000000"/>
          <w:spacing w:val="0"/>
          <w:w w:val="100"/>
          <w:position w:val="0"/>
        </w:rPr>
        <w:t>对于在活跃市场上交易的金融工具，本公司以其活跃市场报价确定其公允价值；对于不在活跃市场上交易的金融工具，本公 司采用估值技术确定其公允价值。所使用的估值模型主要为现金流量折现模型和市场可比公司模型等。估值技术的输入值主 要包括无风险利率、基准利率、流动性溢价、缺乏流动性折扣等。</w:t>
      </w:r>
    </w:p>
    <w:p>
      <w:pPr>
        <w:pStyle w:val="Style55"/>
        <w:keepNext/>
        <w:keepLines/>
        <w:widowControl w:val="0"/>
        <w:shd w:val="clear" w:color="auto" w:fill="auto"/>
        <w:bidi w:val="0"/>
        <w:spacing w:before="0" w:after="360" w:line="240" w:lineRule="auto"/>
        <w:ind w:left="840" w:right="0" w:firstLine="0"/>
        <w:jc w:val="both"/>
      </w:pPr>
      <w:bookmarkStart w:id="2038" w:name="bookmark2038"/>
      <w:bookmarkStart w:id="2039" w:name="bookmark2039"/>
      <w:bookmarkStart w:id="2040" w:name="bookmark2040"/>
      <w:bookmarkStart w:id="2041" w:name="bookmark2041"/>
      <w:r>
        <w:rPr>
          <w:rFonts w:ascii="Times New Roman" w:eastAsia="Times New Roman" w:hAnsi="Times New Roman" w:cs="Times New Roman"/>
          <w:color w:val="000000"/>
          <w:spacing w:val="0"/>
          <w:w w:val="100"/>
          <w:position w:val="0"/>
        </w:rPr>
        <w:t>3</w:t>
      </w:r>
      <w:bookmarkEnd w:id="2040"/>
      <w:r>
        <w:rPr>
          <w:color w:val="000000"/>
          <w:spacing w:val="0"/>
          <w:w w:val="100"/>
          <w:position w:val="0"/>
        </w:rPr>
        <w:t>、持续和非持续第二层次公允价值计量项目，采用的估值技术和重要参数的定性及定量信息</w:t>
      </w:r>
      <w:bookmarkEnd w:id="2038"/>
      <w:bookmarkEnd w:id="2039"/>
      <w:bookmarkEnd w:id="2041"/>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应收款项融资因其剩余期限较短，账面价值与公允价值接近，采用票面金额作为公允价值。</w:t>
      </w:r>
    </w:p>
    <w:p>
      <w:pPr>
        <w:pStyle w:val="Style55"/>
        <w:keepNext/>
        <w:keepLines/>
        <w:widowControl w:val="0"/>
        <w:shd w:val="clear" w:color="auto" w:fill="auto"/>
        <w:bidi w:val="0"/>
        <w:spacing w:before="0" w:after="280" w:line="240" w:lineRule="auto"/>
        <w:ind w:left="0" w:right="0" w:firstLine="840"/>
        <w:jc w:val="left"/>
      </w:pPr>
      <w:bookmarkStart w:id="2042" w:name="bookmark2042"/>
      <w:bookmarkStart w:id="2043" w:name="bookmark2043"/>
      <w:bookmarkStart w:id="2044" w:name="bookmark2044"/>
      <w:bookmarkStart w:id="2045" w:name="bookmark2045"/>
      <w:r>
        <w:rPr>
          <w:rFonts w:ascii="Times New Roman" w:eastAsia="Times New Roman" w:hAnsi="Times New Roman" w:cs="Times New Roman"/>
          <w:color w:val="000000"/>
          <w:spacing w:val="0"/>
          <w:w w:val="100"/>
          <w:position w:val="0"/>
        </w:rPr>
        <w:t>4</w:t>
      </w:r>
      <w:bookmarkEnd w:id="2044"/>
      <w:r>
        <w:rPr>
          <w:color w:val="000000"/>
          <w:spacing w:val="0"/>
          <w:w w:val="100"/>
          <w:position w:val="0"/>
        </w:rPr>
        <w:t>、持续和非持续第三层次公允价值计量项目，采用的估值技术和重要参数的定性及定量信息</w:t>
      </w:r>
      <w:bookmarkEnd w:id="2042"/>
      <w:bookmarkEnd w:id="2043"/>
      <w:bookmarkEnd w:id="2045"/>
    </w:p>
    <w:p>
      <w:pPr>
        <w:pStyle w:val="Style32"/>
        <w:keepNext w:val="0"/>
        <w:keepLines w:val="0"/>
        <w:widowControl w:val="0"/>
        <w:shd w:val="clear" w:color="auto" w:fill="auto"/>
        <w:bidi w:val="0"/>
        <w:spacing w:before="0" w:after="360" w:line="312" w:lineRule="exact"/>
        <w:ind w:left="840" w:right="0" w:firstLine="0"/>
        <w:jc w:val="both"/>
      </w:pPr>
      <w:r>
        <w:rPr>
          <w:color w:val="000000"/>
          <w:spacing w:val="0"/>
          <w:w w:val="100"/>
          <w:position w:val="0"/>
        </w:rPr>
        <w:t>其他权益工具投资是对合伙企业及其他公司的投资，对于合伙企业按照各合伙企业对外投资的底层资产情况分别进行估值确 定公允价值。公司根据各合伙企业对外投资的底层资产情况以现金流折现模型、可比公司市盈率等指标为基础进行估值，然 后按照本公司在合伙企业持有的底层资产中所享有的份额计算本公司应享有的底层资产市值份额，对于持有的其他公司股权 份额，公司按照市场法等方法进行估值，确认权益工具公允价值。</w:t>
      </w:r>
    </w:p>
    <w:p>
      <w:pPr>
        <w:pStyle w:val="Style55"/>
        <w:keepNext/>
        <w:keepLines/>
        <w:widowControl w:val="0"/>
        <w:shd w:val="clear" w:color="auto" w:fill="auto"/>
        <w:tabs>
          <w:tab w:pos="1218" w:val="left"/>
        </w:tabs>
        <w:bidi w:val="0"/>
        <w:spacing w:before="0" w:after="360" w:line="240" w:lineRule="auto"/>
        <w:ind w:left="0" w:right="0" w:firstLine="840"/>
        <w:jc w:val="left"/>
      </w:pPr>
      <w:bookmarkStart w:id="2046" w:name="bookmark2046"/>
      <w:bookmarkStart w:id="2047" w:name="bookmark2047"/>
      <w:bookmarkStart w:id="2048" w:name="bookmark2048"/>
      <w:bookmarkStart w:id="2049" w:name="bookmark2049"/>
      <w:r>
        <w:rPr>
          <w:rFonts w:ascii="Times New Roman" w:eastAsia="Times New Roman" w:hAnsi="Times New Roman" w:cs="Times New Roman"/>
          <w:color w:val="000000"/>
          <w:spacing w:val="0"/>
          <w:w w:val="100"/>
          <w:position w:val="0"/>
        </w:rPr>
        <w:t>5</w:t>
      </w:r>
      <w:bookmarkEnd w:id="2048"/>
      <w:r>
        <w:rPr>
          <w:color w:val="000000"/>
          <w:spacing w:val="0"/>
          <w:w w:val="100"/>
          <w:position w:val="0"/>
        </w:rPr>
        <w:t>、</w:t>
        <w:tab/>
        <w:t>持续的第三层次公允价值计量项目，期初与期末账面价值间的调节信息及不可观察参数敏感性分析</w:t>
      </w:r>
      <w:bookmarkEnd w:id="2046"/>
      <w:bookmarkEnd w:id="2047"/>
      <w:bookmarkEnd w:id="2049"/>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无</w:t>
      </w:r>
    </w:p>
    <w:p>
      <w:pPr>
        <w:pStyle w:val="Style55"/>
        <w:keepNext/>
        <w:keepLines/>
        <w:widowControl w:val="0"/>
        <w:shd w:val="clear" w:color="auto" w:fill="auto"/>
        <w:tabs>
          <w:tab w:pos="1218" w:val="left"/>
        </w:tabs>
        <w:bidi w:val="0"/>
        <w:spacing w:before="0" w:after="360" w:line="240" w:lineRule="auto"/>
        <w:ind w:left="0" w:right="0" w:firstLine="840"/>
        <w:jc w:val="left"/>
      </w:pPr>
      <w:bookmarkStart w:id="2050" w:name="bookmark2050"/>
      <w:bookmarkStart w:id="2051" w:name="bookmark2051"/>
      <w:bookmarkStart w:id="2052" w:name="bookmark2052"/>
      <w:bookmarkStart w:id="2053" w:name="bookmark2053"/>
      <w:r>
        <w:rPr>
          <w:rFonts w:ascii="Times New Roman" w:eastAsia="Times New Roman" w:hAnsi="Times New Roman" w:cs="Times New Roman"/>
          <w:color w:val="000000"/>
          <w:spacing w:val="0"/>
          <w:w w:val="100"/>
          <w:position w:val="0"/>
        </w:rPr>
        <w:t>6</w:t>
      </w:r>
      <w:bookmarkEnd w:id="2052"/>
      <w:r>
        <w:rPr>
          <w:color w:val="000000"/>
          <w:spacing w:val="0"/>
          <w:w w:val="100"/>
          <w:position w:val="0"/>
        </w:rPr>
        <w:t>、</w:t>
        <w:tab/>
        <w:t>持续的公允价值计量项目，本期内发生各层级之间转换的，转换的原因及确定转换时点的政策</w:t>
      </w:r>
      <w:bookmarkEnd w:id="2050"/>
      <w:bookmarkEnd w:id="2051"/>
      <w:bookmarkEnd w:id="2053"/>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无</w:t>
      </w:r>
    </w:p>
    <w:p>
      <w:pPr>
        <w:pStyle w:val="Style55"/>
        <w:keepNext/>
        <w:keepLines/>
        <w:widowControl w:val="0"/>
        <w:shd w:val="clear" w:color="auto" w:fill="auto"/>
        <w:tabs>
          <w:tab w:pos="1218" w:val="left"/>
        </w:tabs>
        <w:bidi w:val="0"/>
        <w:spacing w:before="0" w:after="360" w:line="240" w:lineRule="auto"/>
        <w:ind w:left="0" w:right="0" w:firstLine="840"/>
        <w:jc w:val="left"/>
      </w:pPr>
      <w:bookmarkStart w:id="2054" w:name="bookmark2054"/>
      <w:bookmarkStart w:id="2055" w:name="bookmark2055"/>
      <w:bookmarkStart w:id="2056" w:name="bookmark2056"/>
      <w:bookmarkStart w:id="2057" w:name="bookmark2057"/>
      <w:r>
        <w:rPr>
          <w:rFonts w:ascii="Times New Roman" w:eastAsia="Times New Roman" w:hAnsi="Times New Roman" w:cs="Times New Roman"/>
          <w:color w:val="000000"/>
          <w:spacing w:val="0"/>
          <w:w w:val="100"/>
          <w:position w:val="0"/>
        </w:rPr>
        <w:t>7</w:t>
      </w:r>
      <w:bookmarkEnd w:id="2056"/>
      <w:r>
        <w:rPr>
          <w:color w:val="000000"/>
          <w:spacing w:val="0"/>
          <w:w w:val="100"/>
          <w:position w:val="0"/>
        </w:rPr>
        <w:t>、</w:t>
        <w:tab/>
        <w:t>本期内发生的估值技术变更及变更原因</w:t>
      </w:r>
      <w:bookmarkEnd w:id="2054"/>
      <w:bookmarkEnd w:id="2055"/>
      <w:bookmarkEnd w:id="2057"/>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无</w:t>
      </w:r>
    </w:p>
    <w:p>
      <w:pPr>
        <w:pStyle w:val="Style5"/>
        <w:keepNext w:val="0"/>
        <w:keepLines w:val="0"/>
        <w:widowControl w:val="0"/>
        <w:shd w:val="clear" w:color="auto" w:fill="auto"/>
        <w:bidi w:val="0"/>
        <w:spacing w:before="0" w:after="0" w:line="240" w:lineRule="auto"/>
        <w:ind w:left="0" w:right="0" w:firstLine="840"/>
        <w:jc w:val="both"/>
      </w:pPr>
      <w:r>
        <w:rPr>
          <w:color w:val="245994"/>
          <w:spacing w:val="0"/>
          <w:w w:val="100"/>
          <w:position w:val="0"/>
        </w:rPr>
        <w:t>—</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1000"/>
        <w:jc w:val="left"/>
      </w:pPr>
      <w:r>
        <w:rPr>
          <w:rFonts w:ascii="SimHei" w:eastAsia="SimHei" w:hAnsi="SimHei" w:cs="SimHei"/>
          <w:color w:val="245994"/>
          <w:spacing w:val="0"/>
          <w:w w:val="100"/>
          <w:position w:val="0"/>
          <w:sz w:val="15"/>
          <w:szCs w:val="15"/>
        </w:rPr>
        <w:t xml:space="preserve">，| </w:t>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260" w:line="240" w:lineRule="auto"/>
        <w:ind w:left="0" w:right="0" w:firstLine="840"/>
        <w:jc w:val="left"/>
      </w:pPr>
      <w:bookmarkStart w:id="2058" w:name="bookmark2058"/>
      <w:bookmarkStart w:id="2059" w:name="bookmark2059"/>
      <w:bookmarkStart w:id="2060" w:name="bookmark2060"/>
      <w:bookmarkStart w:id="2061" w:name="bookmark2061"/>
      <w:r>
        <w:rPr>
          <w:rFonts w:ascii="Times New Roman" w:eastAsia="Times New Roman" w:hAnsi="Times New Roman" w:cs="Times New Roman"/>
          <w:color w:val="000000"/>
          <w:spacing w:val="0"/>
          <w:w w:val="100"/>
          <w:position w:val="0"/>
        </w:rPr>
        <w:t>8</w:t>
      </w:r>
      <w:bookmarkEnd w:id="2060"/>
      <w:r>
        <w:rPr>
          <w:color w:val="000000"/>
          <w:spacing w:val="0"/>
          <w:w w:val="100"/>
          <w:position w:val="0"/>
        </w:rPr>
        <w:t>、不以公允价值计量的金融资产和金融负债的公允价值情况</w:t>
      </w:r>
      <w:bookmarkEnd w:id="2058"/>
      <w:bookmarkEnd w:id="2059"/>
      <w:bookmarkEnd w:id="2061"/>
    </w:p>
    <w:p>
      <w:pPr>
        <w:pStyle w:val="Style32"/>
        <w:keepNext w:val="0"/>
        <w:keepLines w:val="0"/>
        <w:widowControl w:val="0"/>
        <w:shd w:val="clear" w:color="auto" w:fill="auto"/>
        <w:bidi w:val="0"/>
        <w:spacing w:before="0" w:after="0" w:line="317" w:lineRule="exact"/>
        <w:ind w:left="840" w:right="0" w:firstLine="0"/>
        <w:jc w:val="left"/>
      </w:pPr>
      <w:r>
        <w:rPr>
          <w:color w:val="000000"/>
          <w:spacing w:val="0"/>
          <w:w w:val="100"/>
          <w:position w:val="0"/>
        </w:rPr>
        <w:t>本公司以摊余成本计量的金融资产和金融负债主要包括：货币资金、应收票据、应收账款、其他应收款、长期应收款、短期 借款、应付票据、应付账款、其他应付款、一年内到期的长期借款和长期借款等。</w:t>
      </w:r>
    </w:p>
    <w:p>
      <w:pPr>
        <w:pStyle w:val="Style32"/>
        <w:keepNext w:val="0"/>
        <w:keepLines w:val="0"/>
        <w:widowControl w:val="0"/>
        <w:shd w:val="clear" w:color="auto" w:fill="auto"/>
        <w:bidi w:val="0"/>
        <w:spacing w:before="0" w:after="360" w:line="317" w:lineRule="exact"/>
        <w:ind w:left="840" w:right="0" w:firstLine="0"/>
        <w:jc w:val="left"/>
      </w:pPr>
      <w:r>
        <w:rPr>
          <w:color w:val="000000"/>
          <w:spacing w:val="0"/>
          <w:w w:val="100"/>
          <w:position w:val="0"/>
        </w:rPr>
        <w:t>本公司不以公允价值计量的金融资产和金融负债的账面价值与公允价值相差很小。</w:t>
      </w:r>
    </w:p>
    <w:p>
      <w:pPr>
        <w:pStyle w:val="Style55"/>
        <w:keepNext/>
        <w:keepLines/>
        <w:widowControl w:val="0"/>
        <w:shd w:val="clear" w:color="auto" w:fill="auto"/>
        <w:bidi w:val="0"/>
        <w:spacing w:before="0" w:after="360" w:line="240" w:lineRule="auto"/>
        <w:ind w:left="0" w:right="0" w:firstLine="840"/>
        <w:jc w:val="left"/>
      </w:pPr>
      <w:bookmarkStart w:id="2062" w:name="bookmark2062"/>
      <w:bookmarkStart w:id="2063" w:name="bookmark2063"/>
      <w:bookmarkStart w:id="2064" w:name="bookmark2064"/>
      <w:bookmarkStart w:id="2065" w:name="bookmark2065"/>
      <w:r>
        <w:rPr>
          <w:rFonts w:ascii="Times New Roman" w:eastAsia="Times New Roman" w:hAnsi="Times New Roman" w:cs="Times New Roman"/>
          <w:color w:val="000000"/>
          <w:spacing w:val="0"/>
          <w:w w:val="100"/>
          <w:position w:val="0"/>
        </w:rPr>
        <w:t>9</w:t>
      </w:r>
      <w:bookmarkEnd w:id="2064"/>
      <w:r>
        <w:rPr>
          <w:color w:val="000000"/>
          <w:spacing w:val="0"/>
          <w:w w:val="100"/>
          <w:position w:val="0"/>
        </w:rPr>
        <w:t>、其他</w:t>
      </w:r>
      <w:bookmarkEnd w:id="2062"/>
      <w:bookmarkEnd w:id="2063"/>
      <w:bookmarkEnd w:id="2065"/>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无</w:t>
      </w:r>
    </w:p>
    <w:p>
      <w:pPr>
        <w:pStyle w:val="Style47"/>
        <w:keepNext/>
        <w:keepLines/>
        <w:widowControl w:val="0"/>
        <w:shd w:val="clear" w:color="auto" w:fill="auto"/>
        <w:bidi w:val="0"/>
        <w:spacing w:before="0" w:after="360" w:line="240" w:lineRule="auto"/>
        <w:ind w:left="0" w:right="0" w:firstLine="840"/>
        <w:jc w:val="left"/>
      </w:pPr>
      <w:bookmarkStart w:id="2066" w:name="bookmark2066"/>
      <w:bookmarkStart w:id="2067" w:name="bookmark2067"/>
      <w:bookmarkStart w:id="2068" w:name="bookmark2068"/>
      <w:r>
        <w:rPr>
          <w:color w:val="000000"/>
          <w:spacing w:val="0"/>
          <w:w w:val="100"/>
          <w:position w:val="0"/>
          <w:sz w:val="24"/>
          <w:szCs w:val="24"/>
        </w:rPr>
        <w:t>十二、关联方及关联交易</w:t>
      </w:r>
      <w:bookmarkEnd w:id="2066"/>
      <w:bookmarkEnd w:id="2067"/>
      <w:bookmarkEnd w:id="2068"/>
    </w:p>
    <w:p>
      <w:pPr>
        <w:pStyle w:val="Style55"/>
        <w:keepNext/>
        <w:keepLines/>
        <w:widowControl w:val="0"/>
        <w:shd w:val="clear" w:color="auto" w:fill="auto"/>
        <w:bidi w:val="0"/>
        <w:spacing w:before="0" w:after="360" w:line="240" w:lineRule="auto"/>
        <w:ind w:left="0" w:right="0" w:firstLine="840"/>
        <w:jc w:val="left"/>
      </w:pPr>
      <w:bookmarkStart w:id="2069" w:name="bookmark2069"/>
      <w:bookmarkStart w:id="2070" w:name="bookmark2070"/>
      <w:bookmarkStart w:id="2071" w:name="bookmark2071"/>
      <w:r>
        <w:rPr>
          <w:rFonts w:ascii="Times New Roman" w:eastAsia="Times New Roman" w:hAnsi="Times New Roman" w:cs="Times New Roman"/>
          <w:color w:val="000000"/>
          <w:spacing w:val="0"/>
          <w:w w:val="100"/>
          <w:position w:val="0"/>
        </w:rPr>
        <w:t>1</w:t>
      </w:r>
      <w:r>
        <w:rPr>
          <w:color w:val="000000"/>
          <w:spacing w:val="0"/>
          <w:w w:val="100"/>
          <w:position w:val="0"/>
        </w:rPr>
        <w:t>、本企业的母公司情况</w:t>
      </w:r>
      <w:bookmarkEnd w:id="2069"/>
      <w:bookmarkEnd w:id="2070"/>
      <w:bookmarkEnd w:id="2071"/>
    </w:p>
    <w:p>
      <w:pPr>
        <w:pStyle w:val="Style32"/>
        <w:keepNext w:val="0"/>
        <w:keepLines w:val="0"/>
        <w:widowControl w:val="0"/>
        <w:shd w:val="clear" w:color="auto" w:fill="auto"/>
        <w:bidi w:val="0"/>
        <w:spacing w:before="0" w:after="140" w:line="240" w:lineRule="auto"/>
        <w:ind w:left="0" w:right="0" w:firstLine="840"/>
        <w:jc w:val="left"/>
      </w:pPr>
      <w:r>
        <w:rPr>
          <w:color w:val="000000"/>
          <w:spacing w:val="0"/>
          <w:w w:val="100"/>
          <w:position w:val="0"/>
        </w:rPr>
        <w:t>本企业的母公司情况的说明</w:t>
      </w:r>
    </w:p>
    <w:p>
      <w:pPr>
        <w:pStyle w:val="Style32"/>
        <w:keepNext w:val="0"/>
        <w:keepLines w:val="0"/>
        <w:widowControl w:val="0"/>
        <w:shd w:val="clear" w:color="auto" w:fill="auto"/>
        <w:bidi w:val="0"/>
        <w:spacing w:before="0" w:after="140" w:line="240" w:lineRule="auto"/>
        <w:ind w:left="0" w:right="0" w:firstLine="840"/>
        <w:jc w:val="left"/>
      </w:pPr>
      <w:r>
        <w:rPr>
          <w:color w:val="000000"/>
          <w:spacing w:val="0"/>
          <w:w w:val="100"/>
          <w:position w:val="0"/>
        </w:rPr>
        <w:t>无</w:t>
      </w:r>
    </w:p>
    <w:p>
      <w:pPr>
        <w:pStyle w:val="Style32"/>
        <w:keepNext w:val="0"/>
        <w:keepLines w:val="0"/>
        <w:widowControl w:val="0"/>
        <w:shd w:val="clear" w:color="auto" w:fill="auto"/>
        <w:bidi w:val="0"/>
        <w:spacing w:before="0" w:after="140" w:line="240" w:lineRule="auto"/>
        <w:ind w:left="0" w:right="0" w:firstLine="840"/>
        <w:jc w:val="left"/>
      </w:pPr>
      <w:r>
        <w:rPr>
          <w:color w:val="000000"/>
          <w:spacing w:val="0"/>
          <w:w w:val="100"/>
          <w:position w:val="0"/>
        </w:rPr>
        <w:t>辽宁国科实业有限公司为公司控股股东，何任晖为公司实际控制人。</w:t>
      </w:r>
    </w:p>
    <w:p>
      <w:pPr>
        <w:pStyle w:val="Style32"/>
        <w:keepNext w:val="0"/>
        <w:keepLines w:val="0"/>
        <w:widowControl w:val="0"/>
        <w:shd w:val="clear" w:color="auto" w:fill="auto"/>
        <w:bidi w:val="0"/>
        <w:spacing w:before="0" w:after="80" w:line="240" w:lineRule="auto"/>
        <w:ind w:left="0" w:right="0" w:firstLine="840"/>
        <w:jc w:val="left"/>
      </w:pPr>
      <w:r>
        <w:rPr>
          <w:color w:val="000000"/>
          <w:spacing w:val="0"/>
          <w:w w:val="100"/>
          <w:position w:val="0"/>
        </w:rPr>
        <w:t>其他说明：</w:t>
      </w:r>
    </w:p>
    <w:tbl>
      <w:tblPr>
        <w:tblOverlap w:val="never"/>
        <w:jc w:val="center"/>
        <w:tblLayout w:type="fixed"/>
      </w:tblPr>
      <w:tblGrid>
        <w:gridCol w:w="2136"/>
        <w:gridCol w:w="1416"/>
        <w:gridCol w:w="1133"/>
        <w:gridCol w:w="994"/>
        <w:gridCol w:w="1416"/>
        <w:gridCol w:w="994"/>
        <w:gridCol w:w="1003"/>
      </w:tblGrid>
      <w:tr>
        <w:trPr>
          <w:trHeight w:val="470" w:hRule="exact"/>
        </w:trPr>
        <w:tc>
          <w:tcPr>
            <w:vMerge w:val="restart"/>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gridSpan w:val="3"/>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gridSpan w:val="3"/>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r>
        <w:trPr>
          <w:trHeight w:val="61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出资额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100" w:line="240" w:lineRule="auto"/>
              <w:ind w:left="0" w:right="0" w:firstLine="200"/>
              <w:jc w:val="left"/>
            </w:pPr>
            <w:r>
              <w:rPr>
                <w:color w:val="000000"/>
                <w:spacing w:val="0"/>
                <w:w w:val="100"/>
                <w:position w:val="0"/>
              </w:rPr>
              <w:t>持股比例</w:t>
            </w:r>
          </w:p>
          <w:p>
            <w:pPr>
              <w:pStyle w:val="Style4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69" w:lineRule="exact"/>
              <w:ind w:left="0" w:right="0" w:firstLine="0"/>
              <w:jc w:val="center"/>
            </w:pPr>
            <w:r>
              <w:rPr>
                <w:color w:val="000000"/>
                <w:spacing w:val="0"/>
                <w:w w:val="100"/>
                <w:position w:val="0"/>
              </w:rPr>
              <w:t xml:space="preserve">表决权比例 </w:t>
            </w: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出资额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64" w:lineRule="exact"/>
              <w:ind w:left="0" w:right="0" w:firstLine="0"/>
              <w:jc w:val="center"/>
            </w:pPr>
            <w:r>
              <w:rPr>
                <w:color w:val="000000"/>
                <w:spacing w:val="0"/>
                <w:w w:val="100"/>
                <w:position w:val="0"/>
              </w:rPr>
              <w:t xml:space="preserve">持股比例 </w:t>
            </w: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69" w:lineRule="exact"/>
              <w:ind w:left="0" w:right="0" w:firstLine="0"/>
              <w:jc w:val="center"/>
            </w:pPr>
            <w:r>
              <w:rPr>
                <w:color w:val="000000"/>
                <w:spacing w:val="0"/>
                <w:w w:val="100"/>
                <w:position w:val="0"/>
              </w:rPr>
              <w:t xml:space="preserve">表决权比例 </w:t>
            </w:r>
            <w:r>
              <w:rPr>
                <w:rFonts w:ascii="Times New Roman" w:eastAsia="Times New Roman" w:hAnsi="Times New Roman" w:cs="Times New Roman"/>
                <w:color w:val="000000"/>
                <w:spacing w:val="0"/>
                <w:w w:val="100"/>
                <w:position w:val="0"/>
              </w:rPr>
              <w:t>(%)</w:t>
            </w:r>
          </w:p>
        </w:tc>
      </w:tr>
      <w:tr>
        <w:trPr>
          <w:trHeight w:val="466"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辽宁国科实业有限公司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136,529,042.00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22.85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22.85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147,279,042.00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26.60</w:t>
            </w:r>
          </w:p>
        </w:tc>
      </w:tr>
      <w:tr>
        <w:trPr>
          <w:trHeight w:val="41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崔万涛</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35,672,573.00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6.44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6.44</w:t>
            </w:r>
          </w:p>
        </w:tc>
      </w:tr>
      <w:tr>
        <w:trPr>
          <w:trHeight w:val="432"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付艳杰</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8,172,049.00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35,672,049.00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6.44</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6.44</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840"/>
        <w:jc w:val="left"/>
      </w:pPr>
      <w:bookmarkStart w:id="2072" w:name="bookmark2072"/>
      <w:bookmarkStart w:id="2073" w:name="bookmark2073"/>
      <w:bookmarkStart w:id="2074" w:name="bookmark2074"/>
      <w:r>
        <w:rPr>
          <w:rFonts w:ascii="Times New Roman" w:eastAsia="Times New Roman" w:hAnsi="Times New Roman" w:cs="Times New Roman"/>
          <w:color w:val="000000"/>
          <w:spacing w:val="0"/>
          <w:w w:val="100"/>
          <w:position w:val="0"/>
        </w:rPr>
        <w:t>2</w:t>
      </w:r>
      <w:r>
        <w:rPr>
          <w:color w:val="000000"/>
          <w:spacing w:val="0"/>
          <w:w w:val="100"/>
          <w:position w:val="0"/>
        </w:rPr>
        <w:t>、本企业的子公司情况</w:t>
      </w:r>
      <w:bookmarkEnd w:id="2072"/>
      <w:bookmarkEnd w:id="2073"/>
      <w:bookmarkEnd w:id="2074"/>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本企业子公司的情况详见报告第十二节、九、</w:t>
      </w:r>
      <w:r>
        <w:rPr>
          <w:rFonts w:ascii="Times New Roman" w:eastAsia="Times New Roman" w:hAnsi="Times New Roman" w:cs="Times New Roman"/>
          <w:color w:val="000000"/>
          <w:spacing w:val="0"/>
          <w:w w:val="100"/>
          <w:position w:val="0"/>
        </w:rPr>
        <w:t>1</w:t>
      </w:r>
      <w:r>
        <w:rPr>
          <w:color w:val="000000"/>
          <w:spacing w:val="0"/>
          <w:w w:val="100"/>
          <w:position w:val="0"/>
        </w:rPr>
        <w:t>。</w:t>
      </w:r>
    </w:p>
    <w:p>
      <w:pPr>
        <w:pStyle w:val="Style55"/>
        <w:keepNext/>
        <w:keepLines/>
        <w:widowControl w:val="0"/>
        <w:shd w:val="clear" w:color="auto" w:fill="auto"/>
        <w:bidi w:val="0"/>
        <w:spacing w:before="0" w:after="360" w:line="240" w:lineRule="auto"/>
        <w:ind w:left="0" w:right="0" w:firstLine="840"/>
        <w:jc w:val="left"/>
      </w:pPr>
      <w:bookmarkStart w:id="2075" w:name="bookmark2075"/>
      <w:bookmarkStart w:id="2076" w:name="bookmark2076"/>
      <w:bookmarkStart w:id="2077" w:name="bookmark2077"/>
      <w:bookmarkStart w:id="2078" w:name="bookmark2078"/>
      <w:r>
        <w:rPr>
          <w:rFonts w:ascii="Times New Roman" w:eastAsia="Times New Roman" w:hAnsi="Times New Roman" w:cs="Times New Roman"/>
          <w:color w:val="000000"/>
          <w:spacing w:val="0"/>
          <w:w w:val="100"/>
          <w:position w:val="0"/>
        </w:rPr>
        <w:t>3</w:t>
      </w:r>
      <w:bookmarkEnd w:id="2077"/>
      <w:r>
        <w:rPr>
          <w:color w:val="000000"/>
          <w:spacing w:val="0"/>
          <w:w w:val="100"/>
          <w:position w:val="0"/>
        </w:rPr>
        <w:t>、本企业合营和联营企业情况</w:t>
      </w:r>
      <w:bookmarkEnd w:id="2075"/>
      <w:bookmarkEnd w:id="2076"/>
      <w:bookmarkEnd w:id="2078"/>
    </w:p>
    <w:p>
      <w:pPr>
        <w:pStyle w:val="Style32"/>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本企业合营或联营企业详见报告第十二节、九、</w:t>
      </w:r>
      <w:r>
        <w:rPr>
          <w:rFonts w:ascii="Times New Roman" w:eastAsia="Times New Roman" w:hAnsi="Times New Roman" w:cs="Times New Roman"/>
          <w:color w:val="000000"/>
          <w:spacing w:val="0"/>
          <w:w w:val="100"/>
          <w:position w:val="0"/>
        </w:rPr>
        <w:t>3</w:t>
      </w:r>
      <w:r>
        <w:rPr>
          <w:color w:val="000000"/>
          <w:spacing w:val="0"/>
          <w:w w:val="100"/>
          <w:position w:val="0"/>
        </w:rPr>
        <w:t>。</w:t>
      </w:r>
    </w:p>
    <w:p>
      <w:pPr>
        <w:pStyle w:val="Style55"/>
        <w:keepNext/>
        <w:keepLines/>
        <w:widowControl w:val="0"/>
        <w:shd w:val="clear" w:color="auto" w:fill="auto"/>
        <w:bidi w:val="0"/>
        <w:spacing w:before="0" w:after="360" w:line="240" w:lineRule="auto"/>
        <w:ind w:left="0" w:right="0" w:firstLine="840"/>
        <w:jc w:val="both"/>
      </w:pPr>
      <w:bookmarkStart w:id="2079" w:name="bookmark2079"/>
      <w:bookmarkStart w:id="2080" w:name="bookmark2080"/>
      <w:bookmarkStart w:id="2081" w:name="bookmark2081"/>
      <w:bookmarkStart w:id="2082" w:name="bookmark2082"/>
      <w:r>
        <w:rPr>
          <w:rFonts w:ascii="Times New Roman" w:eastAsia="Times New Roman" w:hAnsi="Times New Roman" w:cs="Times New Roman"/>
          <w:color w:val="000000"/>
          <w:spacing w:val="0"/>
          <w:w w:val="100"/>
          <w:position w:val="0"/>
        </w:rPr>
        <w:t>4</w:t>
      </w:r>
      <w:bookmarkEnd w:id="2081"/>
      <w:r>
        <w:rPr>
          <w:color w:val="000000"/>
          <w:spacing w:val="0"/>
          <w:w w:val="100"/>
          <w:position w:val="0"/>
        </w:rPr>
        <w:t>、其他关联方情况</w:t>
      </w:r>
      <w:bookmarkEnd w:id="2079"/>
      <w:bookmarkEnd w:id="2080"/>
      <w:bookmarkEnd w:id="2082"/>
    </w:p>
    <w:tbl>
      <w:tblPr>
        <w:tblOverlap w:val="never"/>
        <w:jc w:val="right"/>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其他关联方名称</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其他关联方与本企业关系</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李秀峰</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本公司股东付艳杰家庭成员(注</w:t>
            </w:r>
            <w:r>
              <w:rPr>
                <w:rFonts w:ascii="Times New Roman" w:eastAsia="Times New Roman" w:hAnsi="Times New Roman" w:cs="Times New Roman"/>
                <w:color w:val="000000"/>
                <w:spacing w:val="0"/>
                <w:w w:val="100"/>
                <w:position w:val="0"/>
              </w:rPr>
              <w:t>1</w:t>
            </w:r>
            <w:r>
              <w:rPr>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张桂娟</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本公司股东崔万涛家庭成员(注</w:t>
            </w:r>
            <w:r>
              <w:rPr>
                <w:rFonts w:ascii="Times New Roman" w:eastAsia="Times New Roman" w:hAnsi="Times New Roman" w:cs="Times New Roman"/>
                <w:color w:val="000000"/>
                <w:spacing w:val="0"/>
                <w:w w:val="100"/>
                <w:position w:val="0"/>
              </w:rPr>
              <w:t>1</w:t>
            </w:r>
            <w:r>
              <w:rPr>
                <w:color w:val="000000"/>
                <w:spacing w:val="0"/>
                <w:w w:val="100"/>
                <w:position w:val="0"/>
              </w:rPr>
              <w:t>)</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公司法定代表人</w:t>
            </w:r>
          </w:p>
        </w:tc>
      </w:tr>
      <w:tr>
        <w:trPr>
          <w:trHeight w:val="40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唐冬梅</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公司法定代表人家庭成员</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秦毅</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本公司之高管</w:t>
            </w:r>
          </w:p>
        </w:tc>
      </w:tr>
    </w:tbl>
    <w:p>
      <w:pPr>
        <w:widowControl w:val="0"/>
        <w:spacing w:line="1" w:lineRule="exact"/>
        <w:sectPr>
          <w:headerReference w:type="default" r:id="rId515"/>
          <w:footerReference w:type="default" r:id="rId516"/>
          <w:headerReference w:type="even" r:id="rId517"/>
          <w:footerReference w:type="even" r:id="rId518"/>
          <w:footnotePr>
            <w:pos w:val="pageBottom"/>
            <w:numFmt w:val="decimal"/>
            <w:numRestart w:val="continuous"/>
          </w:footnotePr>
          <w:type w:val="continuous"/>
          <w:pgSz w:w="11900" w:h="16840"/>
          <w:pgMar w:top="1161" w:right="1007" w:bottom="1433" w:left="151" w:header="0" w:footer="3" w:gutter="0"/>
          <w:cols w:space="720"/>
          <w:noEndnote/>
          <w:rtlGutter w:val="0"/>
          <w:docGrid w:linePitch="360"/>
        </w:sectPr>
      </w:pPr>
    </w:p>
    <w:p>
      <w:pPr>
        <w:pStyle w:val="Style49"/>
        <w:keepNext w:val="0"/>
        <w:keepLines w:val="0"/>
        <w:widowControl w:val="0"/>
        <w:shd w:val="clear" w:color="auto" w:fill="auto"/>
        <w:bidi w:val="0"/>
        <w:spacing w:before="0" w:after="0" w:line="240" w:lineRule="auto"/>
        <w:ind w:left="144" w:right="0" w:firstLine="0"/>
        <w:jc w:val="left"/>
        <w:rPr>
          <w:sz w:val="15"/>
          <w:szCs w:val="15"/>
        </w:rPr>
      </w:pPr>
      <w:r>
        <w:rPr>
          <w:rFonts w:ascii="SimHei" w:eastAsia="SimHei" w:hAnsi="SimHei" w:cs="SimHei"/>
          <w:color w:val="245994"/>
          <w:spacing w:val="0"/>
          <w:w w:val="100"/>
          <w:position w:val="0"/>
          <w:sz w:val="15"/>
          <w:szCs w:val="15"/>
        </w:rPr>
        <w:t>匕广</w:t>
      </w:r>
      <w:r>
        <w:rPr>
          <w:rFonts w:ascii="SimHei" w:eastAsia="SimHei" w:hAnsi="SimHei" w:cs="SimHei"/>
          <w:color w:val="2D2B2E"/>
          <w:spacing w:val="0"/>
          <w:w w:val="100"/>
          <w:position w:val="0"/>
          <w:sz w:val="15"/>
          <w:szCs w:val="15"/>
        </w:rPr>
        <w:t>i</w:t>
      </w:r>
      <w:r>
        <w:rPr>
          <w:rFonts w:ascii="SimHei" w:eastAsia="SimHei" w:hAnsi="SimHei" w:cs="SimHei"/>
          <w:color w:val="4E698D"/>
          <w:spacing w:val="0"/>
          <w:w w:val="100"/>
          <w:position w:val="0"/>
          <w:sz w:val="15"/>
          <w:szCs w:val="15"/>
        </w:rPr>
        <w:t>国家高新技术企业</w:t>
      </w:r>
    </w:p>
    <w:p>
      <w:pPr>
        <w:pStyle w:val="Style49"/>
        <w:keepNext w:val="0"/>
        <w:keepLines w:val="0"/>
        <w:widowControl w:val="0"/>
        <w:shd w:val="clear" w:color="auto" w:fill="auto"/>
        <w:tabs>
          <w:tab w:pos="739" w:val="left"/>
        </w:tabs>
        <w:bidi w:val="0"/>
        <w:spacing w:before="0" w:after="0" w:line="240" w:lineRule="auto"/>
        <w:ind w:left="144" w:right="0" w:firstLine="0"/>
        <w:jc w:val="left"/>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bl>
      <w:tblPr>
        <w:tblOverlap w:val="never"/>
        <w:jc w:val="right"/>
        <w:tblLayout w:type="fixed"/>
      </w:tblPr>
      <w:tblGrid>
        <w:gridCol w:w="4790"/>
        <w:gridCol w:w="4795"/>
      </w:tblGrid>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尹春福</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本公司之高管</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付永全</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本公司之执行总裁（注</w:t>
            </w:r>
            <w:r>
              <w:rPr>
                <w:rFonts w:ascii="Times New Roman" w:eastAsia="Times New Roman" w:hAnsi="Times New Roman" w:cs="Times New Roman"/>
                <w:color w:val="000000"/>
                <w:spacing w:val="0"/>
                <w:w w:val="100"/>
                <w:position w:val="0"/>
              </w:rPr>
              <w:t>2</w:t>
            </w:r>
            <w:r>
              <w:rPr>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辽宁华康医疗科技有限公司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本公司执行总裁付永全之关联公司（注</w:t>
            </w:r>
            <w:r>
              <w:rPr>
                <w:rFonts w:ascii="Times New Roman" w:eastAsia="Times New Roman" w:hAnsi="Times New Roman" w:cs="Times New Roman"/>
                <w:color w:val="000000"/>
                <w:spacing w:val="0"/>
                <w:w w:val="100"/>
                <w:position w:val="0"/>
              </w:rPr>
              <w:t>2</w:t>
            </w:r>
            <w:r>
              <w:rPr>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朝阳银行股份有限公司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本公司董事林木西之关联公司（注</w:t>
            </w:r>
            <w:r>
              <w:rPr>
                <w:rFonts w:ascii="Times New Roman" w:eastAsia="Times New Roman" w:hAnsi="Times New Roman" w:cs="Times New Roman"/>
                <w:color w:val="000000"/>
                <w:spacing w:val="0"/>
                <w:w w:val="100"/>
                <w:position w:val="0"/>
              </w:rPr>
              <w:t>3</w:t>
            </w:r>
            <w:r>
              <w:rPr>
                <w:color w:val="000000"/>
                <w:spacing w:val="0"/>
                <w:w w:val="100"/>
                <w:position w:val="0"/>
              </w:rPr>
              <w:t>）</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铁岭新星村镇银行股份有限公司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本公司董事崔万田之关联公司</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天津云之康科技有限公司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本公司高管朱良之关联公司（注</w:t>
            </w:r>
            <w:r>
              <w:rPr>
                <w:rFonts w:ascii="Times New Roman" w:eastAsia="Times New Roman" w:hAnsi="Times New Roman" w:cs="Times New Roman"/>
                <w:color w:val="000000"/>
                <w:spacing w:val="0"/>
                <w:w w:val="100"/>
                <w:position w:val="0"/>
              </w:rPr>
              <w:t>4</w:t>
            </w:r>
            <w:r>
              <w:rPr>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北京荣科智维云科技有限公司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本公司投资之产业基金之投资公司（公司之原子公司）</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上海麦健信息技术有限公司</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本公司投资之产业基金之投资公司</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沈阳荣科融拓健康数据产业股权投资合伙企业（有限合伙）</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本公司投资之产业基金</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pStyle w:val="Style32"/>
        <w:keepNext w:val="0"/>
        <w:keepLines w:val="0"/>
        <w:widowControl w:val="0"/>
        <w:shd w:val="clear" w:color="auto" w:fill="auto"/>
        <w:bidi w:val="0"/>
        <w:spacing w:before="0" w:after="0" w:line="350" w:lineRule="exact"/>
        <w:ind w:left="960" w:right="0" w:firstLine="20"/>
        <w:jc w:val="left"/>
      </w:pPr>
      <w:r>
        <w:rPr>
          <w:color w:val="000000"/>
          <w:spacing w:val="0"/>
          <w:w w:val="100"/>
          <w:position w:val="0"/>
        </w:rPr>
        <w:t>注</w:t>
      </w:r>
      <w:r>
        <w:rPr>
          <w:rFonts w:ascii="Times New Roman" w:eastAsia="Times New Roman" w:hAnsi="Times New Roman" w:cs="Times New Roman"/>
          <w:color w:val="000000"/>
          <w:spacing w:val="0"/>
          <w:w w:val="100"/>
          <w:position w:val="0"/>
        </w:rPr>
        <w:t>1</w:t>
      </w:r>
      <w:r>
        <w:rPr>
          <w:color w:val="000000"/>
          <w:spacing w:val="0"/>
          <w:w w:val="100"/>
          <w:position w:val="0"/>
        </w:rPr>
        <w:t>：原直接持有上市公司</w:t>
      </w:r>
      <w:r>
        <w:rPr>
          <w:rFonts w:ascii="Times New Roman" w:eastAsia="Times New Roman" w:hAnsi="Times New Roman" w:cs="Times New Roman"/>
          <w:color w:val="000000"/>
          <w:spacing w:val="0"/>
          <w:w w:val="100"/>
          <w:position w:val="0"/>
        </w:rPr>
        <w:t>5</w:t>
      </w:r>
      <w:r>
        <w:rPr>
          <w:color w:val="000000"/>
          <w:spacing w:val="0"/>
          <w:w w:val="100"/>
          <w:position w:val="0"/>
        </w:rPr>
        <w:t>%以上股份的自然人股东付艳杰、崔万涛已于</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月办结股权转让涉及的过户登记手续。 注</w:t>
      </w:r>
      <w:r>
        <w:rPr>
          <w:rFonts w:ascii="Times New Roman" w:eastAsia="Times New Roman" w:hAnsi="Times New Roman" w:cs="Times New Roman"/>
          <w:color w:val="000000"/>
          <w:spacing w:val="0"/>
          <w:w w:val="100"/>
          <w:position w:val="0"/>
        </w:rPr>
        <w:t>2</w:t>
      </w:r>
      <w:r>
        <w:rPr>
          <w:color w:val="000000"/>
          <w:spacing w:val="0"/>
          <w:w w:val="100"/>
          <w:position w:val="0"/>
        </w:rPr>
        <w:t>：原公司执行总裁付永全已于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月离职。</w:t>
      </w:r>
    </w:p>
    <w:p>
      <w:pPr>
        <w:pStyle w:val="Style32"/>
        <w:keepNext w:val="0"/>
        <w:keepLines w:val="0"/>
        <w:widowControl w:val="0"/>
        <w:shd w:val="clear" w:color="auto" w:fill="auto"/>
        <w:bidi w:val="0"/>
        <w:spacing w:before="0" w:after="0" w:line="350" w:lineRule="exact"/>
        <w:ind w:left="0" w:right="0" w:firstLine="960"/>
        <w:jc w:val="left"/>
      </w:pPr>
      <w:r>
        <w:rPr>
          <w:color w:val="000000"/>
          <w:spacing w:val="0"/>
          <w:w w:val="100"/>
          <w:position w:val="0"/>
        </w:rPr>
        <w:t>注</w:t>
      </w:r>
      <w:r>
        <w:rPr>
          <w:rFonts w:ascii="Times New Roman" w:eastAsia="Times New Roman" w:hAnsi="Times New Roman" w:cs="Times New Roman"/>
          <w:color w:val="000000"/>
          <w:spacing w:val="0"/>
          <w:w w:val="100"/>
          <w:position w:val="0"/>
        </w:rPr>
        <w:t>3</w:t>
      </w:r>
      <w:r>
        <w:rPr>
          <w:color w:val="000000"/>
          <w:spacing w:val="0"/>
          <w:w w:val="100"/>
          <w:position w:val="0"/>
        </w:rPr>
        <w:t>：原公司董事林木西已于</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月离职。</w:t>
      </w:r>
    </w:p>
    <w:p>
      <w:pPr>
        <w:pStyle w:val="Style32"/>
        <w:keepNext w:val="0"/>
        <w:keepLines w:val="0"/>
        <w:widowControl w:val="0"/>
        <w:shd w:val="clear" w:color="auto" w:fill="auto"/>
        <w:bidi w:val="0"/>
        <w:spacing w:before="0" w:after="380" w:line="350" w:lineRule="exact"/>
        <w:ind w:left="0" w:right="0" w:firstLine="960"/>
        <w:jc w:val="left"/>
      </w:pPr>
      <w:r>
        <w:rPr>
          <w:color w:val="000000"/>
          <w:spacing w:val="0"/>
          <w:w w:val="100"/>
          <w:position w:val="0"/>
        </w:rPr>
        <w:t>注</w:t>
      </w:r>
      <w:r>
        <w:rPr>
          <w:rFonts w:ascii="Times New Roman" w:eastAsia="Times New Roman" w:hAnsi="Times New Roman" w:cs="Times New Roman"/>
          <w:color w:val="000000"/>
          <w:spacing w:val="0"/>
          <w:w w:val="100"/>
          <w:position w:val="0"/>
        </w:rPr>
        <w:t>4</w:t>
      </w:r>
      <w:r>
        <w:rPr>
          <w:color w:val="000000"/>
          <w:spacing w:val="0"/>
          <w:w w:val="100"/>
          <w:position w:val="0"/>
        </w:rPr>
        <w:t>：原公司高管朱良已于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月离职。</w:t>
      </w:r>
    </w:p>
    <w:p>
      <w:pPr>
        <w:pStyle w:val="Style55"/>
        <w:keepNext/>
        <w:keepLines/>
        <w:widowControl w:val="0"/>
        <w:shd w:val="clear" w:color="auto" w:fill="auto"/>
        <w:bidi w:val="0"/>
        <w:spacing w:before="0" w:after="380" w:line="240" w:lineRule="auto"/>
        <w:ind w:left="0" w:right="0" w:firstLine="960"/>
        <w:jc w:val="left"/>
      </w:pPr>
      <w:bookmarkStart w:id="2083" w:name="bookmark2083"/>
      <w:bookmarkStart w:id="2084" w:name="bookmark2084"/>
      <w:bookmarkStart w:id="2085" w:name="bookmark2085"/>
      <w:bookmarkStart w:id="2086" w:name="bookmark2086"/>
      <w:r>
        <w:rPr>
          <w:rFonts w:ascii="Times New Roman" w:eastAsia="Times New Roman" w:hAnsi="Times New Roman" w:cs="Times New Roman"/>
          <w:color w:val="000000"/>
          <w:spacing w:val="0"/>
          <w:w w:val="100"/>
          <w:position w:val="0"/>
        </w:rPr>
        <w:t>5</w:t>
      </w:r>
      <w:bookmarkEnd w:id="2085"/>
      <w:r>
        <w:rPr>
          <w:color w:val="000000"/>
          <w:spacing w:val="0"/>
          <w:w w:val="100"/>
          <w:position w:val="0"/>
        </w:rPr>
        <w:t>、关联交易情况</w:t>
      </w:r>
      <w:bookmarkEnd w:id="2083"/>
      <w:bookmarkEnd w:id="2084"/>
      <w:bookmarkEnd w:id="2086"/>
    </w:p>
    <w:p>
      <w:pPr>
        <w:pStyle w:val="Style55"/>
        <w:keepNext/>
        <w:keepLines/>
        <w:widowControl w:val="0"/>
        <w:shd w:val="clear" w:color="auto" w:fill="auto"/>
        <w:bidi w:val="0"/>
        <w:spacing w:before="0" w:after="380" w:line="240" w:lineRule="auto"/>
        <w:ind w:left="1100" w:right="0" w:firstLine="0"/>
        <w:jc w:val="left"/>
      </w:pPr>
      <w:bookmarkStart w:id="2083" w:name="bookmark2083"/>
      <w:bookmarkStart w:id="2084" w:name="bookmark2084"/>
      <w:bookmarkStart w:id="2087" w:name="bookmark2087"/>
      <w:r>
        <w:rPr>
          <w:rFonts w:ascii="Times New Roman" w:eastAsia="Times New Roman" w:hAnsi="Times New Roman" w:cs="Times New Roman"/>
          <w:color w:val="000000"/>
          <w:spacing w:val="0"/>
          <w:w w:val="100"/>
          <w:position w:val="0"/>
        </w:rPr>
        <w:t>（1</w:t>
      </w:r>
      <w:r>
        <w:rPr>
          <w:color w:val="000000"/>
          <w:spacing w:val="0"/>
          <w:w w:val="100"/>
          <w:position w:val="0"/>
        </w:rPr>
        <w:t>）购销商品、提供和接受劳务的关联交易</w:t>
      </w:r>
      <w:bookmarkEnd w:id="2083"/>
      <w:bookmarkEnd w:id="2084"/>
      <w:bookmarkEnd w:id="2087"/>
    </w:p>
    <w:p>
      <w:pPr>
        <w:pStyle w:val="Style32"/>
        <w:keepNext w:val="0"/>
        <w:keepLines w:val="0"/>
        <w:widowControl w:val="0"/>
        <w:shd w:val="clear" w:color="auto" w:fill="auto"/>
        <w:bidi w:val="0"/>
        <w:spacing w:before="0" w:after="100" w:line="240" w:lineRule="auto"/>
        <w:ind w:left="0" w:right="0" w:firstLine="960"/>
        <w:jc w:val="left"/>
      </w:pPr>
      <w:r>
        <w:rPr>
          <w:color w:val="000000"/>
          <w:spacing w:val="0"/>
          <w:w w:val="100"/>
          <w:position w:val="0"/>
        </w:rPr>
        <w:t>采购商品</w:t>
      </w:r>
      <w:r>
        <w:rPr>
          <w:rFonts w:ascii="Times New Roman" w:eastAsia="Times New Roman" w:hAnsi="Times New Roman" w:cs="Times New Roman"/>
          <w:color w:val="000000"/>
          <w:spacing w:val="0"/>
          <w:w w:val="100"/>
          <w:position w:val="0"/>
        </w:rPr>
        <w:t>/</w:t>
      </w:r>
      <w:r>
        <w:rPr>
          <w:color w:val="000000"/>
          <w:spacing w:val="0"/>
          <w:w w:val="100"/>
          <w:position w:val="0"/>
        </w:rPr>
        <w:t>接受劳务情况表</w:t>
      </w:r>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539"/>
        <w:gridCol w:w="1454"/>
        <w:gridCol w:w="1450"/>
        <w:gridCol w:w="1709"/>
        <w:gridCol w:w="1709"/>
        <w:gridCol w:w="1714"/>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关联交易内容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60"/>
              <w:jc w:val="left"/>
            </w:pPr>
            <w:r>
              <w:rPr>
                <w:color w:val="000000"/>
                <w:spacing w:val="0"/>
                <w:w w:val="100"/>
                <w:position w:val="0"/>
              </w:rPr>
              <w:t>本期发生额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获批的交易额度</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是否超过交易额度</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上期发生额</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辽宁华康医疗科技有限公司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办公费、服务费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29,702.97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94,174.76</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北京荣科智维云科技有限公司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材料费、服务费等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2,748,672.50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上海麦健信息技术有限公司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材料费、服务费等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3,274,336.25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天津云之康科技有限公司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材料费、服务费等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11,529,165.53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17,581,877.25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94,174.76</w:t>
            </w:r>
          </w:p>
        </w:tc>
      </w:tr>
    </w:tbl>
    <w:p>
      <w:pPr>
        <w:pStyle w:val="Style49"/>
        <w:keepNext w:val="0"/>
        <w:keepLines w:val="0"/>
        <w:widowControl w:val="0"/>
        <w:shd w:val="clear" w:color="auto" w:fill="auto"/>
        <w:bidi w:val="0"/>
        <w:spacing w:before="0" w:after="0" w:line="240" w:lineRule="auto"/>
        <w:ind w:left="994" w:right="0" w:firstLine="0"/>
        <w:jc w:val="left"/>
      </w:pPr>
      <w:r>
        <w:rPr>
          <w:color w:val="000000"/>
          <w:spacing w:val="0"/>
          <w:w w:val="100"/>
          <w:position w:val="0"/>
        </w:rPr>
        <w:t>出售商品</w:t>
      </w:r>
      <w:r>
        <w:rPr>
          <w:rFonts w:ascii="Times New Roman" w:eastAsia="Times New Roman" w:hAnsi="Times New Roman" w:cs="Times New Roman"/>
          <w:color w:val="000000"/>
          <w:spacing w:val="0"/>
          <w:w w:val="100"/>
          <w:position w:val="0"/>
        </w:rPr>
        <w:t>/</w:t>
      </w:r>
      <w:r>
        <w:rPr>
          <w:color w:val="000000"/>
          <w:spacing w:val="0"/>
          <w:w w:val="100"/>
          <w:position w:val="0"/>
        </w:rPr>
        <w:t>提供劳务情况表</w:t>
      </w:r>
    </w:p>
    <w:p>
      <w:pPr>
        <w:widowControl w:val="0"/>
        <w:spacing w:after="99" w:line="1" w:lineRule="exact"/>
      </w:pPr>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right"/>
        <w:tblLayout w:type="fixed"/>
      </w:tblPr>
      <w:tblGrid>
        <w:gridCol w:w="2405"/>
        <w:gridCol w:w="2261"/>
        <w:gridCol w:w="2256"/>
        <w:gridCol w:w="2664"/>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关联交易内容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朝阳银行股份有限公司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智能融合云服务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1,575,204.56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10,116,218.64</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天津云之康科技有限公司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健康数据服务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125,795.57</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3,242,295.00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辽宁国科实业有限公司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智能融合云服务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66,371.68</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1,701,000.13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13,424,885.32</w:t>
            </w:r>
          </w:p>
        </w:tc>
      </w:tr>
    </w:tbl>
    <w:p>
      <w:pPr>
        <w:sectPr>
          <w:headerReference w:type="default" r:id="rId519"/>
          <w:footerReference w:type="default" r:id="rId520"/>
          <w:headerReference w:type="even" r:id="rId521"/>
          <w:footerReference w:type="even" r:id="rId522"/>
          <w:footnotePr>
            <w:pos w:val="pageBottom"/>
            <w:numFmt w:val="decimal"/>
            <w:numRestart w:val="continuous"/>
          </w:footnotePr>
          <w:pgSz w:w="11900" w:h="16840"/>
          <w:pgMar w:top="1161" w:right="1007" w:bottom="1433" w:left="151" w:header="0" w:footer="3" w:gutter="0"/>
          <w:cols w:space="720"/>
          <w:noEndnote/>
          <w:rtlGutter w:val="0"/>
          <w:docGrid w:linePitch="360"/>
        </w:sectPr>
      </w:pPr>
    </w:p>
    <w:p>
      <w:pPr>
        <w:pStyle w:val="Style2"/>
        <w:keepNext/>
        <w:keepLines/>
        <w:widowControl w:val="0"/>
        <w:shd w:val="clear" w:color="auto" w:fill="auto"/>
        <w:bidi w:val="0"/>
        <w:spacing w:before="0" w:after="0" w:line="240" w:lineRule="auto"/>
        <w:ind w:left="0" w:right="0" w:firstLine="980"/>
        <w:jc w:val="both"/>
      </w:pPr>
      <w:bookmarkStart w:id="2088" w:name="bookmark2088"/>
      <w:bookmarkStart w:id="2089" w:name="bookmark2089"/>
      <w:bookmarkStart w:id="2090" w:name="bookmark2090"/>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某超租技</w:t>
      </w:r>
      <w:bookmarkEnd w:id="2088"/>
      <w:bookmarkEnd w:id="2089"/>
      <w:bookmarkEnd w:id="2090"/>
    </w:p>
    <w:p>
      <w:pPr>
        <w:pStyle w:val="Style5"/>
        <w:keepNext w:val="0"/>
        <w:keepLines w:val="0"/>
        <w:widowControl w:val="0"/>
        <w:shd w:val="clear" w:color="auto" w:fill="auto"/>
        <w:bidi w:val="0"/>
        <w:spacing w:before="0" w:after="0" w:line="240" w:lineRule="auto"/>
        <w:ind w:left="0" w:right="0" w:firstLine="980"/>
        <w:jc w:val="both"/>
      </w:pPr>
      <w:r>
        <w:rPr>
          <w:color w:val="245994"/>
          <w:spacing w:val="0"/>
          <w:w w:val="100"/>
          <w:position w:val="0"/>
        </w:rPr>
        <w:t>七.—</w:t>
      </w:r>
      <w:r>
        <w:rPr>
          <w:spacing w:val="0"/>
          <w:w w:val="100"/>
          <w:position w:val="0"/>
        </w:rPr>
        <w:t>国家高新技术企业</w:t>
      </w:r>
    </w:p>
    <w:p>
      <w:pPr>
        <w:pStyle w:val="Style32"/>
        <w:keepNext w:val="0"/>
        <w:keepLines w:val="0"/>
        <w:widowControl w:val="0"/>
        <w:shd w:val="clear" w:color="auto" w:fill="auto"/>
        <w:bidi w:val="0"/>
        <w:spacing w:before="0" w:line="240" w:lineRule="auto"/>
        <w:ind w:left="1780" w:right="0" w:firstLine="0"/>
        <w:jc w:val="left"/>
      </w:pP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980" w:line="240" w:lineRule="auto"/>
        <w:ind w:left="1100" w:right="0" w:firstLine="0"/>
        <w:jc w:val="both"/>
      </w:pPr>
      <w:bookmarkStart w:id="2091" w:name="bookmark2091"/>
      <w:bookmarkStart w:id="2092" w:name="bookmark2092"/>
      <w:bookmarkStart w:id="2093" w:name="bookmark2093"/>
      <w:r>
        <w:rPr>
          <w:rFonts w:ascii="Times New Roman" w:eastAsia="Times New Roman" w:hAnsi="Times New Roman" w:cs="Times New Roman"/>
          <w:color w:val="000000"/>
          <w:spacing w:val="0"/>
          <w:w w:val="100"/>
          <w:position w:val="0"/>
        </w:rPr>
        <w:t>(2</w:t>
      </w:r>
      <w:r>
        <w:rPr>
          <w:color w:val="000000"/>
          <w:spacing w:val="0"/>
          <w:w w:val="100"/>
          <w:position w:val="0"/>
        </w:rPr>
        <w:t>)关联受托管理</w:t>
      </w:r>
      <w:r>
        <w:rPr>
          <w:rFonts w:ascii="Times New Roman" w:eastAsia="Times New Roman" w:hAnsi="Times New Roman" w:cs="Times New Roman"/>
          <w:color w:val="000000"/>
          <w:spacing w:val="0"/>
          <w:w w:val="100"/>
          <w:position w:val="0"/>
        </w:rPr>
        <w:t>/</w:t>
      </w:r>
      <w:r>
        <w:rPr>
          <w:color w:val="000000"/>
          <w:spacing w:val="0"/>
          <w:w w:val="100"/>
          <w:position w:val="0"/>
        </w:rPr>
        <w:t>承包及委托管理</w:t>
      </w:r>
      <w:r>
        <w:rPr>
          <w:rFonts w:ascii="Times New Roman" w:eastAsia="Times New Roman" w:hAnsi="Times New Roman" w:cs="Times New Roman"/>
          <w:color w:val="000000"/>
          <w:spacing w:val="0"/>
          <w:w w:val="100"/>
          <w:position w:val="0"/>
        </w:rPr>
        <w:t>/</w:t>
      </w:r>
      <w:r>
        <w:rPr>
          <w:color w:val="000000"/>
          <w:spacing w:val="0"/>
          <w:w w:val="100"/>
          <w:position w:val="0"/>
        </w:rPr>
        <w:t>出包情况</w:t>
      </w:r>
      <w:bookmarkEnd w:id="2091"/>
      <w:bookmarkEnd w:id="2092"/>
      <w:bookmarkEnd w:id="2093"/>
    </w:p>
    <w:p>
      <w:pPr>
        <w:pStyle w:val="Style55"/>
        <w:keepNext/>
        <w:keepLines/>
        <w:widowControl w:val="0"/>
        <w:numPr>
          <w:ilvl w:val="0"/>
          <w:numId w:val="183"/>
        </w:numPr>
        <w:shd w:val="clear" w:color="auto" w:fill="auto"/>
        <w:bidi w:val="0"/>
        <w:spacing w:before="0" w:after="980" w:line="240" w:lineRule="auto"/>
        <w:ind w:left="1100" w:right="0" w:firstLine="0"/>
        <w:jc w:val="both"/>
      </w:pPr>
      <w:bookmarkStart w:id="2094" w:name="bookmark2094"/>
      <w:bookmarkStart w:id="2095" w:name="bookmark2095"/>
      <w:bookmarkStart w:id="2096" w:name="bookmark2096"/>
      <w:bookmarkStart w:id="2097" w:name="bookmark2097"/>
      <w:bookmarkEnd w:id="2096"/>
      <w:r>
        <w:rPr>
          <w:color w:val="000000"/>
          <w:spacing w:val="0"/>
          <w:w w:val="100"/>
          <w:position w:val="0"/>
        </w:rPr>
        <w:t>关联租赁情况</w:t>
      </w:r>
      <w:bookmarkEnd w:id="2094"/>
      <w:bookmarkEnd w:id="2095"/>
      <w:bookmarkEnd w:id="2097"/>
    </w:p>
    <w:p>
      <w:pPr>
        <w:pStyle w:val="Style55"/>
        <w:keepNext/>
        <w:keepLines/>
        <w:widowControl w:val="0"/>
        <w:numPr>
          <w:ilvl w:val="0"/>
          <w:numId w:val="183"/>
        </w:numPr>
        <w:shd w:val="clear" w:color="auto" w:fill="auto"/>
        <w:bidi w:val="0"/>
        <w:spacing w:before="0" w:after="380" w:line="240" w:lineRule="auto"/>
        <w:ind w:left="1100" w:right="0" w:firstLine="0"/>
        <w:jc w:val="both"/>
      </w:pPr>
      <w:bookmarkStart w:id="2098" w:name="bookmark2098"/>
      <w:bookmarkStart w:id="2099" w:name="bookmark2099"/>
      <w:bookmarkStart w:id="2100" w:name="bookmark2100"/>
      <w:bookmarkStart w:id="2101" w:name="bookmark2101"/>
      <w:bookmarkEnd w:id="2100"/>
      <w:r>
        <w:rPr>
          <w:color w:val="000000"/>
          <w:spacing w:val="0"/>
          <w:w w:val="100"/>
          <w:position w:val="0"/>
        </w:rPr>
        <w:t>关联担保情况</w:t>
      </w:r>
      <w:bookmarkEnd w:id="2098"/>
      <w:bookmarkEnd w:id="2099"/>
      <w:bookmarkEnd w:id="2101"/>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本公司作为担保方</w:t>
      </w: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无</w:t>
      </w:r>
    </w:p>
    <w:p>
      <w:pPr>
        <w:pStyle w:val="Style32"/>
        <w:keepNext w:val="0"/>
        <w:keepLines w:val="0"/>
        <w:widowControl w:val="0"/>
        <w:shd w:val="clear" w:color="auto" w:fill="auto"/>
        <w:bidi w:val="0"/>
        <w:spacing w:before="0" w:after="140" w:line="240" w:lineRule="auto"/>
        <w:ind w:left="980" w:right="0" w:firstLine="20"/>
        <w:jc w:val="both"/>
      </w:pPr>
      <w:r>
        <w:rPr>
          <w:color w:val="000000"/>
          <w:spacing w:val="0"/>
          <w:w w:val="100"/>
          <w:position w:val="0"/>
        </w:rPr>
        <w:t>本公司作为被担保方</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264"/>
        <w:gridCol w:w="1560"/>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担保金额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担保起始日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担保到期日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担保是否已经履行完毕</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付艳杰、李秀峰、崔万涛、张桂娟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121,000,000.00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付艳杰、李秀峰、崔万涛、张桂娟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211,000,000.00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付艳杰、李秀峰、崔万涛、张桂娟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何任晖、唐冬梅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70,000,000.00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辽宁国科实业有限公司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70,000,000.00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何任晖、唐冬梅、辽宁国科实业有限公司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30,000,000.00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付艳杰、李秀峰、崔万涛、张桂娟、付永 全</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71,000,000.00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何任晖、唐冬梅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20,000,000.00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秦毅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15,000,000.00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何任晖、唐冬梅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10,000,000.00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何任晖、唐冬梅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10,000,000.00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何任晖、唐冬梅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20,000,000.00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何任晖、唐冬梅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2,000,000.00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何任晖、唐冬梅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3,000,000.00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何任晖、唐冬梅</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8,000,000.00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widowControl w:val="0"/>
        <w:spacing w:after="79" w:line="1" w:lineRule="exact"/>
      </w:pPr>
    </w:p>
    <w:p>
      <w:pPr>
        <w:pStyle w:val="Style32"/>
        <w:keepNext w:val="0"/>
        <w:keepLines w:val="0"/>
        <w:widowControl w:val="0"/>
        <w:shd w:val="clear" w:color="auto" w:fill="auto"/>
        <w:bidi w:val="0"/>
        <w:spacing w:before="0" w:after="140" w:line="240" w:lineRule="auto"/>
        <w:ind w:left="980" w:right="0" w:firstLine="20"/>
        <w:jc w:val="both"/>
      </w:pPr>
      <w:r>
        <w:rPr>
          <w:color w:val="000000"/>
          <w:spacing w:val="0"/>
          <w:w w:val="100"/>
          <w:position w:val="0"/>
        </w:rPr>
        <w:t>关联担保情况说明</w:t>
      </w:r>
    </w:p>
    <w:p>
      <w:pPr>
        <w:pStyle w:val="Style32"/>
        <w:keepNext w:val="0"/>
        <w:keepLines w:val="0"/>
        <w:widowControl w:val="0"/>
        <w:shd w:val="clear" w:color="auto" w:fill="auto"/>
        <w:bidi w:val="0"/>
        <w:spacing w:before="0" w:line="240" w:lineRule="auto"/>
        <w:ind w:left="980" w:right="0" w:firstLine="20"/>
        <w:jc w:val="both"/>
      </w:pPr>
      <w:r>
        <w:rPr>
          <w:color w:val="000000"/>
          <w:spacing w:val="0"/>
          <w:w w:val="100"/>
          <w:position w:val="0"/>
        </w:rPr>
        <w:t>注：保证合同的保证期间为每笔主债务履行期限届满之次日起</w:t>
      </w:r>
      <w:r>
        <w:rPr>
          <w:rFonts w:ascii="Times New Roman" w:eastAsia="Times New Roman" w:hAnsi="Times New Roman" w:cs="Times New Roman"/>
          <w:color w:val="000000"/>
          <w:spacing w:val="0"/>
          <w:w w:val="100"/>
          <w:position w:val="0"/>
        </w:rPr>
        <w:t>2-3</w:t>
      </w:r>
      <w:r>
        <w:rPr>
          <w:color w:val="000000"/>
          <w:spacing w:val="0"/>
          <w:w w:val="100"/>
          <w:position w:val="0"/>
        </w:rPr>
        <w:t>年。</w:t>
      </w:r>
    </w:p>
    <w:p>
      <w:pPr>
        <w:pStyle w:val="Style32"/>
        <w:keepNext w:val="0"/>
        <w:keepLines w:val="0"/>
        <w:widowControl w:val="0"/>
        <w:shd w:val="clear" w:color="auto" w:fill="auto"/>
        <w:bidi w:val="0"/>
        <w:spacing w:before="0" w:line="305" w:lineRule="exact"/>
        <w:ind w:left="980" w:right="0" w:firstLine="20"/>
        <w:jc w:val="both"/>
      </w:pPr>
      <w:r>
        <w:rPr>
          <w:color w:val="000000"/>
          <w:spacing w:val="0"/>
          <w:w w:val="100"/>
          <w:position w:val="0"/>
        </w:rPr>
        <w:t>付艳杰及其配偶李秀峰与崔万涛及其配偶张桂娟分别与兴业银行股份有限公司沈阳分行(以下简称兴业银行沈阳分行)签订 《最高额保证合同》，为公司与兴业银行沈阳分行在自</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日至</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日止的期间提供最高本金限额为 人民币</w:t>
      </w:r>
      <w:r>
        <w:rPr>
          <w:rFonts w:ascii="Times New Roman" w:eastAsia="Times New Roman" w:hAnsi="Times New Roman" w:cs="Times New Roman"/>
          <w:color w:val="000000"/>
          <w:spacing w:val="0"/>
          <w:w w:val="100"/>
          <w:position w:val="0"/>
        </w:rPr>
        <w:t>12,100.00</w:t>
      </w:r>
      <w:r>
        <w:rPr>
          <w:color w:val="000000"/>
          <w:spacing w:val="0"/>
          <w:w w:val="100"/>
          <w:position w:val="0"/>
        </w:rPr>
        <w:t>万元连带责任保证。</w:t>
      </w:r>
    </w:p>
    <w:p>
      <w:pPr>
        <w:pStyle w:val="Style32"/>
        <w:keepNext w:val="0"/>
        <w:keepLines w:val="0"/>
        <w:widowControl w:val="0"/>
        <w:shd w:val="clear" w:color="auto" w:fill="auto"/>
        <w:bidi w:val="0"/>
        <w:spacing w:before="0" w:line="302" w:lineRule="exact"/>
        <w:ind w:left="980" w:right="0" w:firstLine="20"/>
        <w:jc w:val="both"/>
      </w:pPr>
      <w:r>
        <w:rPr>
          <w:color w:val="000000"/>
          <w:spacing w:val="0"/>
          <w:w w:val="100"/>
          <w:position w:val="0"/>
        </w:rPr>
        <w:t>付艳杰及其配偶李秀峰与崔万涛及其配偶张桂娟分别与兴业银行沈阳分行签订《最高额保证合同》，为公司与兴业银行沈阳 分行在自</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日至</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日止的期间提供最高本金限额为人民币</w:t>
      </w:r>
      <w:r>
        <w:rPr>
          <w:rFonts w:ascii="Times New Roman" w:eastAsia="Times New Roman" w:hAnsi="Times New Roman" w:cs="Times New Roman"/>
          <w:color w:val="000000"/>
          <w:spacing w:val="0"/>
          <w:w w:val="100"/>
          <w:position w:val="0"/>
        </w:rPr>
        <w:t>21,100.00</w:t>
      </w:r>
      <w:r>
        <w:rPr>
          <w:color w:val="000000"/>
          <w:spacing w:val="0"/>
          <w:w w:val="100"/>
          <w:position w:val="0"/>
        </w:rPr>
        <w:t>万元连带责任保证。</w:t>
      </w:r>
    </w:p>
    <w:p>
      <w:pPr>
        <w:pStyle w:val="Style32"/>
        <w:keepNext w:val="0"/>
        <w:keepLines w:val="0"/>
        <w:widowControl w:val="0"/>
        <w:shd w:val="clear" w:color="auto" w:fill="auto"/>
        <w:bidi w:val="0"/>
        <w:spacing w:before="0" w:after="140" w:line="305" w:lineRule="exact"/>
        <w:ind w:left="980" w:right="0" w:firstLine="20"/>
        <w:jc w:val="both"/>
        <w:sectPr>
          <w:headerReference w:type="default" r:id="rId523"/>
          <w:footerReference w:type="default" r:id="rId524"/>
          <w:headerReference w:type="even" r:id="rId525"/>
          <w:footerReference w:type="even" r:id="rId526"/>
          <w:footnotePr>
            <w:pos w:val="pageBottom"/>
            <w:numFmt w:val="decimal"/>
            <w:numRestart w:val="continuous"/>
          </w:footnotePr>
          <w:pgSz w:w="11900" w:h="16840"/>
          <w:pgMar w:top="678" w:right="1105" w:bottom="1163" w:left="133" w:header="0" w:footer="3" w:gutter="0"/>
          <w:cols w:space="720"/>
          <w:noEndnote/>
          <w:rtlGutter w:val="0"/>
          <w:docGrid w:linePitch="360"/>
        </w:sectPr>
      </w:pPr>
      <w:r>
        <w:rPr>
          <w:color w:val="000000"/>
          <w:spacing w:val="0"/>
          <w:w w:val="100"/>
          <w:position w:val="0"/>
        </w:rPr>
        <w:t>付艳杰及其配偶李秀峰与崔万涛及其配偶张桂娟分别与兴业银行沈阳分行签订《最高额保证合同》，为公司与兴业银行沈阳</w:t>
      </w:r>
    </w:p>
    <w:p>
      <w:pPr>
        <w:widowControl w:val="0"/>
        <w:spacing w:line="1" w:lineRule="exact"/>
      </w:pPr>
      <w:r>
        <mc:AlternateContent>
          <mc:Choice Requires="wps">
            <w:drawing>
              <wp:anchor distT="0" distB="0" distL="114300" distR="114300" simplePos="0" relativeHeight="125829681" behindDoc="0" locked="0" layoutInCell="1" allowOverlap="1">
                <wp:simplePos x="0" y="0"/>
                <wp:positionH relativeFrom="page">
                  <wp:posOffset>803910</wp:posOffset>
                </wp:positionH>
                <wp:positionV relativeFrom="paragraph">
                  <wp:posOffset>12700</wp:posOffset>
                </wp:positionV>
                <wp:extent cx="1243330" cy="298450"/>
                <wp:wrapTopAndBottom/>
                <wp:docPr id="1233" name="Shape 1233"/>
                <a:graphic xmlns:a="http://schemas.openxmlformats.org/drawingml/2006/main">
                  <a:graphicData uri="http://schemas.microsoft.com/office/word/2010/wordprocessingShape">
                    <wps:wsp>
                      <wps:cNvSpPr txBox="1"/>
                      <wps:spPr>
                        <a:xfrm>
                          <a:ext cx="1243330" cy="29845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259" type="#_x0000_t202" style="position:absolute;margin-left:63.300000000000004pt;margin-top:1.pt;width:97.900000000000006pt;height:23.5pt;z-index:-125829072;mso-wrap-distance-left:9.pt;mso-wrap-distance-right:9.pt;mso-position-horizontal-relative:page"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15"/>
                          <w:szCs w:val="15"/>
                        </w:rPr>
                        <w:t>匕广</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v:shape>
            </w:pict>
          </mc:Fallback>
        </mc:AlternateContent>
      </w:r>
    </w:p>
    <w:p>
      <w:pPr>
        <w:pStyle w:val="Style32"/>
        <w:keepNext w:val="0"/>
        <w:keepLines w:val="0"/>
        <w:widowControl w:val="0"/>
        <w:shd w:val="clear" w:color="auto" w:fill="auto"/>
        <w:bidi w:val="0"/>
        <w:spacing w:before="0" w:line="240" w:lineRule="auto"/>
        <w:ind w:left="0" w:right="0" w:firstLine="900"/>
        <w:jc w:val="left"/>
      </w:pPr>
      <w:r>
        <w:rPr>
          <w:color w:val="000000"/>
          <w:spacing w:val="0"/>
          <w:w w:val="100"/>
          <w:position w:val="0"/>
        </w:rPr>
        <w:t>分行在自</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日至</w:t>
      </w: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日止的期间提供最高本金限额为人民币</w:t>
      </w:r>
      <w:r>
        <w:rPr>
          <w:rFonts w:ascii="Times New Roman" w:eastAsia="Times New Roman" w:hAnsi="Times New Roman" w:cs="Times New Roman"/>
          <w:color w:val="000000"/>
          <w:spacing w:val="0"/>
          <w:w w:val="100"/>
          <w:position w:val="0"/>
        </w:rPr>
        <w:t>5,000.00</w:t>
      </w:r>
      <w:r>
        <w:rPr>
          <w:color w:val="000000"/>
          <w:spacing w:val="0"/>
          <w:w w:val="100"/>
          <w:position w:val="0"/>
        </w:rPr>
        <w:t>万元连带责任保证。</w:t>
      </w:r>
    </w:p>
    <w:p>
      <w:pPr>
        <w:pStyle w:val="Style32"/>
        <w:keepNext w:val="0"/>
        <w:keepLines w:val="0"/>
        <w:widowControl w:val="0"/>
        <w:shd w:val="clear" w:color="auto" w:fill="auto"/>
        <w:bidi w:val="0"/>
        <w:spacing w:before="0" w:line="302" w:lineRule="exact"/>
        <w:ind w:left="900" w:right="0" w:firstLine="20"/>
        <w:jc w:val="both"/>
      </w:pPr>
      <w:r>
        <w:rPr>
          <w:color w:val="000000"/>
          <w:spacing w:val="0"/>
          <w:w w:val="100"/>
          <w:position w:val="0"/>
        </w:rPr>
        <w:t>何任晖及其配偶唐冬梅与兴业银行沈阳分行签订《最高额保证合同》，为公司与兴业银行沈阳分行在自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 xml:space="preserve">日至 </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日止的期间提供最高本金限额为人民币</w:t>
      </w:r>
      <w:r>
        <w:rPr>
          <w:rFonts w:ascii="Times New Roman" w:eastAsia="Times New Roman" w:hAnsi="Times New Roman" w:cs="Times New Roman"/>
          <w:color w:val="000000"/>
          <w:spacing w:val="0"/>
          <w:w w:val="100"/>
          <w:position w:val="0"/>
        </w:rPr>
        <w:t>7,000.00</w:t>
      </w:r>
      <w:r>
        <w:rPr>
          <w:color w:val="000000"/>
          <w:spacing w:val="0"/>
          <w:w w:val="100"/>
          <w:position w:val="0"/>
        </w:rPr>
        <w:t>万元连带责任保证。</w:t>
      </w:r>
    </w:p>
    <w:p>
      <w:pPr>
        <w:pStyle w:val="Style32"/>
        <w:keepNext w:val="0"/>
        <w:keepLines w:val="0"/>
        <w:widowControl w:val="0"/>
        <w:shd w:val="clear" w:color="auto" w:fill="auto"/>
        <w:bidi w:val="0"/>
        <w:spacing w:before="0" w:line="307" w:lineRule="exact"/>
        <w:ind w:left="900" w:right="0" w:firstLine="20"/>
        <w:jc w:val="both"/>
      </w:pPr>
      <w:r>
        <w:rPr>
          <w:color w:val="000000"/>
          <w:spacing w:val="0"/>
          <w:w w:val="100"/>
          <w:position w:val="0"/>
        </w:rPr>
        <w:t>辽宁国科实业有限公司与兴业银行沈阳分行签订《最高额保证合同》，为公司与兴业银行沈阳分行在自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 xml:space="preserve">日至 </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日止的期间提供最高本金限额为人民币</w:t>
      </w:r>
      <w:r>
        <w:rPr>
          <w:rFonts w:ascii="Times New Roman" w:eastAsia="Times New Roman" w:hAnsi="Times New Roman" w:cs="Times New Roman"/>
          <w:color w:val="000000"/>
          <w:spacing w:val="0"/>
          <w:w w:val="100"/>
          <w:position w:val="0"/>
        </w:rPr>
        <w:t>7,000.00</w:t>
      </w:r>
      <w:r>
        <w:rPr>
          <w:color w:val="000000"/>
          <w:spacing w:val="0"/>
          <w:w w:val="100"/>
          <w:position w:val="0"/>
        </w:rPr>
        <w:t>万元连带责任保证。</w:t>
      </w:r>
    </w:p>
    <w:p>
      <w:pPr>
        <w:pStyle w:val="Style32"/>
        <w:keepNext w:val="0"/>
        <w:keepLines w:val="0"/>
        <w:widowControl w:val="0"/>
        <w:shd w:val="clear" w:color="auto" w:fill="auto"/>
        <w:bidi w:val="0"/>
        <w:spacing w:before="0" w:line="307" w:lineRule="exact"/>
        <w:ind w:left="900" w:right="0" w:firstLine="20"/>
        <w:jc w:val="both"/>
      </w:pPr>
      <w:r>
        <w:rPr>
          <w:color w:val="000000"/>
          <w:spacing w:val="0"/>
          <w:w w:val="100"/>
          <w:position w:val="0"/>
        </w:rPr>
        <w:t>何任晖及其配偶唐冬梅与辽宁国科实业有限公司分别与中国建设银行股份有限公司沈阳分行铁西支行（以下简称建行沈阳铁 西支行）签订《本金最高额保证合同》，为公司与建行沈阳铁西支行在自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日至</w:t>
      </w: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日止的期间提 供最高本金限额为人民币</w:t>
      </w:r>
      <w:r>
        <w:rPr>
          <w:rFonts w:ascii="Times New Roman" w:eastAsia="Times New Roman" w:hAnsi="Times New Roman" w:cs="Times New Roman"/>
          <w:color w:val="000000"/>
          <w:spacing w:val="0"/>
          <w:w w:val="100"/>
          <w:position w:val="0"/>
        </w:rPr>
        <w:t>3,000.00</w:t>
      </w:r>
      <w:r>
        <w:rPr>
          <w:color w:val="000000"/>
          <w:spacing w:val="0"/>
          <w:w w:val="100"/>
          <w:position w:val="0"/>
        </w:rPr>
        <w:t>万元连带责任保证。</w:t>
      </w:r>
    </w:p>
    <w:p>
      <w:pPr>
        <w:pStyle w:val="Style32"/>
        <w:keepNext w:val="0"/>
        <w:keepLines w:val="0"/>
        <w:widowControl w:val="0"/>
        <w:shd w:val="clear" w:color="auto" w:fill="auto"/>
        <w:bidi w:val="0"/>
        <w:spacing w:before="0" w:line="307" w:lineRule="exact"/>
        <w:ind w:left="900" w:right="0" w:firstLine="20"/>
        <w:jc w:val="both"/>
      </w:pPr>
      <w:r>
        <w:rPr>
          <w:color w:val="000000"/>
          <w:spacing w:val="0"/>
          <w:w w:val="100"/>
          <w:position w:val="0"/>
        </w:rPr>
        <w:t>付艳杰、李秀峰、崔万涛、张桂娟及付永全分别与上海浦东发展银行股份有限公司沈阳分行（以下简称浦发银行沈阳分行） 签订《最高额保证合同》，为公司与浦发银行沈阳分行在自</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日止的期间发生的各类融资业 务提供最高额不超过人民币</w:t>
      </w:r>
      <w:r>
        <w:rPr>
          <w:rFonts w:ascii="Times New Roman" w:eastAsia="Times New Roman" w:hAnsi="Times New Roman" w:cs="Times New Roman"/>
          <w:color w:val="000000"/>
          <w:spacing w:val="0"/>
          <w:w w:val="100"/>
          <w:position w:val="0"/>
        </w:rPr>
        <w:t>7,100.00</w:t>
      </w:r>
      <w:r>
        <w:rPr>
          <w:color w:val="000000"/>
          <w:spacing w:val="0"/>
          <w:w w:val="100"/>
          <w:position w:val="0"/>
        </w:rPr>
        <w:t>万元连带责任保证。</w:t>
      </w:r>
    </w:p>
    <w:p>
      <w:pPr>
        <w:pStyle w:val="Style32"/>
        <w:keepNext w:val="0"/>
        <w:keepLines w:val="0"/>
        <w:widowControl w:val="0"/>
        <w:shd w:val="clear" w:color="auto" w:fill="auto"/>
        <w:bidi w:val="0"/>
        <w:spacing w:before="0" w:line="305" w:lineRule="exact"/>
        <w:ind w:left="900" w:right="0" w:firstLine="20"/>
        <w:jc w:val="both"/>
      </w:pPr>
      <w:r>
        <w:rPr>
          <w:color w:val="000000"/>
          <w:spacing w:val="0"/>
          <w:w w:val="100"/>
          <w:position w:val="0"/>
        </w:rPr>
        <w:t>何任晖及其配偶唐冬梅与华夏银行股份有限公司沈阳分行南塔支行（以下简称华夏银行沈阳南塔支行）签订《个人最高额保 证合同》，为公司与华夏银行沈阳南塔支行在自</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日至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 xml:space="preserve">日止的期间提供最高债权额为人民币 </w:t>
      </w:r>
      <w:r>
        <w:rPr>
          <w:rFonts w:ascii="Times New Roman" w:eastAsia="Times New Roman" w:hAnsi="Times New Roman" w:cs="Times New Roman"/>
          <w:color w:val="000000"/>
          <w:spacing w:val="0"/>
          <w:w w:val="100"/>
          <w:position w:val="0"/>
        </w:rPr>
        <w:t>2,000.00</w:t>
      </w:r>
      <w:r>
        <w:rPr>
          <w:color w:val="000000"/>
          <w:spacing w:val="0"/>
          <w:w w:val="100"/>
          <w:position w:val="0"/>
        </w:rPr>
        <w:t>万元连带责任保证。</w:t>
      </w:r>
    </w:p>
    <w:p>
      <w:pPr>
        <w:pStyle w:val="Style32"/>
        <w:keepNext w:val="0"/>
        <w:keepLines w:val="0"/>
        <w:widowControl w:val="0"/>
        <w:shd w:val="clear" w:color="auto" w:fill="auto"/>
        <w:bidi w:val="0"/>
        <w:spacing w:before="0" w:line="307" w:lineRule="exact"/>
        <w:ind w:left="900" w:right="0" w:firstLine="20"/>
        <w:jc w:val="both"/>
      </w:pPr>
      <w:r>
        <w:rPr>
          <w:color w:val="000000"/>
          <w:spacing w:val="0"/>
          <w:w w:val="100"/>
          <w:position w:val="0"/>
        </w:rPr>
        <w:t>公司之子公司北京神州视翰科技有限公司与北京中关村科技融资担保有限公司（以下简称科技融资担保公司）签订《最高额 委托保证合同》，由科技融资担保公司为公司之子公司与北京银行股份有限公司阜裕支行签订的自</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日至</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8</w:t>
      </w:r>
      <w:r>
        <w:rPr>
          <w:color w:val="000000"/>
          <w:spacing w:val="0"/>
          <w:w w:val="100"/>
          <w:position w:val="0"/>
        </w:rPr>
        <w:t>日期间的</w:t>
      </w:r>
      <w:r>
        <w:rPr>
          <w:rFonts w:ascii="Times New Roman" w:eastAsia="Times New Roman" w:hAnsi="Times New Roman" w:cs="Times New Roman"/>
          <w:color w:val="000000"/>
          <w:spacing w:val="0"/>
          <w:w w:val="100"/>
          <w:position w:val="0"/>
        </w:rPr>
        <w:t>1,500.00</w:t>
      </w:r>
      <w:r>
        <w:rPr>
          <w:color w:val="000000"/>
          <w:spacing w:val="0"/>
          <w:w w:val="100"/>
          <w:position w:val="0"/>
        </w:rPr>
        <w:t>万元综合授信提供担保，并由秦毅与科技融资担保公司签订《最高额反担保（保证）合同》及</w:t>
      </w:r>
    </w:p>
    <w:p>
      <w:pPr>
        <w:pStyle w:val="Style32"/>
        <w:keepNext w:val="0"/>
        <w:keepLines w:val="0"/>
        <w:widowControl w:val="0"/>
        <w:shd w:val="clear" w:color="auto" w:fill="auto"/>
        <w:bidi w:val="0"/>
        <w:spacing w:before="0" w:line="307" w:lineRule="exact"/>
        <w:ind w:left="900" w:right="0" w:firstLine="20"/>
        <w:jc w:val="left"/>
      </w:pPr>
      <w:r>
        <w:rPr>
          <w:color w:val="000000"/>
          <w:spacing w:val="0"/>
          <w:w w:val="100"/>
          <w:position w:val="0"/>
        </w:rPr>
        <w:t>《最高额反担保（不动产抵押）合同》，为科技融资担保公司担保的</w:t>
      </w:r>
      <w:r>
        <w:rPr>
          <w:rFonts w:ascii="Times New Roman" w:eastAsia="Times New Roman" w:hAnsi="Times New Roman" w:cs="Times New Roman"/>
          <w:color w:val="000000"/>
          <w:spacing w:val="0"/>
          <w:w w:val="100"/>
          <w:position w:val="0"/>
        </w:rPr>
        <w:t>1,500.00</w:t>
      </w:r>
      <w:r>
        <w:rPr>
          <w:color w:val="000000"/>
          <w:spacing w:val="0"/>
          <w:w w:val="100"/>
          <w:position w:val="0"/>
        </w:rPr>
        <w:t>万元提供反担保。</w:t>
      </w:r>
    </w:p>
    <w:p>
      <w:pPr>
        <w:pStyle w:val="Style32"/>
        <w:keepNext w:val="0"/>
        <w:keepLines w:val="0"/>
        <w:widowControl w:val="0"/>
        <w:shd w:val="clear" w:color="auto" w:fill="auto"/>
        <w:bidi w:val="0"/>
        <w:spacing w:before="0" w:line="310" w:lineRule="exact"/>
        <w:ind w:left="900" w:right="0" w:firstLine="20"/>
        <w:jc w:val="left"/>
      </w:pPr>
      <w:r>
        <w:rPr>
          <w:color w:val="000000"/>
          <w:spacing w:val="0"/>
          <w:w w:val="100"/>
          <w:position w:val="0"/>
        </w:rPr>
        <w:t>何任晖及其配偶唐冬梅与中国邮政储蓄银行股份有限公司上海普陀区支行（以下简称邮储银行上海普陀支行）签订《小企业 保证合同》，为公司之子公司上海米健信息技术有限公司与邮储银行上海普陀支行自</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 xml:space="preserve">13 </w:t>
      </w:r>
      <w:r>
        <w:rPr>
          <w:color w:val="000000"/>
          <w:spacing w:val="0"/>
          <w:w w:val="100"/>
          <w:position w:val="0"/>
        </w:rPr>
        <w:t>日期间的借款提供</w:t>
      </w:r>
      <w:r>
        <w:rPr>
          <w:rFonts w:ascii="Times New Roman" w:eastAsia="Times New Roman" w:hAnsi="Times New Roman" w:cs="Times New Roman"/>
          <w:color w:val="000000"/>
          <w:spacing w:val="0"/>
          <w:w w:val="100"/>
          <w:position w:val="0"/>
        </w:rPr>
        <w:t>1,000.00</w:t>
      </w:r>
      <w:r>
        <w:rPr>
          <w:color w:val="000000"/>
          <w:spacing w:val="0"/>
          <w:w w:val="100"/>
          <w:position w:val="0"/>
        </w:rPr>
        <w:t>万元连带责任保证。</w:t>
      </w:r>
    </w:p>
    <w:p>
      <w:pPr>
        <w:pStyle w:val="Style32"/>
        <w:keepNext w:val="0"/>
        <w:keepLines w:val="0"/>
        <w:widowControl w:val="0"/>
        <w:shd w:val="clear" w:color="auto" w:fill="auto"/>
        <w:bidi w:val="0"/>
        <w:spacing w:before="0" w:line="310" w:lineRule="exact"/>
        <w:ind w:left="900" w:right="0" w:firstLine="20"/>
        <w:jc w:val="left"/>
      </w:pPr>
      <w:r>
        <w:rPr>
          <w:color w:val="000000"/>
          <w:spacing w:val="0"/>
          <w:w w:val="100"/>
          <w:position w:val="0"/>
        </w:rPr>
        <w:t>何任晖及其配偶唐冬梅与上海银行股份有限公司徐家汇支行（以下简称上行徐家汇支行）签订《借款保证合同》，为公司之 子公司上海米健信息技术有限公司与上行徐家汇支行自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日期间的借款提供</w:t>
      </w:r>
      <w:r>
        <w:rPr>
          <w:rFonts w:ascii="Times New Roman" w:eastAsia="Times New Roman" w:hAnsi="Times New Roman" w:cs="Times New Roman"/>
          <w:color w:val="000000"/>
          <w:spacing w:val="0"/>
          <w:w w:val="100"/>
          <w:position w:val="0"/>
        </w:rPr>
        <w:t xml:space="preserve">1,000.00 </w:t>
      </w:r>
      <w:r>
        <w:rPr>
          <w:color w:val="000000"/>
          <w:spacing w:val="0"/>
          <w:w w:val="100"/>
          <w:position w:val="0"/>
        </w:rPr>
        <w:t>万元连带责任保证。</w:t>
      </w:r>
    </w:p>
    <w:p>
      <w:pPr>
        <w:pStyle w:val="Style32"/>
        <w:keepNext w:val="0"/>
        <w:keepLines w:val="0"/>
        <w:widowControl w:val="0"/>
        <w:shd w:val="clear" w:color="auto" w:fill="auto"/>
        <w:bidi w:val="0"/>
        <w:spacing w:before="0" w:line="310" w:lineRule="exact"/>
        <w:ind w:left="900" w:right="0" w:firstLine="20"/>
        <w:jc w:val="left"/>
      </w:pPr>
      <w:r>
        <w:rPr>
          <w:color w:val="000000"/>
          <w:spacing w:val="0"/>
          <w:w w:val="100"/>
          <w:position w:val="0"/>
        </w:rPr>
        <w:t>何任晖及其配偶唐冬梅与招商银行股份有限公司上海分行（以下简称招行上海分行）签订《最高额不可撤销担保书》为公司 之子公司上海米健信息技术有限公司与招行上海分行自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日期间的</w:t>
      </w:r>
      <w:r>
        <w:rPr>
          <w:rFonts w:ascii="Times New Roman" w:eastAsia="Times New Roman" w:hAnsi="Times New Roman" w:cs="Times New Roman"/>
          <w:color w:val="000000"/>
          <w:spacing w:val="0"/>
          <w:w w:val="100"/>
          <w:position w:val="0"/>
        </w:rPr>
        <w:t>2,000.00</w:t>
      </w:r>
      <w:r>
        <w:rPr>
          <w:color w:val="000000"/>
          <w:spacing w:val="0"/>
          <w:w w:val="100"/>
          <w:position w:val="0"/>
        </w:rPr>
        <w:t>万元授信额度提 供连带责任保证。</w:t>
      </w:r>
    </w:p>
    <w:p>
      <w:pPr>
        <w:pStyle w:val="Style32"/>
        <w:keepNext w:val="0"/>
        <w:keepLines w:val="0"/>
        <w:widowControl w:val="0"/>
        <w:shd w:val="clear" w:color="auto" w:fill="auto"/>
        <w:bidi w:val="0"/>
        <w:spacing w:before="0" w:line="312" w:lineRule="exact"/>
        <w:ind w:left="900" w:right="0" w:firstLine="20"/>
        <w:jc w:val="left"/>
      </w:pPr>
      <w:r>
        <w:rPr>
          <w:color w:val="000000"/>
          <w:spacing w:val="0"/>
          <w:w w:val="100"/>
          <w:position w:val="0"/>
        </w:rPr>
        <w:t>何任晖及其配偶唐冬梅与交通银行股份有限公司上海杨浦支行（以下简称交行杨浦支行）签订《保证合同》为公司之子公司 上海米健信息技术有限公司与交行杨浦支行自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日期间的借款提供</w:t>
      </w:r>
      <w:r>
        <w:rPr>
          <w:rFonts w:ascii="Times New Roman" w:eastAsia="Times New Roman" w:hAnsi="Times New Roman" w:cs="Times New Roman"/>
          <w:color w:val="000000"/>
          <w:spacing w:val="0"/>
          <w:w w:val="100"/>
          <w:position w:val="0"/>
        </w:rPr>
        <w:t>200.00</w:t>
      </w:r>
      <w:r>
        <w:rPr>
          <w:color w:val="000000"/>
          <w:spacing w:val="0"/>
          <w:w w:val="100"/>
          <w:position w:val="0"/>
        </w:rPr>
        <w:t>万元提供连带 责任保证。</w:t>
      </w:r>
    </w:p>
    <w:p>
      <w:pPr>
        <w:pStyle w:val="Style32"/>
        <w:keepNext w:val="0"/>
        <w:keepLines w:val="0"/>
        <w:widowControl w:val="0"/>
        <w:shd w:val="clear" w:color="auto" w:fill="auto"/>
        <w:bidi w:val="0"/>
        <w:spacing w:before="0" w:line="302" w:lineRule="exact"/>
        <w:ind w:left="900" w:right="0" w:firstLine="20"/>
        <w:jc w:val="left"/>
      </w:pPr>
      <w:r>
        <w:rPr>
          <w:color w:val="000000"/>
          <w:spacing w:val="0"/>
          <w:w w:val="100"/>
          <w:position w:val="0"/>
        </w:rPr>
        <w:t>何任晖及其配偶唐冬梅与交行杨浦支行签订《保证合同》为公司之子公司上海米健信息技术有限公司与交行杨浦支行自</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日至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日期间的借款提供</w:t>
      </w:r>
      <w:r>
        <w:rPr>
          <w:rFonts w:ascii="Times New Roman" w:eastAsia="Times New Roman" w:hAnsi="Times New Roman" w:cs="Times New Roman"/>
          <w:color w:val="000000"/>
          <w:spacing w:val="0"/>
          <w:w w:val="100"/>
          <w:position w:val="0"/>
        </w:rPr>
        <w:t>300.00</w:t>
      </w:r>
      <w:r>
        <w:rPr>
          <w:color w:val="000000"/>
          <w:spacing w:val="0"/>
          <w:w w:val="100"/>
          <w:position w:val="0"/>
        </w:rPr>
        <w:t>万元连带责任保证。</w:t>
      </w:r>
    </w:p>
    <w:p>
      <w:pPr>
        <w:pStyle w:val="Style32"/>
        <w:keepNext w:val="0"/>
        <w:keepLines w:val="0"/>
        <w:widowControl w:val="0"/>
        <w:shd w:val="clear" w:color="auto" w:fill="auto"/>
        <w:bidi w:val="0"/>
        <w:spacing w:before="0" w:after="380" w:line="312" w:lineRule="exact"/>
        <w:ind w:left="900" w:right="0" w:firstLine="20"/>
        <w:jc w:val="left"/>
      </w:pPr>
      <w:r>
        <w:rPr>
          <w:color w:val="000000"/>
          <w:spacing w:val="0"/>
          <w:w w:val="100"/>
          <w:position w:val="0"/>
        </w:rPr>
        <w:t>何任晖及其配偶唐冬梅与中国银行股份有限公司上海闸北支行（以下简称中行闸北支行）签订《最高额保证合同》，为公司 之子公司上海米健信息技术有限公司与中行闸北支行自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日期间的</w:t>
      </w:r>
      <w:r>
        <w:rPr>
          <w:rFonts w:ascii="Times New Roman" w:eastAsia="Times New Roman" w:hAnsi="Times New Roman" w:cs="Times New Roman"/>
          <w:color w:val="000000"/>
          <w:spacing w:val="0"/>
          <w:w w:val="100"/>
          <w:position w:val="0"/>
        </w:rPr>
        <w:t>800.00</w:t>
      </w:r>
      <w:r>
        <w:rPr>
          <w:color w:val="000000"/>
          <w:spacing w:val="0"/>
          <w:w w:val="100"/>
          <w:position w:val="0"/>
        </w:rPr>
        <w:t>万元授信额度提 供连带责任担保。</w:t>
      </w:r>
    </w:p>
    <w:p>
      <w:pPr>
        <w:pStyle w:val="Style55"/>
        <w:keepNext/>
        <w:keepLines/>
        <w:widowControl w:val="0"/>
        <w:shd w:val="clear" w:color="auto" w:fill="auto"/>
        <w:bidi w:val="0"/>
        <w:spacing w:before="0" w:after="380" w:line="240" w:lineRule="auto"/>
        <w:ind w:left="1040" w:right="0" w:firstLine="0"/>
        <w:jc w:val="left"/>
      </w:pPr>
      <w:bookmarkStart w:id="2102" w:name="bookmark2102"/>
      <w:bookmarkStart w:id="2103" w:name="bookmark2103"/>
      <w:bookmarkStart w:id="2104" w:name="bookmark2104"/>
      <w:bookmarkStart w:id="2105" w:name="bookmark2105"/>
      <w:r>
        <w:rPr>
          <w:color w:val="000000"/>
          <w:spacing w:val="0"/>
          <w:w w:val="100"/>
          <w:position w:val="0"/>
        </w:rPr>
        <w:t>（</w:t>
      </w:r>
      <w:bookmarkEnd w:id="2104"/>
      <w:r>
        <w:rPr>
          <w:rFonts w:ascii="Times New Roman" w:eastAsia="Times New Roman" w:hAnsi="Times New Roman" w:cs="Times New Roman"/>
          <w:color w:val="000000"/>
          <w:spacing w:val="0"/>
          <w:w w:val="100"/>
          <w:position w:val="0"/>
        </w:rPr>
        <w:t>5</w:t>
      </w:r>
      <w:r>
        <w:rPr>
          <w:color w:val="000000"/>
          <w:spacing w:val="0"/>
          <w:w w:val="100"/>
          <w:position w:val="0"/>
        </w:rPr>
        <w:t>）关联方资金拆借</w:t>
      </w:r>
      <w:bookmarkEnd w:id="2102"/>
      <w:bookmarkEnd w:id="2103"/>
      <w:bookmarkEnd w:id="2105"/>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拆借金额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起始日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403" w:hRule="exact"/>
        </w:trPr>
        <w:tc>
          <w:tcPr>
            <w:gridSpan w:val="5"/>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拆入</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辽宁国科实业有限公司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4,000,000.00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p>
      <w:pPr>
        <w:framePr w:w="768" w:h="370" w:hSpace="1296" w:vSpace="29" w:wrap="notBeside" w:vAnchor="text" w:hAnchor="text" w:x="947" w:y="1"/>
        <w:widowControl w:val="0"/>
        <w:rPr>
          <w:sz w:val="2"/>
          <w:szCs w:val="2"/>
        </w:rPr>
      </w:pPr>
      <w:r>
        <w:drawing>
          <wp:inline>
            <wp:extent cx="487680" cy="237490"/>
            <wp:docPr id="1235" name="Picutre 1235"/>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527"/>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600710" distR="4858385" simplePos="0" relativeHeight="125829683" behindDoc="0" locked="0" layoutInCell="1" allowOverlap="1">
                <wp:simplePos x="0" y="0"/>
                <wp:positionH relativeFrom="column">
                  <wp:posOffset>1088390</wp:posOffset>
                </wp:positionH>
                <wp:positionV relativeFrom="paragraph">
                  <wp:posOffset>6350</wp:posOffset>
                </wp:positionV>
                <wp:extent cx="822960" cy="247015"/>
                <wp:wrapTopAndBottom/>
                <wp:docPr id="1236" name="Shape 1236"/>
                <a:graphic xmlns:a="http://schemas.openxmlformats.org/drawingml/2006/main">
                  <a:graphicData uri="http://schemas.microsoft.com/office/word/2010/wordprocessingShape">
                    <wps:wsp>
                      <wps:cNvSpPr txBox="1"/>
                      <wps:spPr>
                        <a:xfrm>
                          <a:ext cx="822960" cy="247015"/>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262" type="#_x0000_t202" style="position:absolute;margin-left:85.700000000000003pt;margin-top:0.5pt;width:64.799999999999997pt;height:19.449999999999999pt;z-index:-125829070;mso-wrap-distance-left:47.300000000000004pt;mso-wrap-distance-right:382.55000000000001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32"/>
        <w:keepNext w:val="0"/>
        <w:keepLines w:val="0"/>
        <w:widowControl w:val="0"/>
        <w:pBdr>
          <w:top w:val="single" w:sz="4" w:space="6" w:color="D3D3D3"/>
          <w:left w:val="single" w:sz="4" w:space="0" w:color="D3D3D3"/>
          <w:bottom w:val="single" w:sz="4" w:space="7" w:color="D3D3D3"/>
          <w:right w:val="single" w:sz="4" w:space="0" w:color="D3D3D3"/>
        </w:pBdr>
        <w:shd w:val="clear" w:color="auto" w:fill="D3D3D3"/>
        <w:bidi w:val="0"/>
        <w:spacing w:before="0" w:after="306" w:line="240" w:lineRule="auto"/>
        <w:ind w:left="0" w:right="0" w:firstLine="900"/>
        <w:jc w:val="left"/>
      </w:pPr>
      <w:r>
        <w:rPr>
          <w:color w:val="000000"/>
          <w:spacing w:val="0"/>
          <w:w w:val="100"/>
          <w:position w:val="0"/>
        </w:rPr>
        <w:t>拆出</w:t>
      </w:r>
    </w:p>
    <w:p>
      <w:pPr>
        <w:pStyle w:val="Style55"/>
        <w:keepNext/>
        <w:keepLines/>
        <w:widowControl w:val="0"/>
        <w:shd w:val="clear" w:color="auto" w:fill="auto"/>
        <w:bidi w:val="0"/>
        <w:spacing w:before="0" w:after="360" w:line="240" w:lineRule="auto"/>
        <w:ind w:left="1040" w:right="0" w:firstLine="0"/>
        <w:jc w:val="both"/>
      </w:pPr>
      <w:bookmarkStart w:id="2106" w:name="bookmark2106"/>
      <w:bookmarkStart w:id="2107" w:name="bookmark2107"/>
      <w:bookmarkStart w:id="2108" w:name="bookmark2108"/>
      <w:bookmarkStart w:id="2109" w:name="bookmark2109"/>
      <w:r>
        <w:rPr>
          <w:color w:val="000000"/>
          <w:spacing w:val="0"/>
          <w:w w:val="100"/>
          <w:position w:val="0"/>
        </w:rPr>
        <w:t>（</w:t>
      </w:r>
      <w:bookmarkEnd w:id="2108"/>
      <w:r>
        <w:rPr>
          <w:rFonts w:ascii="Times New Roman" w:eastAsia="Times New Roman" w:hAnsi="Times New Roman" w:cs="Times New Roman"/>
          <w:color w:val="000000"/>
          <w:spacing w:val="0"/>
          <w:w w:val="100"/>
          <w:position w:val="0"/>
        </w:rPr>
        <w:t>6</w:t>
      </w:r>
      <w:r>
        <w:rPr>
          <w:color w:val="000000"/>
          <w:spacing w:val="0"/>
          <w:w w:val="100"/>
          <w:position w:val="0"/>
        </w:rPr>
        <w:t>）关联方资产转让、债务重组情况</w:t>
      </w:r>
      <w:bookmarkEnd w:id="2106"/>
      <w:bookmarkEnd w:id="2107"/>
      <w:bookmarkEnd w:id="2109"/>
    </w:p>
    <w:p>
      <w:pPr>
        <w:pStyle w:val="Style32"/>
        <w:keepNext w:val="0"/>
        <w:keepLines w:val="0"/>
        <w:widowControl w:val="0"/>
        <w:shd w:val="clear" w:color="auto" w:fill="auto"/>
        <w:bidi w:val="0"/>
        <w:spacing w:before="0" w:after="80" w:line="240" w:lineRule="auto"/>
        <w:ind w:left="9840" w:right="0" w:firstLine="0"/>
        <w:jc w:val="left"/>
      </w:pPr>
      <w:r>
        <w:rPr>
          <w:color w:val="000000"/>
          <w:spacing w:val="0"/>
          <w:w w:val="100"/>
          <w:position w:val="0"/>
        </w:rPr>
        <w:t>单位：元</w:t>
      </w:r>
    </w:p>
    <w:tbl>
      <w:tblPr>
        <w:tblOverlap w:val="never"/>
        <w:jc w:val="right"/>
        <w:tblLayout w:type="fixed"/>
      </w:tblPr>
      <w:tblGrid>
        <w:gridCol w:w="4685"/>
        <w:gridCol w:w="1560"/>
        <w:gridCol w:w="1704"/>
        <w:gridCol w:w="163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40"/>
              <w:jc w:val="left"/>
            </w:pPr>
            <w:r>
              <w:rPr>
                <w:color w:val="000000"/>
                <w:spacing w:val="0"/>
                <w:w w:val="100"/>
                <w:position w:val="0"/>
              </w:rPr>
              <w:t>关联交易内容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6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尹春福</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车辆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150,000.00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天津云之康科技有限公司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股权转让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18"/>
                <w:szCs w:val="18"/>
              </w:rPr>
              <w:t>17,000,000.00</w:t>
            </w:r>
            <w:r>
              <w:rPr>
                <w:rFonts w:ascii="Times New Roman" w:eastAsia="Times New Roman" w:hAnsi="Times New Roman" w:cs="Times New Roman"/>
                <w:color w:val="FF0000"/>
                <w:spacing w:val="0"/>
                <w:w w:val="100"/>
                <w:position w:val="0"/>
                <w:sz w:val="20"/>
                <w:szCs w:val="20"/>
                <w:vertAlign w:val="superscript"/>
              </w:rPr>
              <w:t>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沈阳荣科融拓健康数据产业股权投资合伙企业（有限合伙）</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股权转让</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2"/>
                <w:szCs w:val="12"/>
              </w:rPr>
            </w:pPr>
            <w:r>
              <w:rPr>
                <w:rFonts w:ascii="Times New Roman" w:eastAsia="Times New Roman" w:hAnsi="Times New Roman" w:cs="Times New Roman"/>
                <w:color w:val="000000"/>
                <w:spacing w:val="0"/>
                <w:w w:val="100"/>
                <w:position w:val="0"/>
                <w:sz w:val="18"/>
                <w:szCs w:val="18"/>
              </w:rPr>
              <w:t>1,000,000.00</w:t>
            </w:r>
            <w:r>
              <w:rPr>
                <w:rFonts w:ascii="Times New Roman" w:eastAsia="Times New Roman" w:hAnsi="Times New Roman" w:cs="Times New Roman"/>
                <w:color w:val="FF0000"/>
                <w:spacing w:val="0"/>
                <w:w w:val="100"/>
                <w:position w:val="0"/>
                <w:sz w:val="12"/>
                <w:szCs w:val="12"/>
              </w:rPr>
              <w:t>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2"/>
        <w:keepNext w:val="0"/>
        <w:keepLines w:val="0"/>
        <w:widowControl w:val="0"/>
        <w:shd w:val="clear" w:color="auto" w:fill="auto"/>
        <w:bidi w:val="0"/>
        <w:spacing w:before="0" w:after="80" w:line="310" w:lineRule="exact"/>
        <w:ind w:left="900" w:right="0" w:firstLine="20"/>
        <w:jc w:val="left"/>
      </w:pPr>
      <w:r>
        <w:rPr>
          <w:color w:val="000000"/>
          <w:spacing w:val="0"/>
          <w:w w:val="100"/>
          <w:position w:val="0"/>
        </w:rPr>
        <w:t>注：</w:t>
      </w:r>
      <w:r>
        <w:rPr>
          <w:rFonts w:ascii="Times New Roman" w:eastAsia="Times New Roman" w:hAnsi="Times New Roman" w:cs="Times New Roman"/>
          <w:color w:val="000000"/>
          <w:spacing w:val="0"/>
          <w:w w:val="100"/>
          <w:position w:val="0"/>
        </w:rPr>
        <w:t>1</w:t>
      </w:r>
      <w:r>
        <w:rPr>
          <w:color w:val="000000"/>
          <w:spacing w:val="0"/>
          <w:w w:val="100"/>
          <w:position w:val="0"/>
        </w:rPr>
        <w:t>公司第四届董事会第二十六次会议审议通过了《关于转让全资子公司</w:t>
      </w:r>
      <w:r>
        <w:rPr>
          <w:rFonts w:ascii="Times New Roman" w:eastAsia="Times New Roman" w:hAnsi="Times New Roman" w:cs="Times New Roman"/>
          <w:color w:val="000000"/>
          <w:spacing w:val="0"/>
          <w:w w:val="100"/>
          <w:position w:val="0"/>
        </w:rPr>
        <w:t>100%</w:t>
      </w:r>
      <w:r>
        <w:rPr>
          <w:color w:val="000000"/>
          <w:spacing w:val="0"/>
          <w:w w:val="100"/>
          <w:position w:val="0"/>
        </w:rPr>
        <w:t>股权暨关联交易的议案》，公司与天津云 之康科技有限公司（以下简称天津云之康）签署《股权转让协议》，以人民币</w:t>
      </w:r>
      <w:r>
        <w:rPr>
          <w:rFonts w:ascii="Times New Roman" w:eastAsia="Times New Roman" w:hAnsi="Times New Roman" w:cs="Times New Roman"/>
          <w:color w:val="000000"/>
          <w:spacing w:val="0"/>
          <w:w w:val="100"/>
          <w:position w:val="0"/>
        </w:rPr>
        <w:t>17,000,000.00</w:t>
      </w:r>
      <w:r>
        <w:rPr>
          <w:color w:val="000000"/>
          <w:spacing w:val="0"/>
          <w:w w:val="100"/>
          <w:position w:val="0"/>
        </w:rPr>
        <w:t>元的价格转让持有的享云科技有 限责任公司（以下简称享云科技）</w:t>
      </w:r>
      <w:r>
        <w:rPr>
          <w:rFonts w:ascii="Times New Roman" w:eastAsia="Times New Roman" w:hAnsi="Times New Roman" w:cs="Times New Roman"/>
          <w:color w:val="000000"/>
          <w:spacing w:val="0"/>
          <w:w w:val="100"/>
          <w:position w:val="0"/>
        </w:rPr>
        <w:t>100%</w:t>
      </w:r>
      <w:r>
        <w:rPr>
          <w:color w:val="000000"/>
          <w:spacing w:val="0"/>
          <w:w w:val="100"/>
          <w:position w:val="0"/>
        </w:rPr>
        <w:t>股权。同时，公司于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日与天津云之康、享云科技签订《三方债权债 务协议》，协议约定公司对享云科技负有的债务</w:t>
      </w:r>
      <w:r>
        <w:rPr>
          <w:rFonts w:ascii="Times New Roman" w:eastAsia="Times New Roman" w:hAnsi="Times New Roman" w:cs="Times New Roman"/>
          <w:color w:val="000000"/>
          <w:spacing w:val="0"/>
          <w:w w:val="100"/>
          <w:position w:val="0"/>
        </w:rPr>
        <w:t>1,271,900.88</w:t>
      </w:r>
      <w:r>
        <w:rPr>
          <w:color w:val="000000"/>
          <w:spacing w:val="0"/>
          <w:w w:val="100"/>
          <w:position w:val="0"/>
        </w:rPr>
        <w:t>美元，即人民币</w:t>
      </w:r>
      <w:r>
        <w:rPr>
          <w:rFonts w:ascii="Times New Roman" w:eastAsia="Times New Roman" w:hAnsi="Times New Roman" w:cs="Times New Roman"/>
          <w:color w:val="000000"/>
          <w:spacing w:val="0"/>
          <w:w w:val="100"/>
          <w:position w:val="0"/>
        </w:rPr>
        <w:t>8,384,497.19</w:t>
      </w:r>
      <w:r>
        <w:rPr>
          <w:color w:val="000000"/>
          <w:spacing w:val="0"/>
          <w:w w:val="100"/>
          <w:position w:val="0"/>
        </w:rPr>
        <w:t>元由天津云之康承担。截至</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日止，公司应收天津云之康股权转让款期末余额</w:t>
      </w:r>
      <w:r>
        <w:rPr>
          <w:rFonts w:ascii="Times New Roman" w:eastAsia="Times New Roman" w:hAnsi="Times New Roman" w:cs="Times New Roman"/>
          <w:color w:val="000000"/>
          <w:spacing w:val="0"/>
          <w:w w:val="100"/>
          <w:position w:val="0"/>
        </w:rPr>
        <w:t>8,400,000.00</w:t>
      </w:r>
      <w:r>
        <w:rPr>
          <w:color w:val="000000"/>
          <w:spacing w:val="0"/>
          <w:w w:val="100"/>
          <w:position w:val="0"/>
        </w:rPr>
        <w:t>元。</w:t>
      </w:r>
    </w:p>
    <w:p>
      <w:pPr>
        <w:pStyle w:val="Style32"/>
        <w:keepNext w:val="0"/>
        <w:keepLines w:val="0"/>
        <w:widowControl w:val="0"/>
        <w:shd w:val="clear" w:color="auto" w:fill="auto"/>
        <w:bidi w:val="0"/>
        <w:spacing w:before="0" w:after="360" w:line="317" w:lineRule="exact"/>
        <w:ind w:left="900" w:right="0" w:firstLine="380"/>
        <w:jc w:val="both"/>
      </w:pPr>
      <w:r>
        <w:rPr>
          <w:rFonts w:ascii="Times New Roman" w:eastAsia="Times New Roman" w:hAnsi="Times New Roman" w:cs="Times New Roman"/>
          <w:color w:val="000000"/>
          <w:spacing w:val="0"/>
          <w:w w:val="100"/>
          <w:position w:val="0"/>
        </w:rPr>
        <w:t>2</w:t>
      </w:r>
      <w:r>
        <w:rPr>
          <w:color w:val="000000"/>
          <w:spacing w:val="0"/>
          <w:w w:val="100"/>
          <w:position w:val="0"/>
        </w:rPr>
        <w:t>公司与沈阳荣科融拓健康数据产业股权投资合伙企业（有限合伙）签署《股权转让协议》，以人民币</w:t>
      </w:r>
      <w:r>
        <w:rPr>
          <w:rFonts w:ascii="Times New Roman" w:eastAsia="Times New Roman" w:hAnsi="Times New Roman" w:cs="Times New Roman"/>
          <w:color w:val="000000"/>
          <w:spacing w:val="0"/>
          <w:w w:val="100"/>
          <w:position w:val="0"/>
        </w:rPr>
        <w:t>100.00</w:t>
      </w:r>
      <w:r>
        <w:rPr>
          <w:color w:val="000000"/>
          <w:spacing w:val="0"/>
          <w:w w:val="100"/>
          <w:position w:val="0"/>
        </w:rPr>
        <w:t>万元的价 格转让持有的北京荣科智维云科技有限公司</w:t>
      </w:r>
      <w:r>
        <w:rPr>
          <w:rFonts w:ascii="Times New Roman" w:eastAsia="Times New Roman" w:hAnsi="Times New Roman" w:cs="Times New Roman"/>
          <w:color w:val="000000"/>
          <w:spacing w:val="0"/>
          <w:w w:val="100"/>
          <w:position w:val="0"/>
        </w:rPr>
        <w:t>60%</w:t>
      </w:r>
      <w:r>
        <w:rPr>
          <w:color w:val="000000"/>
          <w:spacing w:val="0"/>
          <w:w w:val="100"/>
          <w:position w:val="0"/>
        </w:rPr>
        <w:t>股权。</w:t>
      </w:r>
    </w:p>
    <w:p>
      <w:pPr>
        <w:pStyle w:val="Style55"/>
        <w:keepNext/>
        <w:keepLines/>
        <w:widowControl w:val="0"/>
        <w:shd w:val="clear" w:color="auto" w:fill="auto"/>
        <w:bidi w:val="0"/>
        <w:spacing w:before="0" w:after="360" w:line="240" w:lineRule="auto"/>
        <w:ind w:left="1040" w:right="0" w:firstLine="0"/>
        <w:jc w:val="left"/>
      </w:pPr>
      <w:bookmarkStart w:id="2110" w:name="bookmark2110"/>
      <w:bookmarkStart w:id="2111" w:name="bookmark2111"/>
      <w:bookmarkStart w:id="2112" w:name="bookmark2112"/>
      <w:bookmarkStart w:id="2113" w:name="bookmark2113"/>
      <w:r>
        <w:rPr>
          <w:rFonts w:ascii="Times New Roman" w:eastAsia="Times New Roman" w:hAnsi="Times New Roman" w:cs="Times New Roman"/>
          <w:color w:val="000000"/>
          <w:spacing w:val="0"/>
          <w:w w:val="100"/>
          <w:position w:val="0"/>
        </w:rPr>
        <w:t>（</w:t>
      </w:r>
      <w:bookmarkEnd w:id="2112"/>
      <w:r>
        <w:rPr>
          <w:rFonts w:ascii="Times New Roman" w:eastAsia="Times New Roman" w:hAnsi="Times New Roman" w:cs="Times New Roman"/>
          <w:color w:val="000000"/>
          <w:spacing w:val="0"/>
          <w:w w:val="100"/>
          <w:position w:val="0"/>
        </w:rPr>
        <w:t>7</w:t>
      </w:r>
      <w:r>
        <w:rPr>
          <w:color w:val="000000"/>
          <w:spacing w:val="0"/>
          <w:w w:val="100"/>
          <w:position w:val="0"/>
        </w:rPr>
        <w:t>）关键管理人员报酬</w:t>
      </w:r>
      <w:bookmarkEnd w:id="2110"/>
      <w:bookmarkEnd w:id="2111"/>
      <w:bookmarkEnd w:id="2113"/>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right"/>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关键管理人员薪酬</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5,696,576.17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7,015,645.11</w:t>
            </w:r>
          </w:p>
        </w:tc>
      </w:tr>
    </w:tbl>
    <w:p>
      <w:pPr>
        <w:widowControl w:val="0"/>
        <w:spacing w:after="359" w:line="1" w:lineRule="exact"/>
      </w:pPr>
    </w:p>
    <w:p>
      <w:pPr>
        <w:pStyle w:val="Style55"/>
        <w:keepNext/>
        <w:keepLines/>
        <w:widowControl w:val="0"/>
        <w:shd w:val="clear" w:color="auto" w:fill="auto"/>
        <w:bidi w:val="0"/>
        <w:spacing w:before="0" w:after="260" w:line="240" w:lineRule="auto"/>
        <w:ind w:left="1040" w:right="0" w:firstLine="0"/>
        <w:jc w:val="both"/>
      </w:pPr>
      <w:bookmarkStart w:id="2114" w:name="bookmark2114"/>
      <w:bookmarkStart w:id="2115" w:name="bookmark2115"/>
      <w:bookmarkStart w:id="2116" w:name="bookmark2116"/>
      <w:bookmarkStart w:id="2117" w:name="bookmark2117"/>
      <w:r>
        <w:rPr>
          <w:rFonts w:ascii="Times New Roman" w:eastAsia="Times New Roman" w:hAnsi="Times New Roman" w:cs="Times New Roman"/>
          <w:color w:val="000000"/>
          <w:spacing w:val="0"/>
          <w:w w:val="100"/>
          <w:position w:val="0"/>
        </w:rPr>
        <w:t>（</w:t>
      </w:r>
      <w:bookmarkEnd w:id="2116"/>
      <w:r>
        <w:rPr>
          <w:rFonts w:ascii="Times New Roman" w:eastAsia="Times New Roman" w:hAnsi="Times New Roman" w:cs="Times New Roman"/>
          <w:color w:val="000000"/>
          <w:spacing w:val="0"/>
          <w:w w:val="100"/>
          <w:position w:val="0"/>
        </w:rPr>
        <w:t>8</w:t>
      </w:r>
      <w:r>
        <w:rPr>
          <w:color w:val="000000"/>
          <w:spacing w:val="0"/>
          <w:w w:val="100"/>
          <w:position w:val="0"/>
        </w:rPr>
        <w:t>）其他关联交易</w:t>
      </w:r>
      <w:bookmarkEnd w:id="2114"/>
      <w:bookmarkEnd w:id="2115"/>
      <w:bookmarkEnd w:id="2117"/>
    </w:p>
    <w:p>
      <w:pPr>
        <w:pStyle w:val="Style32"/>
        <w:keepNext w:val="0"/>
        <w:keepLines w:val="0"/>
        <w:widowControl w:val="0"/>
        <w:shd w:val="clear" w:color="auto" w:fill="auto"/>
        <w:bidi w:val="0"/>
        <w:spacing w:before="0" w:after="360" w:line="317" w:lineRule="exact"/>
        <w:ind w:left="900" w:right="0" w:firstLine="20"/>
        <w:jc w:val="left"/>
      </w:pPr>
      <w:r>
        <w:rPr>
          <w:color w:val="000000"/>
          <w:spacing w:val="0"/>
          <w:w w:val="100"/>
          <w:position w:val="0"/>
        </w:rPr>
        <w:t>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日，本公司于铁岭新星村镇银行股份有限公司存款余额</w:t>
      </w:r>
      <w:r>
        <w:rPr>
          <w:rFonts w:ascii="Times New Roman" w:eastAsia="Times New Roman" w:hAnsi="Times New Roman" w:cs="Times New Roman"/>
          <w:color w:val="000000"/>
          <w:spacing w:val="0"/>
          <w:w w:val="100"/>
          <w:position w:val="0"/>
        </w:rPr>
        <w:t>2,580.71</w:t>
      </w:r>
      <w:r>
        <w:rPr>
          <w:color w:val="000000"/>
          <w:spacing w:val="0"/>
          <w:w w:val="100"/>
          <w:position w:val="0"/>
        </w:rPr>
        <w:t>元，本报告期取得的利息收入</w:t>
      </w:r>
      <w:r>
        <w:rPr>
          <w:rFonts w:ascii="Times New Roman" w:eastAsia="Times New Roman" w:hAnsi="Times New Roman" w:cs="Times New Roman"/>
          <w:color w:val="000000"/>
          <w:spacing w:val="0"/>
          <w:w w:val="100"/>
          <w:position w:val="0"/>
        </w:rPr>
        <w:t xml:space="preserve">78.13 </w:t>
      </w:r>
      <w:r>
        <w:rPr>
          <w:color w:val="000000"/>
          <w:spacing w:val="0"/>
          <w:w w:val="100"/>
          <w:position w:val="0"/>
        </w:rPr>
        <w:t>元及支付手续费</w:t>
      </w:r>
      <w:r>
        <w:rPr>
          <w:rFonts w:ascii="Times New Roman" w:eastAsia="Times New Roman" w:hAnsi="Times New Roman" w:cs="Times New Roman"/>
          <w:color w:val="000000"/>
          <w:spacing w:val="0"/>
          <w:w w:val="100"/>
          <w:position w:val="0"/>
        </w:rPr>
        <w:t>30.00</w:t>
      </w:r>
      <w:r>
        <w:rPr>
          <w:color w:val="000000"/>
          <w:spacing w:val="0"/>
          <w:w w:val="100"/>
          <w:position w:val="0"/>
        </w:rPr>
        <w:t>元。</w:t>
      </w:r>
    </w:p>
    <w:p>
      <w:pPr>
        <w:pStyle w:val="Style55"/>
        <w:keepNext/>
        <w:keepLines/>
        <w:widowControl w:val="0"/>
        <w:shd w:val="clear" w:color="auto" w:fill="auto"/>
        <w:bidi w:val="0"/>
        <w:spacing w:before="0" w:after="360" w:line="240" w:lineRule="auto"/>
        <w:ind w:left="0" w:right="0" w:firstLine="900"/>
        <w:jc w:val="both"/>
      </w:pPr>
      <w:bookmarkStart w:id="2118" w:name="bookmark2118"/>
      <w:bookmarkStart w:id="2119" w:name="bookmark2119"/>
      <w:bookmarkStart w:id="2120" w:name="bookmark2120"/>
      <w:bookmarkStart w:id="2121" w:name="bookmark2121"/>
      <w:r>
        <w:rPr>
          <w:rFonts w:ascii="Times New Roman" w:eastAsia="Times New Roman" w:hAnsi="Times New Roman" w:cs="Times New Roman"/>
          <w:color w:val="000000"/>
          <w:spacing w:val="0"/>
          <w:w w:val="100"/>
          <w:position w:val="0"/>
        </w:rPr>
        <w:t>6</w:t>
      </w:r>
      <w:bookmarkEnd w:id="2120"/>
      <w:r>
        <w:rPr>
          <w:color w:val="000000"/>
          <w:spacing w:val="0"/>
          <w:w w:val="100"/>
          <w:position w:val="0"/>
        </w:rPr>
        <w:t>、关联方应收应付款项</w:t>
      </w:r>
      <w:bookmarkEnd w:id="2118"/>
      <w:bookmarkEnd w:id="2119"/>
      <w:bookmarkEnd w:id="2121"/>
    </w:p>
    <w:p>
      <w:pPr>
        <w:pStyle w:val="Style55"/>
        <w:keepNext/>
        <w:keepLines/>
        <w:widowControl w:val="0"/>
        <w:shd w:val="clear" w:color="auto" w:fill="auto"/>
        <w:bidi w:val="0"/>
        <w:spacing w:before="0" w:after="360" w:line="240" w:lineRule="auto"/>
        <w:ind w:left="0" w:right="0" w:firstLine="900"/>
        <w:jc w:val="both"/>
      </w:pPr>
      <w:bookmarkStart w:id="2118" w:name="bookmark2118"/>
      <w:bookmarkStart w:id="2119" w:name="bookmark2119"/>
      <w:bookmarkStart w:id="2122" w:name="bookmark212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）应收项目</w:t>
      </w:r>
      <w:bookmarkEnd w:id="2118"/>
      <w:bookmarkEnd w:id="2119"/>
      <w:bookmarkEnd w:id="2122"/>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right"/>
        <w:tblLayout w:type="fixed"/>
      </w:tblPr>
      <w:tblGrid>
        <w:gridCol w:w="1286"/>
        <w:gridCol w:w="2693"/>
        <w:gridCol w:w="1272"/>
        <w:gridCol w:w="1421"/>
        <w:gridCol w:w="1416"/>
        <w:gridCol w:w="1498"/>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80"/>
              <w:jc w:val="left"/>
            </w:pPr>
            <w:r>
              <w:rPr>
                <w:color w:val="000000"/>
                <w:spacing w:val="0"/>
                <w:w w:val="100"/>
                <w:position w:val="0"/>
              </w:rPr>
              <w:t>项目名称</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坏账准备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40"/>
              <w:jc w:val="left"/>
            </w:pPr>
            <w:r>
              <w:rPr>
                <w:color w:val="000000"/>
                <w:spacing w:val="0"/>
                <w:w w:val="100"/>
                <w:position w:val="0"/>
              </w:rPr>
              <w:t>账面余额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坏账准备</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朝阳银行股份有限公司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3,868,646.42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132,980.85</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铁岭新星村镇银行股份有限公司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18,000.00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1,755.22</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天津云之康科技有限公司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3,278,814.00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2,400,268.90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天津云之康科技有限公司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8,400,000.00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南京今创信息技术有限公司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124,906.70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62,453.35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529"/>
          <w:footerReference w:type="default" r:id="rId530"/>
          <w:headerReference w:type="even" r:id="rId531"/>
          <w:footerReference w:type="even" r:id="rId532"/>
          <w:footnotePr>
            <w:pos w:val="pageBottom"/>
            <w:numFmt w:val="decimal"/>
            <w:numRestart w:val="continuous"/>
          </w:footnotePr>
          <w:pgSz w:w="11900" w:h="16840"/>
          <w:pgMar w:top="1112" w:right="1030" w:bottom="1463" w:left="210" w:header="0" w:footer="3" w:gutter="0"/>
          <w:cols w:space="720"/>
          <w:noEndnote/>
          <w:rtlGutter w:val="0"/>
          <w:docGrid w:linePitch="360"/>
        </w:sectPr>
      </w:pPr>
    </w:p>
    <w:p>
      <w:pPr>
        <w:widowControl w:val="0"/>
        <w:jc w:val="center"/>
        <w:rPr>
          <w:sz w:val="2"/>
          <w:szCs w:val="2"/>
        </w:rPr>
      </w:pPr>
      <w:r>
        <w:drawing>
          <wp:inline>
            <wp:extent cx="1298575" cy="475615"/>
            <wp:docPr id="1247" name="Picutre 1247"/>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533"/>
                    <a:stretch/>
                  </pic:blipFill>
                  <pic:spPr>
                    <a:xfrm>
                      <a:ext cx="1298575" cy="475615"/>
                    </a:xfrm>
                    <a:prstGeom prst="rect"/>
                  </pic:spPr>
                </pic:pic>
              </a:graphicData>
            </a:graphic>
          </wp:inline>
        </w:drawing>
      </w:r>
    </w:p>
    <w:p>
      <w:pPr>
        <w:pStyle w:val="Style26"/>
        <w:keepNext w:val="0"/>
        <w:keepLines w:val="0"/>
        <w:widowControl w:val="0"/>
        <w:shd w:val="clear" w:color="auto" w:fill="auto"/>
        <w:bidi w:val="0"/>
        <w:spacing w:before="0" w:after="0"/>
        <w:ind w:left="778"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pStyle w:val="Style55"/>
        <w:keepNext/>
        <w:keepLines/>
        <w:widowControl w:val="0"/>
        <w:shd w:val="clear" w:color="auto" w:fill="auto"/>
        <w:bidi w:val="0"/>
        <w:spacing w:before="0" w:after="360" w:line="240" w:lineRule="auto"/>
        <w:ind w:left="1040" w:right="0" w:firstLine="0"/>
        <w:jc w:val="left"/>
      </w:pPr>
      <w:bookmarkStart w:id="2123" w:name="bookmark2123"/>
      <w:bookmarkStart w:id="2124" w:name="bookmark2124"/>
      <w:bookmarkStart w:id="2125" w:name="bookmark2125"/>
      <w:r>
        <w:rPr>
          <w:rFonts w:ascii="Times New Roman" w:eastAsia="Times New Roman" w:hAnsi="Times New Roman" w:cs="Times New Roman"/>
          <w:color w:val="000000"/>
          <w:spacing w:val="0"/>
          <w:w w:val="100"/>
          <w:position w:val="0"/>
        </w:rPr>
        <w:t>(2</w:t>
      </w:r>
      <w:r>
        <w:rPr>
          <w:color w:val="000000"/>
          <w:spacing w:val="0"/>
          <w:w w:val="100"/>
          <w:position w:val="0"/>
        </w:rPr>
        <w:t>)应付项目</w:t>
      </w:r>
      <w:bookmarkEnd w:id="2123"/>
      <w:bookmarkEnd w:id="2124"/>
      <w:bookmarkEnd w:id="2125"/>
    </w:p>
    <w:p>
      <w:pPr>
        <w:pStyle w:val="Style32"/>
        <w:keepNext w:val="0"/>
        <w:keepLines w:val="0"/>
        <w:widowControl w:val="0"/>
        <w:shd w:val="clear" w:color="auto" w:fill="auto"/>
        <w:bidi w:val="0"/>
        <w:spacing w:before="0" w:after="100" w:line="240" w:lineRule="auto"/>
        <w:ind w:left="9840" w:right="0" w:firstLine="0"/>
        <w:jc w:val="left"/>
      </w:pPr>
      <w:r>
        <w:rPr>
          <w:color w:val="000000"/>
          <w:spacing w:val="0"/>
          <w:w w:val="100"/>
          <w:position w:val="0"/>
        </w:rPr>
        <w:t>单位：元</w:t>
      </w:r>
    </w:p>
    <w:tbl>
      <w:tblPr>
        <w:tblOverlap w:val="never"/>
        <w:jc w:val="right"/>
        <w:tblLayout w:type="fixed"/>
      </w:tblPr>
      <w:tblGrid>
        <w:gridCol w:w="2400"/>
        <w:gridCol w:w="2712"/>
        <w:gridCol w:w="2074"/>
        <w:gridCol w:w="2400"/>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天津云之康科技有限公司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7,457,611.87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上海麦健信息技术有限公司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1,387,079.63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北京荣科智维云科技有限公司</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167,964.59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55"/>
        <w:keepNext/>
        <w:keepLines/>
        <w:widowControl w:val="0"/>
        <w:shd w:val="clear" w:color="auto" w:fill="auto"/>
        <w:bidi w:val="0"/>
        <w:spacing w:before="0" w:after="980" w:line="240" w:lineRule="auto"/>
        <w:ind w:left="0" w:right="0" w:firstLine="900"/>
        <w:jc w:val="left"/>
      </w:pPr>
      <w:bookmarkStart w:id="2126" w:name="bookmark2126"/>
      <w:bookmarkStart w:id="2127" w:name="bookmark2127"/>
      <w:bookmarkStart w:id="2128" w:name="bookmark2128"/>
      <w:bookmarkStart w:id="2129" w:name="bookmark2129"/>
      <w:r>
        <w:rPr>
          <w:rFonts w:ascii="Times New Roman" w:eastAsia="Times New Roman" w:hAnsi="Times New Roman" w:cs="Times New Roman"/>
          <w:color w:val="000000"/>
          <w:spacing w:val="0"/>
          <w:w w:val="100"/>
          <w:position w:val="0"/>
        </w:rPr>
        <w:t>7</w:t>
      </w:r>
      <w:bookmarkEnd w:id="2128"/>
      <w:r>
        <w:rPr>
          <w:color w:val="000000"/>
          <w:spacing w:val="0"/>
          <w:w w:val="100"/>
          <w:position w:val="0"/>
        </w:rPr>
        <w:t>、关联方承诺</w:t>
      </w:r>
      <w:bookmarkEnd w:id="2126"/>
      <w:bookmarkEnd w:id="2127"/>
      <w:bookmarkEnd w:id="2129"/>
    </w:p>
    <w:p>
      <w:pPr>
        <w:pStyle w:val="Style55"/>
        <w:keepNext/>
        <w:keepLines/>
        <w:widowControl w:val="0"/>
        <w:shd w:val="clear" w:color="auto" w:fill="auto"/>
        <w:bidi w:val="0"/>
        <w:spacing w:before="0" w:after="360" w:line="240" w:lineRule="auto"/>
        <w:ind w:left="0" w:right="0" w:firstLine="900"/>
        <w:jc w:val="left"/>
      </w:pPr>
      <w:bookmarkStart w:id="2130" w:name="bookmark2130"/>
      <w:bookmarkStart w:id="2131" w:name="bookmark2131"/>
      <w:bookmarkStart w:id="2132" w:name="bookmark2132"/>
      <w:bookmarkStart w:id="2133" w:name="bookmark2133"/>
      <w:r>
        <w:rPr>
          <w:rFonts w:ascii="Times New Roman" w:eastAsia="Times New Roman" w:hAnsi="Times New Roman" w:cs="Times New Roman"/>
          <w:color w:val="000000"/>
          <w:spacing w:val="0"/>
          <w:w w:val="100"/>
          <w:position w:val="0"/>
        </w:rPr>
        <w:t>8</w:t>
      </w:r>
      <w:bookmarkEnd w:id="2132"/>
      <w:r>
        <w:rPr>
          <w:color w:val="000000"/>
          <w:spacing w:val="0"/>
          <w:w w:val="100"/>
          <w:position w:val="0"/>
        </w:rPr>
        <w:t>、其他</w:t>
      </w:r>
      <w:bookmarkEnd w:id="2130"/>
      <w:bookmarkEnd w:id="2131"/>
      <w:bookmarkEnd w:id="2133"/>
    </w:p>
    <w:p>
      <w:pPr>
        <w:pStyle w:val="Style32"/>
        <w:keepNext w:val="0"/>
        <w:keepLines w:val="0"/>
        <w:widowControl w:val="0"/>
        <w:shd w:val="clear" w:color="auto" w:fill="auto"/>
        <w:bidi w:val="0"/>
        <w:spacing w:before="0" w:after="360" w:line="240" w:lineRule="auto"/>
        <w:ind w:left="0" w:right="0" w:firstLine="900"/>
        <w:jc w:val="left"/>
      </w:pPr>
      <w:r>
        <w:rPr>
          <w:color w:val="000000"/>
          <w:spacing w:val="0"/>
          <w:w w:val="100"/>
          <w:position w:val="0"/>
        </w:rPr>
        <w:t>无</w:t>
      </w:r>
    </w:p>
    <w:p>
      <w:pPr>
        <w:pStyle w:val="Style47"/>
        <w:keepNext/>
        <w:keepLines/>
        <w:widowControl w:val="0"/>
        <w:shd w:val="clear" w:color="auto" w:fill="auto"/>
        <w:bidi w:val="0"/>
        <w:spacing w:before="0" w:after="360" w:line="240" w:lineRule="auto"/>
        <w:ind w:left="0" w:right="0" w:firstLine="900"/>
        <w:jc w:val="left"/>
      </w:pPr>
      <w:bookmarkStart w:id="2134" w:name="bookmark2134"/>
      <w:bookmarkStart w:id="2135" w:name="bookmark2135"/>
      <w:bookmarkStart w:id="2136" w:name="bookmark2136"/>
      <w:r>
        <w:rPr>
          <w:color w:val="000000"/>
          <w:spacing w:val="0"/>
          <w:w w:val="100"/>
          <w:position w:val="0"/>
          <w:sz w:val="24"/>
          <w:szCs w:val="24"/>
        </w:rPr>
        <w:t>十三、股份支付</w:t>
      </w:r>
      <w:bookmarkEnd w:id="2134"/>
      <w:bookmarkEnd w:id="2135"/>
      <w:bookmarkEnd w:id="2136"/>
    </w:p>
    <w:p>
      <w:pPr>
        <w:pStyle w:val="Style55"/>
        <w:keepNext/>
        <w:keepLines/>
        <w:widowControl w:val="0"/>
        <w:shd w:val="clear" w:color="auto" w:fill="auto"/>
        <w:bidi w:val="0"/>
        <w:spacing w:before="0" w:after="360" w:line="240" w:lineRule="auto"/>
        <w:ind w:left="0" w:right="0" w:firstLine="900"/>
        <w:jc w:val="left"/>
      </w:pPr>
      <w:bookmarkStart w:id="2137" w:name="bookmark2137"/>
      <w:bookmarkStart w:id="2138" w:name="bookmark2138"/>
      <w:bookmarkStart w:id="2139" w:name="bookmark2139"/>
      <w:r>
        <w:rPr>
          <w:rFonts w:ascii="Times New Roman" w:eastAsia="Times New Roman" w:hAnsi="Times New Roman" w:cs="Times New Roman"/>
          <w:color w:val="000000"/>
          <w:spacing w:val="0"/>
          <w:w w:val="100"/>
          <w:position w:val="0"/>
        </w:rPr>
        <w:t>1</w:t>
      </w:r>
      <w:r>
        <w:rPr>
          <w:color w:val="000000"/>
          <w:spacing w:val="0"/>
          <w:w w:val="100"/>
          <w:position w:val="0"/>
        </w:rPr>
        <w:t>、股份支付总体情况</w:t>
      </w:r>
      <w:bookmarkEnd w:id="2137"/>
      <w:bookmarkEnd w:id="2138"/>
      <w:bookmarkEnd w:id="2139"/>
    </w:p>
    <w:p>
      <w:pPr>
        <w:pStyle w:val="Style32"/>
        <w:keepNext w:val="0"/>
        <w:keepLines w:val="0"/>
        <w:widowControl w:val="0"/>
        <w:shd w:val="clear" w:color="auto" w:fill="auto"/>
        <w:bidi w:val="0"/>
        <w:spacing w:before="0" w:after="100" w:line="240" w:lineRule="auto"/>
        <w:ind w:left="0" w:right="0" w:firstLine="900"/>
        <w:jc w:val="left"/>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100" w:line="240" w:lineRule="auto"/>
        <w:ind w:left="9840" w:right="0" w:firstLine="0"/>
        <w:jc w:val="left"/>
      </w:pPr>
      <w:r>
        <w:rPr>
          <w:color w:val="000000"/>
          <w:spacing w:val="0"/>
          <w:w w:val="100"/>
          <w:position w:val="0"/>
        </w:rPr>
        <w:t>单位：元</w:t>
      </w:r>
    </w:p>
    <w:tbl>
      <w:tblPr>
        <w:tblOverlap w:val="never"/>
        <w:jc w:val="center"/>
        <w:tblLayout w:type="fixed"/>
      </w:tblPr>
      <w:tblGrid>
        <w:gridCol w:w="5400"/>
        <w:gridCol w:w="4613"/>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公司本期授予的各项权益工具总额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公司本期行权的各项权益工具总额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3,424,500.00</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公司本期失效的各项权益工具总额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700,500.00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公司期末发行在外的股票期权行权价格的范围和合同剩余期限</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行权价格</w:t>
            </w:r>
            <w:r>
              <w:rPr>
                <w:rFonts w:ascii="Times New Roman" w:eastAsia="Times New Roman" w:hAnsi="Times New Roman" w:cs="Times New Roman"/>
                <w:color w:val="000000"/>
                <w:spacing w:val="0"/>
                <w:w w:val="100"/>
                <w:position w:val="0"/>
              </w:rPr>
              <w:t>3.98</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股，合同剩余期限见注</w:t>
            </w:r>
            <w:r>
              <w:rPr>
                <w:rFonts w:ascii="Times New Roman" w:eastAsia="Times New Roman" w:hAnsi="Times New Roman" w:cs="Times New Roman"/>
                <w:color w:val="000000"/>
                <w:spacing w:val="0"/>
                <w:w w:val="100"/>
                <w:position w:val="0"/>
              </w:rPr>
              <w:t>1</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公司期末发行在外的其他权益工具行权价格的范围和合同剩余期限</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限制性股票授予日价格</w:t>
            </w:r>
            <w:r>
              <w:rPr>
                <w:rFonts w:ascii="Times New Roman" w:eastAsia="Times New Roman" w:hAnsi="Times New Roman" w:cs="Times New Roman"/>
                <w:color w:val="000000"/>
                <w:spacing w:val="0"/>
                <w:w w:val="100"/>
                <w:position w:val="0"/>
              </w:rPr>
              <w:t>3.01</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股，合同剩余期限见注</w:t>
            </w:r>
            <w:r>
              <w:rPr>
                <w:rFonts w:ascii="Times New Roman" w:eastAsia="Times New Roman" w:hAnsi="Times New Roman" w:cs="Times New Roman"/>
                <w:color w:val="000000"/>
                <w:spacing w:val="0"/>
                <w:w w:val="100"/>
                <w:position w:val="0"/>
              </w:rPr>
              <w:t>2</w:t>
            </w:r>
          </w:p>
        </w:tc>
      </w:tr>
    </w:tbl>
    <w:p>
      <w:pPr>
        <w:widowControl w:val="0"/>
        <w:spacing w:after="99" w:line="1" w:lineRule="exact"/>
      </w:pPr>
    </w:p>
    <w:p>
      <w:pPr>
        <w:pStyle w:val="Style32"/>
        <w:keepNext w:val="0"/>
        <w:keepLines w:val="0"/>
        <w:widowControl w:val="0"/>
        <w:shd w:val="clear" w:color="auto" w:fill="auto"/>
        <w:bidi w:val="0"/>
        <w:spacing w:before="0" w:after="160" w:line="240" w:lineRule="auto"/>
        <w:ind w:left="0" w:right="0" w:firstLine="900"/>
        <w:jc w:val="left"/>
      </w:pPr>
      <w:r>
        <w:rPr>
          <w:color w:val="000000"/>
          <w:spacing w:val="0"/>
          <w:w w:val="100"/>
          <w:position w:val="0"/>
        </w:rPr>
        <w:t>其他说明</w:t>
      </w:r>
    </w:p>
    <w:p>
      <w:pPr>
        <w:pStyle w:val="Style18"/>
        <w:keepNext w:val="0"/>
        <w:keepLines w:val="0"/>
        <w:widowControl w:val="0"/>
        <w:shd w:val="clear" w:color="auto" w:fill="auto"/>
        <w:bidi w:val="0"/>
        <w:spacing w:before="0" w:after="160" w:line="240" w:lineRule="auto"/>
        <w:ind w:left="0" w:right="0" w:firstLine="900"/>
        <w:jc w:val="left"/>
      </w:pPr>
      <w:r>
        <w:rPr>
          <w:b w:val="0"/>
          <w:bCs w:val="0"/>
          <w:color w:val="000000"/>
          <w:spacing w:val="0"/>
          <w:w w:val="100"/>
          <w:position w:val="0"/>
          <w:sz w:val="24"/>
          <w:szCs w:val="24"/>
        </w:rPr>
        <w:t>注</w:t>
      </w:r>
      <w:r>
        <w:rPr>
          <w:rFonts w:ascii="Times New Roman" w:eastAsia="Times New Roman" w:hAnsi="Times New Roman" w:cs="Times New Roman"/>
          <w:b w:val="0"/>
          <w:bCs w:val="0"/>
          <w:color w:val="000000"/>
          <w:spacing w:val="0"/>
          <w:w w:val="100"/>
          <w:position w:val="0"/>
          <w:sz w:val="24"/>
          <w:szCs w:val="24"/>
        </w:rPr>
        <w:t>1</w:t>
      </w:r>
      <w:r>
        <w:rPr>
          <w:b w:val="0"/>
          <w:bCs w:val="0"/>
          <w:color w:val="000000"/>
          <w:spacing w:val="0"/>
          <w:w w:val="100"/>
          <w:position w:val="0"/>
          <w:sz w:val="24"/>
          <w:szCs w:val="24"/>
        </w:rPr>
        <w:t>：股票期权行权期及各期行权时间安排如表所示</w:t>
      </w:r>
    </w:p>
    <w:tbl>
      <w:tblPr>
        <w:tblOverlap w:val="never"/>
        <w:jc w:val="center"/>
        <w:tblLayout w:type="fixed"/>
      </w:tblPr>
      <w:tblGrid>
        <w:gridCol w:w="2189"/>
        <w:gridCol w:w="4958"/>
        <w:gridCol w:w="1430"/>
      </w:tblGrid>
      <w:tr>
        <w:trPr>
          <w:trHeight w:val="360"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行权安排</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行权时间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行权比例</w:t>
            </w:r>
          </w:p>
        </w:tc>
      </w:tr>
      <w:tr>
        <w:trPr>
          <w:trHeight w:val="65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第一个行权期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both"/>
            </w:pPr>
            <w:r>
              <w:rPr>
                <w:color w:val="000000"/>
                <w:spacing w:val="0"/>
                <w:w w:val="100"/>
                <w:position w:val="0"/>
              </w:rPr>
              <w:t>自授予登记完成之日起</w:t>
            </w:r>
            <w:r>
              <w:rPr>
                <w:rFonts w:ascii="Times New Roman" w:eastAsia="Times New Roman" w:hAnsi="Times New Roman" w:cs="Times New Roman"/>
                <w:color w:val="000000"/>
                <w:spacing w:val="0"/>
                <w:w w:val="100"/>
                <w:position w:val="0"/>
              </w:rPr>
              <w:t>12</w:t>
            </w:r>
            <w:r>
              <w:rPr>
                <w:color w:val="000000"/>
                <w:spacing w:val="0"/>
                <w:w w:val="100"/>
                <w:position w:val="0"/>
              </w:rPr>
              <w:t>个月后的首个交易日起至授予登记完 成之日起</w:t>
            </w:r>
            <w:r>
              <w:rPr>
                <w:rFonts w:ascii="Times New Roman" w:eastAsia="Times New Roman" w:hAnsi="Times New Roman" w:cs="Times New Roman"/>
                <w:color w:val="000000"/>
                <w:spacing w:val="0"/>
                <w:w w:val="100"/>
                <w:position w:val="0"/>
              </w:rPr>
              <w:t>24</w:t>
            </w:r>
            <w:r>
              <w:rPr>
                <w:color w:val="000000"/>
                <w:spacing w:val="0"/>
                <w:w w:val="100"/>
                <w:position w:val="0"/>
              </w:rPr>
              <w:t>个月内的最后一个交易日当日止</w:t>
            </w:r>
          </w:p>
        </w:tc>
        <w:tc>
          <w:tcPr>
            <w:tcBorders>
              <w:top w:val="single" w:sz="4"/>
              <w:left w:val="single" w:sz="4"/>
              <w:righ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w:t>
            </w:r>
          </w:p>
        </w:tc>
      </w:tr>
      <w:tr>
        <w:trPr>
          <w:trHeight w:val="65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第二个行权期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both"/>
            </w:pPr>
            <w:r>
              <w:rPr>
                <w:color w:val="000000"/>
                <w:spacing w:val="0"/>
                <w:w w:val="100"/>
                <w:position w:val="0"/>
              </w:rPr>
              <w:t>自授予登记完成之日起</w:t>
            </w:r>
            <w:r>
              <w:rPr>
                <w:rFonts w:ascii="Times New Roman" w:eastAsia="Times New Roman" w:hAnsi="Times New Roman" w:cs="Times New Roman"/>
                <w:color w:val="000000"/>
                <w:spacing w:val="0"/>
                <w:w w:val="100"/>
                <w:position w:val="0"/>
              </w:rPr>
              <w:t>24</w:t>
            </w:r>
            <w:r>
              <w:rPr>
                <w:color w:val="000000"/>
                <w:spacing w:val="0"/>
                <w:w w:val="100"/>
                <w:position w:val="0"/>
              </w:rPr>
              <w:t>个月后的首个交易日起至授予登记完</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成之日起</w:t>
            </w:r>
            <w:r>
              <w:rPr>
                <w:rFonts w:ascii="Times New Roman" w:eastAsia="Times New Roman" w:hAnsi="Times New Roman" w:cs="Times New Roman"/>
                <w:color w:val="000000"/>
                <w:spacing w:val="0"/>
                <w:w w:val="100"/>
                <w:position w:val="0"/>
              </w:rPr>
              <w:t>36</w:t>
            </w:r>
            <w:r>
              <w:rPr>
                <w:color w:val="000000"/>
                <w:spacing w:val="0"/>
                <w:w w:val="100"/>
                <w:position w:val="0"/>
              </w:rPr>
              <w:t>个月内的最后一个交易日当日止</w:t>
            </w:r>
          </w:p>
        </w:tc>
        <w:tc>
          <w:tcPr>
            <w:tcBorders>
              <w:top w:val="single" w:sz="4"/>
              <w:left w:val="single" w:sz="4"/>
              <w:righ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w:t>
            </w:r>
          </w:p>
        </w:tc>
      </w:tr>
      <w:tr>
        <w:trPr>
          <w:trHeight w:val="672"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第三个行权期</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80" w:line="240" w:lineRule="auto"/>
              <w:ind w:left="0" w:right="0" w:firstLine="0"/>
              <w:jc w:val="both"/>
            </w:pPr>
            <w:r>
              <w:rPr>
                <w:color w:val="000000"/>
                <w:spacing w:val="0"/>
                <w:w w:val="100"/>
                <w:position w:val="0"/>
              </w:rPr>
              <w:t>自授予登记完成之日起</w:t>
            </w:r>
            <w:r>
              <w:rPr>
                <w:rFonts w:ascii="Times New Roman" w:eastAsia="Times New Roman" w:hAnsi="Times New Roman" w:cs="Times New Roman"/>
                <w:color w:val="000000"/>
                <w:spacing w:val="0"/>
                <w:w w:val="100"/>
                <w:position w:val="0"/>
              </w:rPr>
              <w:t>36</w:t>
            </w:r>
            <w:r>
              <w:rPr>
                <w:color w:val="000000"/>
                <w:spacing w:val="0"/>
                <w:w w:val="100"/>
                <w:position w:val="0"/>
              </w:rPr>
              <w:t>个月后的首个交易日起至授予登记完</w:t>
            </w:r>
          </w:p>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成之日起</w:t>
            </w:r>
            <w:r>
              <w:rPr>
                <w:rFonts w:ascii="Times New Roman" w:eastAsia="Times New Roman" w:hAnsi="Times New Roman" w:cs="Times New Roman"/>
                <w:color w:val="000000"/>
                <w:spacing w:val="0"/>
                <w:w w:val="100"/>
                <w:position w:val="0"/>
              </w:rPr>
              <w:t>48</w:t>
            </w:r>
            <w:r>
              <w:rPr>
                <w:color w:val="000000"/>
                <w:spacing w:val="0"/>
                <w:w w:val="100"/>
                <w:position w:val="0"/>
              </w:rPr>
              <w:t>个月内的最后一个交易日当日止</w:t>
            </w:r>
          </w:p>
        </w:tc>
        <w:tc>
          <w:tcPr>
            <w:tcBorders>
              <w:top w:val="single" w:sz="4"/>
              <w:left w:val="single" w:sz="4"/>
              <w:bottom w:val="single" w:sz="4"/>
              <w:righ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40%</w:t>
            </w:r>
          </w:p>
        </w:tc>
      </w:tr>
    </w:tbl>
    <w:p>
      <w:pPr>
        <w:widowControl w:val="0"/>
        <w:spacing w:after="99" w:line="1" w:lineRule="exact"/>
      </w:pPr>
    </w:p>
    <w:p>
      <w:pPr>
        <w:pStyle w:val="Style18"/>
        <w:keepNext w:val="0"/>
        <w:keepLines w:val="0"/>
        <w:widowControl w:val="0"/>
        <w:shd w:val="clear" w:color="auto" w:fill="auto"/>
        <w:bidi w:val="0"/>
        <w:spacing w:before="0" w:after="100" w:line="240" w:lineRule="auto"/>
        <w:ind w:left="0" w:right="0" w:firstLine="900"/>
        <w:jc w:val="left"/>
      </w:pPr>
      <w:r>
        <w:rPr>
          <w:b w:val="0"/>
          <w:bCs w:val="0"/>
          <w:color w:val="000000"/>
          <w:spacing w:val="0"/>
          <w:w w:val="100"/>
          <w:position w:val="0"/>
          <w:sz w:val="24"/>
          <w:szCs w:val="24"/>
        </w:rPr>
        <w:t>注</w:t>
      </w:r>
      <w:r>
        <w:rPr>
          <w:rFonts w:ascii="Times New Roman" w:eastAsia="Times New Roman" w:hAnsi="Times New Roman" w:cs="Times New Roman"/>
          <w:b w:val="0"/>
          <w:bCs w:val="0"/>
          <w:color w:val="000000"/>
          <w:spacing w:val="0"/>
          <w:w w:val="100"/>
          <w:position w:val="0"/>
          <w:sz w:val="24"/>
          <w:szCs w:val="24"/>
        </w:rPr>
        <w:t>2</w:t>
      </w:r>
      <w:r>
        <w:rPr>
          <w:b w:val="0"/>
          <w:bCs w:val="0"/>
          <w:color w:val="000000"/>
          <w:spacing w:val="0"/>
          <w:w w:val="100"/>
          <w:position w:val="0"/>
          <w:sz w:val="24"/>
          <w:szCs w:val="24"/>
        </w:rPr>
        <w:t>：本激励计划授予的限制性股票的解除限售期及各期解除限售时间安排如下表所示</w:t>
      </w:r>
    </w:p>
    <w:tbl>
      <w:tblPr>
        <w:tblOverlap w:val="never"/>
        <w:jc w:val="center"/>
        <w:tblLayout w:type="fixed"/>
      </w:tblPr>
      <w:tblGrid>
        <w:gridCol w:w="2189"/>
        <w:gridCol w:w="4958"/>
        <w:gridCol w:w="1430"/>
      </w:tblGrid>
      <w:tr>
        <w:trPr>
          <w:trHeight w:val="355"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行权安排</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行权时间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行权比例</w:t>
            </w:r>
          </w:p>
        </w:tc>
      </w:tr>
      <w:tr>
        <w:trPr>
          <w:trHeight w:val="355"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第一个解除限售期</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自授予登记完成之日起</w:t>
            </w:r>
            <w:r>
              <w:rPr>
                <w:rFonts w:ascii="Times New Roman" w:eastAsia="Times New Roman" w:hAnsi="Times New Roman" w:cs="Times New Roman"/>
                <w:color w:val="000000"/>
                <w:spacing w:val="0"/>
                <w:w w:val="100"/>
                <w:position w:val="0"/>
              </w:rPr>
              <w:t>12</w:t>
            </w:r>
            <w:r>
              <w:rPr>
                <w:color w:val="000000"/>
                <w:spacing w:val="0"/>
                <w:w w:val="100"/>
                <w:position w:val="0"/>
              </w:rPr>
              <w:t>个月后的首个交易日起至授予登记完</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w:t>
            </w:r>
          </w:p>
        </w:tc>
      </w:tr>
    </w:tbl>
    <w:p>
      <w:pPr>
        <w:sectPr>
          <w:footnotePr>
            <w:pos w:val="pageBottom"/>
            <w:numFmt w:val="decimal"/>
            <w:numRestart w:val="continuous"/>
          </w:footnotePr>
          <w:pgSz w:w="11900" w:h="16840"/>
          <w:pgMar w:top="692" w:right="1030" w:bottom="1158" w:left="210" w:header="0" w:footer="3" w:gutter="0"/>
          <w:cols w:space="720"/>
          <w:noEndnote/>
          <w:rtlGutter w:val="0"/>
          <w:docGrid w:linePitch="360"/>
        </w:sectPr>
      </w:pPr>
    </w:p>
    <w:p>
      <w:pPr>
        <w:widowControl w:val="0"/>
        <w:spacing w:line="1" w:lineRule="exact"/>
      </w:pPr>
      <w:r>
        <w:drawing>
          <wp:anchor distT="0" distB="965835" distL="0" distR="24130" simplePos="0" relativeHeight="125829685" behindDoc="0" locked="0" layoutInCell="1" allowOverlap="1">
            <wp:simplePos x="0" y="0"/>
            <wp:positionH relativeFrom="page">
              <wp:posOffset>710565</wp:posOffset>
            </wp:positionH>
            <wp:positionV relativeFrom="paragraph">
              <wp:posOffset>0</wp:posOffset>
            </wp:positionV>
            <wp:extent cx="1316990" cy="719455"/>
            <wp:wrapTopAndBottom/>
            <wp:docPr id="1248" name="Shape 1248"/>
            <a:graphic xmlns:a="http://schemas.openxmlformats.org/drawingml/2006/main">
              <a:graphicData uri="http://schemas.openxmlformats.org/drawingml/2006/picture">
                <pic:pic xmlns:pic="http://schemas.openxmlformats.org/drawingml/2006/picture">
                  <pic:nvPicPr>
                    <pic:cNvPr id="1249" name="Picture box 1249"/>
                    <pic:cNvPicPr/>
                  </pic:nvPicPr>
                  <pic:blipFill>
                    <a:blip r:embed="rId535"/>
                    <a:stretch/>
                  </pic:blipFill>
                  <pic:spPr>
                    <a:xfrm>
                      <a:ext cx="1316990" cy="719455"/>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1228725</wp:posOffset>
                </wp:positionH>
                <wp:positionV relativeFrom="paragraph">
                  <wp:posOffset>243840</wp:posOffset>
                </wp:positionV>
                <wp:extent cx="822960" cy="247015"/>
                <wp:wrapNone/>
                <wp:docPr id="1250" name="Shape 1250"/>
                <a:graphic xmlns:a="http://schemas.openxmlformats.org/drawingml/2006/main">
                  <a:graphicData uri="http://schemas.microsoft.com/office/word/2010/wordprocessingShape">
                    <wps:wsp>
                      <wps:cNvSpPr txBox="1"/>
                      <wps:spPr>
                        <a:xfrm>
                          <a:ext cx="822960" cy="24701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xbxContent>
                      </wps:txbx>
                      <wps:bodyPr lIns="0" tIns="0" rIns="0" bIns="0">
                        <a:noAutoFit/>
                      </wps:bodyPr>
                    </wps:wsp>
                  </a:graphicData>
                </a:graphic>
              </wp:anchor>
            </w:drawing>
          </mc:Choice>
          <mc:Fallback>
            <w:pict>
              <v:shape id="_x0000_s2276" type="#_x0000_t202" style="position:absolute;margin-left:96.75pt;margin-top:19.199999999999999pt;width:64.799999999999997pt;height:19.449999999999999pt;z-index:251657741;mso-wrap-distance-left:0;mso-wrap-distance-right:0;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spacing w:val="0"/>
                          <w:w w:val="100"/>
                          <w:position w:val="0"/>
                        </w:rPr>
                        <w:t>国家高新技术企业</w:t>
                      </w:r>
                    </w:p>
                    <w:p>
                      <w:pPr>
                        <w:pStyle w:val="Style2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5"/>
                          <w:szCs w:val="15"/>
                        </w:rPr>
                        <w:t>股票代码：</w:t>
                      </w:r>
                      <w:r>
                        <w:rPr>
                          <w:rFonts w:ascii="Times New Roman" w:eastAsia="Times New Roman" w:hAnsi="Times New Roman" w:cs="Times New Roman"/>
                          <w:color w:val="000000"/>
                          <w:spacing w:val="0"/>
                          <w:w w:val="100"/>
                          <w:position w:val="0"/>
                          <w:sz w:val="16"/>
                          <w:szCs w:val="16"/>
                        </w:rPr>
                        <w:t>300290</w:t>
                      </w:r>
                    </w:p>
                  </w:txbxContent>
                </v:textbox>
                <w10:wrap anchorx="page"/>
              </v:shape>
            </w:pict>
          </mc:Fallback>
        </mc:AlternateContent>
      </w:r>
      <w:r>
        <mc:AlternateContent>
          <mc:Choice Requires="wps">
            <w:drawing>
              <wp:anchor distT="475615" distB="139700" distL="0" distR="0" simplePos="0" relativeHeight="125829686" behindDoc="0" locked="0" layoutInCell="1" allowOverlap="1">
                <wp:simplePos x="0" y="0"/>
                <wp:positionH relativeFrom="page">
                  <wp:posOffset>719455</wp:posOffset>
                </wp:positionH>
                <wp:positionV relativeFrom="paragraph">
                  <wp:posOffset>475615</wp:posOffset>
                </wp:positionV>
                <wp:extent cx="5447030" cy="1069975"/>
                <wp:wrapTopAndBottom/>
                <wp:docPr id="1252" name="Shape 1252"/>
                <a:graphic xmlns:a="http://schemas.openxmlformats.org/drawingml/2006/main">
                  <a:graphicData uri="http://schemas.microsoft.com/office/word/2010/wordprocessingShape">
                    <wps:wsp>
                      <wps:cNvSpPr txBox="1"/>
                      <wps:spPr>
                        <a:xfrm>
                          <a:ext cx="5447030" cy="1069975"/>
                        </a:xfrm>
                        <a:prstGeom prst="rect"/>
                        <a:noFill/>
                      </wps:spPr>
                      <wps:txbx>
                        <w:txbxContent>
                          <w:tbl>
                            <w:tblPr>
                              <w:tblOverlap w:val="never"/>
                              <w:jc w:val="left"/>
                              <w:tblLayout w:type="fixed"/>
                            </w:tblPr>
                            <w:tblGrid>
                              <w:gridCol w:w="2189"/>
                              <w:gridCol w:w="4958"/>
                              <w:gridCol w:w="1430"/>
                            </w:tblGrid>
                            <w:tr>
                              <w:trPr>
                                <w:tblHeader/>
                                <w:trHeight w:val="35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成之日起</w:t>
                                  </w:r>
                                  <w:r>
                                    <w:rPr>
                                      <w:rFonts w:ascii="Times New Roman" w:eastAsia="Times New Roman" w:hAnsi="Times New Roman" w:cs="Times New Roman"/>
                                      <w:color w:val="000000"/>
                                      <w:spacing w:val="0"/>
                                      <w:w w:val="100"/>
                                      <w:position w:val="0"/>
                                    </w:rPr>
                                    <w:t>24</w:t>
                                  </w:r>
                                  <w:r>
                                    <w:rPr>
                                      <w:color w:val="000000"/>
                                      <w:spacing w:val="0"/>
                                      <w:w w:val="100"/>
                                      <w:position w:val="0"/>
                                    </w:rPr>
                                    <w:t>个月内的最后一个交易日当日止</w:t>
                                  </w:r>
                                </w:p>
                              </w:tc>
                              <w:tc>
                                <w:tcPr>
                                  <w:tcBorders>
                                    <w:top w:val="single" w:sz="4"/>
                                    <w:left w:val="single" w:sz="4"/>
                                    <w:right w:val="single" w:sz="4"/>
                                  </w:tcBorders>
                                  <w:shd w:val="clear" w:color="auto" w:fill="FFFFFF"/>
                                  <w:vAlign w:val="top"/>
                                </w:tcPr>
                                <w:p>
                                  <w:pPr>
                                    <w:widowControl w:val="0"/>
                                    <w:rPr>
                                      <w:sz w:val="10"/>
                                      <w:szCs w:val="10"/>
                                    </w:rPr>
                                  </w:pPr>
                                </w:p>
                              </w:tc>
                            </w:tr>
                            <w:tr>
                              <w:trPr>
                                <w:trHeight w:val="65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第二个解除限售期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自授予登记完成之日起</w:t>
                                  </w:r>
                                  <w:r>
                                    <w:rPr>
                                      <w:rFonts w:ascii="Times New Roman" w:eastAsia="Times New Roman" w:hAnsi="Times New Roman" w:cs="Times New Roman"/>
                                      <w:color w:val="000000"/>
                                      <w:spacing w:val="0"/>
                                      <w:w w:val="100"/>
                                      <w:position w:val="0"/>
                                    </w:rPr>
                                    <w:t>24</w:t>
                                  </w:r>
                                  <w:r>
                                    <w:rPr>
                                      <w:color w:val="000000"/>
                                      <w:spacing w:val="0"/>
                                      <w:w w:val="100"/>
                                      <w:position w:val="0"/>
                                    </w:rPr>
                                    <w:t>个月后的首个交易日起至授予登记完 成之日起</w:t>
                                  </w:r>
                                  <w:r>
                                    <w:rPr>
                                      <w:rFonts w:ascii="Times New Roman" w:eastAsia="Times New Roman" w:hAnsi="Times New Roman" w:cs="Times New Roman"/>
                                      <w:color w:val="000000"/>
                                      <w:spacing w:val="0"/>
                                      <w:w w:val="100"/>
                                      <w:position w:val="0"/>
                                    </w:rPr>
                                    <w:t>36</w:t>
                                  </w:r>
                                  <w:r>
                                    <w:rPr>
                                      <w:color w:val="000000"/>
                                      <w:spacing w:val="0"/>
                                      <w:w w:val="100"/>
                                      <w:position w:val="0"/>
                                    </w:rPr>
                                    <w:t>个月内的最后一个交易日当日止</w:t>
                                  </w:r>
                                </w:p>
                              </w:tc>
                              <w:tc>
                                <w:tcPr>
                                  <w:tcBorders>
                                    <w:top w:val="single" w:sz="4"/>
                                    <w:left w:val="single" w:sz="4"/>
                                    <w:righ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w:t>
                                  </w:r>
                                </w:p>
                              </w:tc>
                            </w:tr>
                            <w:tr>
                              <w:trPr>
                                <w:trHeight w:val="672"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第三个解除限售期</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自授予登记完成之日起</w:t>
                                  </w:r>
                                  <w:r>
                                    <w:rPr>
                                      <w:rFonts w:ascii="Times New Roman" w:eastAsia="Times New Roman" w:hAnsi="Times New Roman" w:cs="Times New Roman"/>
                                      <w:color w:val="000000"/>
                                      <w:spacing w:val="0"/>
                                      <w:w w:val="100"/>
                                      <w:position w:val="0"/>
                                    </w:rPr>
                                    <w:t>36</w:t>
                                  </w:r>
                                  <w:r>
                                    <w:rPr>
                                      <w:color w:val="000000"/>
                                      <w:spacing w:val="0"/>
                                      <w:w w:val="100"/>
                                      <w:position w:val="0"/>
                                    </w:rPr>
                                    <w:t>个月后的首个交易日起至授予登记完 成之日起</w:t>
                                  </w:r>
                                  <w:r>
                                    <w:rPr>
                                      <w:rFonts w:ascii="Times New Roman" w:eastAsia="Times New Roman" w:hAnsi="Times New Roman" w:cs="Times New Roman"/>
                                      <w:color w:val="000000"/>
                                      <w:spacing w:val="0"/>
                                      <w:w w:val="100"/>
                                      <w:position w:val="0"/>
                                    </w:rPr>
                                    <w:t>48</w:t>
                                  </w:r>
                                  <w:r>
                                    <w:rPr>
                                      <w:color w:val="000000"/>
                                      <w:spacing w:val="0"/>
                                      <w:w w:val="100"/>
                                      <w:position w:val="0"/>
                                    </w:rPr>
                                    <w:t>个月内的最后一个交易日当日止</w:t>
                                  </w:r>
                                </w:p>
                              </w:tc>
                              <w:tc>
                                <w:tcPr>
                                  <w:tcBorders>
                                    <w:top w:val="single" w:sz="4"/>
                                    <w:left w:val="single" w:sz="4"/>
                                    <w:bottom w:val="single" w:sz="4"/>
                                    <w:righ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40%</w:t>
                                  </w:r>
                                </w:p>
                              </w:tc>
                            </w:tr>
                          </w:tbl>
                          <w:p>
                            <w:pPr>
                              <w:widowControl w:val="0"/>
                              <w:spacing w:line="1" w:lineRule="exact"/>
                            </w:pPr>
                          </w:p>
                        </w:txbxContent>
                      </wps:txbx>
                      <wps:bodyPr lIns="0" tIns="0" rIns="0" bIns="0">
                        <a:noAutoFit/>
                      </wps:bodyPr>
                    </wps:wsp>
                  </a:graphicData>
                </a:graphic>
              </wp:anchor>
            </w:drawing>
          </mc:Choice>
          <mc:Fallback>
            <w:pict>
              <v:shape id="_x0000_s2278" type="#_x0000_t202" style="position:absolute;margin-left:56.649999999999999pt;margin-top:37.450000000000003pt;width:428.90000000000003pt;height:84.25pt;z-index:-125829067;mso-wrap-distance-left:0;mso-wrap-distance-top:37.450000000000003pt;mso-wrap-distance-right:0;mso-wrap-distance-bottom:11.pt;mso-position-horizontal-relative:page" filled="f" stroked="f">
                <v:textbox inset="0,0,0,0">
                  <w:txbxContent>
                    <w:tbl>
                      <w:tblPr>
                        <w:tblOverlap w:val="never"/>
                        <w:jc w:val="left"/>
                        <w:tblLayout w:type="fixed"/>
                      </w:tblPr>
                      <w:tblGrid>
                        <w:gridCol w:w="2189"/>
                        <w:gridCol w:w="4958"/>
                        <w:gridCol w:w="1430"/>
                      </w:tblGrid>
                      <w:tr>
                        <w:trPr>
                          <w:tblHeader/>
                          <w:trHeight w:val="35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成之日起</w:t>
                            </w:r>
                            <w:r>
                              <w:rPr>
                                <w:rFonts w:ascii="Times New Roman" w:eastAsia="Times New Roman" w:hAnsi="Times New Roman" w:cs="Times New Roman"/>
                                <w:color w:val="000000"/>
                                <w:spacing w:val="0"/>
                                <w:w w:val="100"/>
                                <w:position w:val="0"/>
                              </w:rPr>
                              <w:t>24</w:t>
                            </w:r>
                            <w:r>
                              <w:rPr>
                                <w:color w:val="000000"/>
                                <w:spacing w:val="0"/>
                                <w:w w:val="100"/>
                                <w:position w:val="0"/>
                              </w:rPr>
                              <w:t>个月内的最后一个交易日当日止</w:t>
                            </w:r>
                          </w:p>
                        </w:tc>
                        <w:tc>
                          <w:tcPr>
                            <w:tcBorders>
                              <w:top w:val="single" w:sz="4"/>
                              <w:left w:val="single" w:sz="4"/>
                              <w:right w:val="single" w:sz="4"/>
                            </w:tcBorders>
                            <w:shd w:val="clear" w:color="auto" w:fill="FFFFFF"/>
                            <w:vAlign w:val="top"/>
                          </w:tcPr>
                          <w:p>
                            <w:pPr>
                              <w:widowControl w:val="0"/>
                              <w:rPr>
                                <w:sz w:val="10"/>
                                <w:szCs w:val="10"/>
                              </w:rPr>
                            </w:pPr>
                          </w:p>
                        </w:tc>
                      </w:tr>
                      <w:tr>
                        <w:trPr>
                          <w:trHeight w:val="65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第二个解除限售期</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left"/>
                            </w:pPr>
                            <w:r>
                              <w:rPr>
                                <w:color w:val="000000"/>
                                <w:spacing w:val="0"/>
                                <w:w w:val="100"/>
                                <w:position w:val="0"/>
                              </w:rPr>
                              <w:t>自授予登记完成之日起</w:t>
                            </w:r>
                            <w:r>
                              <w:rPr>
                                <w:rFonts w:ascii="Times New Roman" w:eastAsia="Times New Roman" w:hAnsi="Times New Roman" w:cs="Times New Roman"/>
                                <w:color w:val="000000"/>
                                <w:spacing w:val="0"/>
                                <w:w w:val="100"/>
                                <w:position w:val="0"/>
                              </w:rPr>
                              <w:t>24</w:t>
                            </w:r>
                            <w:r>
                              <w:rPr>
                                <w:color w:val="000000"/>
                                <w:spacing w:val="0"/>
                                <w:w w:val="100"/>
                                <w:position w:val="0"/>
                              </w:rPr>
                              <w:t>个月后的首个交易日起至授予登记完 成之日起</w:t>
                            </w:r>
                            <w:r>
                              <w:rPr>
                                <w:rFonts w:ascii="Times New Roman" w:eastAsia="Times New Roman" w:hAnsi="Times New Roman" w:cs="Times New Roman"/>
                                <w:color w:val="000000"/>
                                <w:spacing w:val="0"/>
                                <w:w w:val="100"/>
                                <w:position w:val="0"/>
                              </w:rPr>
                              <w:t>36</w:t>
                            </w:r>
                            <w:r>
                              <w:rPr>
                                <w:color w:val="000000"/>
                                <w:spacing w:val="0"/>
                                <w:w w:val="100"/>
                                <w:position w:val="0"/>
                              </w:rPr>
                              <w:t>个月内的最后一个交易日当日止</w:t>
                            </w:r>
                          </w:p>
                        </w:tc>
                        <w:tc>
                          <w:tcPr>
                            <w:tcBorders>
                              <w:top w:val="single" w:sz="4"/>
                              <w:left w:val="single" w:sz="4"/>
                              <w:righ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w:t>
                            </w:r>
                          </w:p>
                        </w:tc>
                      </w:tr>
                      <w:tr>
                        <w:trPr>
                          <w:trHeight w:val="672"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第三个解除限售期</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307" w:lineRule="exact"/>
                              <w:ind w:left="0" w:right="0" w:firstLine="0"/>
                              <w:jc w:val="left"/>
                            </w:pPr>
                            <w:r>
                              <w:rPr>
                                <w:color w:val="000000"/>
                                <w:spacing w:val="0"/>
                                <w:w w:val="100"/>
                                <w:position w:val="0"/>
                              </w:rPr>
                              <w:t>自授予登记完成之日起</w:t>
                            </w:r>
                            <w:r>
                              <w:rPr>
                                <w:rFonts w:ascii="Times New Roman" w:eastAsia="Times New Roman" w:hAnsi="Times New Roman" w:cs="Times New Roman"/>
                                <w:color w:val="000000"/>
                                <w:spacing w:val="0"/>
                                <w:w w:val="100"/>
                                <w:position w:val="0"/>
                              </w:rPr>
                              <w:t>36</w:t>
                            </w:r>
                            <w:r>
                              <w:rPr>
                                <w:color w:val="000000"/>
                                <w:spacing w:val="0"/>
                                <w:w w:val="100"/>
                                <w:position w:val="0"/>
                              </w:rPr>
                              <w:t>个月后的首个交易日起至授予登记完 成之日起</w:t>
                            </w:r>
                            <w:r>
                              <w:rPr>
                                <w:rFonts w:ascii="Times New Roman" w:eastAsia="Times New Roman" w:hAnsi="Times New Roman" w:cs="Times New Roman"/>
                                <w:color w:val="000000"/>
                                <w:spacing w:val="0"/>
                                <w:w w:val="100"/>
                                <w:position w:val="0"/>
                              </w:rPr>
                              <w:t>48</w:t>
                            </w:r>
                            <w:r>
                              <w:rPr>
                                <w:color w:val="000000"/>
                                <w:spacing w:val="0"/>
                                <w:w w:val="100"/>
                                <w:position w:val="0"/>
                              </w:rPr>
                              <w:t>个月内的最后一个交易日当日止</w:t>
                            </w:r>
                          </w:p>
                        </w:tc>
                        <w:tc>
                          <w:tcPr>
                            <w:tcBorders>
                              <w:top w:val="single" w:sz="4"/>
                              <w:left w:val="single" w:sz="4"/>
                              <w:bottom w:val="single" w:sz="4"/>
                              <w:right w:val="single" w:sz="4"/>
                            </w:tcBorders>
                            <w:shd w:val="clear" w:color="auto" w:fill="FFFFFF"/>
                            <w:vAlign w:val="top"/>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40%</w:t>
                            </w:r>
                          </w:p>
                        </w:tc>
                      </w:tr>
                    </w:tbl>
                    <w:p>
                      <w:pPr>
                        <w:widowControl w:val="0"/>
                        <w:spacing w:line="1" w:lineRule="exact"/>
                      </w:pPr>
                    </w:p>
                  </w:txbxContent>
                </v:textbox>
                <w10:wrap type="topAndBottom" anchorx="page"/>
              </v:shape>
            </w:pict>
          </mc:Fallback>
        </mc:AlternateContent>
      </w:r>
    </w:p>
    <w:p>
      <w:pPr>
        <w:pStyle w:val="Style55"/>
        <w:keepNext/>
        <w:keepLines/>
        <w:widowControl w:val="0"/>
        <w:shd w:val="clear" w:color="auto" w:fill="auto"/>
        <w:bidi w:val="0"/>
        <w:spacing w:before="0" w:after="360" w:line="240" w:lineRule="auto"/>
        <w:ind w:left="0" w:right="0" w:firstLine="0"/>
        <w:jc w:val="both"/>
      </w:pPr>
      <w:bookmarkStart w:id="2140" w:name="bookmark2140"/>
      <w:bookmarkStart w:id="2141" w:name="bookmark2141"/>
      <w:bookmarkStart w:id="2142" w:name="bookmark2142"/>
      <w:r>
        <w:rPr>
          <w:rFonts w:ascii="Times New Roman" w:eastAsia="Times New Roman" w:hAnsi="Times New Roman" w:cs="Times New Roman"/>
          <w:color w:val="000000"/>
          <w:spacing w:val="0"/>
          <w:w w:val="100"/>
          <w:position w:val="0"/>
        </w:rPr>
        <w:t>2</w:t>
      </w:r>
      <w:r>
        <w:rPr>
          <w:color w:val="000000"/>
          <w:spacing w:val="0"/>
          <w:w w:val="100"/>
          <w:position w:val="0"/>
        </w:rPr>
        <w:t>、以权益结算的股份支付情况</w:t>
      </w:r>
      <w:bookmarkEnd w:id="2140"/>
      <w:bookmarkEnd w:id="2141"/>
      <w:bookmarkEnd w:id="2142"/>
    </w:p>
    <w:p>
      <w:pPr>
        <w:pStyle w:val="Style32"/>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262"/>
        <w:gridCol w:w="5323"/>
      </w:tblGrid>
      <w:tr>
        <w:trPr>
          <w:trHeight w:val="1027"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授予日权益工具公允价值的确定方法</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12" w:lineRule="exact"/>
              <w:ind w:left="0" w:right="0" w:firstLine="0"/>
              <w:jc w:val="both"/>
            </w:pPr>
            <w:r>
              <w:rPr>
                <w:color w:val="000000"/>
                <w:spacing w:val="0"/>
                <w:w w:val="100"/>
                <w:position w:val="0"/>
              </w:rPr>
              <w:t xml:space="preserve">公司采用授予日的股票市场价格确定限制性股票的公允价值，采用 </w:t>
            </w:r>
            <w:r>
              <w:rPr>
                <w:rFonts w:ascii="Times New Roman" w:eastAsia="Times New Roman" w:hAnsi="Times New Roman" w:cs="Times New Roman"/>
                <w:color w:val="000000"/>
                <w:spacing w:val="0"/>
                <w:w w:val="100"/>
                <w:position w:val="0"/>
              </w:rPr>
              <w:t>Black-Scholes</w:t>
            </w:r>
            <w:r>
              <w:rPr>
                <w:color w:val="000000"/>
                <w:spacing w:val="0"/>
                <w:w w:val="100"/>
                <w:position w:val="0"/>
              </w:rPr>
              <w:t>模型确定认沽期权价值，限制性股票成本由限制性股 票公允价值减去限制性股票授予价格确定。</w:t>
            </w:r>
          </w:p>
        </w:tc>
      </w:tr>
      <w:tr>
        <w:trPr>
          <w:trHeight w:val="1339"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可行权权益工具数量的确定依据</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309" w:lineRule="exact"/>
              <w:ind w:left="0" w:right="0" w:firstLine="0"/>
              <w:jc w:val="both"/>
            </w:pPr>
            <w:r>
              <w:rPr>
                <w:color w:val="000000"/>
                <w:spacing w:val="0"/>
                <w:w w:val="100"/>
                <w:position w:val="0"/>
              </w:rPr>
              <w:t>在等待期内每个资产负债表日，公司根据最新可取得的可行权职工 人数变动等后续信息作出最佳估计，修正预计可行权的权益工具数 量。在可行权日，最终预计可行权权益工具的数量与实际可行权工 具的数量一致。</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本期估计与上期估计有重大差异的原因</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离职</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以权益结算的股份支付计入资本公积的累计金额</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9,852,944.67</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本期以权益结算的股份支付确认的费用总额</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2,839,918.67</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widowControl w:val="0"/>
        <w:spacing w:after="359" w:line="1" w:lineRule="exact"/>
      </w:pPr>
    </w:p>
    <w:p>
      <w:pPr>
        <w:pStyle w:val="Style55"/>
        <w:keepNext/>
        <w:keepLines/>
        <w:widowControl w:val="0"/>
        <w:shd w:val="clear" w:color="auto" w:fill="auto"/>
        <w:bidi w:val="0"/>
        <w:spacing w:before="0" w:after="360" w:line="240" w:lineRule="auto"/>
        <w:ind w:left="0" w:right="0" w:firstLine="0"/>
        <w:jc w:val="left"/>
      </w:pPr>
      <w:bookmarkStart w:id="2143" w:name="bookmark2143"/>
      <w:bookmarkStart w:id="2144" w:name="bookmark2144"/>
      <w:bookmarkStart w:id="2145" w:name="bookmark2145"/>
      <w:bookmarkStart w:id="2146" w:name="bookmark2146"/>
      <w:r>
        <w:rPr>
          <w:rFonts w:ascii="Times New Roman" w:eastAsia="Times New Roman" w:hAnsi="Times New Roman" w:cs="Times New Roman"/>
          <w:color w:val="000000"/>
          <w:spacing w:val="0"/>
          <w:w w:val="100"/>
          <w:position w:val="0"/>
        </w:rPr>
        <w:t>3</w:t>
      </w:r>
      <w:bookmarkEnd w:id="2145"/>
      <w:r>
        <w:rPr>
          <w:color w:val="000000"/>
          <w:spacing w:val="0"/>
          <w:w w:val="100"/>
          <w:position w:val="0"/>
        </w:rPr>
        <w:t>、以现金结算的股份支付情况</w:t>
      </w:r>
      <w:bookmarkEnd w:id="2143"/>
      <w:bookmarkEnd w:id="2144"/>
      <w:bookmarkEnd w:id="2146"/>
    </w:p>
    <w:p>
      <w:pPr>
        <w:pStyle w:val="Style32"/>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55"/>
        <w:keepNext/>
        <w:keepLines/>
        <w:widowControl w:val="0"/>
        <w:shd w:val="clear" w:color="auto" w:fill="auto"/>
        <w:bidi w:val="0"/>
        <w:spacing w:before="0" w:after="240" w:line="240" w:lineRule="auto"/>
        <w:ind w:left="0" w:right="0" w:firstLine="0"/>
        <w:jc w:val="left"/>
      </w:pPr>
      <w:bookmarkStart w:id="2147" w:name="bookmark2147"/>
      <w:bookmarkStart w:id="2148" w:name="bookmark2148"/>
      <w:bookmarkStart w:id="2149" w:name="bookmark2149"/>
      <w:bookmarkStart w:id="2150" w:name="bookmark2150"/>
      <w:r>
        <w:rPr>
          <w:rFonts w:ascii="Times New Roman" w:eastAsia="Times New Roman" w:hAnsi="Times New Roman" w:cs="Times New Roman"/>
          <w:color w:val="000000"/>
          <w:spacing w:val="0"/>
          <w:w w:val="100"/>
          <w:position w:val="0"/>
        </w:rPr>
        <w:t>4</w:t>
      </w:r>
      <w:bookmarkEnd w:id="2149"/>
      <w:r>
        <w:rPr>
          <w:color w:val="000000"/>
          <w:spacing w:val="0"/>
          <w:w w:val="100"/>
          <w:position w:val="0"/>
        </w:rPr>
        <w:t>、股份支付的修改、终止情况</w:t>
      </w:r>
      <w:bookmarkEnd w:id="2147"/>
      <w:bookmarkEnd w:id="2148"/>
      <w:bookmarkEnd w:id="2150"/>
    </w:p>
    <w:p>
      <w:pPr>
        <w:pStyle w:val="Style32"/>
        <w:keepNext w:val="0"/>
        <w:keepLines w:val="0"/>
        <w:widowControl w:val="0"/>
        <w:shd w:val="clear" w:color="auto" w:fill="auto"/>
        <w:bidi w:val="0"/>
        <w:spacing w:before="0" w:after="360" w:line="322" w:lineRule="exact"/>
        <w:ind w:left="0" w:right="0" w:firstLine="0"/>
        <w:jc w:val="left"/>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8</w:t>
      </w:r>
      <w:r>
        <w:rPr>
          <w:color w:val="000000"/>
          <w:spacing w:val="0"/>
          <w:w w:val="100"/>
          <w:position w:val="0"/>
        </w:rPr>
        <w:t>月，由于资本公积转增股本、派送股票红利、股份拆细的影响，公司对授予权益数量及行权价格进行调整，调整后 的限制性股票数量为</w:t>
      </w:r>
      <w:r>
        <w:rPr>
          <w:color w:val="000000"/>
          <w:spacing w:val="0"/>
          <w:w w:val="100"/>
          <w:position w:val="0"/>
          <w:sz w:val="18"/>
          <w:szCs w:val="18"/>
        </w:rPr>
        <w:t xml:space="preserve">420. </w:t>
      </w:r>
      <w:r>
        <w:rPr>
          <w:color w:val="000000"/>
          <w:spacing w:val="0"/>
          <w:w w:val="100"/>
          <w:position w:val="0"/>
          <w:sz w:val="18"/>
          <w:szCs w:val="18"/>
        </w:rPr>
        <w:t>00</w:t>
      </w:r>
      <w:r>
        <w:rPr>
          <w:color w:val="000000"/>
          <w:spacing w:val="0"/>
          <w:w w:val="100"/>
          <w:position w:val="0"/>
        </w:rPr>
        <w:t>万股，股票期权数量为</w:t>
      </w:r>
      <w:r>
        <w:rPr>
          <w:color w:val="000000"/>
          <w:spacing w:val="0"/>
          <w:w w:val="100"/>
          <w:position w:val="0"/>
          <w:sz w:val="18"/>
          <w:szCs w:val="18"/>
        </w:rPr>
        <w:t>795.00</w:t>
      </w:r>
      <w:r>
        <w:rPr>
          <w:color w:val="000000"/>
          <w:spacing w:val="0"/>
          <w:w w:val="100"/>
          <w:position w:val="0"/>
        </w:rPr>
        <w:t>万份，股票期权行权价格为</w:t>
      </w:r>
      <w:r>
        <w:rPr>
          <w:color w:val="000000"/>
          <w:spacing w:val="0"/>
          <w:w w:val="100"/>
          <w:position w:val="0"/>
          <w:sz w:val="18"/>
          <w:szCs w:val="18"/>
        </w:rPr>
        <w:t>3.98</w:t>
      </w:r>
      <w:r>
        <w:rPr>
          <w:color w:val="000000"/>
          <w:spacing w:val="0"/>
          <w:w w:val="100"/>
          <w:position w:val="0"/>
        </w:rPr>
        <w:t>元</w:t>
      </w:r>
      <w:r>
        <w:rPr>
          <w:color w:val="000000"/>
          <w:spacing w:val="0"/>
          <w:w w:val="100"/>
          <w:position w:val="0"/>
          <w:sz w:val="18"/>
          <w:szCs w:val="18"/>
        </w:rPr>
        <w:t>/</w:t>
      </w:r>
      <w:r>
        <w:rPr>
          <w:color w:val="000000"/>
          <w:spacing w:val="0"/>
          <w:w w:val="100"/>
          <w:position w:val="0"/>
        </w:rPr>
        <w:t>股。本次调整经第四届董事会 第十八次会议通过。</w:t>
      </w:r>
    </w:p>
    <w:p>
      <w:pPr>
        <w:pStyle w:val="Style55"/>
        <w:keepNext/>
        <w:keepLines/>
        <w:widowControl w:val="0"/>
        <w:shd w:val="clear" w:color="auto" w:fill="auto"/>
        <w:bidi w:val="0"/>
        <w:spacing w:before="0" w:after="360" w:line="240" w:lineRule="auto"/>
        <w:ind w:left="0" w:right="0" w:firstLine="0"/>
        <w:jc w:val="left"/>
      </w:pPr>
      <w:bookmarkStart w:id="2151" w:name="bookmark2151"/>
      <w:bookmarkStart w:id="2152" w:name="bookmark2152"/>
      <w:bookmarkStart w:id="2153" w:name="bookmark2153"/>
      <w:bookmarkStart w:id="2154" w:name="bookmark2154"/>
      <w:r>
        <w:rPr>
          <w:rFonts w:ascii="Times New Roman" w:eastAsia="Times New Roman" w:hAnsi="Times New Roman" w:cs="Times New Roman"/>
          <w:color w:val="000000"/>
          <w:spacing w:val="0"/>
          <w:w w:val="100"/>
          <w:position w:val="0"/>
        </w:rPr>
        <w:t>5</w:t>
      </w:r>
      <w:bookmarkEnd w:id="2153"/>
      <w:r>
        <w:rPr>
          <w:color w:val="000000"/>
          <w:spacing w:val="0"/>
          <w:w w:val="100"/>
          <w:position w:val="0"/>
        </w:rPr>
        <w:t>、其他</w:t>
      </w:r>
      <w:bookmarkEnd w:id="2151"/>
      <w:bookmarkEnd w:id="2152"/>
      <w:bookmarkEnd w:id="2154"/>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无</w:t>
      </w:r>
    </w:p>
    <w:p>
      <w:pPr>
        <w:pStyle w:val="Style47"/>
        <w:keepNext/>
        <w:keepLines/>
        <w:widowControl w:val="0"/>
        <w:shd w:val="clear" w:color="auto" w:fill="auto"/>
        <w:bidi w:val="0"/>
        <w:spacing w:before="0" w:after="360" w:line="240" w:lineRule="auto"/>
        <w:ind w:left="0" w:right="0" w:firstLine="0"/>
        <w:jc w:val="left"/>
      </w:pPr>
      <w:bookmarkStart w:id="2155" w:name="bookmark2155"/>
      <w:bookmarkStart w:id="2156" w:name="bookmark2156"/>
      <w:bookmarkStart w:id="2157" w:name="bookmark2157"/>
      <w:r>
        <w:rPr>
          <w:color w:val="000000"/>
          <w:spacing w:val="0"/>
          <w:w w:val="100"/>
          <w:position w:val="0"/>
          <w:sz w:val="24"/>
          <w:szCs w:val="24"/>
        </w:rPr>
        <w:t>十四、承诺及或有事项</w:t>
      </w:r>
      <w:bookmarkEnd w:id="2155"/>
      <w:bookmarkEnd w:id="2156"/>
      <w:bookmarkEnd w:id="2157"/>
    </w:p>
    <w:p>
      <w:pPr>
        <w:pStyle w:val="Style55"/>
        <w:keepNext/>
        <w:keepLines/>
        <w:widowControl w:val="0"/>
        <w:shd w:val="clear" w:color="auto" w:fill="auto"/>
        <w:bidi w:val="0"/>
        <w:spacing w:before="0" w:after="360" w:line="240" w:lineRule="auto"/>
        <w:ind w:left="0" w:right="0" w:firstLine="0"/>
        <w:jc w:val="left"/>
      </w:pPr>
      <w:bookmarkStart w:id="2158" w:name="bookmark2158"/>
      <w:bookmarkStart w:id="2159" w:name="bookmark2159"/>
      <w:bookmarkStart w:id="2160" w:name="bookmark2160"/>
      <w:r>
        <w:rPr>
          <w:rFonts w:ascii="Times New Roman" w:eastAsia="Times New Roman" w:hAnsi="Times New Roman" w:cs="Times New Roman"/>
          <w:color w:val="000000"/>
          <w:spacing w:val="0"/>
          <w:w w:val="100"/>
          <w:position w:val="0"/>
        </w:rPr>
        <w:t>1</w:t>
      </w:r>
      <w:r>
        <w:rPr>
          <w:color w:val="000000"/>
          <w:spacing w:val="0"/>
          <w:w w:val="100"/>
          <w:position w:val="0"/>
        </w:rPr>
        <w:t>、重要承诺事项</w:t>
      </w:r>
      <w:bookmarkEnd w:id="2158"/>
      <w:bookmarkEnd w:id="2159"/>
      <w:bookmarkEnd w:id="2160"/>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日，本公司无需要披露的重大承诺事项。</w:t>
      </w:r>
    </w:p>
    <w:p>
      <w:pPr>
        <w:pStyle w:val="Style5"/>
        <w:keepNext w:val="0"/>
        <w:keepLines w:val="0"/>
        <w:widowControl w:val="0"/>
        <w:shd w:val="clear" w:color="auto" w:fill="auto"/>
        <w:bidi w:val="0"/>
        <w:spacing w:before="0" w:after="0" w:line="240" w:lineRule="auto"/>
        <w:ind w:left="0" w:right="0" w:firstLine="0"/>
        <w:jc w:val="both"/>
      </w:pPr>
      <w:r>
        <w:rPr>
          <w:color w:val="245994"/>
          <w:spacing w:val="0"/>
          <w:w w:val="100"/>
          <w:position w:val="0"/>
        </w:rPr>
        <w:t>，广</w:t>
      </w:r>
      <w:r>
        <w:rPr>
          <w:rFonts w:ascii="Arial" w:eastAsia="Arial" w:hAnsi="Arial" w:cs="Arial"/>
          <w:color w:val="245994"/>
          <w:spacing w:val="0"/>
          <w:w w:val="100"/>
          <w:position w:val="0"/>
          <w:sz w:val="13"/>
          <w:szCs w:val="13"/>
        </w:rPr>
        <w:t>™</w:t>
      </w:r>
      <w:r>
        <w:rPr>
          <w:color w:val="2D2B2E"/>
          <w:spacing w:val="0"/>
          <w:w w:val="100"/>
          <w:position w:val="0"/>
        </w:rPr>
        <w:t>-</w:t>
      </w:r>
      <w:r>
        <w:rPr>
          <w:spacing w:val="0"/>
          <w:w w:val="100"/>
          <w:position w:val="0"/>
        </w:rPr>
        <w:t>国家高新技术企业</w:t>
      </w:r>
    </w:p>
    <w:p>
      <w:pPr>
        <w:pStyle w:val="Style32"/>
        <w:keepNext w:val="0"/>
        <w:keepLines w:val="0"/>
        <w:widowControl w:val="0"/>
        <w:shd w:val="clear" w:color="auto" w:fill="auto"/>
        <w:bidi w:val="0"/>
        <w:spacing w:before="0" w:after="0" w:line="240" w:lineRule="auto"/>
        <w:ind w:left="0" w:right="0" w:firstLine="180"/>
        <w:jc w:val="left"/>
      </w:pPr>
      <w:r>
        <w:rPr>
          <w:rFonts w:ascii="SimHei" w:eastAsia="SimHei" w:hAnsi="SimHei" w:cs="SimHei"/>
          <w:color w:val="245994"/>
          <w:spacing w:val="0"/>
          <w:w w:val="100"/>
          <w:position w:val="0"/>
          <w:sz w:val="15"/>
          <w:szCs w:val="15"/>
        </w:rPr>
        <w:t xml:space="preserve">，| </w:t>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360" w:line="240" w:lineRule="auto"/>
        <w:ind w:left="0" w:right="0" w:firstLine="0"/>
        <w:jc w:val="left"/>
      </w:pPr>
      <w:bookmarkStart w:id="2161" w:name="bookmark2161"/>
      <w:bookmarkStart w:id="2162" w:name="bookmark2162"/>
      <w:bookmarkStart w:id="2163" w:name="bookmark2163"/>
      <w:r>
        <w:rPr>
          <w:rFonts w:ascii="Times New Roman" w:eastAsia="Times New Roman" w:hAnsi="Times New Roman" w:cs="Times New Roman"/>
          <w:color w:val="000000"/>
          <w:spacing w:val="0"/>
          <w:w w:val="100"/>
          <w:position w:val="0"/>
        </w:rPr>
        <w:t>2</w:t>
      </w:r>
      <w:r>
        <w:rPr>
          <w:color w:val="000000"/>
          <w:spacing w:val="0"/>
          <w:w w:val="100"/>
          <w:position w:val="0"/>
        </w:rPr>
        <w:t>、或有事项</w:t>
      </w:r>
      <w:bookmarkEnd w:id="2161"/>
      <w:bookmarkEnd w:id="2162"/>
      <w:bookmarkEnd w:id="2163"/>
    </w:p>
    <w:p>
      <w:pPr>
        <w:pStyle w:val="Style55"/>
        <w:keepNext/>
        <w:keepLines/>
        <w:widowControl w:val="0"/>
        <w:shd w:val="clear" w:color="auto" w:fill="auto"/>
        <w:bidi w:val="0"/>
        <w:spacing w:before="0" w:after="300" w:line="240" w:lineRule="auto"/>
        <w:ind w:left="0" w:right="0" w:firstLine="0"/>
        <w:jc w:val="left"/>
      </w:pPr>
      <w:bookmarkStart w:id="2161" w:name="bookmark2161"/>
      <w:bookmarkStart w:id="2162" w:name="bookmark2162"/>
      <w:bookmarkStart w:id="2164" w:name="bookmark216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）资产负债表日存在的重要或有事项</w:t>
      </w:r>
      <w:bookmarkEnd w:id="2161"/>
      <w:bookmarkEnd w:id="2162"/>
      <w:bookmarkEnd w:id="2164"/>
    </w:p>
    <w:p>
      <w:pPr>
        <w:pStyle w:val="Style32"/>
        <w:keepNext w:val="0"/>
        <w:keepLines w:val="0"/>
        <w:widowControl w:val="0"/>
        <w:shd w:val="clear" w:color="auto" w:fill="auto"/>
        <w:tabs>
          <w:tab w:pos="327" w:val="left"/>
        </w:tabs>
        <w:bidi w:val="0"/>
        <w:spacing w:before="0" w:after="0" w:line="305" w:lineRule="exact"/>
        <w:ind w:left="0" w:right="0" w:firstLine="0"/>
        <w:jc w:val="left"/>
      </w:pPr>
      <w:bookmarkStart w:id="2165" w:name="bookmark2165"/>
      <w:r>
        <w:rPr>
          <w:rFonts w:ascii="Times New Roman" w:eastAsia="Times New Roman" w:hAnsi="Times New Roman" w:cs="Times New Roman"/>
          <w:color w:val="000000"/>
          <w:spacing w:val="0"/>
          <w:w w:val="100"/>
          <w:position w:val="0"/>
        </w:rPr>
        <w:t>1</w:t>
      </w:r>
      <w:bookmarkEnd w:id="2165"/>
      <w:r>
        <w:rPr>
          <w:color w:val="000000"/>
          <w:spacing w:val="0"/>
          <w:w w:val="100"/>
          <w:position w:val="0"/>
        </w:rPr>
        <w:t>）</w:t>
        <w:tab/>
        <w:t>公司之子公司北京神州视翰科技有限公司与兴业银行股份有限公司沈阳分行（兴业银行沈阳分行）签订最高额保证合同， 为公司与兴业银行沈阳分行在</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 xml:space="preserve">日期间内办理的各类融资业务提供最高额不超过人民币 </w:t>
      </w:r>
      <w:r>
        <w:rPr>
          <w:rFonts w:ascii="Times New Roman" w:eastAsia="Times New Roman" w:hAnsi="Times New Roman" w:cs="Times New Roman"/>
          <w:color w:val="000000"/>
          <w:spacing w:val="0"/>
          <w:w w:val="100"/>
          <w:position w:val="0"/>
        </w:rPr>
        <w:t>7,000.00</w:t>
      </w:r>
      <w:r>
        <w:rPr>
          <w:color w:val="000000"/>
          <w:spacing w:val="0"/>
          <w:w w:val="100"/>
          <w:position w:val="0"/>
        </w:rPr>
        <w:t>万元的保证担保，截至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日，前述保证担保依然存在。</w:t>
      </w:r>
    </w:p>
    <w:p>
      <w:pPr>
        <w:pStyle w:val="Style32"/>
        <w:keepNext w:val="0"/>
        <w:keepLines w:val="0"/>
        <w:widowControl w:val="0"/>
        <w:shd w:val="clear" w:color="auto" w:fill="auto"/>
        <w:tabs>
          <w:tab w:pos="332" w:val="left"/>
        </w:tabs>
        <w:bidi w:val="0"/>
        <w:spacing w:before="0" w:after="0" w:line="312" w:lineRule="exact"/>
        <w:ind w:left="0" w:right="0" w:firstLine="0"/>
        <w:jc w:val="left"/>
      </w:pPr>
      <w:bookmarkStart w:id="2166" w:name="bookmark2166"/>
      <w:r>
        <w:rPr>
          <w:rFonts w:ascii="Times New Roman" w:eastAsia="Times New Roman" w:hAnsi="Times New Roman" w:cs="Times New Roman"/>
          <w:color w:val="000000"/>
          <w:spacing w:val="0"/>
          <w:w w:val="100"/>
          <w:position w:val="0"/>
        </w:rPr>
        <w:t>2</w:t>
      </w:r>
      <w:bookmarkEnd w:id="2166"/>
      <w:r>
        <w:rPr>
          <w:color w:val="000000"/>
          <w:spacing w:val="0"/>
          <w:w w:val="100"/>
          <w:position w:val="0"/>
        </w:rPr>
        <w:t>）</w:t>
        <w:tab/>
        <w:t>公司之子公司上海米健信息技术有限公司与上海市中小微企业政策性融资担保基金管理中心</w:t>
      </w:r>
      <w:r>
        <w:rPr>
          <w:rFonts w:ascii="Times New Roman" w:eastAsia="Times New Roman" w:hAnsi="Times New Roman" w:cs="Times New Roman"/>
          <w:color w:val="000000"/>
          <w:spacing w:val="0"/>
          <w:w w:val="100"/>
          <w:position w:val="0"/>
        </w:rPr>
        <w:t>（</w:t>
      </w:r>
      <w:r>
        <w:rPr>
          <w:color w:val="000000"/>
          <w:spacing w:val="0"/>
          <w:w w:val="100"/>
          <w:position w:val="0"/>
        </w:rPr>
        <w:t>以下简称融资担保中心</w:t>
      </w:r>
      <w:r>
        <w:rPr>
          <w:rFonts w:ascii="Times New Roman" w:eastAsia="Times New Roman" w:hAnsi="Times New Roman" w:cs="Times New Roman"/>
          <w:color w:val="000000"/>
          <w:spacing w:val="0"/>
          <w:w w:val="100"/>
          <w:position w:val="0"/>
        </w:rPr>
        <w:t>）</w:t>
      </w:r>
      <w:r>
        <w:rPr>
          <w:color w:val="000000"/>
          <w:spacing w:val="0"/>
          <w:w w:val="100"/>
          <w:position w:val="0"/>
        </w:rPr>
        <w:t>签 订担保合同，由融资担保中心为公司之子公司上海米健信息技术有限公司与上海银行股份有限公司徐家汇支行（以下简称上 行徐家汇支行）签订的《流动资金借款合同》为</w:t>
      </w:r>
      <w:r>
        <w:rPr>
          <w:rFonts w:ascii="Times New Roman" w:eastAsia="Times New Roman" w:hAnsi="Times New Roman" w:cs="Times New Roman"/>
          <w:color w:val="000000"/>
          <w:spacing w:val="0"/>
          <w:w w:val="100"/>
          <w:position w:val="0"/>
        </w:rPr>
        <w:t>1,000.00</w:t>
      </w:r>
      <w:r>
        <w:rPr>
          <w:color w:val="000000"/>
          <w:spacing w:val="0"/>
          <w:w w:val="100"/>
          <w:position w:val="0"/>
        </w:rPr>
        <w:t>万元的流动资金贷款提供保证担保，保证担保的限额为</w:t>
      </w:r>
      <w:r>
        <w:rPr>
          <w:rFonts w:ascii="Times New Roman" w:eastAsia="Times New Roman" w:hAnsi="Times New Roman" w:cs="Times New Roman"/>
          <w:color w:val="000000"/>
          <w:spacing w:val="0"/>
          <w:w w:val="100"/>
          <w:position w:val="0"/>
        </w:rPr>
        <w:t>850.00</w:t>
      </w:r>
      <w:r>
        <w:rPr>
          <w:color w:val="000000"/>
          <w:spacing w:val="0"/>
          <w:w w:val="100"/>
          <w:position w:val="0"/>
        </w:rPr>
        <w:t>万 元，由公司向融资担保中心担保的</w:t>
      </w:r>
      <w:r>
        <w:rPr>
          <w:rFonts w:ascii="Times New Roman" w:eastAsia="Times New Roman" w:hAnsi="Times New Roman" w:cs="Times New Roman"/>
          <w:color w:val="000000"/>
          <w:spacing w:val="0"/>
          <w:w w:val="100"/>
          <w:position w:val="0"/>
        </w:rPr>
        <w:t>850.00</w:t>
      </w:r>
      <w:r>
        <w:rPr>
          <w:color w:val="000000"/>
          <w:spacing w:val="0"/>
          <w:w w:val="100"/>
          <w:position w:val="0"/>
        </w:rPr>
        <w:t>万元提供反担保，截止</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日，前述反担保依然存在。</w:t>
      </w:r>
    </w:p>
    <w:p>
      <w:pPr>
        <w:pStyle w:val="Style32"/>
        <w:keepNext w:val="0"/>
        <w:keepLines w:val="0"/>
        <w:widowControl w:val="0"/>
        <w:shd w:val="clear" w:color="auto" w:fill="auto"/>
        <w:tabs>
          <w:tab w:pos="332" w:val="left"/>
        </w:tabs>
        <w:bidi w:val="0"/>
        <w:spacing w:before="0" w:after="0" w:line="312" w:lineRule="exact"/>
        <w:ind w:left="0" w:right="0" w:firstLine="0"/>
        <w:jc w:val="left"/>
      </w:pPr>
      <w:bookmarkStart w:id="2167" w:name="bookmark2167"/>
      <w:r>
        <w:rPr>
          <w:rFonts w:ascii="Times New Roman" w:eastAsia="Times New Roman" w:hAnsi="Times New Roman" w:cs="Times New Roman"/>
          <w:color w:val="000000"/>
          <w:spacing w:val="0"/>
          <w:w w:val="100"/>
          <w:position w:val="0"/>
        </w:rPr>
        <w:t>3</w:t>
      </w:r>
      <w:bookmarkEnd w:id="2167"/>
      <w:r>
        <w:rPr>
          <w:color w:val="000000"/>
          <w:spacing w:val="0"/>
          <w:w w:val="100"/>
          <w:position w:val="0"/>
        </w:rPr>
        <w:t>）</w:t>
        <w:tab/>
        <w:t xml:space="preserve">公司与上行徐家汇支行签订《借款保证合同》，为公司之子公司上海米健信息技术有限公司与上行徐家汇支行签订的 </w:t>
      </w:r>
      <w:r>
        <w:rPr>
          <w:rFonts w:ascii="Times New Roman" w:eastAsia="Times New Roman" w:hAnsi="Times New Roman" w:cs="Times New Roman"/>
          <w:color w:val="000000"/>
          <w:spacing w:val="0"/>
          <w:w w:val="100"/>
          <w:position w:val="0"/>
        </w:rPr>
        <w:t>1,000.00</w:t>
      </w:r>
      <w:r>
        <w:rPr>
          <w:color w:val="000000"/>
          <w:spacing w:val="0"/>
          <w:w w:val="100"/>
          <w:position w:val="0"/>
        </w:rPr>
        <w:t>万元的流动资金贷款提供保证担保，截至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日，前述担保依然存在。</w:t>
      </w:r>
    </w:p>
    <w:p>
      <w:pPr>
        <w:pStyle w:val="Style32"/>
        <w:keepNext w:val="0"/>
        <w:keepLines w:val="0"/>
        <w:widowControl w:val="0"/>
        <w:shd w:val="clear" w:color="auto" w:fill="auto"/>
        <w:tabs>
          <w:tab w:pos="332" w:val="left"/>
        </w:tabs>
        <w:bidi w:val="0"/>
        <w:spacing w:before="0" w:after="0" w:line="312" w:lineRule="exact"/>
        <w:ind w:left="0" w:right="0" w:firstLine="0"/>
        <w:jc w:val="left"/>
      </w:pPr>
      <w:bookmarkStart w:id="2168" w:name="bookmark2168"/>
      <w:r>
        <w:rPr>
          <w:rFonts w:ascii="Times New Roman" w:eastAsia="Times New Roman" w:hAnsi="Times New Roman" w:cs="Times New Roman"/>
          <w:color w:val="000000"/>
          <w:spacing w:val="0"/>
          <w:w w:val="100"/>
          <w:position w:val="0"/>
        </w:rPr>
        <w:t>4</w:t>
      </w:r>
      <w:bookmarkEnd w:id="2168"/>
      <w:r>
        <w:rPr>
          <w:color w:val="000000"/>
          <w:spacing w:val="0"/>
          <w:w w:val="100"/>
          <w:position w:val="0"/>
        </w:rPr>
        <w:t>）</w:t>
        <w:tab/>
        <w:t>公司之子公司上海米健信息技术有限公司与上海创业接力融资担保有限公司（以下简称创业接力）签订担保合同，由创 业接力为公司之子公司上海米健信息技术有限公司与中国工商银行股份有限公司上海市杨浦支行（以下简称工行杨浦支行） 签订的授信额度为</w:t>
      </w:r>
      <w:r>
        <w:rPr>
          <w:rFonts w:ascii="Times New Roman" w:eastAsia="Times New Roman" w:hAnsi="Times New Roman" w:cs="Times New Roman"/>
          <w:color w:val="000000"/>
          <w:spacing w:val="0"/>
          <w:w w:val="100"/>
          <w:position w:val="0"/>
        </w:rPr>
        <w:t>300.00</w:t>
      </w:r>
      <w:r>
        <w:rPr>
          <w:color w:val="000000"/>
          <w:spacing w:val="0"/>
          <w:w w:val="100"/>
          <w:position w:val="0"/>
        </w:rPr>
        <w:t>万元的流动资金贷款提供保证担保，由公司向创业接力担保的</w:t>
      </w:r>
      <w:r>
        <w:rPr>
          <w:rFonts w:ascii="Times New Roman" w:eastAsia="Times New Roman" w:hAnsi="Times New Roman" w:cs="Times New Roman"/>
          <w:color w:val="000000"/>
          <w:spacing w:val="0"/>
          <w:w w:val="100"/>
          <w:position w:val="0"/>
        </w:rPr>
        <w:t>300.00</w:t>
      </w:r>
      <w:r>
        <w:rPr>
          <w:color w:val="000000"/>
          <w:spacing w:val="0"/>
          <w:w w:val="100"/>
          <w:position w:val="0"/>
        </w:rPr>
        <w:t>万元提供反担保，上海米健 信息技术有限公司以其</w:t>
      </w:r>
      <w:r>
        <w:rPr>
          <w:rFonts w:ascii="Times New Roman" w:eastAsia="Times New Roman" w:hAnsi="Times New Roman" w:cs="Times New Roman"/>
          <w:color w:val="000000"/>
          <w:spacing w:val="0"/>
          <w:w w:val="100"/>
          <w:position w:val="0"/>
        </w:rPr>
        <w:t>583.25</w:t>
      </w:r>
      <w:r>
        <w:rPr>
          <w:color w:val="000000"/>
          <w:spacing w:val="0"/>
          <w:w w:val="100"/>
          <w:position w:val="0"/>
        </w:rPr>
        <w:t>万元的应收账款及合同资产为前述担保提供质押反担保，同时公司为工行杨浦支行提供最高 额度不超过</w:t>
      </w:r>
      <w:r>
        <w:rPr>
          <w:rFonts w:ascii="Times New Roman" w:eastAsia="Times New Roman" w:hAnsi="Times New Roman" w:cs="Times New Roman"/>
          <w:color w:val="000000"/>
          <w:spacing w:val="0"/>
          <w:w w:val="100"/>
          <w:position w:val="0"/>
        </w:rPr>
        <w:t>360</w:t>
      </w:r>
      <w:r>
        <w:rPr>
          <w:color w:val="000000"/>
          <w:spacing w:val="0"/>
          <w:w w:val="100"/>
          <w:position w:val="0"/>
        </w:rPr>
        <w:t>万元连带责任保证，截至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日，前述担保依然存在。</w:t>
      </w:r>
    </w:p>
    <w:p>
      <w:pPr>
        <w:pStyle w:val="Style32"/>
        <w:keepNext w:val="0"/>
        <w:keepLines w:val="0"/>
        <w:widowControl w:val="0"/>
        <w:shd w:val="clear" w:color="auto" w:fill="auto"/>
        <w:tabs>
          <w:tab w:pos="332" w:val="left"/>
        </w:tabs>
        <w:bidi w:val="0"/>
        <w:spacing w:before="0" w:after="0" w:line="319" w:lineRule="exact"/>
        <w:ind w:left="0" w:right="0" w:firstLine="0"/>
        <w:jc w:val="left"/>
      </w:pPr>
      <w:bookmarkStart w:id="2169" w:name="bookmark2169"/>
      <w:r>
        <w:rPr>
          <w:rFonts w:ascii="Times New Roman" w:eastAsia="Times New Roman" w:hAnsi="Times New Roman" w:cs="Times New Roman"/>
          <w:color w:val="000000"/>
          <w:spacing w:val="0"/>
          <w:w w:val="100"/>
          <w:position w:val="0"/>
        </w:rPr>
        <w:t>5</w:t>
      </w:r>
      <w:bookmarkEnd w:id="2169"/>
      <w:r>
        <w:rPr>
          <w:color w:val="000000"/>
          <w:spacing w:val="0"/>
          <w:w w:val="100"/>
          <w:position w:val="0"/>
        </w:rPr>
        <w:t>）</w:t>
        <w:tab/>
        <w:t>公司与招商银行股份有限公司上海分行（以下简称招行上海分行）签订《最高额不可撤销担保书》为公司之子公司上海 米健信息技术有限公司与招行上海分行签订的授信额度为</w:t>
      </w:r>
      <w:r>
        <w:rPr>
          <w:rFonts w:ascii="Times New Roman" w:eastAsia="Times New Roman" w:hAnsi="Times New Roman" w:cs="Times New Roman"/>
          <w:color w:val="000000"/>
          <w:spacing w:val="0"/>
          <w:w w:val="100"/>
          <w:position w:val="0"/>
        </w:rPr>
        <w:t>2,000.00</w:t>
      </w:r>
      <w:r>
        <w:rPr>
          <w:color w:val="000000"/>
          <w:spacing w:val="0"/>
          <w:w w:val="100"/>
          <w:position w:val="0"/>
        </w:rPr>
        <w:t>万元各类融资业务提供保证担保，截至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日，前述担保依然存在。</w:t>
      </w:r>
    </w:p>
    <w:p>
      <w:pPr>
        <w:pStyle w:val="Style32"/>
        <w:keepNext w:val="0"/>
        <w:keepLines w:val="0"/>
        <w:widowControl w:val="0"/>
        <w:shd w:val="clear" w:color="auto" w:fill="auto"/>
        <w:tabs>
          <w:tab w:pos="332" w:val="left"/>
        </w:tabs>
        <w:bidi w:val="0"/>
        <w:spacing w:before="0" w:after="0" w:line="319" w:lineRule="exact"/>
        <w:ind w:left="0" w:right="0" w:firstLine="0"/>
        <w:jc w:val="left"/>
      </w:pPr>
      <w:bookmarkStart w:id="2170" w:name="bookmark2170"/>
      <w:r>
        <w:rPr>
          <w:rFonts w:ascii="Times New Roman" w:eastAsia="Times New Roman" w:hAnsi="Times New Roman" w:cs="Times New Roman"/>
          <w:color w:val="000000"/>
          <w:spacing w:val="0"/>
          <w:w w:val="100"/>
          <w:position w:val="0"/>
        </w:rPr>
        <w:t>6</w:t>
      </w:r>
      <w:bookmarkEnd w:id="2170"/>
      <w:r>
        <w:rPr>
          <w:color w:val="000000"/>
          <w:spacing w:val="0"/>
          <w:w w:val="100"/>
          <w:position w:val="0"/>
        </w:rPr>
        <w:t>）</w:t>
        <w:tab/>
        <w:t>公司与交通银行股份有限公司上海杨浦支行（以下简称交行杨浦支行）签订《保证合同》为公司之子公司上海米健信息 技术有限公司与交行杨浦支行签订的借款金额为</w:t>
      </w:r>
      <w:r>
        <w:rPr>
          <w:rFonts w:ascii="Times New Roman" w:eastAsia="Times New Roman" w:hAnsi="Times New Roman" w:cs="Times New Roman"/>
          <w:color w:val="000000"/>
          <w:spacing w:val="0"/>
          <w:w w:val="100"/>
          <w:position w:val="0"/>
        </w:rPr>
        <w:t>200.00</w:t>
      </w:r>
      <w:r>
        <w:rPr>
          <w:color w:val="000000"/>
          <w:spacing w:val="0"/>
          <w:w w:val="100"/>
          <w:position w:val="0"/>
        </w:rPr>
        <w:t>万元的《流动资金借款合同》提供保证担保，截至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日，前述担保依然存在。</w:t>
      </w:r>
    </w:p>
    <w:p>
      <w:pPr>
        <w:pStyle w:val="Style32"/>
        <w:keepNext w:val="0"/>
        <w:keepLines w:val="0"/>
        <w:widowControl w:val="0"/>
        <w:shd w:val="clear" w:color="auto" w:fill="auto"/>
        <w:tabs>
          <w:tab w:pos="332" w:val="left"/>
        </w:tabs>
        <w:bidi w:val="0"/>
        <w:spacing w:before="0" w:after="0" w:line="312" w:lineRule="exact"/>
        <w:ind w:left="0" w:right="0" w:firstLine="0"/>
        <w:jc w:val="left"/>
      </w:pPr>
      <w:bookmarkStart w:id="2171" w:name="bookmark2171"/>
      <w:r>
        <w:rPr>
          <w:rFonts w:ascii="Times New Roman" w:eastAsia="Times New Roman" w:hAnsi="Times New Roman" w:cs="Times New Roman"/>
          <w:color w:val="000000"/>
          <w:spacing w:val="0"/>
          <w:w w:val="100"/>
          <w:position w:val="0"/>
        </w:rPr>
        <w:t>7</w:t>
      </w:r>
      <w:bookmarkEnd w:id="2171"/>
      <w:r>
        <w:rPr>
          <w:color w:val="000000"/>
          <w:spacing w:val="0"/>
          <w:w w:val="100"/>
          <w:position w:val="0"/>
        </w:rPr>
        <w:t>）</w:t>
        <w:tab/>
        <w:t xml:space="preserve">公司与交行杨浦支行签订《保证合同》为公司之子公司上海米健信息技术有限公司与交行杨浦支行签订的借款金额为 </w:t>
      </w:r>
      <w:r>
        <w:rPr>
          <w:rFonts w:ascii="Times New Roman" w:eastAsia="Times New Roman" w:hAnsi="Times New Roman" w:cs="Times New Roman"/>
          <w:color w:val="000000"/>
          <w:spacing w:val="0"/>
          <w:w w:val="100"/>
          <w:position w:val="0"/>
        </w:rPr>
        <w:t>300.00</w:t>
      </w:r>
      <w:r>
        <w:rPr>
          <w:color w:val="000000"/>
          <w:spacing w:val="0"/>
          <w:w w:val="100"/>
          <w:position w:val="0"/>
        </w:rPr>
        <w:t>万元的《流动资金借款合同》提供保证担保，截至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日，前述担保依然存在。</w:t>
      </w:r>
    </w:p>
    <w:p>
      <w:pPr>
        <w:pStyle w:val="Style32"/>
        <w:keepNext w:val="0"/>
        <w:keepLines w:val="0"/>
        <w:widowControl w:val="0"/>
        <w:shd w:val="clear" w:color="auto" w:fill="auto"/>
        <w:tabs>
          <w:tab w:pos="332" w:val="left"/>
        </w:tabs>
        <w:bidi w:val="0"/>
        <w:spacing w:before="0" w:after="0" w:line="317" w:lineRule="exact"/>
        <w:ind w:left="0" w:right="0" w:firstLine="0"/>
        <w:jc w:val="left"/>
      </w:pPr>
      <w:bookmarkStart w:id="2172" w:name="bookmark2172"/>
      <w:r>
        <w:rPr>
          <w:rFonts w:ascii="Times New Roman" w:eastAsia="Times New Roman" w:hAnsi="Times New Roman" w:cs="Times New Roman"/>
          <w:color w:val="000000"/>
          <w:spacing w:val="0"/>
          <w:w w:val="100"/>
          <w:position w:val="0"/>
        </w:rPr>
        <w:t>8</w:t>
      </w:r>
      <w:bookmarkEnd w:id="2172"/>
      <w:r>
        <w:rPr>
          <w:color w:val="000000"/>
          <w:spacing w:val="0"/>
          <w:w w:val="100"/>
          <w:position w:val="0"/>
        </w:rPr>
        <w:t>）</w:t>
        <w:tab/>
        <w:t>公司与中国银行股份有限公司上海闸北支行（以下简称中行闸北支行）签订《保证合同》，为公司之子公司上海米健信息 技术有限公司与中行闸北支行签订的借款金额为</w:t>
      </w:r>
      <w:r>
        <w:rPr>
          <w:rFonts w:ascii="Times New Roman" w:eastAsia="Times New Roman" w:hAnsi="Times New Roman" w:cs="Times New Roman"/>
          <w:color w:val="000000"/>
          <w:spacing w:val="0"/>
          <w:w w:val="100"/>
          <w:position w:val="0"/>
        </w:rPr>
        <w:t>300.00</w:t>
      </w:r>
      <w:r>
        <w:rPr>
          <w:color w:val="000000"/>
          <w:spacing w:val="0"/>
          <w:w w:val="100"/>
          <w:position w:val="0"/>
        </w:rPr>
        <w:t>万元的《流动资金借款合同》提供保证担保，截至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日，前述担保依然存在。</w:t>
      </w:r>
    </w:p>
    <w:p>
      <w:pPr>
        <w:pStyle w:val="Style32"/>
        <w:keepNext w:val="0"/>
        <w:keepLines w:val="0"/>
        <w:widowControl w:val="0"/>
        <w:shd w:val="clear" w:color="auto" w:fill="auto"/>
        <w:tabs>
          <w:tab w:pos="332" w:val="left"/>
        </w:tabs>
        <w:bidi w:val="0"/>
        <w:spacing w:before="0" w:after="0" w:line="322" w:lineRule="exact"/>
        <w:ind w:left="0" w:right="0" w:firstLine="0"/>
        <w:jc w:val="left"/>
      </w:pPr>
      <w:bookmarkStart w:id="2173" w:name="bookmark2173"/>
      <w:r>
        <w:rPr>
          <w:rFonts w:ascii="Times New Roman" w:eastAsia="Times New Roman" w:hAnsi="Times New Roman" w:cs="Times New Roman"/>
          <w:color w:val="000000"/>
          <w:spacing w:val="0"/>
          <w:w w:val="100"/>
          <w:position w:val="0"/>
        </w:rPr>
        <w:t>9</w:t>
      </w:r>
      <w:bookmarkEnd w:id="2173"/>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月，本公司就与贵阳市第四人民医院（以下简称贵阳四院）相关合同纠纷向沈阳市和平区人民法院提起诉讼， 请求判令贵阳四院支付合同款</w:t>
      </w:r>
      <w:r>
        <w:rPr>
          <w:rFonts w:ascii="Times New Roman" w:eastAsia="Times New Roman" w:hAnsi="Times New Roman" w:cs="Times New Roman"/>
          <w:color w:val="000000"/>
          <w:spacing w:val="0"/>
          <w:w w:val="100"/>
          <w:position w:val="0"/>
        </w:rPr>
        <w:t>707.48</w:t>
      </w:r>
      <w:r>
        <w:rPr>
          <w:color w:val="000000"/>
          <w:spacing w:val="0"/>
          <w:w w:val="100"/>
          <w:position w:val="0"/>
        </w:rPr>
        <w:t>万元以及相关逾期付款违约金等。截至本财务报告批准报出日止，相关案件正在审理 中。</w:t>
      </w:r>
    </w:p>
    <w:p>
      <w:pPr>
        <w:pStyle w:val="Style32"/>
        <w:keepNext w:val="0"/>
        <w:keepLines w:val="0"/>
        <w:widowControl w:val="0"/>
        <w:shd w:val="clear" w:color="auto" w:fill="auto"/>
        <w:bidi w:val="0"/>
        <w:spacing w:before="0" w:after="360" w:line="312" w:lineRule="exact"/>
        <w:ind w:left="0" w:right="0" w:firstLine="0"/>
        <w:jc w:val="left"/>
      </w:pPr>
      <w:r>
        <w:rPr>
          <w:color w:val="000000"/>
          <w:spacing w:val="0"/>
          <w:w w:val="100"/>
          <w:position w:val="0"/>
        </w:rPr>
        <w:t>除以上事项外，截至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日，本公司无需要披露的重大或有事项。</w:t>
      </w:r>
    </w:p>
    <w:p>
      <w:pPr>
        <w:pStyle w:val="Style55"/>
        <w:keepNext/>
        <w:keepLines/>
        <w:widowControl w:val="0"/>
        <w:shd w:val="clear" w:color="auto" w:fill="auto"/>
        <w:bidi w:val="0"/>
        <w:spacing w:before="0" w:after="0" w:line="610" w:lineRule="exact"/>
        <w:ind w:left="0" w:right="0" w:firstLine="0"/>
        <w:jc w:val="left"/>
      </w:pPr>
      <w:bookmarkStart w:id="2174" w:name="bookmark2174"/>
      <w:bookmarkStart w:id="2175" w:name="bookmark2175"/>
      <w:bookmarkStart w:id="2176" w:name="bookmark2176"/>
      <w:r>
        <w:rPr>
          <w:color w:val="000000"/>
          <w:spacing w:val="0"/>
          <w:w w:val="100"/>
          <w:position w:val="0"/>
          <w:shd w:val="clear" w:color="auto" w:fill="FFFFFF"/>
        </w:rPr>
        <w:t>（</w:t>
      </w:r>
      <w:r>
        <w:rPr>
          <w:rFonts w:ascii="Times New Roman" w:eastAsia="Times New Roman" w:hAnsi="Times New Roman" w:cs="Times New Roman"/>
          <w:color w:val="000000"/>
          <w:spacing w:val="0"/>
          <w:w w:val="100"/>
          <w:position w:val="0"/>
          <w:shd w:val="clear" w:color="auto" w:fill="FFFFFF"/>
        </w:rPr>
        <w:t>2</w:t>
      </w:r>
      <w:r>
        <w:rPr>
          <w:color w:val="000000"/>
          <w:spacing w:val="0"/>
          <w:w w:val="100"/>
          <w:position w:val="0"/>
          <w:shd w:val="clear" w:color="auto" w:fill="FFFFFF"/>
        </w:rPr>
        <w:t>）公司没有需要披露的重要或有事项，也应予以说明</w:t>
      </w:r>
      <w:bookmarkEnd w:id="2174"/>
      <w:bookmarkEnd w:id="2175"/>
      <w:bookmarkEnd w:id="2176"/>
    </w:p>
    <w:p>
      <w:pPr>
        <w:pStyle w:val="Style32"/>
        <w:keepNext w:val="0"/>
        <w:keepLines w:val="0"/>
        <w:widowControl w:val="0"/>
        <w:shd w:val="clear" w:color="auto" w:fill="auto"/>
        <w:bidi w:val="0"/>
        <w:spacing w:before="0" w:after="0" w:line="610" w:lineRule="exact"/>
        <w:ind w:left="0" w:right="0" w:firstLine="0"/>
        <w:jc w:val="left"/>
      </w:pPr>
      <w:r>
        <w:rPr>
          <w:color w:val="000000"/>
          <w:spacing w:val="0"/>
          <w:w w:val="100"/>
          <w:position w:val="0"/>
        </w:rPr>
        <w:t>公司不存在需要披露的重要或有事项。</w:t>
      </w:r>
    </w:p>
    <w:p>
      <w:pPr>
        <w:pStyle w:val="Style55"/>
        <w:keepNext/>
        <w:keepLines/>
        <w:widowControl w:val="0"/>
        <w:shd w:val="clear" w:color="auto" w:fill="auto"/>
        <w:bidi w:val="0"/>
        <w:spacing w:before="0" w:after="0" w:line="610" w:lineRule="exact"/>
        <w:ind w:left="0" w:right="0" w:firstLine="0"/>
        <w:jc w:val="left"/>
      </w:pPr>
      <w:bookmarkStart w:id="2177" w:name="bookmark2177"/>
      <w:bookmarkStart w:id="2178" w:name="bookmark2178"/>
      <w:bookmarkStart w:id="2179" w:name="bookmark2179"/>
      <w:bookmarkStart w:id="2180" w:name="bookmark2180"/>
      <w:r>
        <w:rPr>
          <w:rFonts w:ascii="Times New Roman" w:eastAsia="Times New Roman" w:hAnsi="Times New Roman" w:cs="Times New Roman"/>
          <w:color w:val="000000"/>
          <w:spacing w:val="0"/>
          <w:w w:val="100"/>
          <w:position w:val="0"/>
        </w:rPr>
        <w:t>3</w:t>
      </w:r>
      <w:bookmarkEnd w:id="2179"/>
      <w:r>
        <w:rPr>
          <w:color w:val="000000"/>
          <w:spacing w:val="0"/>
          <w:w w:val="100"/>
          <w:position w:val="0"/>
        </w:rPr>
        <w:t>、其他</w:t>
      </w:r>
      <w:bookmarkEnd w:id="2177"/>
      <w:bookmarkEnd w:id="2178"/>
      <w:bookmarkEnd w:id="2180"/>
    </w:p>
    <w:p>
      <w:pPr>
        <w:pStyle w:val="Style32"/>
        <w:keepNext w:val="0"/>
        <w:keepLines w:val="0"/>
        <w:widowControl w:val="0"/>
        <w:shd w:val="clear" w:color="auto" w:fill="auto"/>
        <w:bidi w:val="0"/>
        <w:spacing w:before="0" w:after="0" w:line="610" w:lineRule="exact"/>
        <w:ind w:left="0" w:right="0" w:firstLine="0"/>
        <w:jc w:val="left"/>
      </w:pPr>
      <w:r>
        <w:rPr>
          <w:color w:val="000000"/>
          <w:spacing w:val="0"/>
          <w:w w:val="100"/>
          <w:position w:val="0"/>
        </w:rPr>
        <w:t>无</w:t>
      </w:r>
      <w:r>
        <w:br w:type="page"/>
      </w:r>
    </w:p>
    <w:p>
      <w:pPr>
        <w:pStyle w:val="Style5"/>
        <w:keepNext w:val="0"/>
        <w:keepLines w:val="0"/>
        <w:widowControl w:val="0"/>
        <w:shd w:val="clear" w:color="auto" w:fill="auto"/>
        <w:tabs>
          <w:tab w:pos="764" w:val="left"/>
        </w:tabs>
        <w:bidi w:val="0"/>
        <w:spacing w:before="0" w:after="0" w:line="240" w:lineRule="auto"/>
        <w:ind w:left="0" w:right="0" w:firstLine="360"/>
        <w:jc w:val="both"/>
      </w:pPr>
      <w:r>
        <mc:AlternateContent>
          <mc:Choice Requires="wps">
            <w:drawing>
              <wp:anchor distT="0" distB="0" distL="0" distR="0" simplePos="0" relativeHeight="125829688" behindDoc="0" locked="0" layoutInCell="1" allowOverlap="1">
                <wp:simplePos x="0" y="0"/>
                <wp:positionH relativeFrom="page">
                  <wp:posOffset>754380</wp:posOffset>
                </wp:positionH>
                <wp:positionV relativeFrom="margin">
                  <wp:posOffset>-304165</wp:posOffset>
                </wp:positionV>
                <wp:extent cx="1301750" cy="323215"/>
                <wp:wrapTopAndBottom/>
                <wp:docPr id="1254" name="Shape 1254"/>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2280" type="#_x0000_t202" style="position:absolute;margin-left:59.399999999999999pt;margin-top:-23.949999999999999pt;width:102.5pt;height:25.449999999999999pt;z-index:-125829065;mso-wrap-distance-left:0;mso-wrap-distance-right:0;mso-position-horizontal-relative:page;mso-position-vertical-relative:margin"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topAndBottom" anchorx="page" anchory="margin"/>
              </v:shape>
            </w:pict>
          </mc:Fallback>
        </mc:AlternateContent>
      </w:r>
      <w:r>
        <w:rPr>
          <w:rFonts w:ascii="Arial" w:eastAsia="Arial" w:hAnsi="Arial" w:cs="Arial"/>
          <w:spacing w:val="0"/>
          <w:w w:val="100"/>
          <w:position w:val="0"/>
          <w:sz w:val="14"/>
          <w:szCs w:val="14"/>
        </w:rPr>
        <w:t>A</w:t>
        <w:tab/>
      </w:r>
      <w:r>
        <w:rPr>
          <w:spacing w:val="0"/>
          <w:w w:val="100"/>
          <w:position w:val="0"/>
        </w:rPr>
        <w:t>国家高新技术企业</w:t>
      </w:r>
    </w:p>
    <w:p>
      <w:pPr>
        <w:pStyle w:val="Style32"/>
        <w:keepNext w:val="0"/>
        <w:keepLines w:val="0"/>
        <w:widowControl w:val="0"/>
        <w:shd w:val="clear" w:color="auto" w:fill="auto"/>
        <w:tabs>
          <w:tab w:pos="764" w:val="left"/>
        </w:tabs>
        <w:bidi w:val="0"/>
        <w:spacing w:before="0" w:after="0" w:line="240" w:lineRule="auto"/>
        <w:ind w:left="0" w:right="0" w:firstLine="180"/>
        <w:jc w:val="both"/>
      </w:pPr>
      <w:r>
        <w:rPr>
          <w:rFonts w:ascii="SimHei" w:eastAsia="SimHei" w:hAnsi="SimHei" w:cs="SimHei"/>
          <w:color w:val="4E698D"/>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380" w:line="240" w:lineRule="auto"/>
        <w:ind w:left="0" w:right="0" w:firstLine="0"/>
        <w:jc w:val="both"/>
      </w:pPr>
      <w:bookmarkStart w:id="2181" w:name="bookmark2181"/>
      <w:bookmarkStart w:id="2182" w:name="bookmark2182"/>
      <w:bookmarkStart w:id="2183" w:name="bookmark2183"/>
      <w:r>
        <w:rPr>
          <w:color w:val="000000"/>
          <w:spacing w:val="0"/>
          <w:w w:val="100"/>
          <w:position w:val="0"/>
          <w:sz w:val="24"/>
          <w:szCs w:val="24"/>
        </w:rPr>
        <w:t>十五、资产负债表日后事项</w:t>
      </w:r>
      <w:bookmarkEnd w:id="2181"/>
      <w:bookmarkEnd w:id="2182"/>
      <w:bookmarkEnd w:id="2183"/>
    </w:p>
    <w:p>
      <w:pPr>
        <w:pStyle w:val="Style55"/>
        <w:keepNext/>
        <w:keepLines/>
        <w:widowControl w:val="0"/>
        <w:shd w:val="clear" w:color="auto" w:fill="auto"/>
        <w:bidi w:val="0"/>
        <w:spacing w:before="0" w:after="260" w:line="240" w:lineRule="auto"/>
        <w:ind w:left="0" w:right="0" w:firstLine="0"/>
        <w:jc w:val="both"/>
      </w:pPr>
      <w:bookmarkStart w:id="2184" w:name="bookmark2184"/>
      <w:bookmarkStart w:id="2185" w:name="bookmark2185"/>
      <w:bookmarkStart w:id="2186" w:name="bookmark2186"/>
      <w:r>
        <w:rPr>
          <w:rFonts w:ascii="Times New Roman" w:eastAsia="Times New Roman" w:hAnsi="Times New Roman" w:cs="Times New Roman"/>
          <w:color w:val="000000"/>
          <w:spacing w:val="0"/>
          <w:w w:val="100"/>
          <w:position w:val="0"/>
        </w:rPr>
        <w:t>1</w:t>
      </w:r>
      <w:r>
        <w:rPr>
          <w:color w:val="000000"/>
          <w:spacing w:val="0"/>
          <w:w w:val="100"/>
          <w:position w:val="0"/>
        </w:rPr>
        <w:t>、重要的非调整事项</w:t>
      </w:r>
      <w:bookmarkEnd w:id="2184"/>
      <w:bookmarkEnd w:id="2185"/>
      <w:bookmarkEnd w:id="2186"/>
    </w:p>
    <w:p>
      <w:pPr>
        <w:pStyle w:val="Style32"/>
        <w:keepNext w:val="0"/>
        <w:keepLines w:val="0"/>
        <w:widowControl w:val="0"/>
        <w:shd w:val="clear" w:color="auto" w:fill="auto"/>
        <w:bidi w:val="0"/>
        <w:spacing w:before="0" w:after="380" w:line="317" w:lineRule="exact"/>
        <w:ind w:left="0" w:right="0" w:firstLine="0"/>
        <w:jc w:val="both"/>
      </w:pPr>
      <w:r>
        <w:rPr>
          <w:color w:val="000000"/>
          <w:spacing w:val="0"/>
          <w:w w:val="100"/>
          <w:position w:val="0"/>
        </w:rPr>
        <w:t>无</w:t>
      </w:r>
    </w:p>
    <w:p>
      <w:pPr>
        <w:pStyle w:val="Style55"/>
        <w:keepNext/>
        <w:keepLines/>
        <w:widowControl w:val="0"/>
        <w:shd w:val="clear" w:color="auto" w:fill="auto"/>
        <w:bidi w:val="0"/>
        <w:spacing w:before="0" w:after="260" w:line="240" w:lineRule="auto"/>
        <w:ind w:left="0" w:right="0" w:firstLine="0"/>
        <w:jc w:val="both"/>
      </w:pPr>
      <w:bookmarkStart w:id="2187" w:name="bookmark2187"/>
      <w:bookmarkStart w:id="2188" w:name="bookmark2188"/>
      <w:bookmarkStart w:id="2189" w:name="bookmark2189"/>
      <w:r>
        <w:rPr>
          <w:rFonts w:ascii="Times New Roman" w:eastAsia="Times New Roman" w:hAnsi="Times New Roman" w:cs="Times New Roman"/>
          <w:color w:val="000000"/>
          <w:spacing w:val="0"/>
          <w:w w:val="100"/>
          <w:position w:val="0"/>
        </w:rPr>
        <w:t>2</w:t>
      </w:r>
      <w:r>
        <w:rPr>
          <w:color w:val="000000"/>
          <w:spacing w:val="0"/>
          <w:w w:val="100"/>
          <w:position w:val="0"/>
        </w:rPr>
        <w:t>、利润分配情况</w:t>
      </w:r>
      <w:bookmarkEnd w:id="2187"/>
      <w:bookmarkEnd w:id="2188"/>
      <w:bookmarkEnd w:id="2189"/>
    </w:p>
    <w:p>
      <w:pPr>
        <w:pStyle w:val="Style32"/>
        <w:keepNext w:val="0"/>
        <w:keepLines w:val="0"/>
        <w:widowControl w:val="0"/>
        <w:shd w:val="clear" w:color="auto" w:fill="auto"/>
        <w:bidi w:val="0"/>
        <w:spacing w:before="0" w:after="380" w:line="317" w:lineRule="exact"/>
        <w:ind w:left="0" w:right="0" w:firstLine="0"/>
        <w:jc w:val="both"/>
      </w:pPr>
      <w:r>
        <w:rPr>
          <w:color w:val="000000"/>
          <w:spacing w:val="0"/>
          <w:w w:val="100"/>
          <w:position w:val="0"/>
        </w:rPr>
        <w:t>公司</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日第四届董事会第二十九次会议审议通过《</w:t>
      </w:r>
      <w:r>
        <w:rPr>
          <w:rFonts w:ascii="Times New Roman" w:eastAsia="Times New Roman" w:hAnsi="Times New Roman" w:cs="Times New Roman"/>
          <w:color w:val="000000"/>
          <w:spacing w:val="0"/>
          <w:w w:val="100"/>
          <w:position w:val="0"/>
        </w:rPr>
        <w:t>2020</w:t>
      </w:r>
      <w:r>
        <w:rPr>
          <w:color w:val="000000"/>
          <w:spacing w:val="0"/>
          <w:w w:val="100"/>
          <w:position w:val="0"/>
        </w:rPr>
        <w:t>年度利润分配预案》，拟以公司现有总股本</w:t>
      </w:r>
      <w:r>
        <w:rPr>
          <w:rFonts w:ascii="Times New Roman" w:eastAsia="Times New Roman" w:hAnsi="Times New Roman" w:cs="Times New Roman"/>
          <w:color w:val="000000"/>
          <w:spacing w:val="0"/>
          <w:w w:val="100"/>
          <w:position w:val="0"/>
        </w:rPr>
        <w:t xml:space="preserve">597,527,930 </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rPr>
        <w:t>0.28</w:t>
      </w:r>
      <w:r>
        <w:rPr>
          <w:color w:val="000000"/>
          <w:spacing w:val="0"/>
          <w:w w:val="100"/>
          <w:position w:val="0"/>
        </w:rPr>
        <w:t>元人民币（含税），合计派发现金红利</w:t>
      </w:r>
      <w:r>
        <w:rPr>
          <w:rFonts w:ascii="Times New Roman" w:eastAsia="Times New Roman" w:hAnsi="Times New Roman" w:cs="Times New Roman"/>
          <w:color w:val="000000"/>
          <w:spacing w:val="0"/>
          <w:w w:val="100"/>
          <w:position w:val="0"/>
        </w:rPr>
        <w:t>16,730,782.04</w:t>
      </w:r>
      <w:r>
        <w:rPr>
          <w:color w:val="000000"/>
          <w:spacing w:val="0"/>
          <w:w w:val="100"/>
          <w:position w:val="0"/>
        </w:rPr>
        <w:t>元；本年度不送股， 不以资本公积金转增股本。该分配预案尚需提交</w:t>
      </w:r>
      <w:r>
        <w:rPr>
          <w:rFonts w:ascii="Times New Roman" w:eastAsia="Times New Roman" w:hAnsi="Times New Roman" w:cs="Times New Roman"/>
          <w:color w:val="000000"/>
          <w:spacing w:val="0"/>
          <w:w w:val="100"/>
          <w:position w:val="0"/>
        </w:rPr>
        <w:t>2020</w:t>
      </w:r>
      <w:r>
        <w:rPr>
          <w:color w:val="000000"/>
          <w:spacing w:val="0"/>
          <w:w w:val="100"/>
          <w:position w:val="0"/>
        </w:rPr>
        <w:t>年度股东大会审议。</w:t>
      </w:r>
    </w:p>
    <w:p>
      <w:pPr>
        <w:pStyle w:val="Style55"/>
        <w:keepNext/>
        <w:keepLines/>
        <w:widowControl w:val="0"/>
        <w:shd w:val="clear" w:color="auto" w:fill="auto"/>
        <w:bidi w:val="0"/>
        <w:spacing w:before="0" w:after="980" w:line="240" w:lineRule="auto"/>
        <w:ind w:left="0" w:right="0" w:firstLine="0"/>
        <w:jc w:val="both"/>
      </w:pPr>
      <w:bookmarkStart w:id="2190" w:name="bookmark2190"/>
      <w:bookmarkStart w:id="2191" w:name="bookmark2191"/>
      <w:bookmarkStart w:id="2192" w:name="bookmark2192"/>
      <w:bookmarkStart w:id="2193" w:name="bookmark2193"/>
      <w:r>
        <w:rPr>
          <w:rFonts w:ascii="Times New Roman" w:eastAsia="Times New Roman" w:hAnsi="Times New Roman" w:cs="Times New Roman"/>
          <w:color w:val="000000"/>
          <w:spacing w:val="0"/>
          <w:w w:val="100"/>
          <w:position w:val="0"/>
        </w:rPr>
        <w:t>3</w:t>
      </w:r>
      <w:bookmarkEnd w:id="2192"/>
      <w:r>
        <w:rPr>
          <w:color w:val="000000"/>
          <w:spacing w:val="0"/>
          <w:w w:val="100"/>
          <w:position w:val="0"/>
        </w:rPr>
        <w:t>、销售退回</w:t>
      </w:r>
      <w:bookmarkEnd w:id="2190"/>
      <w:bookmarkEnd w:id="2191"/>
      <w:bookmarkEnd w:id="2193"/>
    </w:p>
    <w:p>
      <w:pPr>
        <w:pStyle w:val="Style55"/>
        <w:keepNext/>
        <w:keepLines/>
        <w:widowControl w:val="0"/>
        <w:shd w:val="clear" w:color="auto" w:fill="auto"/>
        <w:bidi w:val="0"/>
        <w:spacing w:before="0" w:after="260" w:line="240" w:lineRule="auto"/>
        <w:ind w:left="0" w:right="0" w:firstLine="0"/>
        <w:jc w:val="both"/>
      </w:pPr>
      <w:bookmarkStart w:id="2194" w:name="bookmark2194"/>
      <w:bookmarkStart w:id="2195" w:name="bookmark2195"/>
      <w:bookmarkStart w:id="2196" w:name="bookmark2196"/>
      <w:bookmarkStart w:id="2197" w:name="bookmark2197"/>
      <w:r>
        <w:rPr>
          <w:rFonts w:ascii="Times New Roman" w:eastAsia="Times New Roman" w:hAnsi="Times New Roman" w:cs="Times New Roman"/>
          <w:color w:val="000000"/>
          <w:spacing w:val="0"/>
          <w:w w:val="100"/>
          <w:position w:val="0"/>
        </w:rPr>
        <w:t>4</w:t>
      </w:r>
      <w:bookmarkEnd w:id="2196"/>
      <w:r>
        <w:rPr>
          <w:color w:val="000000"/>
          <w:spacing w:val="0"/>
          <w:w w:val="100"/>
          <w:position w:val="0"/>
        </w:rPr>
        <w:t>、其他资产负债表日后事项说明</w:t>
      </w:r>
      <w:bookmarkEnd w:id="2194"/>
      <w:bookmarkEnd w:id="2195"/>
      <w:bookmarkEnd w:id="2197"/>
    </w:p>
    <w:p>
      <w:pPr>
        <w:pStyle w:val="Style32"/>
        <w:keepNext w:val="0"/>
        <w:keepLines w:val="0"/>
        <w:widowControl w:val="0"/>
        <w:shd w:val="clear" w:color="auto" w:fill="auto"/>
        <w:bidi w:val="0"/>
        <w:spacing w:before="0" w:after="0" w:line="317" w:lineRule="exact"/>
        <w:ind w:left="0" w:right="0" w:firstLine="0"/>
        <w:jc w:val="both"/>
      </w:pPr>
      <w:r>
        <w:rPr>
          <w:color w:val="000000"/>
          <w:spacing w:val="0"/>
          <w:w w:val="100"/>
          <w:position w:val="0"/>
        </w:rPr>
        <w:t>根据公司</w:t>
      </w:r>
      <w:r>
        <w:rPr>
          <w:rFonts w:ascii="Times New Roman" w:eastAsia="Times New Roman" w:hAnsi="Times New Roman" w:cs="Times New Roman"/>
          <w:color w:val="000000"/>
          <w:spacing w:val="0"/>
          <w:w w:val="100"/>
          <w:position w:val="0"/>
        </w:rPr>
        <w:t>2020</w:t>
      </w:r>
      <w:r>
        <w:rPr>
          <w:color w:val="000000"/>
          <w:spacing w:val="0"/>
          <w:w w:val="100"/>
          <w:position w:val="0"/>
        </w:rPr>
        <w:t>年度第三次临时股东大会决议和修改后的公司章程，</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日经中国证券监督管理委员会《关于同意 荣科科技股份有限公司向特定对象发行股票注册的批复》（证监许可</w:t>
      </w:r>
      <w:r>
        <w:rPr>
          <w:rFonts w:ascii="Times New Roman" w:eastAsia="Times New Roman" w:hAnsi="Times New Roman" w:cs="Times New Roman"/>
          <w:color w:val="000000"/>
          <w:spacing w:val="0"/>
          <w:w w:val="100"/>
          <w:position w:val="0"/>
        </w:rPr>
        <w:t>[2021]1201</w:t>
      </w:r>
      <w:r>
        <w:rPr>
          <w:color w:val="000000"/>
          <w:spacing w:val="0"/>
          <w:w w:val="100"/>
          <w:position w:val="0"/>
        </w:rPr>
        <w:t>号文）核准，公司拟向特定投资者发行人民 币普通股股票</w:t>
      </w:r>
      <w:r>
        <w:rPr>
          <w:rFonts w:ascii="Times New Roman" w:eastAsia="Times New Roman" w:hAnsi="Times New Roman" w:cs="Times New Roman"/>
          <w:color w:val="000000"/>
          <w:spacing w:val="0"/>
          <w:w w:val="100"/>
          <w:position w:val="0"/>
        </w:rPr>
        <w:t>39,639,639</w:t>
      </w:r>
      <w:r>
        <w:rPr>
          <w:color w:val="000000"/>
          <w:spacing w:val="0"/>
          <w:w w:val="100"/>
          <w:position w:val="0"/>
        </w:rPr>
        <w:t>股，本次发行后荣科科技股份数量为</w:t>
      </w:r>
      <w:r>
        <w:rPr>
          <w:rFonts w:ascii="Times New Roman" w:eastAsia="Times New Roman" w:hAnsi="Times New Roman" w:cs="Times New Roman"/>
          <w:color w:val="000000"/>
          <w:spacing w:val="0"/>
          <w:w w:val="100"/>
          <w:position w:val="0"/>
        </w:rPr>
        <w:t>637,167,569</w:t>
      </w:r>
      <w:r>
        <w:rPr>
          <w:color w:val="000000"/>
          <w:spacing w:val="0"/>
          <w:w w:val="100"/>
          <w:position w:val="0"/>
        </w:rPr>
        <w:t>股，本次发行新增股份的性质为有限售条件流通 股。</w:t>
      </w:r>
    </w:p>
    <w:p>
      <w:pPr>
        <w:pStyle w:val="Style32"/>
        <w:keepNext w:val="0"/>
        <w:keepLines w:val="0"/>
        <w:widowControl w:val="0"/>
        <w:shd w:val="clear" w:color="auto" w:fill="auto"/>
        <w:bidi w:val="0"/>
        <w:spacing w:before="0" w:after="380" w:line="317" w:lineRule="exact"/>
        <w:ind w:left="0" w:right="0" w:firstLine="0"/>
        <w:jc w:val="both"/>
      </w:pPr>
      <w:r>
        <w:rPr>
          <w:color w:val="000000"/>
          <w:spacing w:val="0"/>
          <w:w w:val="100"/>
          <w:position w:val="0"/>
        </w:rPr>
        <w:t>除上述事项外，公司无应披露的资产负债表日后事项的非调整事项。</w:t>
      </w:r>
    </w:p>
    <w:p>
      <w:pPr>
        <w:pStyle w:val="Style47"/>
        <w:keepNext/>
        <w:keepLines/>
        <w:widowControl w:val="0"/>
        <w:shd w:val="clear" w:color="auto" w:fill="auto"/>
        <w:bidi w:val="0"/>
        <w:spacing w:before="0" w:after="380" w:line="240" w:lineRule="auto"/>
        <w:ind w:left="0" w:right="0" w:firstLine="0"/>
        <w:jc w:val="both"/>
      </w:pPr>
      <w:bookmarkStart w:id="2198" w:name="bookmark2198"/>
      <w:bookmarkStart w:id="2199" w:name="bookmark2199"/>
      <w:bookmarkStart w:id="2200" w:name="bookmark2200"/>
      <w:r>
        <w:rPr>
          <w:color w:val="000000"/>
          <w:spacing w:val="0"/>
          <w:w w:val="100"/>
          <w:position w:val="0"/>
          <w:sz w:val="24"/>
          <w:szCs w:val="24"/>
        </w:rPr>
        <w:t>十六、其他重要事项</w:t>
      </w:r>
      <w:bookmarkEnd w:id="2198"/>
      <w:bookmarkEnd w:id="2199"/>
      <w:bookmarkEnd w:id="2200"/>
    </w:p>
    <w:p>
      <w:pPr>
        <w:pStyle w:val="Style55"/>
        <w:keepNext/>
        <w:keepLines/>
        <w:widowControl w:val="0"/>
        <w:shd w:val="clear" w:color="auto" w:fill="auto"/>
        <w:tabs>
          <w:tab w:pos="368" w:val="left"/>
        </w:tabs>
        <w:bidi w:val="0"/>
        <w:spacing w:before="0" w:after="260" w:line="240" w:lineRule="auto"/>
        <w:ind w:left="0" w:right="0" w:firstLine="0"/>
        <w:jc w:val="both"/>
      </w:pPr>
      <w:bookmarkStart w:id="2201" w:name="bookmark2201"/>
      <w:bookmarkStart w:id="2202" w:name="bookmark2202"/>
      <w:bookmarkStart w:id="2203" w:name="bookmark2203"/>
      <w:bookmarkStart w:id="2204" w:name="bookmark2204"/>
      <w:r>
        <w:rPr>
          <w:rFonts w:ascii="Times New Roman" w:eastAsia="Times New Roman" w:hAnsi="Times New Roman" w:cs="Times New Roman"/>
          <w:color w:val="000000"/>
          <w:spacing w:val="0"/>
          <w:w w:val="100"/>
          <w:position w:val="0"/>
        </w:rPr>
        <w:t>1</w:t>
      </w:r>
      <w:bookmarkEnd w:id="2203"/>
      <w:r>
        <w:rPr>
          <w:color w:val="000000"/>
          <w:spacing w:val="0"/>
          <w:w w:val="100"/>
          <w:position w:val="0"/>
        </w:rPr>
        <w:t>、</w:t>
        <w:tab/>
        <w:t>前期会计差错更正</w:t>
      </w:r>
      <w:bookmarkEnd w:id="2201"/>
      <w:bookmarkEnd w:id="2202"/>
      <w:bookmarkEnd w:id="2204"/>
    </w:p>
    <w:p>
      <w:pPr>
        <w:pStyle w:val="Style32"/>
        <w:keepNext w:val="0"/>
        <w:keepLines w:val="0"/>
        <w:widowControl w:val="0"/>
        <w:shd w:val="clear" w:color="auto" w:fill="auto"/>
        <w:bidi w:val="0"/>
        <w:spacing w:before="0" w:after="380" w:line="317" w:lineRule="exact"/>
        <w:ind w:left="0" w:right="0" w:firstLine="0"/>
        <w:jc w:val="both"/>
      </w:pPr>
      <w:r>
        <w:rPr>
          <w:color w:val="000000"/>
          <w:spacing w:val="0"/>
          <w:w w:val="100"/>
          <w:position w:val="0"/>
        </w:rPr>
        <w:t>无</w:t>
      </w:r>
    </w:p>
    <w:p>
      <w:pPr>
        <w:pStyle w:val="Style55"/>
        <w:keepNext/>
        <w:keepLines/>
        <w:widowControl w:val="0"/>
        <w:shd w:val="clear" w:color="auto" w:fill="auto"/>
        <w:tabs>
          <w:tab w:pos="378" w:val="left"/>
        </w:tabs>
        <w:bidi w:val="0"/>
        <w:spacing w:before="0" w:after="260" w:line="240" w:lineRule="auto"/>
        <w:ind w:left="0" w:right="0" w:firstLine="0"/>
        <w:jc w:val="both"/>
      </w:pPr>
      <w:bookmarkStart w:id="2205" w:name="bookmark2205"/>
      <w:bookmarkStart w:id="2206" w:name="bookmark2206"/>
      <w:bookmarkStart w:id="2207" w:name="bookmark2207"/>
      <w:bookmarkStart w:id="2208" w:name="bookmark2208"/>
      <w:r>
        <w:rPr>
          <w:rFonts w:ascii="Times New Roman" w:eastAsia="Times New Roman" w:hAnsi="Times New Roman" w:cs="Times New Roman"/>
          <w:color w:val="000000"/>
          <w:spacing w:val="0"/>
          <w:w w:val="100"/>
          <w:position w:val="0"/>
        </w:rPr>
        <w:t>2</w:t>
      </w:r>
      <w:bookmarkEnd w:id="2207"/>
      <w:r>
        <w:rPr>
          <w:color w:val="000000"/>
          <w:spacing w:val="0"/>
          <w:w w:val="100"/>
          <w:position w:val="0"/>
        </w:rPr>
        <w:t>、</w:t>
        <w:tab/>
        <w:t>债务重组</w:t>
      </w:r>
      <w:bookmarkEnd w:id="2205"/>
      <w:bookmarkEnd w:id="2206"/>
      <w:bookmarkEnd w:id="2208"/>
    </w:p>
    <w:p>
      <w:pPr>
        <w:pStyle w:val="Style32"/>
        <w:keepNext w:val="0"/>
        <w:keepLines w:val="0"/>
        <w:widowControl w:val="0"/>
        <w:shd w:val="clear" w:color="auto" w:fill="auto"/>
        <w:bidi w:val="0"/>
        <w:spacing w:before="0" w:after="380" w:line="317" w:lineRule="exact"/>
        <w:ind w:left="0" w:right="0" w:firstLine="0"/>
        <w:jc w:val="both"/>
      </w:pPr>
      <w:r>
        <w:rPr>
          <w:color w:val="000000"/>
          <w:spacing w:val="0"/>
          <w:w w:val="100"/>
          <w:position w:val="0"/>
        </w:rPr>
        <w:t>无</w:t>
      </w:r>
    </w:p>
    <w:p>
      <w:pPr>
        <w:pStyle w:val="Style55"/>
        <w:keepNext/>
        <w:keepLines/>
        <w:widowControl w:val="0"/>
        <w:shd w:val="clear" w:color="auto" w:fill="auto"/>
        <w:tabs>
          <w:tab w:pos="378" w:val="left"/>
        </w:tabs>
        <w:bidi w:val="0"/>
        <w:spacing w:before="0" w:after="260" w:line="240" w:lineRule="auto"/>
        <w:ind w:left="0" w:right="0" w:firstLine="0"/>
        <w:jc w:val="both"/>
      </w:pPr>
      <w:bookmarkStart w:id="2209" w:name="bookmark2209"/>
      <w:bookmarkStart w:id="2210" w:name="bookmark2210"/>
      <w:bookmarkStart w:id="2211" w:name="bookmark2211"/>
      <w:bookmarkStart w:id="2212" w:name="bookmark2212"/>
      <w:r>
        <w:rPr>
          <w:rFonts w:ascii="Times New Roman" w:eastAsia="Times New Roman" w:hAnsi="Times New Roman" w:cs="Times New Roman"/>
          <w:color w:val="000000"/>
          <w:spacing w:val="0"/>
          <w:w w:val="100"/>
          <w:position w:val="0"/>
        </w:rPr>
        <w:t>3</w:t>
      </w:r>
      <w:bookmarkEnd w:id="2211"/>
      <w:r>
        <w:rPr>
          <w:color w:val="000000"/>
          <w:spacing w:val="0"/>
          <w:w w:val="100"/>
          <w:position w:val="0"/>
        </w:rPr>
        <w:t>、</w:t>
        <w:tab/>
        <w:t>资产置换</w:t>
      </w:r>
      <w:bookmarkEnd w:id="2209"/>
      <w:bookmarkEnd w:id="2210"/>
      <w:bookmarkEnd w:id="2212"/>
    </w:p>
    <w:p>
      <w:pPr>
        <w:pStyle w:val="Style32"/>
        <w:keepNext w:val="0"/>
        <w:keepLines w:val="0"/>
        <w:widowControl w:val="0"/>
        <w:shd w:val="clear" w:color="auto" w:fill="auto"/>
        <w:bidi w:val="0"/>
        <w:spacing w:before="0" w:after="380" w:line="317" w:lineRule="exact"/>
        <w:ind w:left="0" w:right="0" w:firstLine="0"/>
        <w:jc w:val="both"/>
      </w:pPr>
      <w:r>
        <w:rPr>
          <w:color w:val="000000"/>
          <w:spacing w:val="0"/>
          <w:w w:val="100"/>
          <w:position w:val="0"/>
        </w:rPr>
        <w:t>无</w:t>
      </w:r>
    </w:p>
    <w:p>
      <w:pPr>
        <w:pStyle w:val="Style55"/>
        <w:keepNext/>
        <w:keepLines/>
        <w:widowControl w:val="0"/>
        <w:shd w:val="clear" w:color="auto" w:fill="auto"/>
        <w:tabs>
          <w:tab w:pos="378" w:val="left"/>
        </w:tabs>
        <w:bidi w:val="0"/>
        <w:spacing w:before="0" w:after="260" w:line="240" w:lineRule="auto"/>
        <w:ind w:left="0" w:right="0" w:firstLine="0"/>
        <w:jc w:val="both"/>
      </w:pPr>
      <w:bookmarkStart w:id="2213" w:name="bookmark2213"/>
      <w:bookmarkStart w:id="2214" w:name="bookmark2214"/>
      <w:bookmarkStart w:id="2215" w:name="bookmark2215"/>
      <w:bookmarkStart w:id="2216" w:name="bookmark2216"/>
      <w:r>
        <w:rPr>
          <w:rFonts w:ascii="Times New Roman" w:eastAsia="Times New Roman" w:hAnsi="Times New Roman" w:cs="Times New Roman"/>
          <w:color w:val="000000"/>
          <w:spacing w:val="0"/>
          <w:w w:val="100"/>
          <w:position w:val="0"/>
        </w:rPr>
        <w:t>4</w:t>
      </w:r>
      <w:bookmarkEnd w:id="2215"/>
      <w:r>
        <w:rPr>
          <w:color w:val="000000"/>
          <w:spacing w:val="0"/>
          <w:w w:val="100"/>
          <w:position w:val="0"/>
        </w:rPr>
        <w:t>、</w:t>
        <w:tab/>
        <w:t>年金计划</w:t>
      </w:r>
      <w:bookmarkEnd w:id="2213"/>
      <w:bookmarkEnd w:id="2214"/>
      <w:bookmarkEnd w:id="2216"/>
    </w:p>
    <w:p>
      <w:pPr>
        <w:pStyle w:val="Style32"/>
        <w:keepNext w:val="0"/>
        <w:keepLines w:val="0"/>
        <w:widowControl w:val="0"/>
        <w:shd w:val="clear" w:color="auto" w:fill="auto"/>
        <w:bidi w:val="0"/>
        <w:spacing w:before="0" w:after="380" w:line="317" w:lineRule="exact"/>
        <w:ind w:left="0" w:right="0" w:firstLine="0"/>
        <w:jc w:val="both"/>
      </w:pPr>
      <w:r>
        <w:rPr>
          <w:color w:val="000000"/>
          <w:spacing w:val="0"/>
          <w:w w:val="100"/>
          <w:position w:val="0"/>
        </w:rPr>
        <w:t>无</w:t>
      </w:r>
    </w:p>
    <w:p>
      <w:pPr>
        <w:pStyle w:val="Style55"/>
        <w:keepNext/>
        <w:keepLines/>
        <w:widowControl w:val="0"/>
        <w:shd w:val="clear" w:color="auto" w:fill="auto"/>
        <w:tabs>
          <w:tab w:pos="378" w:val="left"/>
        </w:tabs>
        <w:bidi w:val="0"/>
        <w:spacing w:before="0" w:after="380" w:line="240" w:lineRule="auto"/>
        <w:ind w:left="0" w:right="0" w:firstLine="0"/>
        <w:jc w:val="both"/>
        <w:sectPr>
          <w:headerReference w:type="default" r:id="rId537"/>
          <w:footerReference w:type="default" r:id="rId538"/>
          <w:headerReference w:type="even" r:id="rId539"/>
          <w:footerReference w:type="even" r:id="rId540"/>
          <w:footnotePr>
            <w:pos w:val="pageBottom"/>
            <w:numFmt w:val="decimal"/>
            <w:numRestart w:val="continuous"/>
          </w:footnotePr>
          <w:pgSz w:w="11900" w:h="16840"/>
          <w:pgMar w:top="1130" w:right="1049" w:bottom="1891" w:left="1073" w:header="0" w:footer="3" w:gutter="0"/>
          <w:cols w:space="720"/>
          <w:noEndnote/>
          <w:rtlGutter w:val="0"/>
          <w:docGrid w:linePitch="360"/>
        </w:sectPr>
      </w:pPr>
      <w:bookmarkStart w:id="2217" w:name="bookmark2217"/>
      <w:bookmarkStart w:id="2218" w:name="bookmark2218"/>
      <w:bookmarkStart w:id="2219" w:name="bookmark2219"/>
      <w:bookmarkStart w:id="2220" w:name="bookmark2220"/>
      <w:r>
        <w:rPr>
          <w:rFonts w:ascii="Times New Roman" w:eastAsia="Times New Roman" w:hAnsi="Times New Roman" w:cs="Times New Roman"/>
          <w:color w:val="000000"/>
          <w:spacing w:val="0"/>
          <w:w w:val="100"/>
          <w:position w:val="0"/>
        </w:rPr>
        <w:t>5</w:t>
      </w:r>
      <w:bookmarkEnd w:id="2219"/>
      <w:r>
        <w:rPr>
          <w:color w:val="000000"/>
          <w:spacing w:val="0"/>
          <w:w w:val="100"/>
          <w:position w:val="0"/>
        </w:rPr>
        <w:t>、</w:t>
        <w:tab/>
        <w:t>终止经营</w:t>
      </w:r>
      <w:bookmarkEnd w:id="2217"/>
      <w:bookmarkEnd w:id="2218"/>
      <w:bookmarkEnd w:id="2220"/>
    </w:p>
    <w:p>
      <w:pPr>
        <w:pStyle w:val="Style2"/>
        <w:keepNext/>
        <w:keepLines/>
        <w:widowControl w:val="0"/>
        <w:shd w:val="clear" w:color="auto" w:fill="auto"/>
        <w:bidi w:val="0"/>
        <w:spacing w:before="0" w:after="0" w:line="240" w:lineRule="auto"/>
        <w:ind w:left="0" w:right="0" w:firstLine="980"/>
        <w:jc w:val="both"/>
      </w:pPr>
      <w:bookmarkStart w:id="2221" w:name="bookmark2221"/>
      <w:bookmarkStart w:id="2222" w:name="bookmark2222"/>
      <w:bookmarkStart w:id="2223" w:name="bookmark2223"/>
      <w:r>
        <w:rPr>
          <w:spacing w:val="0"/>
          <w:w w:val="100"/>
          <w:position w:val="0"/>
        </w:rPr>
        <w:t>■</w:t>
      </w:r>
      <w:r>
        <w:rPr>
          <w:spacing w:val="0"/>
          <w:w w:val="100"/>
          <w:position w:val="0"/>
        </w:rPr>
        <w:t>■</w:t>
      </w:r>
      <w:r>
        <w:rPr>
          <w:rFonts w:ascii="Arial" w:eastAsia="Arial" w:hAnsi="Arial" w:cs="Arial"/>
          <w:spacing w:val="0"/>
          <w:w w:val="100"/>
          <w:position w:val="0"/>
          <w:sz w:val="26"/>
          <w:szCs w:val="26"/>
        </w:rPr>
        <w:t>♦</w:t>
      </w:r>
      <w:r>
        <w:rPr>
          <w:spacing w:val="0"/>
          <w:w w:val="100"/>
          <w:position w:val="0"/>
        </w:rPr>
        <w:t>呆超科技</w:t>
      </w:r>
      <w:bookmarkEnd w:id="2221"/>
      <w:bookmarkEnd w:id="2222"/>
      <w:bookmarkEnd w:id="2223"/>
    </w:p>
    <w:p>
      <w:pPr>
        <w:pStyle w:val="Style5"/>
        <w:keepNext w:val="0"/>
        <w:keepLines w:val="0"/>
        <w:widowControl w:val="0"/>
        <w:shd w:val="clear" w:color="auto" w:fill="auto"/>
        <w:tabs>
          <w:tab w:pos="1744" w:val="left"/>
        </w:tabs>
        <w:bidi w:val="0"/>
        <w:spacing w:before="0" w:after="0" w:line="197" w:lineRule="exact"/>
        <w:ind w:left="1100" w:right="0" w:hanging="100"/>
        <w:jc w:val="both"/>
        <w:rPr>
          <w:sz w:val="18"/>
          <w:szCs w:val="18"/>
        </w:rPr>
      </w:pPr>
      <w:r>
        <w:rPr>
          <w:color w:val="245994"/>
          <w:spacing w:val="0"/>
          <w:w w:val="100"/>
          <w:position w:val="0"/>
          <w:sz w:val="30"/>
          <w:szCs w:val="30"/>
        </w:rPr>
        <w:t>'广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30"/>
          <w:szCs w:val="30"/>
        </w:rPr>
        <w:t>，|</w:t>
        <w:tab/>
      </w:r>
      <w:r>
        <w:rPr>
          <w:spacing w:val="0"/>
          <w:w w:val="100"/>
          <w:position w:val="0"/>
          <w:sz w:val="15"/>
          <w:szCs w:val="15"/>
        </w:rPr>
        <w:t>股票代码：</w:t>
      </w:r>
      <w:r>
        <w:rPr>
          <w:rFonts w:ascii="SimSun" w:eastAsia="SimSun" w:hAnsi="SimSun" w:cs="SimSun"/>
          <w:spacing w:val="0"/>
          <w:w w:val="100"/>
          <w:position w:val="0"/>
          <w:sz w:val="18"/>
          <w:szCs w:val="18"/>
        </w:rPr>
        <w:t>300290</w:t>
      </w:r>
    </w:p>
    <w:p>
      <w:pPr>
        <w:pStyle w:val="Style55"/>
        <w:keepNext/>
        <w:keepLines/>
        <w:widowControl w:val="0"/>
        <w:shd w:val="clear" w:color="auto" w:fill="auto"/>
        <w:bidi w:val="0"/>
        <w:spacing w:before="0" w:after="360" w:line="240" w:lineRule="auto"/>
        <w:ind w:left="0" w:right="0" w:firstLine="980"/>
        <w:jc w:val="left"/>
      </w:pPr>
      <w:bookmarkStart w:id="2224" w:name="bookmark2224"/>
      <w:bookmarkStart w:id="2225" w:name="bookmark2225"/>
      <w:bookmarkStart w:id="2226" w:name="bookmark2226"/>
      <w:bookmarkStart w:id="2227" w:name="bookmark2227"/>
      <w:r>
        <w:rPr>
          <w:rFonts w:ascii="Times New Roman" w:eastAsia="Times New Roman" w:hAnsi="Times New Roman" w:cs="Times New Roman"/>
          <w:color w:val="000000"/>
          <w:spacing w:val="0"/>
          <w:w w:val="100"/>
          <w:position w:val="0"/>
        </w:rPr>
        <w:t>6</w:t>
      </w:r>
      <w:bookmarkEnd w:id="2226"/>
      <w:r>
        <w:rPr>
          <w:color w:val="000000"/>
          <w:spacing w:val="0"/>
          <w:w w:val="100"/>
          <w:position w:val="0"/>
        </w:rPr>
        <w:t>、分部信息</w:t>
      </w:r>
      <w:bookmarkEnd w:id="2224"/>
      <w:bookmarkEnd w:id="2225"/>
      <w:bookmarkEnd w:id="2227"/>
    </w:p>
    <w:p>
      <w:pPr>
        <w:pStyle w:val="Style55"/>
        <w:keepNext/>
        <w:keepLines/>
        <w:widowControl w:val="0"/>
        <w:shd w:val="clear" w:color="auto" w:fill="auto"/>
        <w:bidi w:val="0"/>
        <w:spacing w:before="0" w:after="260" w:line="240" w:lineRule="auto"/>
        <w:ind w:left="1100" w:right="0" w:firstLine="0"/>
        <w:jc w:val="both"/>
      </w:pPr>
      <w:bookmarkStart w:id="2224" w:name="bookmark2224"/>
      <w:bookmarkStart w:id="2225" w:name="bookmark2225"/>
      <w:bookmarkStart w:id="2228" w:name="bookmark2228"/>
      <w:r>
        <w:rPr>
          <w:rFonts w:ascii="Times New Roman" w:eastAsia="Times New Roman" w:hAnsi="Times New Roman" w:cs="Times New Roman"/>
          <w:color w:val="000000"/>
          <w:spacing w:val="0"/>
          <w:w w:val="100"/>
          <w:position w:val="0"/>
        </w:rPr>
        <w:t>（1</w:t>
      </w:r>
      <w:r>
        <w:rPr>
          <w:color w:val="000000"/>
          <w:spacing w:val="0"/>
          <w:w w:val="100"/>
          <w:position w:val="0"/>
        </w:rPr>
        <w:t>）报告分部的确定依据与会计政策</w:t>
      </w:r>
      <w:bookmarkEnd w:id="2224"/>
      <w:bookmarkEnd w:id="2225"/>
      <w:bookmarkEnd w:id="2228"/>
    </w:p>
    <w:p>
      <w:pPr>
        <w:pStyle w:val="Style32"/>
        <w:keepNext w:val="0"/>
        <w:keepLines w:val="0"/>
        <w:widowControl w:val="0"/>
        <w:shd w:val="clear" w:color="auto" w:fill="auto"/>
        <w:bidi w:val="0"/>
        <w:spacing w:before="0" w:after="0" w:line="314" w:lineRule="exact"/>
        <w:ind w:left="980" w:right="0" w:firstLine="20"/>
        <w:jc w:val="both"/>
      </w:pPr>
      <w:r>
        <w:rPr>
          <w:color w:val="000000"/>
          <w:spacing w:val="0"/>
          <w:w w:val="100"/>
          <w:position w:val="0"/>
        </w:rPr>
        <w:t>本公司以内部组织结构、管理要求、内部报告制度为依据确定经营分部，以经营分部为基础确定报告分部。</w:t>
      </w:r>
    </w:p>
    <w:p>
      <w:pPr>
        <w:pStyle w:val="Style32"/>
        <w:keepNext w:val="0"/>
        <w:keepLines w:val="0"/>
        <w:widowControl w:val="0"/>
        <w:shd w:val="clear" w:color="auto" w:fill="auto"/>
        <w:bidi w:val="0"/>
        <w:spacing w:before="0" w:after="0" w:line="314" w:lineRule="exact"/>
        <w:ind w:left="980" w:right="0" w:firstLine="20"/>
        <w:jc w:val="both"/>
      </w:pPr>
      <w:r>
        <w:rPr>
          <w:color w:val="000000"/>
          <w:spacing w:val="0"/>
          <w:w w:val="100"/>
          <w:position w:val="0"/>
        </w:rPr>
        <w:t>经营分部，是指本公司内同时满足下列条件的组成部分：</w:t>
      </w:r>
      <w:r>
        <w:rPr>
          <w:color w:val="000000"/>
          <w:spacing w:val="0"/>
          <w:w w:val="100"/>
          <w:position w:val="0"/>
          <w:sz w:val="18"/>
          <w:szCs w:val="18"/>
        </w:rPr>
        <w:t>（1）</w:t>
      </w:r>
      <w:r>
        <w:rPr>
          <w:color w:val="000000"/>
          <w:spacing w:val="0"/>
          <w:w w:val="100"/>
          <w:position w:val="0"/>
        </w:rPr>
        <w:t>该组成部分能够在日常活动中产生收入、发生费用；</w:t>
      </w:r>
      <w:r>
        <w:rPr>
          <w:color w:val="000000"/>
          <w:spacing w:val="0"/>
          <w:w w:val="100"/>
          <w:position w:val="0"/>
          <w:sz w:val="18"/>
          <w:szCs w:val="18"/>
        </w:rPr>
        <w:t>（2）</w:t>
      </w:r>
      <w:r>
        <w:rPr>
          <w:color w:val="000000"/>
          <w:spacing w:val="0"/>
          <w:w w:val="100"/>
          <w:position w:val="0"/>
        </w:rPr>
        <w:t>本 公司管理层能够定期评价该组成部分的经营成果，以决定向其配置资源、评价其业绩；</w:t>
      </w:r>
      <w:r>
        <w:rPr>
          <w:color w:val="000000"/>
          <w:spacing w:val="0"/>
          <w:w w:val="100"/>
          <w:position w:val="0"/>
          <w:sz w:val="18"/>
          <w:szCs w:val="18"/>
        </w:rPr>
        <w:t>（3）</w:t>
      </w:r>
      <w:r>
        <w:rPr>
          <w:color w:val="000000"/>
          <w:spacing w:val="0"/>
          <w:w w:val="100"/>
          <w:position w:val="0"/>
        </w:rPr>
        <w:t>本公司能够取得该组成部分的 财务状况、经营成果和现金流量等有关会计信息。</w:t>
      </w:r>
    </w:p>
    <w:p>
      <w:pPr>
        <w:pStyle w:val="Style32"/>
        <w:keepNext w:val="0"/>
        <w:keepLines w:val="0"/>
        <w:widowControl w:val="0"/>
        <w:shd w:val="clear" w:color="auto" w:fill="auto"/>
        <w:bidi w:val="0"/>
        <w:spacing w:before="0" w:after="0" w:line="314" w:lineRule="exact"/>
        <w:ind w:left="0" w:right="0" w:firstLine="980"/>
        <w:jc w:val="both"/>
      </w:pPr>
      <w:r>
        <w:rPr>
          <w:color w:val="000000"/>
          <w:spacing w:val="0"/>
          <w:w w:val="100"/>
          <w:position w:val="0"/>
        </w:rPr>
        <w:t>本公司报告分部包括：健康数据服务、智能融合云服务。</w:t>
      </w:r>
    </w:p>
    <w:p>
      <w:pPr>
        <w:pStyle w:val="Style32"/>
        <w:keepNext w:val="0"/>
        <w:keepLines w:val="0"/>
        <w:widowControl w:val="0"/>
        <w:shd w:val="clear" w:color="auto" w:fill="auto"/>
        <w:bidi w:val="0"/>
        <w:spacing w:before="0" w:after="360" w:line="314" w:lineRule="exact"/>
        <w:ind w:left="0" w:right="0" w:firstLine="980"/>
        <w:jc w:val="both"/>
      </w:pPr>
      <w:r>
        <w:rPr>
          <w:color w:val="000000"/>
          <w:spacing w:val="0"/>
          <w:w w:val="100"/>
          <w:position w:val="0"/>
        </w:rPr>
        <w:t>本公司经营分部的会计政策与本公司主要会计政策相同。</w:t>
      </w:r>
    </w:p>
    <w:p>
      <w:pPr>
        <w:pStyle w:val="Style55"/>
        <w:keepNext/>
        <w:keepLines/>
        <w:widowControl w:val="0"/>
        <w:shd w:val="clear" w:color="auto" w:fill="auto"/>
        <w:bidi w:val="0"/>
        <w:spacing w:before="0" w:after="360" w:line="240" w:lineRule="auto"/>
        <w:ind w:left="1100" w:right="0" w:firstLine="0"/>
        <w:jc w:val="both"/>
      </w:pPr>
      <w:bookmarkStart w:id="2229" w:name="bookmark2229"/>
      <w:bookmarkStart w:id="2230" w:name="bookmark2230"/>
      <w:bookmarkStart w:id="2231" w:name="bookmark2231"/>
      <w:r>
        <w:rPr>
          <w:rFonts w:ascii="Times New Roman" w:eastAsia="Times New Roman" w:hAnsi="Times New Roman" w:cs="Times New Roman"/>
          <w:color w:val="000000"/>
          <w:spacing w:val="0"/>
          <w:w w:val="100"/>
          <w:position w:val="0"/>
        </w:rPr>
        <w:t>（2</w:t>
      </w:r>
      <w:r>
        <w:rPr>
          <w:color w:val="000000"/>
          <w:spacing w:val="0"/>
          <w:w w:val="100"/>
          <w:position w:val="0"/>
        </w:rPr>
        <w:t>）报告分部的财务信息</w:t>
      </w:r>
      <w:bookmarkEnd w:id="2229"/>
      <w:bookmarkEnd w:id="2230"/>
      <w:bookmarkEnd w:id="2231"/>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1925"/>
        <w:gridCol w:w="1910"/>
        <w:gridCol w:w="1915"/>
        <w:gridCol w:w="1915"/>
        <w:gridCol w:w="1925"/>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健康数据服务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智能融合云服务</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分部间抵销</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60"/>
              <w:jc w:val="left"/>
            </w:pPr>
            <w:r>
              <w:rPr>
                <w:color w:val="000000"/>
                <w:spacing w:val="0"/>
                <w:w w:val="100"/>
                <w:position w:val="0"/>
              </w:rPr>
              <w:t>合计</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主营业务收入</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436,529,211.76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350,292,084.01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786,821,295.77</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主营业务成本</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215,197,472.84</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271,276,397.58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486,473,870.42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资产总额</w:t>
            </w:r>
          </w:p>
        </w:tc>
        <w:tc>
          <w:tcPr>
            <w:gridSpan w:val="3"/>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1,982,963,071.10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1,982,963,071.10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负债总额</w:t>
            </w:r>
          </w:p>
        </w:tc>
        <w:tc>
          <w:tcPr>
            <w:gridSpan w:val="3"/>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572,277,727.23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572,277,727.23</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980"/>
        <w:jc w:val="left"/>
      </w:pPr>
      <w:bookmarkStart w:id="2232" w:name="bookmark2232"/>
      <w:bookmarkStart w:id="2233" w:name="bookmark2233"/>
      <w:bookmarkStart w:id="2234" w:name="bookmark2234"/>
      <w:bookmarkStart w:id="2235" w:name="bookmark2235"/>
      <w:r>
        <w:rPr>
          <w:color w:val="000000"/>
          <w:spacing w:val="0"/>
          <w:w w:val="100"/>
          <w:position w:val="0"/>
        </w:rPr>
        <w:t>（</w:t>
      </w:r>
      <w:bookmarkEnd w:id="2234"/>
      <w:r>
        <w:rPr>
          <w:rFonts w:ascii="Times New Roman" w:eastAsia="Times New Roman" w:hAnsi="Times New Roman" w:cs="Times New Roman"/>
          <w:color w:val="000000"/>
          <w:spacing w:val="0"/>
          <w:w w:val="100"/>
          <w:position w:val="0"/>
        </w:rPr>
        <w:t>3</w:t>
      </w:r>
      <w:r>
        <w:rPr>
          <w:color w:val="000000"/>
          <w:spacing w:val="0"/>
          <w:w w:val="100"/>
          <w:position w:val="0"/>
        </w:rPr>
        <w:t>）公司无报告分部的，或者不能披露各报告分部的资产总额和负债总额的，应说明原因</w:t>
      </w:r>
      <w:bookmarkEnd w:id="2232"/>
      <w:bookmarkEnd w:id="2233"/>
      <w:bookmarkEnd w:id="2235"/>
    </w:p>
    <w:p>
      <w:pPr>
        <w:pStyle w:val="Style32"/>
        <w:keepNext w:val="0"/>
        <w:keepLines w:val="0"/>
        <w:widowControl w:val="0"/>
        <w:shd w:val="clear" w:color="auto" w:fill="auto"/>
        <w:bidi w:val="0"/>
        <w:spacing w:before="0" w:after="360" w:line="240" w:lineRule="auto"/>
        <w:ind w:left="0" w:right="0" w:firstLine="980"/>
        <w:jc w:val="left"/>
      </w:pPr>
      <w:r>
        <w:rPr>
          <w:color w:val="000000"/>
          <w:spacing w:val="0"/>
          <w:w w:val="100"/>
          <w:position w:val="0"/>
        </w:rPr>
        <w:t>由于本公司及各子公司均有上述各报告分部的相关业务，故本公司的资产总额与负债总额未按报告分部进行划分。</w:t>
      </w:r>
    </w:p>
    <w:p>
      <w:pPr>
        <w:pStyle w:val="Style55"/>
        <w:keepNext/>
        <w:keepLines/>
        <w:widowControl w:val="0"/>
        <w:shd w:val="clear" w:color="auto" w:fill="auto"/>
        <w:bidi w:val="0"/>
        <w:spacing w:before="0" w:after="980" w:line="240" w:lineRule="auto"/>
        <w:ind w:left="1100" w:right="0" w:firstLine="0"/>
        <w:jc w:val="both"/>
      </w:pPr>
      <w:bookmarkStart w:id="2236" w:name="bookmark2236"/>
      <w:bookmarkStart w:id="2237" w:name="bookmark2237"/>
      <w:bookmarkStart w:id="2238" w:name="bookmark2238"/>
      <w:bookmarkStart w:id="2239" w:name="bookmark2239"/>
      <w:r>
        <w:rPr>
          <w:rFonts w:ascii="Times New Roman" w:eastAsia="Times New Roman" w:hAnsi="Times New Roman" w:cs="Times New Roman"/>
          <w:color w:val="000000"/>
          <w:spacing w:val="0"/>
          <w:w w:val="100"/>
          <w:position w:val="0"/>
        </w:rPr>
        <w:t>（</w:t>
      </w:r>
      <w:bookmarkEnd w:id="2238"/>
      <w:r>
        <w:rPr>
          <w:rFonts w:ascii="Times New Roman" w:eastAsia="Times New Roman" w:hAnsi="Times New Roman" w:cs="Times New Roman"/>
          <w:color w:val="000000"/>
          <w:spacing w:val="0"/>
          <w:w w:val="100"/>
          <w:position w:val="0"/>
        </w:rPr>
        <w:t>4</w:t>
      </w:r>
      <w:r>
        <w:rPr>
          <w:color w:val="000000"/>
          <w:spacing w:val="0"/>
          <w:w w:val="100"/>
          <w:position w:val="0"/>
        </w:rPr>
        <w:t>）其他说明</w:t>
      </w:r>
      <w:bookmarkEnd w:id="2236"/>
      <w:bookmarkEnd w:id="2237"/>
      <w:bookmarkEnd w:id="2239"/>
    </w:p>
    <w:p>
      <w:pPr>
        <w:pStyle w:val="Style55"/>
        <w:keepNext/>
        <w:keepLines/>
        <w:widowControl w:val="0"/>
        <w:shd w:val="clear" w:color="auto" w:fill="auto"/>
        <w:bidi w:val="0"/>
        <w:spacing w:before="0" w:after="980" w:line="240" w:lineRule="auto"/>
        <w:ind w:left="980" w:right="0" w:firstLine="20"/>
        <w:jc w:val="both"/>
      </w:pPr>
      <w:bookmarkStart w:id="2240" w:name="bookmark2240"/>
      <w:bookmarkStart w:id="2241" w:name="bookmark2241"/>
      <w:bookmarkStart w:id="2242" w:name="bookmark2242"/>
      <w:bookmarkStart w:id="2243" w:name="bookmark2243"/>
      <w:r>
        <w:rPr>
          <w:rFonts w:ascii="Times New Roman" w:eastAsia="Times New Roman" w:hAnsi="Times New Roman" w:cs="Times New Roman"/>
          <w:color w:val="000000"/>
          <w:spacing w:val="0"/>
          <w:w w:val="100"/>
          <w:position w:val="0"/>
        </w:rPr>
        <w:t>7</w:t>
      </w:r>
      <w:bookmarkEnd w:id="2242"/>
      <w:r>
        <w:rPr>
          <w:color w:val="000000"/>
          <w:spacing w:val="0"/>
          <w:w w:val="100"/>
          <w:position w:val="0"/>
        </w:rPr>
        <w:t>、其他对投资者决策有影响的重要交易和事项</w:t>
      </w:r>
      <w:bookmarkEnd w:id="2240"/>
      <w:bookmarkEnd w:id="2241"/>
      <w:bookmarkEnd w:id="2243"/>
    </w:p>
    <w:p>
      <w:pPr>
        <w:pStyle w:val="Style55"/>
        <w:keepNext/>
        <w:keepLines/>
        <w:widowControl w:val="0"/>
        <w:shd w:val="clear" w:color="auto" w:fill="auto"/>
        <w:bidi w:val="0"/>
        <w:spacing w:before="0" w:after="260" w:line="240" w:lineRule="auto"/>
        <w:ind w:left="980" w:right="0" w:firstLine="20"/>
        <w:jc w:val="both"/>
      </w:pPr>
      <w:bookmarkStart w:id="2244" w:name="bookmark2244"/>
      <w:bookmarkStart w:id="2245" w:name="bookmark2245"/>
      <w:bookmarkStart w:id="2246" w:name="bookmark2246"/>
      <w:bookmarkStart w:id="2247" w:name="bookmark2247"/>
      <w:r>
        <w:rPr>
          <w:rFonts w:ascii="Times New Roman" w:eastAsia="Times New Roman" w:hAnsi="Times New Roman" w:cs="Times New Roman"/>
          <w:color w:val="000000"/>
          <w:spacing w:val="0"/>
          <w:w w:val="100"/>
          <w:position w:val="0"/>
        </w:rPr>
        <w:t>8</w:t>
      </w:r>
      <w:bookmarkEnd w:id="2246"/>
      <w:r>
        <w:rPr>
          <w:color w:val="000000"/>
          <w:spacing w:val="0"/>
          <w:w w:val="100"/>
          <w:position w:val="0"/>
        </w:rPr>
        <w:t>、其他</w:t>
      </w:r>
      <w:bookmarkEnd w:id="2244"/>
      <w:bookmarkEnd w:id="2245"/>
      <w:bookmarkEnd w:id="2247"/>
    </w:p>
    <w:p>
      <w:pPr>
        <w:pStyle w:val="Style32"/>
        <w:keepNext w:val="0"/>
        <w:keepLines w:val="0"/>
        <w:widowControl w:val="0"/>
        <w:shd w:val="clear" w:color="auto" w:fill="auto"/>
        <w:bidi w:val="0"/>
        <w:spacing w:before="0" w:after="360" w:line="314" w:lineRule="exact"/>
        <w:ind w:left="980" w:right="0" w:firstLine="20"/>
        <w:jc w:val="both"/>
        <w:sectPr>
          <w:headerReference w:type="default" r:id="rId541"/>
          <w:footerReference w:type="default" r:id="rId542"/>
          <w:headerReference w:type="even" r:id="rId543"/>
          <w:footerReference w:type="even" r:id="rId544"/>
          <w:footnotePr>
            <w:pos w:val="pageBottom"/>
            <w:numFmt w:val="decimal"/>
            <w:numRestart w:val="continuous"/>
          </w:footnotePr>
          <w:pgSz w:w="11900" w:h="16840"/>
          <w:pgMar w:top="678" w:right="1105" w:bottom="1163" w:left="133" w:header="0" w:footer="3" w:gutter="0"/>
          <w:cols w:space="720"/>
          <w:noEndnote/>
          <w:rtlGutter w:val="0"/>
          <w:docGrid w:linePitch="360"/>
        </w:sectPr>
      </w:pPr>
      <w:r>
        <w:rPr>
          <w:color w:val="000000"/>
          <w:spacing w:val="0"/>
          <w:w w:val="100"/>
          <w:position w:val="0"/>
        </w:rPr>
        <w:t>神州视翰</w:t>
      </w:r>
      <w:r>
        <w:rPr>
          <w:rFonts w:ascii="Times New Roman" w:eastAsia="Times New Roman" w:hAnsi="Times New Roman" w:cs="Times New Roman"/>
          <w:color w:val="000000"/>
          <w:spacing w:val="0"/>
          <w:w w:val="100"/>
          <w:position w:val="0"/>
        </w:rPr>
        <w:t>2018</w:t>
      </w:r>
      <w:r>
        <w:rPr>
          <w:color w:val="000000"/>
          <w:spacing w:val="0"/>
          <w:w w:val="100"/>
          <w:position w:val="0"/>
        </w:rPr>
        <w:t>年度至</w:t>
      </w:r>
      <w:r>
        <w:rPr>
          <w:rFonts w:ascii="Times New Roman" w:eastAsia="Times New Roman" w:hAnsi="Times New Roman" w:cs="Times New Roman"/>
          <w:color w:val="000000"/>
          <w:spacing w:val="0"/>
          <w:w w:val="100"/>
          <w:position w:val="0"/>
        </w:rPr>
        <w:t>2020</w:t>
      </w:r>
      <w:r>
        <w:rPr>
          <w:color w:val="000000"/>
          <w:spacing w:val="0"/>
          <w:w w:val="100"/>
          <w:position w:val="0"/>
        </w:rPr>
        <w:t>年度累计实现扣除非经常性损益后净利润总和</w:t>
      </w:r>
      <w:r>
        <w:rPr>
          <w:rFonts w:ascii="Times New Roman" w:eastAsia="Times New Roman" w:hAnsi="Times New Roman" w:cs="Times New Roman"/>
          <w:color w:val="000000"/>
          <w:spacing w:val="0"/>
          <w:w w:val="100"/>
          <w:position w:val="0"/>
        </w:rPr>
        <w:t>12,480.54</w:t>
      </w:r>
      <w:r>
        <w:rPr>
          <w:color w:val="000000"/>
          <w:spacing w:val="0"/>
          <w:w w:val="100"/>
          <w:position w:val="0"/>
        </w:rPr>
        <w:t>万元，大于</w:t>
      </w:r>
      <w:r>
        <w:rPr>
          <w:rFonts w:ascii="Times New Roman" w:eastAsia="Times New Roman" w:hAnsi="Times New Roman" w:cs="Times New Roman"/>
          <w:color w:val="000000"/>
          <w:spacing w:val="0"/>
          <w:w w:val="100"/>
          <w:position w:val="0"/>
        </w:rPr>
        <w:t>2018</w:t>
      </w:r>
      <w:r>
        <w:rPr>
          <w:color w:val="000000"/>
          <w:spacing w:val="0"/>
          <w:w w:val="100"/>
          <w:position w:val="0"/>
        </w:rPr>
        <w:t>年度至</w:t>
      </w:r>
      <w:r>
        <w:rPr>
          <w:rFonts w:ascii="Times New Roman" w:eastAsia="Times New Roman" w:hAnsi="Times New Roman" w:cs="Times New Roman"/>
          <w:color w:val="000000"/>
          <w:spacing w:val="0"/>
          <w:w w:val="100"/>
          <w:position w:val="0"/>
        </w:rPr>
        <w:t>2020</w:t>
      </w:r>
      <w:r>
        <w:rPr>
          <w:color w:val="000000"/>
          <w:spacing w:val="0"/>
          <w:w w:val="100"/>
          <w:position w:val="0"/>
        </w:rPr>
        <w:t>年度承诺 净利润总和</w:t>
      </w:r>
      <w:r>
        <w:rPr>
          <w:rFonts w:ascii="Times New Roman" w:eastAsia="Times New Roman" w:hAnsi="Times New Roman" w:cs="Times New Roman"/>
          <w:color w:val="000000"/>
          <w:spacing w:val="0"/>
          <w:w w:val="100"/>
          <w:position w:val="0"/>
        </w:rPr>
        <w:t>9,500.00</w:t>
      </w:r>
      <w:r>
        <w:rPr>
          <w:color w:val="000000"/>
          <w:spacing w:val="0"/>
          <w:w w:val="100"/>
          <w:position w:val="0"/>
        </w:rPr>
        <w:t>万元，根据</w:t>
      </w:r>
      <w:r>
        <w:rPr>
          <w:rFonts w:ascii="Times New Roman" w:eastAsia="Times New Roman" w:hAnsi="Times New Roman" w:cs="Times New Roman"/>
          <w:color w:val="000000"/>
          <w:spacing w:val="0"/>
          <w:w w:val="100"/>
          <w:position w:val="0"/>
        </w:rPr>
        <w:t>2017</w:t>
      </w:r>
      <w:r>
        <w:rPr>
          <w:color w:val="000000"/>
          <w:spacing w:val="0"/>
          <w:w w:val="100"/>
          <w:position w:val="0"/>
        </w:rPr>
        <w:t>年发行股份购买资产事项相关承诺，公司应将该等超过部分净利润的</w:t>
      </w:r>
      <w:r>
        <w:rPr>
          <w:rFonts w:ascii="Times New Roman" w:eastAsia="Times New Roman" w:hAnsi="Times New Roman" w:cs="Times New Roman"/>
          <w:color w:val="000000"/>
          <w:spacing w:val="0"/>
          <w:w w:val="100"/>
          <w:position w:val="0"/>
        </w:rPr>
        <w:t>50%</w:t>
      </w:r>
      <w:r>
        <w:rPr>
          <w:color w:val="000000"/>
          <w:spacing w:val="0"/>
          <w:w w:val="100"/>
          <w:position w:val="0"/>
        </w:rPr>
        <w:t>即</w:t>
      </w:r>
      <w:r>
        <w:rPr>
          <w:rFonts w:ascii="Times New Roman" w:eastAsia="Times New Roman" w:hAnsi="Times New Roman" w:cs="Times New Roman"/>
          <w:color w:val="000000"/>
          <w:spacing w:val="0"/>
          <w:w w:val="100"/>
          <w:position w:val="0"/>
        </w:rPr>
        <w:t xml:space="preserve">1,490.27 </w:t>
      </w:r>
      <w:r>
        <w:rPr>
          <w:color w:val="000000"/>
          <w:spacing w:val="0"/>
          <w:w w:val="100"/>
          <w:position w:val="0"/>
        </w:rPr>
        <w:t>万元作为神州视翰管理层的业绩奖励，鉴于公司在健康数据服务领域持续进行战略布局，秦毅先生作为上市公司高管以及神 州视翰的董事长、总经理，持续看好上市公司及神州视翰的发展前景，为支持公司的长远发展，分享上市公司未来发展的红 利，经与神州视翰其他核心人员沟通，秦毅先生代表神州视翰管理团队已声明自愿放弃该笔超额业绩奖励。前述事项业经公 司第四届董事会第二十九次会议审议，尚需提交</w:t>
      </w:r>
      <w:r>
        <w:rPr>
          <w:rFonts w:ascii="Times New Roman" w:eastAsia="Times New Roman" w:hAnsi="Times New Roman" w:cs="Times New Roman"/>
          <w:color w:val="000000"/>
          <w:spacing w:val="0"/>
          <w:w w:val="100"/>
          <w:position w:val="0"/>
        </w:rPr>
        <w:t>2020</w:t>
      </w:r>
      <w:r>
        <w:rPr>
          <w:color w:val="000000"/>
          <w:spacing w:val="0"/>
          <w:w w:val="100"/>
          <w:position w:val="0"/>
        </w:rPr>
        <w:t>年度股东大会审议。</w:t>
      </w:r>
    </w:p>
    <w:p>
      <w:pPr>
        <w:widowControl w:val="0"/>
        <w:spacing w:line="1" w:lineRule="exact"/>
      </w:pPr>
      <w:r>
        <mc:AlternateContent>
          <mc:Choice Requires="wps">
            <w:drawing>
              <wp:anchor distT="0" distB="0" distL="0" distR="0" simplePos="0" relativeHeight="125829690" behindDoc="0" locked="0" layoutInCell="1" allowOverlap="1">
                <wp:simplePos x="0" y="0"/>
                <wp:positionH relativeFrom="page">
                  <wp:posOffset>749300</wp:posOffset>
                </wp:positionH>
                <wp:positionV relativeFrom="paragraph">
                  <wp:posOffset>12700</wp:posOffset>
                </wp:positionV>
                <wp:extent cx="1301750" cy="323215"/>
                <wp:wrapTopAndBottom/>
                <wp:docPr id="1276" name="Shape 1276"/>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2302" type="#_x0000_t202" style="position:absolute;margin-left:59.pt;margin-top:1.pt;width:102.5pt;height:25.449999999999999pt;z-index:-125829063;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topAndBottom" anchorx="page"/>
              </v:shape>
            </w:pict>
          </mc:Fallback>
        </mc:AlternateContent>
      </w:r>
    </w:p>
    <w:p>
      <w:pPr>
        <w:pStyle w:val="Style5"/>
        <w:keepNext w:val="0"/>
        <w:keepLines w:val="0"/>
        <w:widowControl w:val="0"/>
        <w:shd w:val="clear" w:color="auto" w:fill="auto"/>
        <w:tabs>
          <w:tab w:pos="1714" w:val="left"/>
        </w:tabs>
        <w:bidi w:val="0"/>
        <w:spacing w:before="0" w:after="0" w:line="240" w:lineRule="auto"/>
        <w:ind w:left="1340" w:right="0" w:firstLine="0"/>
        <w:jc w:val="left"/>
      </w:pPr>
      <w:r>
        <w:rPr>
          <w:rFonts w:ascii="Arial" w:eastAsia="Arial" w:hAnsi="Arial" w:cs="Arial"/>
          <w:spacing w:val="0"/>
          <w:w w:val="100"/>
          <w:position w:val="0"/>
          <w:sz w:val="14"/>
          <w:szCs w:val="14"/>
        </w:rPr>
        <w:t>A</w:t>
        <w:tab/>
      </w:r>
      <w:r>
        <w:rPr>
          <w:spacing w:val="0"/>
          <w:w w:val="100"/>
          <w:position w:val="0"/>
        </w:rPr>
        <w:t>国家高新技术企业</w:t>
      </w:r>
    </w:p>
    <w:p>
      <w:pPr>
        <w:pStyle w:val="Style32"/>
        <w:keepNext w:val="0"/>
        <w:keepLines w:val="0"/>
        <w:widowControl w:val="0"/>
        <w:shd w:val="clear" w:color="auto" w:fill="auto"/>
        <w:tabs>
          <w:tab w:pos="1714" w:val="left"/>
        </w:tabs>
        <w:bidi w:val="0"/>
        <w:spacing w:before="0" w:after="0" w:line="240" w:lineRule="auto"/>
        <w:ind w:left="1100" w:right="0" w:firstLine="0"/>
        <w:jc w:val="left"/>
      </w:pPr>
      <w:r>
        <w:rPr>
          <w:rFonts w:ascii="SimHei" w:eastAsia="SimHei" w:hAnsi="SimHei" w:cs="SimHei"/>
          <w:color w:val="4E698D"/>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47"/>
        <w:keepNext/>
        <w:keepLines/>
        <w:widowControl w:val="0"/>
        <w:shd w:val="clear" w:color="auto" w:fill="auto"/>
        <w:bidi w:val="0"/>
        <w:spacing w:before="0" w:after="360" w:line="240" w:lineRule="auto"/>
        <w:ind w:left="0" w:right="0" w:firstLine="960"/>
        <w:jc w:val="left"/>
      </w:pPr>
      <w:bookmarkStart w:id="2248" w:name="bookmark2248"/>
      <w:bookmarkStart w:id="2249" w:name="bookmark2249"/>
      <w:bookmarkStart w:id="2250" w:name="bookmark2250"/>
      <w:r>
        <w:rPr>
          <w:color w:val="000000"/>
          <w:spacing w:val="0"/>
          <w:w w:val="100"/>
          <w:position w:val="0"/>
          <w:sz w:val="24"/>
          <w:szCs w:val="24"/>
        </w:rPr>
        <w:t>十七、母公司财务报表主要项目注释</w:t>
      </w:r>
      <w:bookmarkEnd w:id="2248"/>
      <w:bookmarkEnd w:id="2249"/>
      <w:bookmarkEnd w:id="2250"/>
    </w:p>
    <w:p>
      <w:pPr>
        <w:pStyle w:val="Style55"/>
        <w:keepNext/>
        <w:keepLines/>
        <w:widowControl w:val="0"/>
        <w:shd w:val="clear" w:color="auto" w:fill="auto"/>
        <w:bidi w:val="0"/>
        <w:spacing w:before="0" w:after="360" w:line="240" w:lineRule="auto"/>
        <w:ind w:left="0" w:right="0" w:firstLine="960"/>
        <w:jc w:val="left"/>
      </w:pPr>
      <w:bookmarkStart w:id="2251" w:name="bookmark2251"/>
      <w:bookmarkStart w:id="2252" w:name="bookmark2252"/>
      <w:bookmarkStart w:id="2253" w:name="bookmark2253"/>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2251"/>
      <w:bookmarkEnd w:id="2252"/>
      <w:bookmarkEnd w:id="2253"/>
    </w:p>
    <w:p>
      <w:pPr>
        <w:pStyle w:val="Style55"/>
        <w:keepNext/>
        <w:keepLines/>
        <w:widowControl w:val="0"/>
        <w:shd w:val="clear" w:color="auto" w:fill="auto"/>
        <w:bidi w:val="0"/>
        <w:spacing w:before="0" w:after="360" w:line="240" w:lineRule="auto"/>
        <w:ind w:left="1100" w:right="0" w:firstLine="0"/>
        <w:jc w:val="left"/>
      </w:pPr>
      <w:bookmarkStart w:id="2251" w:name="bookmark2251"/>
      <w:bookmarkStart w:id="2252" w:name="bookmark2252"/>
      <w:bookmarkStart w:id="2254" w:name="bookmark2254"/>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2251"/>
      <w:bookmarkEnd w:id="2252"/>
      <w:bookmarkEnd w:id="2254"/>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20"/>
        <w:gridCol w:w="1094"/>
        <w:gridCol w:w="710"/>
        <w:gridCol w:w="994"/>
        <w:gridCol w:w="706"/>
        <w:gridCol w:w="1138"/>
        <w:gridCol w:w="1133"/>
        <w:gridCol w:w="706"/>
        <w:gridCol w:w="994"/>
        <w:gridCol w:w="710"/>
        <w:gridCol w:w="1142"/>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00"/>
              <w:jc w:val="left"/>
              <w:rPr>
                <w:sz w:val="15"/>
                <w:szCs w:val="15"/>
              </w:rPr>
            </w:pPr>
            <w:r>
              <w:rPr>
                <w:color w:val="000000"/>
                <w:spacing w:val="0"/>
                <w:w w:val="100"/>
                <w:position w:val="0"/>
                <w:sz w:val="15"/>
                <w:szCs w:val="15"/>
              </w:rPr>
              <w:t>类别</w:t>
            </w:r>
          </w:p>
        </w:tc>
        <w:tc>
          <w:tcPr>
            <w:gridSpan w:val="5"/>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期末余额</w:t>
            </w:r>
          </w:p>
        </w:tc>
        <w:tc>
          <w:tcPr>
            <w:gridSpan w:val="5"/>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r>
      <w:tr>
        <w:trPr>
          <w:trHeight w:val="403" w:hRule="exact"/>
        </w:trPr>
        <w:tc>
          <w:tcPr>
            <w:vMerge/>
            <w:tcBorders>
              <w:left w:val="single" w:sz="4"/>
            </w:tcBorders>
            <w:shd w:val="clear" w:color="auto" w:fill="D4D4D4"/>
            <w:vAlign w:val="center"/>
          </w:tcPr>
          <w:p>
            <w:pP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账面价值</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60" w:firstLine="0"/>
              <w:jc w:val="right"/>
              <w:rPr>
                <w:sz w:val="15"/>
                <w:szCs w:val="15"/>
              </w:rPr>
            </w:pPr>
            <w:r>
              <w:rPr>
                <w:color w:val="000000"/>
                <w:spacing w:val="0"/>
                <w:w w:val="100"/>
                <w:position w:val="0"/>
                <w:sz w:val="15"/>
                <w:szCs w:val="15"/>
              </w:rPr>
              <w:t>账面价值</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200" w:firstLine="0"/>
              <w:jc w:val="right"/>
              <w:rPr>
                <w:sz w:val="15"/>
                <w:szCs w:val="15"/>
              </w:rPr>
            </w:pPr>
            <w:r>
              <w:rPr>
                <w:color w:val="000000"/>
                <w:spacing w:val="0"/>
                <w:w w:val="100"/>
                <w:position w:val="0"/>
                <w:sz w:val="15"/>
                <w:szCs w:val="15"/>
              </w:rPr>
              <w:t>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计提比例</w:t>
            </w: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400" w:firstLine="0"/>
              <w:jc w:val="right"/>
              <w:rPr>
                <w:sz w:val="15"/>
                <w:szCs w:val="15"/>
              </w:rPr>
            </w:pPr>
            <w:r>
              <w:rPr>
                <w:color w:val="000000"/>
                <w:spacing w:val="0"/>
                <w:w w:val="100"/>
                <w:position w:val="0"/>
                <w:sz w:val="15"/>
                <w:szCs w:val="15"/>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180" w:firstLine="0"/>
              <w:jc w:val="right"/>
              <w:rPr>
                <w:sz w:val="15"/>
                <w:szCs w:val="15"/>
              </w:rPr>
            </w:pPr>
            <w:r>
              <w:rPr>
                <w:color w:val="000000"/>
                <w:spacing w:val="0"/>
                <w:w w:val="100"/>
                <w:position w:val="0"/>
                <w:sz w:val="15"/>
                <w:szCs w:val="15"/>
              </w:rPr>
              <w:t>比例</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40" w:firstLine="0"/>
              <w:jc w:val="right"/>
              <w:rPr>
                <w:sz w:val="15"/>
                <w:szCs w:val="15"/>
              </w:rPr>
            </w:pPr>
            <w:r>
              <w:rPr>
                <w:color w:val="000000"/>
                <w:spacing w:val="0"/>
                <w:w w:val="100"/>
                <w:position w:val="0"/>
                <w:sz w:val="15"/>
                <w:szCs w:val="15"/>
              </w:rPr>
              <w:t>金额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计提比例</w:t>
            </w:r>
          </w:p>
        </w:tc>
        <w:tc>
          <w:tcPr>
            <w:vMerge/>
            <w:tcBorders>
              <w:left w:val="single" w:sz="4"/>
              <w:right w:val="single" w:sz="4"/>
            </w:tcBorders>
            <w:shd w:val="clear" w:color="auto" w:fill="D4D4D4"/>
            <w:vAlign w:val="center"/>
          </w:tcPr>
          <w:p>
            <w:pPr/>
          </w:p>
        </w:tc>
      </w:tr>
      <w:tr>
        <w:trPr>
          <w:trHeight w:val="71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按单项计提坏账准</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备的应收账款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12,579,483.88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both"/>
              <w:rPr>
                <w:sz w:val="15"/>
                <w:szCs w:val="15"/>
              </w:rPr>
            </w:pPr>
            <w:r>
              <w:rPr>
                <w:rFonts w:ascii="Times New Roman" w:eastAsia="Times New Roman" w:hAnsi="Times New Roman" w:cs="Times New Roman"/>
                <w:color w:val="000000"/>
                <w:spacing w:val="0"/>
                <w:w w:val="100"/>
                <w:position w:val="0"/>
                <w:sz w:val="15"/>
                <w:szCs w:val="15"/>
              </w:rPr>
              <w:t>4.59%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12,579,483.88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40"/>
              <w:jc w:val="lef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9,494,140.88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2.90%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9,494,140.88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按组合计提坏账准</w:t>
            </w:r>
          </w:p>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备的应收账款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261,729,234.21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95.41%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59,273,703.52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both"/>
              <w:rPr>
                <w:sz w:val="15"/>
                <w:szCs w:val="15"/>
              </w:rPr>
            </w:pPr>
            <w:r>
              <w:rPr>
                <w:rFonts w:ascii="Times New Roman" w:eastAsia="Times New Roman" w:hAnsi="Times New Roman" w:cs="Times New Roman"/>
                <w:color w:val="000000"/>
                <w:spacing w:val="0"/>
                <w:w w:val="100"/>
                <w:position w:val="0"/>
                <w:sz w:val="15"/>
                <w:szCs w:val="15"/>
              </w:rPr>
              <w:t>22.65%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202,455,530.69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317,366,926.88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both"/>
              <w:rPr>
                <w:sz w:val="15"/>
                <w:szCs w:val="15"/>
              </w:rPr>
            </w:pPr>
            <w:r>
              <w:rPr>
                <w:rFonts w:ascii="Times New Roman" w:eastAsia="Times New Roman" w:hAnsi="Times New Roman" w:cs="Times New Roman"/>
                <w:color w:val="000000"/>
                <w:spacing w:val="0"/>
                <w:w w:val="100"/>
                <w:position w:val="0"/>
                <w:sz w:val="15"/>
                <w:szCs w:val="15"/>
              </w:rPr>
              <w:t>97.10%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77,374,526.80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24.38%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239,992,400.08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组合</w:t>
            </w: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:应收客户款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261,729,234.21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rPr>
                <w:sz w:val="15"/>
                <w:szCs w:val="15"/>
              </w:rPr>
            </w:pPr>
            <w:r>
              <w:rPr>
                <w:rFonts w:ascii="Times New Roman" w:eastAsia="Times New Roman" w:hAnsi="Times New Roman" w:cs="Times New Roman"/>
                <w:color w:val="000000"/>
                <w:spacing w:val="0"/>
                <w:w w:val="100"/>
                <w:position w:val="0"/>
                <w:sz w:val="15"/>
                <w:szCs w:val="15"/>
              </w:rPr>
              <w:t>95.41%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59,273,703.52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both"/>
              <w:rPr>
                <w:sz w:val="15"/>
                <w:szCs w:val="15"/>
              </w:rPr>
            </w:pPr>
            <w:r>
              <w:rPr>
                <w:rFonts w:ascii="Times New Roman" w:eastAsia="Times New Roman" w:hAnsi="Times New Roman" w:cs="Times New Roman"/>
                <w:color w:val="000000"/>
                <w:spacing w:val="0"/>
                <w:w w:val="100"/>
                <w:position w:val="0"/>
                <w:sz w:val="15"/>
                <w:szCs w:val="15"/>
              </w:rPr>
              <w:t>22.65%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202,455,530.69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317,366,926.88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both"/>
              <w:rPr>
                <w:sz w:val="15"/>
                <w:szCs w:val="15"/>
              </w:rPr>
            </w:pPr>
            <w:r>
              <w:rPr>
                <w:rFonts w:ascii="Times New Roman" w:eastAsia="Times New Roman" w:hAnsi="Times New Roman" w:cs="Times New Roman"/>
                <w:color w:val="000000"/>
                <w:spacing w:val="0"/>
                <w:w w:val="100"/>
                <w:position w:val="0"/>
                <w:sz w:val="15"/>
                <w:szCs w:val="15"/>
              </w:rPr>
              <w:t>97.10%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77,374,526.80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24.38%</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239,992,400.08</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274,308,718.09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71,853,187.40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both"/>
              <w:rPr>
                <w:sz w:val="15"/>
                <w:szCs w:val="15"/>
              </w:rPr>
            </w:pPr>
            <w:r>
              <w:rPr>
                <w:rFonts w:ascii="Times New Roman" w:eastAsia="Times New Roman" w:hAnsi="Times New Roman" w:cs="Times New Roman"/>
                <w:color w:val="000000"/>
                <w:spacing w:val="0"/>
                <w:w w:val="100"/>
                <w:position w:val="0"/>
                <w:sz w:val="15"/>
                <w:szCs w:val="15"/>
              </w:rPr>
              <w:t>26.19%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202,455,530.69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326,861,067.76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100.00%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86,868,667.68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20"/>
              <w:jc w:val="left"/>
              <w:rPr>
                <w:sz w:val="15"/>
                <w:szCs w:val="15"/>
              </w:rPr>
            </w:pPr>
            <w:r>
              <w:rPr>
                <w:rFonts w:ascii="Times New Roman" w:eastAsia="Times New Roman" w:hAnsi="Times New Roman" w:cs="Times New Roman"/>
                <w:color w:val="000000"/>
                <w:spacing w:val="0"/>
                <w:w w:val="100"/>
                <w:position w:val="0"/>
                <w:sz w:val="15"/>
                <w:szCs w:val="15"/>
              </w:rPr>
              <w:t>26.58%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5"/>
                <w:szCs w:val="15"/>
              </w:rPr>
              <w:t>239,992,400.08</w:t>
            </w:r>
          </w:p>
        </w:tc>
      </w:tr>
    </w:tbl>
    <w:p>
      <w:pPr>
        <w:pStyle w:val="Style49"/>
        <w:keepNext w:val="0"/>
        <w:keepLines w:val="0"/>
        <w:widowControl w:val="0"/>
        <w:shd w:val="clear" w:color="auto" w:fill="auto"/>
        <w:bidi w:val="0"/>
        <w:spacing w:before="0" w:after="0" w:line="240" w:lineRule="auto"/>
        <w:ind w:left="979" w:right="0" w:firstLine="0"/>
        <w:jc w:val="left"/>
      </w:pPr>
      <w:r>
        <w:rPr>
          <w:color w:val="000000"/>
          <w:spacing w:val="0"/>
          <w:w w:val="100"/>
          <w:position w:val="0"/>
        </w:rPr>
        <w:t>按单项计提坏账准备:</w:t>
      </w:r>
    </w:p>
    <w:p>
      <w:pPr>
        <w:widowControl w:val="0"/>
        <w:spacing w:after="99" w:line="1" w:lineRule="exact"/>
      </w:pPr>
    </w:p>
    <w:p>
      <w:pPr>
        <w:widowControl w:val="0"/>
        <w:spacing w:line="1" w:lineRule="exact"/>
      </w:pP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1920"/>
        <w:gridCol w:w="1915"/>
        <w:gridCol w:w="1915"/>
        <w:gridCol w:w="1915"/>
        <w:gridCol w:w="1925"/>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计提理由</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客户一</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831,600.00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831,600.00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收回可能性较小</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客户二</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2,042,580.00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2,042,580.00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收回可能性较小</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5,204,960.88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5,204,960.88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收回可能性较小</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客户四</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2,148,003.00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2,148,003.00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收回可能性较小</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客户五</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1,429,720.00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1,429,720.00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收回可能性较小</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客户六</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721,931.00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721,931.00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收回可能性较小</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客户七</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200,689.00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200,689.00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收回可能性较小</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12,579,483.88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12,579,483.88</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w:t>
            </w:r>
          </w:p>
        </w:tc>
      </w:tr>
    </w:tbl>
    <w:p>
      <w:pPr>
        <w:widowControl w:val="0"/>
        <w:spacing w:after="419" w:line="1" w:lineRule="exact"/>
      </w:pPr>
    </w:p>
    <w:p>
      <w:pPr>
        <w:pStyle w:val="Style32"/>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按组合计提坏账准备:</w:t>
      </w:r>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right"/>
        <w:tblLayout w:type="fixed"/>
      </w:tblPr>
      <w:tblGrid>
        <w:gridCol w:w="2400"/>
        <w:gridCol w:w="2390"/>
        <w:gridCol w:w="2395"/>
        <w:gridCol w:w="2400"/>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r>
              <w:rPr>
                <w:rFonts w:ascii="Times New Roman" w:eastAsia="Times New Roman" w:hAnsi="Times New Roman" w:cs="Times New Roman"/>
                <w:color w:val="000000"/>
                <w:spacing w:val="0"/>
                <w:w w:val="100"/>
                <w:position w:val="0"/>
              </w:rPr>
              <w:t>1</w:t>
            </w:r>
            <w:r>
              <w:rPr>
                <w:color w:val="000000"/>
                <w:spacing w:val="0"/>
                <w:w w:val="100"/>
                <w:position w:val="0"/>
              </w:rPr>
              <w:t>：应收客户款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261,729,234.21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59,273,703.52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22.65%</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261,729,234.21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59,273,703.52</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rPr>
        <w:t>确定该组合依据的说明:</w:t>
      </w:r>
    </w:p>
    <w:p>
      <w:pPr>
        <w:widowControl w:val="0"/>
        <w:spacing w:line="1" w:lineRule="exact"/>
      </w:pPr>
      <w:r>
        <w:br w:type="page"/>
      </w:r>
    </w:p>
    <w:p>
      <w:pPr>
        <w:framePr w:w="768" w:h="437" w:hSpace="1291" w:wrap="notBeside" w:vAnchor="text" w:hAnchor="text" w:x="1023" w:y="1"/>
        <w:widowControl w:val="0"/>
        <w:rPr>
          <w:sz w:val="2"/>
          <w:szCs w:val="2"/>
        </w:rPr>
      </w:pPr>
      <w:r>
        <w:drawing>
          <wp:inline>
            <wp:extent cx="487680" cy="280670"/>
            <wp:docPr id="1278" name="Picutre 1278"/>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545"/>
                    <a:stretch/>
                  </pic:blipFill>
                  <pic:spPr>
                    <a:xfrm>
                      <a:ext cx="487680" cy="280670"/>
                    </a:xfrm>
                    <a:prstGeom prst="rect"/>
                  </pic:spPr>
                </pic:pic>
              </a:graphicData>
            </a:graphic>
          </wp:inline>
        </w:drawing>
      </w:r>
    </w:p>
    <w:p>
      <w:pPr>
        <w:widowControl w:val="0"/>
        <w:spacing w:line="1" w:lineRule="exact"/>
      </w:pPr>
      <w:r>
        <mc:AlternateContent>
          <mc:Choice Requires="wps">
            <w:drawing>
              <wp:anchor distT="0" distB="0" distL="648970" distR="4812665" simplePos="0" relativeHeight="125829692" behindDoc="0" locked="0" layoutInCell="1" allowOverlap="1">
                <wp:simplePos x="0" y="0"/>
                <wp:positionH relativeFrom="column">
                  <wp:posOffset>1136650</wp:posOffset>
                </wp:positionH>
                <wp:positionV relativeFrom="paragraph">
                  <wp:posOffset>6350</wp:posOffset>
                </wp:positionV>
                <wp:extent cx="819785" cy="250190"/>
                <wp:wrapTopAndBottom/>
                <wp:docPr id="1279" name="Shape 1279"/>
                <a:graphic xmlns:a="http://schemas.openxmlformats.org/drawingml/2006/main">
                  <a:graphicData uri="http://schemas.microsoft.com/office/word/2010/wordprocessingShape">
                    <wps:wsp>
                      <wps:cNvSpPr txBox="1"/>
                      <wps:spPr>
                        <a:xfrm>
                          <a:ext cx="819785" cy="250190"/>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305" type="#_x0000_t202" style="position:absolute;margin-left:89.5pt;margin-top:0.5pt;width:64.549999999999997pt;height:19.699999999999999pt;z-index:-125829061;mso-wrap-distance-left:51.100000000000001pt;mso-wrap-distance-right:378.94999999999999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p>
      <w:pPr>
        <w:pStyle w:val="Style32"/>
        <w:keepNext w:val="0"/>
        <w:keepLines w:val="0"/>
        <w:widowControl w:val="0"/>
        <w:shd w:val="clear" w:color="auto" w:fill="auto"/>
        <w:bidi w:val="0"/>
        <w:spacing w:before="0" w:after="480" w:line="240" w:lineRule="auto"/>
        <w:ind w:left="0" w:right="0" w:firstLine="980"/>
        <w:jc w:val="left"/>
      </w:pPr>
      <w:r>
        <w:rPr>
          <w:color w:val="000000"/>
          <w:spacing w:val="0"/>
          <w:w w:val="100"/>
          <w:position w:val="0"/>
        </w:rPr>
        <w:t>按组合计提坏账准备的确认标准及说明见第十二节、五、</w:t>
      </w:r>
      <w:r>
        <w:rPr>
          <w:rFonts w:ascii="Times New Roman" w:eastAsia="Times New Roman" w:hAnsi="Times New Roman" w:cs="Times New Roman"/>
          <w:color w:val="000000"/>
          <w:spacing w:val="0"/>
          <w:w w:val="100"/>
          <w:position w:val="0"/>
        </w:rPr>
        <w:t>10</w:t>
      </w:r>
      <w:r>
        <w:rPr>
          <w:color w:val="000000"/>
          <w:spacing w:val="0"/>
          <w:w w:val="100"/>
          <w:position w:val="0"/>
        </w:rPr>
        <w:t>。</w:t>
      </w:r>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如是按照预期信用损失一般模型计提应收账款坏账准备，请参照其他应收款的披露方式披露坏账准备的相关信息:</w:t>
      </w:r>
    </w:p>
    <w:p>
      <w:pPr>
        <w:pStyle w:val="Style32"/>
        <w:keepNext w:val="0"/>
        <w:keepLines w:val="0"/>
        <w:widowControl w:val="0"/>
        <w:shd w:val="clear" w:color="auto" w:fill="auto"/>
        <w:bidi w:val="0"/>
        <w:spacing w:before="0" w:after="12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按账龄披露</w:t>
      </w:r>
    </w:p>
    <w:p>
      <w:pPr>
        <w:pStyle w:val="Style32"/>
        <w:keepNext w:val="0"/>
        <w:keepLines w:val="0"/>
        <w:widowControl w:val="0"/>
        <w:shd w:val="clear" w:color="auto" w:fill="auto"/>
        <w:bidi w:val="0"/>
        <w:spacing w:before="0" w:after="120" w:line="240" w:lineRule="auto"/>
        <w:ind w:left="9900" w:right="0" w:firstLine="0"/>
        <w:jc w:val="left"/>
      </w:pPr>
      <w:r>
        <w:rPr>
          <w:color w:val="000000"/>
          <w:spacing w:val="0"/>
          <w:w w:val="100"/>
          <w:position w:val="0"/>
        </w:rPr>
        <w:t>单位：元</w:t>
      </w:r>
    </w:p>
    <w:tbl>
      <w:tblPr>
        <w:tblOverlap w:val="never"/>
        <w:jc w:val="right"/>
        <w:tblLayout w:type="fixed"/>
      </w:tblPr>
      <w:tblGrid>
        <w:gridCol w:w="4790"/>
        <w:gridCol w:w="4795"/>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124,597,637.29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58,838,326.13</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10,643,736.59</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80,229,018.08</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21,483,585.42</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42,760,463.00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15,984,969.66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274,308,718.09</w:t>
            </w:r>
          </w:p>
        </w:tc>
      </w:tr>
    </w:tbl>
    <w:p>
      <w:pPr>
        <w:widowControl w:val="0"/>
        <w:spacing w:after="319" w:line="1" w:lineRule="exact"/>
      </w:pPr>
    </w:p>
    <w:p>
      <w:pPr>
        <w:pStyle w:val="Style55"/>
        <w:keepNext/>
        <w:keepLines/>
        <w:widowControl w:val="0"/>
        <w:shd w:val="clear" w:color="auto" w:fill="auto"/>
        <w:bidi w:val="0"/>
        <w:spacing w:before="0" w:after="360" w:line="240" w:lineRule="auto"/>
        <w:ind w:left="0" w:right="0" w:firstLine="980"/>
        <w:jc w:val="left"/>
      </w:pPr>
      <w:bookmarkStart w:id="2255" w:name="bookmark2255"/>
      <w:bookmarkStart w:id="2256" w:name="bookmark2256"/>
      <w:bookmarkStart w:id="2257" w:name="bookmark2257"/>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2255"/>
      <w:bookmarkEnd w:id="2256"/>
      <w:bookmarkEnd w:id="2257"/>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本期计提坏账准备情况：</w:t>
      </w: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805"/>
        <w:gridCol w:w="1368"/>
        <w:gridCol w:w="1368"/>
        <w:gridCol w:w="1363"/>
        <w:gridCol w:w="1368"/>
        <w:gridCol w:w="1368"/>
        <w:gridCol w:w="1378"/>
      </w:tblGrid>
      <w:tr>
        <w:trPr>
          <w:trHeight w:val="403"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期初余额</w:t>
            </w:r>
          </w:p>
        </w:tc>
        <w:tc>
          <w:tcPr>
            <w:gridSpan w:val="4"/>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9,494,140.88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5,331,943.00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2,246,600.00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12,579,483.88</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77,374,526.80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-18,100,823.28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59,273,703.52</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86,868,667.68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-12,768,880.28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2,246,600.00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71,853,187.40</w:t>
            </w:r>
          </w:p>
        </w:tc>
      </w:tr>
    </w:tbl>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其中本期坏账准备收回或转回金额重要的:</w:t>
      </w:r>
    </w:p>
    <w:p>
      <w:pPr>
        <w:pStyle w:val="Style32"/>
        <w:keepNext w:val="0"/>
        <w:keepLines w:val="0"/>
        <w:widowControl w:val="0"/>
        <w:shd w:val="clear" w:color="auto" w:fill="auto"/>
        <w:bidi w:val="0"/>
        <w:spacing w:before="0" w:after="360" w:line="240" w:lineRule="auto"/>
        <w:ind w:left="0" w:right="0" w:firstLine="980"/>
        <w:jc w:val="left"/>
      </w:pPr>
      <w:r>
        <w:rPr>
          <w:color w:val="000000"/>
          <w:spacing w:val="0"/>
          <w:w w:val="100"/>
          <w:position w:val="0"/>
        </w:rPr>
        <w:t>无</w:t>
      </w:r>
    </w:p>
    <w:p>
      <w:pPr>
        <w:pStyle w:val="Style55"/>
        <w:keepNext/>
        <w:keepLines/>
        <w:widowControl w:val="0"/>
        <w:shd w:val="clear" w:color="auto" w:fill="auto"/>
        <w:bidi w:val="0"/>
        <w:spacing w:before="0" w:after="960" w:line="240" w:lineRule="auto"/>
        <w:ind w:left="1100" w:right="0" w:firstLine="0"/>
        <w:jc w:val="left"/>
      </w:pPr>
      <w:bookmarkStart w:id="2258" w:name="bookmark2258"/>
      <w:bookmarkStart w:id="2259" w:name="bookmark2259"/>
      <w:bookmarkStart w:id="2260" w:name="bookmark2260"/>
      <w:bookmarkStart w:id="2261" w:name="bookmark2261"/>
      <w:r>
        <w:rPr>
          <w:color w:val="000000"/>
          <w:spacing w:val="0"/>
          <w:w w:val="100"/>
          <w:position w:val="0"/>
        </w:rPr>
        <w:t>（</w:t>
      </w:r>
      <w:bookmarkEnd w:id="2260"/>
      <w:r>
        <w:rPr>
          <w:rFonts w:ascii="Times New Roman" w:eastAsia="Times New Roman" w:hAnsi="Times New Roman" w:cs="Times New Roman"/>
          <w:color w:val="000000"/>
          <w:spacing w:val="0"/>
          <w:w w:val="100"/>
          <w:position w:val="0"/>
        </w:rPr>
        <w:t>3</w:t>
      </w:r>
      <w:r>
        <w:rPr>
          <w:color w:val="000000"/>
          <w:spacing w:val="0"/>
          <w:w w:val="100"/>
          <w:position w:val="0"/>
        </w:rPr>
        <w:t>）本期实际核销的应收账款情况</w:t>
      </w:r>
      <w:bookmarkEnd w:id="2258"/>
      <w:bookmarkEnd w:id="2259"/>
      <w:bookmarkEnd w:id="2261"/>
    </w:p>
    <w:p>
      <w:pPr>
        <w:pStyle w:val="Style55"/>
        <w:keepNext/>
        <w:keepLines/>
        <w:widowControl w:val="0"/>
        <w:shd w:val="clear" w:color="auto" w:fill="auto"/>
        <w:bidi w:val="0"/>
        <w:spacing w:before="0" w:after="360" w:line="240" w:lineRule="auto"/>
        <w:ind w:left="1100" w:right="0" w:firstLine="0"/>
        <w:jc w:val="left"/>
      </w:pPr>
      <w:bookmarkStart w:id="2262" w:name="bookmark2262"/>
      <w:bookmarkStart w:id="2263" w:name="bookmark2263"/>
      <w:bookmarkStart w:id="2264" w:name="bookmark2264"/>
      <w:bookmarkStart w:id="2265" w:name="bookmark2265"/>
      <w:r>
        <w:rPr>
          <w:color w:val="000000"/>
          <w:spacing w:val="0"/>
          <w:w w:val="100"/>
          <w:position w:val="0"/>
        </w:rPr>
        <w:t>（</w:t>
      </w:r>
      <w:bookmarkEnd w:id="2264"/>
      <w:r>
        <w:rPr>
          <w:rFonts w:ascii="Times New Roman" w:eastAsia="Times New Roman" w:hAnsi="Times New Roman" w:cs="Times New Roman"/>
          <w:color w:val="000000"/>
          <w:spacing w:val="0"/>
          <w:w w:val="100"/>
          <w:position w:val="0"/>
        </w:rPr>
        <w:t>4</w:t>
      </w:r>
      <w:r>
        <w:rPr>
          <w:color w:val="000000"/>
          <w:spacing w:val="0"/>
          <w:w w:val="100"/>
          <w:position w:val="0"/>
        </w:rPr>
        <w:t>）按欠款方归集的期末余额前五名的应收账款情况</w:t>
      </w:r>
      <w:bookmarkEnd w:id="2262"/>
      <w:bookmarkEnd w:id="2263"/>
      <w:bookmarkEnd w:id="2265"/>
    </w:p>
    <w:p>
      <w:pPr>
        <w:pStyle w:val="Style32"/>
        <w:keepNext w:val="0"/>
        <w:keepLines w:val="0"/>
        <w:widowControl w:val="0"/>
        <w:shd w:val="clear" w:color="auto" w:fill="auto"/>
        <w:bidi w:val="0"/>
        <w:spacing w:before="0" w:after="120" w:line="240" w:lineRule="auto"/>
        <w:ind w:left="9900" w:right="0" w:firstLine="0"/>
        <w:jc w:val="left"/>
      </w:pPr>
      <w:r>
        <w:rPr>
          <w:color w:val="000000"/>
          <w:spacing w:val="0"/>
          <w:w w:val="100"/>
          <w:position w:val="0"/>
        </w:rPr>
        <w:t>单位：元</w:t>
      </w:r>
    </w:p>
    <w:tbl>
      <w:tblPr>
        <w:tblOverlap w:val="never"/>
        <w:jc w:val="right"/>
        <w:tblLayout w:type="fixed"/>
      </w:tblPr>
      <w:tblGrid>
        <w:gridCol w:w="2400"/>
        <w:gridCol w:w="2390"/>
        <w:gridCol w:w="2395"/>
        <w:gridCol w:w="2400"/>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应收账款期末余额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占应收账款期末余额合计数</w:t>
            </w:r>
          </w:p>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的比例</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坏账准备期末余额</w:t>
            </w:r>
          </w:p>
        </w:tc>
      </w:tr>
      <w:tr>
        <w:trPr>
          <w:trHeight w:val="408" w:hRule="exact"/>
        </w:trPr>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18,890,383.44</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387,918.81</w:t>
            </w:r>
          </w:p>
        </w:tc>
      </w:tr>
    </w:tbl>
    <w:p>
      <w:pPr>
        <w:sectPr>
          <w:headerReference w:type="default" r:id="rId547"/>
          <w:footerReference w:type="default" r:id="rId548"/>
          <w:headerReference w:type="even" r:id="rId549"/>
          <w:footerReference w:type="even" r:id="rId550"/>
          <w:footnotePr>
            <w:pos w:val="pageBottom"/>
            <w:numFmt w:val="decimal"/>
            <w:numRestart w:val="continuous"/>
          </w:footnotePr>
          <w:pgSz w:w="11900" w:h="16840"/>
          <w:pgMar w:top="1112" w:right="1105" w:bottom="1506" w:left="133" w:header="0" w:footer="3" w:gutter="0"/>
          <w:cols w:space="720"/>
          <w:noEndnote/>
          <w:rtlGutter w:val="0"/>
          <w:docGrid w:linePitch="360"/>
        </w:sectPr>
      </w:pPr>
    </w:p>
    <w:p>
      <w:pPr>
        <w:widowControl w:val="0"/>
        <w:jc w:val="center"/>
        <w:rPr>
          <w:sz w:val="2"/>
          <w:szCs w:val="2"/>
        </w:rPr>
      </w:pPr>
      <w:r>
        <w:drawing>
          <wp:inline>
            <wp:extent cx="1298575" cy="481330"/>
            <wp:docPr id="1291" name="Picutre 1291"/>
            <a:graphic xmlns:a="http://schemas.openxmlformats.org/drawingml/2006/main">
              <a:graphicData uri="http://schemas.openxmlformats.org/drawingml/2006/picture">
                <pic:pic xmlns:pic="http://schemas.openxmlformats.org/drawingml/2006/picture">
                  <pic:nvPicPr>
                    <pic:cNvPr id="1291" name="Picture 1291"/>
                    <pic:cNvPicPr/>
                  </pic:nvPicPr>
                  <pic:blipFill>
                    <a:blip r:embed="rId551"/>
                    <a:stretch/>
                  </pic:blipFill>
                  <pic:spPr>
                    <a:xfrm>
                      <a:ext cx="1298575" cy="481330"/>
                    </a:xfrm>
                    <a:prstGeom prst="rect"/>
                  </pic:spPr>
                </pic:pic>
              </a:graphicData>
            </a:graphic>
          </wp:inline>
        </w:drawing>
      </w:r>
    </w:p>
    <w:p>
      <w:pPr>
        <w:pStyle w:val="Style26"/>
        <w:keepNext w:val="0"/>
        <w:keepLines w:val="0"/>
        <w:widowControl w:val="0"/>
        <w:shd w:val="clear" w:color="auto" w:fill="auto"/>
        <w:bidi w:val="0"/>
        <w:spacing w:before="0" w:after="0" w:line="168" w:lineRule="exact"/>
        <w:ind w:left="782"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bl>
      <w:tblPr>
        <w:tblOverlap w:val="never"/>
        <w:jc w:val="right"/>
        <w:tblLayout w:type="fixed"/>
      </w:tblPr>
      <w:tblGrid>
        <w:gridCol w:w="2400"/>
        <w:gridCol w:w="2390"/>
        <w:gridCol w:w="2395"/>
        <w:gridCol w:w="2400"/>
      </w:tblGrid>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18,736,810.00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6.83%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14,989,448.00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11,399,904.42</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4.16%</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227,998.09</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10,390,865.56</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3.79%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519,543.28</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9,737,141.00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3.55%</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194,742.82</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69,155,104.42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25.21%</w:t>
            </w:r>
          </w:p>
        </w:tc>
        <w:tc>
          <w:tcPr>
            <w:tcBorders>
              <w:top w:val="single" w:sz="4"/>
              <w:left w:val="single" w:sz="4"/>
              <w:bottom w:val="single" w:sz="4"/>
              <w:right w:val="single" w:sz="4"/>
            </w:tcBorders>
            <w:shd w:val="clear" w:color="auto" w:fill="D4D4D4"/>
            <w:vAlign w:val="top"/>
          </w:tcPr>
          <w:p>
            <w:pPr>
              <w:widowControl w:val="0"/>
              <w:rPr>
                <w:sz w:val="10"/>
                <w:szCs w:val="10"/>
              </w:rPr>
            </w:pPr>
          </w:p>
        </w:tc>
      </w:tr>
    </w:tbl>
    <w:p>
      <w:pPr>
        <w:widowControl w:val="0"/>
        <w:spacing w:after="359" w:line="1" w:lineRule="exact"/>
      </w:pPr>
    </w:p>
    <w:p>
      <w:pPr>
        <w:pStyle w:val="Style55"/>
        <w:keepNext/>
        <w:keepLines/>
        <w:widowControl w:val="0"/>
        <w:numPr>
          <w:ilvl w:val="0"/>
          <w:numId w:val="185"/>
        </w:numPr>
        <w:shd w:val="clear" w:color="auto" w:fill="auto"/>
        <w:bidi w:val="0"/>
        <w:spacing w:before="0" w:after="360" w:line="240" w:lineRule="auto"/>
        <w:ind w:left="1100" w:right="0" w:firstLine="0"/>
        <w:jc w:val="left"/>
      </w:pPr>
      <w:bookmarkStart w:id="2266" w:name="bookmark2266"/>
      <w:bookmarkStart w:id="2267" w:name="bookmark2267"/>
      <w:bookmarkStart w:id="2268" w:name="bookmark2268"/>
      <w:bookmarkStart w:id="2269" w:name="bookmark2269"/>
      <w:bookmarkEnd w:id="2268"/>
      <w:r>
        <w:rPr>
          <w:color w:val="000000"/>
          <w:spacing w:val="0"/>
          <w:w w:val="100"/>
          <w:position w:val="0"/>
        </w:rPr>
        <w:t>因金融资产转移而终止确认的应收账款</w:t>
      </w:r>
      <w:bookmarkEnd w:id="2266"/>
      <w:bookmarkEnd w:id="2267"/>
      <w:bookmarkEnd w:id="2269"/>
    </w:p>
    <w:p>
      <w:pPr>
        <w:pStyle w:val="Style32"/>
        <w:keepNext w:val="0"/>
        <w:keepLines w:val="0"/>
        <w:widowControl w:val="0"/>
        <w:shd w:val="clear" w:color="auto" w:fill="auto"/>
        <w:bidi w:val="0"/>
        <w:spacing w:before="0" w:after="400" w:line="240" w:lineRule="auto"/>
        <w:ind w:left="0" w:right="0" w:firstLine="980"/>
        <w:jc w:val="left"/>
      </w:pPr>
      <w:r>
        <w:rPr>
          <w:color w:val="000000"/>
          <w:spacing w:val="0"/>
          <w:w w:val="100"/>
          <w:position w:val="0"/>
        </w:rPr>
        <w:t>无</w:t>
      </w:r>
    </w:p>
    <w:p>
      <w:pPr>
        <w:pStyle w:val="Style55"/>
        <w:keepNext/>
        <w:keepLines/>
        <w:widowControl w:val="0"/>
        <w:numPr>
          <w:ilvl w:val="0"/>
          <w:numId w:val="185"/>
        </w:numPr>
        <w:shd w:val="clear" w:color="auto" w:fill="auto"/>
        <w:bidi w:val="0"/>
        <w:spacing w:before="0" w:after="400" w:line="240" w:lineRule="auto"/>
        <w:ind w:left="0" w:right="0" w:firstLine="980"/>
        <w:jc w:val="left"/>
      </w:pPr>
      <w:bookmarkStart w:id="2270" w:name="bookmark2270"/>
      <w:bookmarkStart w:id="2271" w:name="bookmark2271"/>
      <w:bookmarkStart w:id="2272" w:name="bookmark2272"/>
      <w:bookmarkStart w:id="2273" w:name="bookmark2273"/>
      <w:bookmarkEnd w:id="2272"/>
      <w:r>
        <w:rPr>
          <w:color w:val="000000"/>
          <w:spacing w:val="0"/>
          <w:w w:val="100"/>
          <w:position w:val="0"/>
        </w:rPr>
        <w:t>转移应收账款且继续涉入形成的资产、负债金额</w:t>
      </w:r>
      <w:bookmarkEnd w:id="2270"/>
      <w:bookmarkEnd w:id="2271"/>
      <w:bookmarkEnd w:id="2273"/>
    </w:p>
    <w:p>
      <w:pPr>
        <w:pStyle w:val="Style32"/>
        <w:keepNext w:val="0"/>
        <w:keepLines w:val="0"/>
        <w:widowControl w:val="0"/>
        <w:shd w:val="clear" w:color="auto" w:fill="auto"/>
        <w:bidi w:val="0"/>
        <w:spacing w:before="0" w:after="360" w:line="240" w:lineRule="auto"/>
        <w:ind w:left="0" w:right="0" w:firstLine="980"/>
        <w:jc w:val="left"/>
      </w:pPr>
      <w:r>
        <w:rPr>
          <w:color w:val="000000"/>
          <w:spacing w:val="0"/>
          <w:w w:val="100"/>
          <w:position w:val="0"/>
        </w:rPr>
        <w:t>无</w:t>
      </w:r>
    </w:p>
    <w:p>
      <w:pPr>
        <w:pStyle w:val="Style55"/>
        <w:keepNext/>
        <w:keepLines/>
        <w:widowControl w:val="0"/>
        <w:shd w:val="clear" w:color="auto" w:fill="auto"/>
        <w:bidi w:val="0"/>
        <w:spacing w:before="0" w:after="400" w:line="240" w:lineRule="auto"/>
        <w:ind w:left="0" w:right="0" w:firstLine="980"/>
        <w:jc w:val="left"/>
      </w:pPr>
      <w:bookmarkStart w:id="2274" w:name="bookmark2274"/>
      <w:bookmarkStart w:id="2275" w:name="bookmark2275"/>
      <w:bookmarkStart w:id="2276" w:name="bookmark2276"/>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2274"/>
      <w:bookmarkEnd w:id="2275"/>
      <w:bookmarkEnd w:id="2276"/>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right"/>
        <w:tblLayout w:type="fixed"/>
      </w:tblPr>
      <w:tblGrid>
        <w:gridCol w:w="3197"/>
        <w:gridCol w:w="3192"/>
        <w:gridCol w:w="3197"/>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应收股利</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98,400,000.00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85,000,000.00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13,703,448.53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13,974,593.01</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112,103,448.53</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98,974,593.01</w:t>
            </w:r>
          </w:p>
        </w:tc>
      </w:tr>
    </w:tbl>
    <w:p>
      <w:pPr>
        <w:widowControl w:val="0"/>
        <w:spacing w:after="359" w:line="1" w:lineRule="exact"/>
      </w:pPr>
    </w:p>
    <w:p>
      <w:pPr>
        <w:pStyle w:val="Style55"/>
        <w:keepNext/>
        <w:keepLines/>
        <w:widowControl w:val="0"/>
        <w:shd w:val="clear" w:color="auto" w:fill="auto"/>
        <w:bidi w:val="0"/>
        <w:spacing w:before="0" w:after="960" w:line="240" w:lineRule="auto"/>
        <w:ind w:left="1100" w:right="0" w:firstLine="0"/>
        <w:jc w:val="left"/>
      </w:pPr>
      <w:bookmarkStart w:id="2277" w:name="bookmark2277"/>
      <w:bookmarkStart w:id="2278" w:name="bookmark2278"/>
      <w:bookmarkStart w:id="2279" w:name="bookmark2279"/>
      <w:r>
        <w:rPr>
          <w:rFonts w:ascii="Times New Roman" w:eastAsia="Times New Roman" w:hAnsi="Times New Roman" w:cs="Times New Roman"/>
          <w:color w:val="000000"/>
          <w:spacing w:val="0"/>
          <w:w w:val="100"/>
          <w:position w:val="0"/>
        </w:rPr>
        <w:t>(1</w:t>
      </w:r>
      <w:r>
        <w:rPr>
          <w:color w:val="000000"/>
          <w:spacing w:val="0"/>
          <w:w w:val="100"/>
          <w:position w:val="0"/>
        </w:rPr>
        <w:t>)应收利息</w:t>
      </w:r>
      <w:bookmarkEnd w:id="2277"/>
      <w:bookmarkEnd w:id="2278"/>
      <w:bookmarkEnd w:id="2279"/>
    </w:p>
    <w:p>
      <w:pPr>
        <w:pStyle w:val="Style55"/>
        <w:keepNext/>
        <w:keepLines/>
        <w:widowControl w:val="0"/>
        <w:shd w:val="clear" w:color="auto" w:fill="auto"/>
        <w:bidi w:val="0"/>
        <w:spacing w:before="0" w:after="360" w:line="240" w:lineRule="auto"/>
        <w:ind w:left="0" w:right="0" w:firstLine="980"/>
        <w:jc w:val="left"/>
      </w:pPr>
      <w:bookmarkStart w:id="2280" w:name="bookmark2280"/>
      <w:bookmarkStart w:id="2281" w:name="bookmark2281"/>
      <w:bookmarkStart w:id="2282" w:name="bookmark2282"/>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)应收股利</w:t>
      </w:r>
      <w:bookmarkEnd w:id="2280"/>
      <w:bookmarkEnd w:id="2281"/>
      <w:bookmarkEnd w:id="2282"/>
    </w:p>
    <w:p>
      <w:pPr>
        <w:pStyle w:val="Style55"/>
        <w:keepNext/>
        <w:keepLines/>
        <w:widowControl w:val="0"/>
        <w:shd w:val="clear" w:color="auto" w:fill="auto"/>
        <w:bidi w:val="0"/>
        <w:spacing w:before="0" w:after="360" w:line="240" w:lineRule="auto"/>
        <w:ind w:left="0" w:right="0" w:firstLine="980"/>
        <w:jc w:val="left"/>
      </w:pPr>
      <w:bookmarkStart w:id="2280" w:name="bookmark2280"/>
      <w:bookmarkStart w:id="2281" w:name="bookmark2281"/>
      <w:bookmarkStart w:id="2283" w:name="bookmark2283"/>
      <w:r>
        <w:rPr>
          <w:rFonts w:ascii="Times New Roman" w:eastAsia="Times New Roman" w:hAnsi="Times New Roman" w:cs="Times New Roman"/>
          <w:color w:val="000000"/>
          <w:spacing w:val="0"/>
          <w:w w:val="100"/>
          <w:position w:val="0"/>
        </w:rPr>
        <w:t>1</w:t>
      </w:r>
      <w:r>
        <w:rPr>
          <w:color w:val="000000"/>
          <w:spacing w:val="0"/>
          <w:w w:val="100"/>
          <w:position w:val="0"/>
        </w:rPr>
        <w:t>)应收股利分类</w:t>
      </w:r>
      <w:bookmarkEnd w:id="2280"/>
      <w:bookmarkEnd w:id="2281"/>
      <w:bookmarkEnd w:id="2283"/>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right"/>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r>
              <w:rPr>
                <w:rFonts w:ascii="Times New Roman" w:eastAsia="Times New Roman" w:hAnsi="Times New Roman" w:cs="Times New Roman"/>
                <w:color w:val="000000"/>
                <w:spacing w:val="0"/>
                <w:w w:val="100"/>
                <w:position w:val="0"/>
              </w:rPr>
              <w:t>(</w:t>
            </w:r>
            <w:r>
              <w:rPr>
                <w:color w:val="000000"/>
                <w:spacing w:val="0"/>
                <w:w w:val="100"/>
                <w:position w:val="0"/>
              </w:rPr>
              <w:t>或被投资单位</w:t>
            </w: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39,000,000.00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31,000,000.00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北京神州视翰科技有限公司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51,000,000.00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54,000,000.00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上海今创信息技术有限公司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98,400,000.00</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85,000,000.00</w:t>
            </w:r>
          </w:p>
        </w:tc>
      </w:tr>
    </w:tbl>
    <w:p>
      <w:pPr>
        <w:widowControl w:val="0"/>
        <w:spacing w:after="359" w:line="1" w:lineRule="exact"/>
      </w:pPr>
    </w:p>
    <w:p>
      <w:pPr>
        <w:pStyle w:val="Style55"/>
        <w:keepNext/>
        <w:keepLines/>
        <w:widowControl w:val="0"/>
        <w:numPr>
          <w:ilvl w:val="0"/>
          <w:numId w:val="187"/>
        </w:numPr>
        <w:shd w:val="clear" w:color="auto" w:fill="auto"/>
        <w:bidi w:val="0"/>
        <w:spacing w:before="0" w:after="360" w:line="240" w:lineRule="auto"/>
        <w:ind w:left="0" w:right="0" w:firstLine="980"/>
        <w:jc w:val="left"/>
      </w:pPr>
      <w:bookmarkStart w:id="2284" w:name="bookmark2284"/>
      <w:bookmarkStart w:id="2285" w:name="bookmark2285"/>
      <w:bookmarkStart w:id="2286" w:name="bookmark2286"/>
      <w:bookmarkStart w:id="2287" w:name="bookmark2287"/>
      <w:bookmarkEnd w:id="2286"/>
      <w:r>
        <w:rPr>
          <w:color w:val="000000"/>
          <w:spacing w:val="0"/>
          <w:w w:val="100"/>
          <w:position w:val="0"/>
        </w:rPr>
        <w:t>重要的账龄超过</w:t>
      </w:r>
      <w:r>
        <w:rPr>
          <w:rFonts w:ascii="Times New Roman" w:eastAsia="Times New Roman" w:hAnsi="Times New Roman" w:cs="Times New Roman"/>
          <w:color w:val="000000"/>
          <w:spacing w:val="0"/>
          <w:w w:val="100"/>
          <w:position w:val="0"/>
        </w:rPr>
        <w:t>1</w:t>
      </w:r>
      <w:r>
        <w:rPr>
          <w:color w:val="000000"/>
          <w:spacing w:val="0"/>
          <w:w w:val="100"/>
          <w:position w:val="0"/>
        </w:rPr>
        <w:t>年的应收股利</w:t>
      </w:r>
      <w:bookmarkEnd w:id="2284"/>
      <w:bookmarkEnd w:id="2285"/>
      <w:bookmarkEnd w:id="2287"/>
    </w:p>
    <w:p>
      <w:pPr>
        <w:pStyle w:val="Style32"/>
        <w:keepNext w:val="0"/>
        <w:keepLines w:val="0"/>
        <w:widowControl w:val="0"/>
        <w:shd w:val="clear" w:color="auto" w:fill="auto"/>
        <w:bidi w:val="0"/>
        <w:spacing w:before="0" w:after="360" w:line="240" w:lineRule="auto"/>
        <w:ind w:left="9900" w:right="0" w:firstLine="0"/>
        <w:jc w:val="left"/>
        <w:sectPr>
          <w:footnotePr>
            <w:pos w:val="pageBottom"/>
            <w:numFmt w:val="decimal"/>
            <w:numRestart w:val="continuous"/>
          </w:footnotePr>
          <w:pgSz w:w="11900" w:h="16840"/>
          <w:pgMar w:top="692" w:right="1105" w:bottom="1158" w:left="133" w:header="0" w:footer="3" w:gutter="0"/>
          <w:cols w:space="720"/>
          <w:noEndnote/>
          <w:rtlGutter w:val="0"/>
          <w:docGrid w:linePitch="360"/>
        </w:sectPr>
      </w:pPr>
      <w:r>
        <w:rPr>
          <w:color w:val="000000"/>
          <w:spacing w:val="0"/>
          <w:w w:val="100"/>
          <w:position w:val="0"/>
        </w:rPr>
        <w:t>单位：元</w:t>
      </w:r>
    </w:p>
    <w:p>
      <w:pPr>
        <w:widowControl w:val="0"/>
        <w:spacing w:line="1" w:lineRule="exact"/>
      </w:pPr>
      <w:r>
        <w:drawing>
          <wp:anchor distT="0" distB="0" distL="0" distR="0" simplePos="0" relativeHeight="125829694" behindDoc="0" locked="0" layoutInCell="1" allowOverlap="1">
            <wp:simplePos x="0" y="0"/>
            <wp:positionH relativeFrom="page">
              <wp:posOffset>734060</wp:posOffset>
            </wp:positionH>
            <wp:positionV relativeFrom="paragraph">
              <wp:posOffset>12700</wp:posOffset>
            </wp:positionV>
            <wp:extent cx="487680" cy="237490"/>
            <wp:wrapTight wrapText="bothSides">
              <wp:wrapPolygon>
                <wp:start x="0" y="0"/>
                <wp:lineTo x="21600" y="0"/>
                <wp:lineTo x="21600" y="21600"/>
                <wp:lineTo x="0" y="21600"/>
                <wp:lineTo x="0" y="0"/>
              </wp:wrapPolygon>
            </wp:wrapTight>
            <wp:docPr id="1292" name="Shape 1292"/>
            <a:graphic xmlns:a="http://schemas.openxmlformats.org/drawingml/2006/main">
              <a:graphicData uri="http://schemas.openxmlformats.org/drawingml/2006/picture">
                <pic:pic xmlns:pic="http://schemas.openxmlformats.org/drawingml/2006/picture">
                  <pic:nvPicPr>
                    <pic:cNvPr id="1293" name="Picture box 1293"/>
                    <pic:cNvPicPr/>
                  </pic:nvPicPr>
                  <pic:blipFill>
                    <a:blip r:embed="rId553"/>
                    <a:stretch/>
                  </pic:blipFill>
                  <pic:spPr>
                    <a:xfrm>
                      <a:ext cx="487680" cy="237490"/>
                    </a:xfrm>
                    <a:prstGeom prst="rect"/>
                  </pic:spPr>
                </pic:pic>
              </a:graphicData>
            </a:graphic>
          </wp:anchor>
        </w:drawing>
      </w:r>
    </w:p>
    <w:tbl>
      <w:tblPr>
        <w:tblOverlap w:val="never"/>
        <w:jc w:val="left"/>
        <w:tblLayout w:type="fixed"/>
      </w:tblPr>
      <w:tblGrid>
        <w:gridCol w:w="2419"/>
        <w:gridCol w:w="1416"/>
        <w:gridCol w:w="1416"/>
        <w:gridCol w:w="1843"/>
        <w:gridCol w:w="2496"/>
      </w:tblGrid>
      <w:tr>
        <w:trPr>
          <w:trHeight w:val="403" w:hRule="exact"/>
        </w:trPr>
        <w:tc>
          <w:tcPr>
            <w:tcBorders>
              <w:top w:val="single" w:sz="4"/>
              <w:left w:val="single" w:sz="4"/>
            </w:tcBorders>
            <w:shd w:val="clear" w:color="auto" w:fill="D4D4D4"/>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420"/>
              <w:jc w:val="left"/>
            </w:pPr>
            <w:r>
              <w:rPr>
                <w:color w:val="000000"/>
                <w:spacing w:val="0"/>
                <w:w w:val="100"/>
                <w:position w:val="0"/>
              </w:rPr>
              <w:t>项目</w:t>
            </w:r>
            <w:r>
              <w:rPr>
                <w:rFonts w:ascii="Times New Roman" w:eastAsia="Times New Roman" w:hAnsi="Times New Roman" w:cs="Times New Roman"/>
                <w:color w:val="000000"/>
                <w:spacing w:val="0"/>
                <w:w w:val="100"/>
                <w:position w:val="0"/>
              </w:rPr>
              <w:t>（</w:t>
            </w:r>
            <w:r>
              <w:rPr>
                <w:color w:val="000000"/>
                <w:spacing w:val="0"/>
                <w:w w:val="100"/>
                <w:position w:val="0"/>
              </w:rPr>
              <w:t>或被投资单位</w:t>
            </w: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340"/>
              <w:jc w:val="left"/>
            </w:pPr>
            <w:r>
              <w:rPr>
                <w:color w:val="000000"/>
                <w:spacing w:val="0"/>
                <w:w w:val="100"/>
                <w:position w:val="0"/>
              </w:rPr>
              <w:t>期末余额</w:t>
            </w:r>
          </w:p>
        </w:tc>
        <w:tc>
          <w:tcPr>
            <w:tcBorders>
              <w:top w:val="single" w:sz="4"/>
              <w:left w:val="single" w:sz="4"/>
            </w:tcBorders>
            <w:shd w:val="clear" w:color="auto" w:fill="D4D4D4"/>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tcBorders>
            <w:shd w:val="clear" w:color="auto" w:fill="D4D4D4"/>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center"/>
            </w:pPr>
            <w:r>
              <w:rPr>
                <w:color w:val="000000"/>
                <w:spacing w:val="0"/>
                <w:w w:val="100"/>
                <w:position w:val="0"/>
              </w:rPr>
              <w:t>未收回的原因</w:t>
            </w:r>
          </w:p>
        </w:tc>
        <w:tc>
          <w:tcPr>
            <w:tcBorders>
              <w:top w:val="single" w:sz="4"/>
              <w:left w:val="single" w:sz="4"/>
              <w:right w:val="single" w:sz="4"/>
            </w:tcBorders>
            <w:shd w:val="clear" w:color="auto" w:fill="D4D4D4"/>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160"/>
              <w:jc w:val="left"/>
            </w:pPr>
            <w:r>
              <w:rPr>
                <w:color w:val="000000"/>
                <w:spacing w:val="0"/>
                <w:w w:val="100"/>
                <w:position w:val="0"/>
              </w:rPr>
              <w:t>是否发生减值及其判断依据</w:t>
            </w:r>
          </w:p>
        </w:tc>
      </w:tr>
      <w:tr>
        <w:trPr>
          <w:trHeight w:val="403" w:hRule="exact"/>
        </w:trPr>
        <w:tc>
          <w:tcPr>
            <w:tcBorders>
              <w:top w:val="single" w:sz="4"/>
              <w:left w:val="single" w:sz="4"/>
            </w:tcBorders>
            <w:shd w:val="clear" w:color="auto" w:fill="FFFFFF"/>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left"/>
            </w:pPr>
            <w:r>
              <w:rPr>
                <w:color w:val="000000"/>
                <w:spacing w:val="0"/>
                <w:w w:val="100"/>
                <w:position w:val="0"/>
              </w:rPr>
              <w:t>上海米健信息技术有限公司</w:t>
            </w:r>
          </w:p>
        </w:tc>
        <w:tc>
          <w:tcPr>
            <w:tcBorders>
              <w:top w:val="single" w:sz="4"/>
              <w:left w:val="single" w:sz="4"/>
            </w:tcBorders>
            <w:shd w:val="clear" w:color="auto" w:fill="FFFFFF"/>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31,000,000.00</w:t>
            </w:r>
          </w:p>
        </w:tc>
        <w:tc>
          <w:tcPr>
            <w:tcBorders>
              <w:top w:val="single" w:sz="4"/>
              <w:left w:val="single" w:sz="4"/>
            </w:tcBorders>
            <w:shd w:val="clear" w:color="auto" w:fill="FFFFFF"/>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w:t>
            </w:r>
            <w:r>
              <w:rPr>
                <w:color w:val="000000"/>
                <w:spacing w:val="0"/>
                <w:w w:val="100"/>
                <w:position w:val="0"/>
              </w:rPr>
              <w:t>年</w:t>
            </w:r>
          </w:p>
        </w:tc>
        <w:tc>
          <w:tcPr>
            <w:tcBorders>
              <w:top w:val="single" w:sz="4"/>
              <w:left w:val="single" w:sz="4"/>
            </w:tcBorders>
            <w:shd w:val="clear" w:color="auto" w:fill="FFFFFF"/>
            <w:vAlign w:val="top"/>
          </w:tcPr>
          <w:p>
            <w:pPr>
              <w:framePr w:w="9590" w:h="1622" w:vSpace="365" w:wrap="notBeside" w:vAnchor="text" w:hAnchor="text" w:x="1072" w:y="366"/>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left"/>
            </w:pPr>
            <w:r>
              <w:rPr>
                <w:color w:val="000000"/>
                <w:spacing w:val="0"/>
                <w:w w:val="100"/>
                <w:position w:val="0"/>
              </w:rPr>
              <w:t>否，合并范围内</w:t>
            </w:r>
          </w:p>
        </w:tc>
      </w:tr>
      <w:tr>
        <w:trPr>
          <w:trHeight w:val="403" w:hRule="exact"/>
        </w:trPr>
        <w:tc>
          <w:tcPr>
            <w:tcBorders>
              <w:top w:val="single" w:sz="4"/>
              <w:left w:val="single" w:sz="4"/>
            </w:tcBorders>
            <w:shd w:val="clear" w:color="auto" w:fill="FFFFFF"/>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left"/>
            </w:pPr>
            <w:r>
              <w:rPr>
                <w:color w:val="000000"/>
                <w:spacing w:val="0"/>
                <w:w w:val="100"/>
                <w:position w:val="0"/>
              </w:rPr>
              <w:t>北京神州视翰科技有限公司</w:t>
            </w:r>
          </w:p>
        </w:tc>
        <w:tc>
          <w:tcPr>
            <w:tcBorders>
              <w:top w:val="single" w:sz="4"/>
              <w:left w:val="single" w:sz="4"/>
            </w:tcBorders>
            <w:shd w:val="clear" w:color="auto" w:fill="FFFFFF"/>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33,000,000.00</w:t>
            </w:r>
          </w:p>
        </w:tc>
        <w:tc>
          <w:tcPr>
            <w:tcBorders>
              <w:top w:val="single" w:sz="4"/>
              <w:left w:val="single" w:sz="4"/>
            </w:tcBorders>
            <w:shd w:val="clear" w:color="auto" w:fill="FFFFFF"/>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r>
              <w:rPr>
                <w:color w:val="000000"/>
                <w:spacing w:val="0"/>
                <w:w w:val="100"/>
                <w:position w:val="0"/>
              </w:rPr>
              <w:t>年</w:t>
            </w:r>
          </w:p>
        </w:tc>
        <w:tc>
          <w:tcPr>
            <w:tcBorders>
              <w:top w:val="single" w:sz="4"/>
              <w:left w:val="single" w:sz="4"/>
            </w:tcBorders>
            <w:shd w:val="clear" w:color="auto" w:fill="FFFFFF"/>
            <w:vAlign w:val="top"/>
          </w:tcPr>
          <w:p>
            <w:pPr>
              <w:framePr w:w="9590" w:h="1622" w:vSpace="365" w:wrap="notBeside" w:vAnchor="text" w:hAnchor="text" w:x="1072" w:y="366"/>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left"/>
            </w:pPr>
            <w:r>
              <w:rPr>
                <w:color w:val="000000"/>
                <w:spacing w:val="0"/>
                <w:w w:val="100"/>
                <w:position w:val="0"/>
              </w:rPr>
              <w:t>否，合并范围内</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64,000,000.00</w:t>
            </w:r>
          </w:p>
        </w:tc>
        <w:tc>
          <w:tcPr>
            <w:tcBorders>
              <w:top w:val="single" w:sz="4"/>
              <w:left w:val="single" w:sz="4"/>
              <w:bottom w:val="single" w:sz="4"/>
            </w:tcBorders>
            <w:shd w:val="clear" w:color="auto" w:fill="D4D4D4"/>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4D4D4"/>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4D4D4"/>
            <w:vAlign w:val="center"/>
          </w:tcPr>
          <w:p>
            <w:pPr>
              <w:pStyle w:val="Style44"/>
              <w:keepNext w:val="0"/>
              <w:keepLines w:val="0"/>
              <w:framePr w:w="9590" w:h="1622" w:vSpace="365" w:wrap="notBeside" w:vAnchor="text" w:hAnchor="text" w:x="1072" w:y="366"/>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w:t>
            </w:r>
          </w:p>
        </w:tc>
      </w:tr>
    </w:tbl>
    <w:p>
      <w:pPr>
        <w:pStyle w:val="Style49"/>
        <w:keepNext w:val="0"/>
        <w:keepLines w:val="0"/>
        <w:framePr w:w="1291" w:h="365" w:hSpace="1071" w:wrap="notBeside" w:vAnchor="text" w:hAnchor="text" w:x="1874"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60" w:line="240" w:lineRule="auto"/>
        <w:ind w:left="0" w:right="0" w:firstLine="980"/>
        <w:jc w:val="left"/>
      </w:pPr>
      <w:bookmarkStart w:id="2288" w:name="bookmark2288"/>
      <w:bookmarkStart w:id="2289" w:name="bookmark2289"/>
      <w:bookmarkStart w:id="2290" w:name="bookmark2290"/>
      <w:bookmarkStart w:id="2291" w:name="bookmark2291"/>
      <w:r>
        <w:rPr>
          <w:rFonts w:ascii="Times New Roman" w:eastAsia="Times New Roman" w:hAnsi="Times New Roman" w:cs="Times New Roman"/>
          <w:color w:val="000000"/>
          <w:spacing w:val="0"/>
          <w:w w:val="100"/>
          <w:position w:val="0"/>
        </w:rPr>
        <w:t>3</w:t>
      </w:r>
      <w:bookmarkEnd w:id="2290"/>
      <w:r>
        <w:rPr>
          <w:color w:val="000000"/>
          <w:spacing w:val="0"/>
          <w:w w:val="100"/>
          <w:position w:val="0"/>
        </w:rPr>
        <w:t>）坏账准备计提情况</w:t>
      </w:r>
      <w:bookmarkEnd w:id="2288"/>
      <w:bookmarkEnd w:id="2289"/>
      <w:bookmarkEnd w:id="2291"/>
    </w:p>
    <w:p>
      <w:pPr>
        <w:pStyle w:val="Style32"/>
        <w:keepNext w:val="0"/>
        <w:keepLines w:val="0"/>
        <w:widowControl w:val="0"/>
        <w:shd w:val="clear" w:color="auto" w:fill="auto"/>
        <w:bidi w:val="0"/>
        <w:spacing w:before="0" w:after="36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55"/>
        <w:keepNext/>
        <w:keepLines/>
        <w:widowControl w:val="0"/>
        <w:shd w:val="clear" w:color="auto" w:fill="auto"/>
        <w:bidi w:val="0"/>
        <w:spacing w:before="0" w:after="360" w:line="240" w:lineRule="auto"/>
        <w:ind w:left="1100" w:right="0" w:firstLine="0"/>
        <w:jc w:val="left"/>
      </w:pPr>
      <w:bookmarkStart w:id="2292" w:name="bookmark2292"/>
      <w:bookmarkStart w:id="2293" w:name="bookmark2293"/>
      <w:bookmarkStart w:id="2294" w:name="bookmark2294"/>
      <w:bookmarkStart w:id="2295" w:name="bookmark2295"/>
      <w:r>
        <w:rPr>
          <w:rFonts w:ascii="Times New Roman" w:eastAsia="Times New Roman" w:hAnsi="Times New Roman" w:cs="Times New Roman"/>
          <w:color w:val="000000"/>
          <w:spacing w:val="0"/>
          <w:w w:val="100"/>
          <w:position w:val="0"/>
        </w:rPr>
        <w:t>（</w:t>
      </w:r>
      <w:bookmarkEnd w:id="2294"/>
      <w:r>
        <w:rPr>
          <w:rFonts w:ascii="Times New Roman" w:eastAsia="Times New Roman" w:hAnsi="Times New Roman" w:cs="Times New Roman"/>
          <w:color w:val="000000"/>
          <w:spacing w:val="0"/>
          <w:w w:val="100"/>
          <w:position w:val="0"/>
        </w:rPr>
        <w:t>3</w:t>
      </w:r>
      <w:r>
        <w:rPr>
          <w:color w:val="000000"/>
          <w:spacing w:val="0"/>
          <w:w w:val="100"/>
          <w:position w:val="0"/>
        </w:rPr>
        <w:t>）其他应收款</w:t>
      </w:r>
      <w:bookmarkEnd w:id="2292"/>
      <w:bookmarkEnd w:id="2293"/>
      <w:bookmarkEnd w:id="2295"/>
    </w:p>
    <w:p>
      <w:pPr>
        <w:pStyle w:val="Style55"/>
        <w:keepNext/>
        <w:keepLines/>
        <w:widowControl w:val="0"/>
        <w:shd w:val="clear" w:color="auto" w:fill="auto"/>
        <w:bidi w:val="0"/>
        <w:spacing w:before="0" w:after="360" w:line="240" w:lineRule="auto"/>
        <w:ind w:left="0" w:right="0" w:firstLine="980"/>
        <w:jc w:val="left"/>
      </w:pPr>
      <w:bookmarkStart w:id="2292" w:name="bookmark2292"/>
      <w:bookmarkStart w:id="2293" w:name="bookmark2293"/>
      <w:bookmarkStart w:id="2296" w:name="bookmark2296"/>
      <w:r>
        <w:rPr>
          <w:rFonts w:ascii="Times New Roman" w:eastAsia="Times New Roman" w:hAnsi="Times New Roman" w:cs="Times New Roman"/>
          <w:color w:val="000000"/>
          <w:spacing w:val="0"/>
          <w:w w:val="100"/>
          <w:position w:val="0"/>
        </w:rPr>
        <w:t>1</w:t>
      </w:r>
      <w:r>
        <w:rPr>
          <w:color w:val="000000"/>
          <w:spacing w:val="0"/>
          <w:w w:val="100"/>
          <w:position w:val="0"/>
        </w:rPr>
        <w:t>）其他应收款按款项性质分类情况</w:t>
      </w:r>
      <w:bookmarkEnd w:id="2292"/>
      <w:bookmarkEnd w:id="2293"/>
      <w:bookmarkEnd w:id="2296"/>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right"/>
        <w:tblLayout w:type="fixed"/>
      </w:tblPr>
      <w:tblGrid>
        <w:gridCol w:w="3197"/>
        <w:gridCol w:w="3192"/>
        <w:gridCol w:w="3197"/>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备用金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71,706.12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126,254.21</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保证金、抵押金等</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4,655,701.90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4,753,011.90</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代垫及代付款项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1,554,955.44</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1,391,042.54</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650,663.53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9,719,591.50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应收股权转让款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2200" w:right="0" w:firstLine="0"/>
              <w:jc w:val="left"/>
            </w:pPr>
            <w:r>
              <w:rPr>
                <w:rFonts w:ascii="Times New Roman" w:eastAsia="Times New Roman" w:hAnsi="Times New Roman" w:cs="Times New Roman"/>
                <w:color w:val="000000"/>
                <w:spacing w:val="0"/>
                <w:w w:val="100"/>
                <w:position w:val="0"/>
              </w:rPr>
              <w:t>8,400,000.00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15,385.95</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15,333,026.99</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16,005,286.10</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980"/>
        <w:jc w:val="left"/>
      </w:pPr>
      <w:bookmarkStart w:id="2297" w:name="bookmark2297"/>
      <w:bookmarkStart w:id="2298" w:name="bookmark2298"/>
      <w:bookmarkStart w:id="2299" w:name="bookmark2299"/>
      <w:r>
        <w:rPr>
          <w:rFonts w:ascii="Times New Roman" w:eastAsia="Times New Roman" w:hAnsi="Times New Roman" w:cs="Times New Roman"/>
          <w:color w:val="000000"/>
          <w:spacing w:val="0"/>
          <w:w w:val="100"/>
          <w:position w:val="0"/>
        </w:rPr>
        <w:t>2</w:t>
      </w:r>
      <w:r>
        <w:rPr>
          <w:color w:val="000000"/>
          <w:spacing w:val="0"/>
          <w:w w:val="100"/>
          <w:position w:val="0"/>
        </w:rPr>
        <w:t>）坏账准备计提情况</w:t>
      </w:r>
      <w:bookmarkEnd w:id="2297"/>
      <w:bookmarkEnd w:id="2298"/>
      <w:bookmarkEnd w:id="2299"/>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center"/>
        <w:tblLayout w:type="fixed"/>
      </w:tblPr>
      <w:tblGrid>
        <w:gridCol w:w="2352"/>
        <w:gridCol w:w="1651"/>
        <w:gridCol w:w="2098"/>
        <w:gridCol w:w="2098"/>
        <w:gridCol w:w="1814"/>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20"/>
              <w:jc w:val="left"/>
            </w:pPr>
            <w:r>
              <w:rPr>
                <w:color w:val="000000"/>
                <w:spacing w:val="0"/>
                <w:w w:val="100"/>
                <w:position w:val="0"/>
              </w:rPr>
              <w:t>合计</w:t>
            </w:r>
          </w:p>
        </w:tc>
      </w:tr>
      <w:tr>
        <w:trPr>
          <w:trHeight w:val="715"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个月预期信 用损失</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整个存续期预期信用损失</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未发生信用减值</w:t>
            </w: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整个存续期预期信用损失</w:t>
            </w:r>
          </w:p>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已发生信用减值</w:t>
            </w:r>
            <w:r>
              <w:rPr>
                <w:color w:val="000000"/>
                <w:spacing w:val="0"/>
                <w:w w:val="100"/>
                <w:position w:val="0"/>
              </w:rPr>
              <w:t>）</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830,693.09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1,200,000.00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2,030,693.09</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日余额在本期</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20"/>
              <w:jc w:val="left"/>
            </w:pPr>
            <w:r>
              <w:rPr>
                <w:color w:val="000000"/>
                <w:spacing w:val="0"/>
                <w:w w:val="100"/>
                <w:position w:val="0"/>
              </w:rPr>
              <w:t>—</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-401,114.63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-401,114.63</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日余额</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429,578.46</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1,200,000.00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1,629,578.46</w:t>
            </w:r>
          </w:p>
        </w:tc>
      </w:tr>
    </w:tbl>
    <w:p>
      <w:pPr>
        <w:widowControl w:val="0"/>
        <w:spacing w:after="79" w:line="1" w:lineRule="exact"/>
      </w:pP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损失准备本期变动金额重大的账面余额变动情况</w:t>
      </w:r>
    </w:p>
    <w:p>
      <w:pPr>
        <w:pStyle w:val="Style32"/>
        <w:keepNext w:val="0"/>
        <w:keepLines w:val="0"/>
        <w:widowControl w:val="0"/>
        <w:shd w:val="clear" w:color="auto" w:fill="auto"/>
        <w:bidi w:val="0"/>
        <w:spacing w:before="0" w:after="8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按账龄披露</w:t>
      </w:r>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right"/>
        <w:tblLayout w:type="fixed"/>
      </w:tblPr>
      <w:tblGrid>
        <w:gridCol w:w="4790"/>
        <w:gridCol w:w="4795"/>
      </w:tblGrid>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bl>
    <w:p>
      <w:pPr>
        <w:widowControl w:val="0"/>
        <w:spacing w:line="1" w:lineRule="exact"/>
      </w:pPr>
      <w:r>
        <w:br w:type="page"/>
      </w:r>
    </w:p>
    <w:tbl>
      <w:tblPr>
        <w:tblOverlap w:val="never"/>
        <w:jc w:val="left"/>
        <w:tblLayout w:type="fixed"/>
      </w:tblPr>
      <w:tblGrid>
        <w:gridCol w:w="4790"/>
        <w:gridCol w:w="4795"/>
      </w:tblGrid>
      <w:tr>
        <w:trPr>
          <w:trHeight w:val="403" w:hRule="exact"/>
        </w:trPr>
        <w:tc>
          <w:tcPr>
            <w:tcBorders>
              <w:top w:val="single" w:sz="4"/>
              <w:left w:val="single" w:sz="4"/>
            </w:tcBorders>
            <w:shd w:val="clear" w:color="auto" w:fill="D4D4D4"/>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12,914,775.95</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858,956.40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191,494.64</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1,367,800.00</w:t>
            </w:r>
          </w:p>
        </w:tc>
      </w:tr>
      <w:tr>
        <w:trPr>
          <w:trHeight w:val="398" w:hRule="exact"/>
        </w:trPr>
        <w:tc>
          <w:tcPr>
            <w:tcBorders>
              <w:top w:val="single" w:sz="4"/>
              <w:left w:val="single" w:sz="4"/>
            </w:tcBorders>
            <w:shd w:val="clear" w:color="auto" w:fill="D4D4D4"/>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167,800.00</w:t>
            </w:r>
          </w:p>
        </w:tc>
      </w:tr>
      <w:tr>
        <w:trPr>
          <w:trHeight w:val="403" w:hRule="exact"/>
        </w:trPr>
        <w:tc>
          <w:tcPr>
            <w:tcBorders>
              <w:top w:val="single" w:sz="4"/>
              <w:left w:val="single" w:sz="4"/>
            </w:tcBorders>
            <w:shd w:val="clear" w:color="auto" w:fill="D4D4D4"/>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44"/>
              <w:keepNext w:val="0"/>
              <w:keepLines w:val="0"/>
              <w:framePr w:w="9586" w:h="2827" w:vSpace="365" w:wrap="notBeside" w:vAnchor="text" w:hAnchor="text" w:x="1076" w:y="36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15,333,026.99</w:t>
            </w:r>
          </w:p>
        </w:tc>
      </w:tr>
    </w:tbl>
    <w:p>
      <w:pPr>
        <w:pStyle w:val="Style49"/>
        <w:keepNext w:val="0"/>
        <w:keepLines w:val="0"/>
        <w:framePr w:w="1291" w:h="365" w:hSpace="1075" w:wrap="notBeside" w:vAnchor="text" w:hAnchor="text" w:x="1878" w:y="1"/>
        <w:widowControl w:val="0"/>
        <w:shd w:val="clear" w:color="auto" w:fill="auto"/>
        <w:bidi w:val="0"/>
        <w:spacing w:before="0" w:after="0" w:line="168" w:lineRule="exact"/>
        <w:ind w:left="0" w:right="0" w:firstLine="0"/>
        <w:jc w:val="left"/>
      </w:pPr>
      <w:r>
        <w:rPr>
          <w:rFonts w:ascii="SimHei" w:eastAsia="SimHei" w:hAnsi="SimHei" w:cs="SimHei"/>
          <w:color w:val="4E698D"/>
          <w:spacing w:val="0"/>
          <w:w w:val="100"/>
          <w:position w:val="0"/>
          <w:sz w:val="15"/>
          <w:szCs w:val="15"/>
        </w:rPr>
        <w:t>国家高新技术企业 股票代码：</w:t>
      </w:r>
      <w:r>
        <w:rPr>
          <w:color w:val="4E698D"/>
          <w:spacing w:val="0"/>
          <w:w w:val="100"/>
          <w:position w:val="0"/>
          <w:sz w:val="18"/>
          <w:szCs w:val="18"/>
        </w:rPr>
        <w:t>300290</w:t>
      </w:r>
    </w:p>
    <w:p>
      <w:pPr>
        <w:widowControl w:val="0"/>
        <w:spacing w:line="1" w:lineRule="exact"/>
      </w:pPr>
    </w:p>
    <w:p>
      <w:pPr>
        <w:pStyle w:val="Style55"/>
        <w:keepNext/>
        <w:keepLines/>
        <w:widowControl w:val="0"/>
        <w:shd w:val="clear" w:color="auto" w:fill="auto"/>
        <w:bidi w:val="0"/>
        <w:spacing w:before="0" w:after="380" w:line="240" w:lineRule="auto"/>
        <w:ind w:left="0" w:right="0" w:firstLine="980"/>
        <w:jc w:val="left"/>
      </w:pPr>
      <w:r>
        <w:drawing>
          <wp:anchor distT="0" distB="0" distL="0" distR="0" simplePos="0" relativeHeight="125829695" behindDoc="0" locked="0" layoutInCell="1" allowOverlap="1">
            <wp:simplePos x="0" y="0"/>
            <wp:positionH relativeFrom="page">
              <wp:posOffset>734060</wp:posOffset>
            </wp:positionH>
            <wp:positionV relativeFrom="margin">
              <wp:posOffset>-60325</wp:posOffset>
            </wp:positionV>
            <wp:extent cx="487680" cy="237490"/>
            <wp:wrapTight wrapText="bothSides">
              <wp:wrapPolygon>
                <wp:start x="0" y="0"/>
                <wp:lineTo x="21600" y="0"/>
                <wp:lineTo x="21600" y="21600"/>
                <wp:lineTo x="0" y="21600"/>
                <wp:lineTo x="0" y="0"/>
              </wp:wrapPolygon>
            </wp:wrapTight>
            <wp:docPr id="1294" name="Shape 1294"/>
            <a:graphic xmlns:a="http://schemas.openxmlformats.org/drawingml/2006/main">
              <a:graphicData uri="http://schemas.openxmlformats.org/drawingml/2006/picture">
                <pic:pic xmlns:pic="http://schemas.openxmlformats.org/drawingml/2006/picture">
                  <pic:nvPicPr>
                    <pic:cNvPr id="1295" name="Picture box 1295"/>
                    <pic:cNvPicPr/>
                  </pic:nvPicPr>
                  <pic:blipFill>
                    <a:blip r:embed="rId555"/>
                    <a:stretch/>
                  </pic:blipFill>
                  <pic:spPr>
                    <a:xfrm>
                      <a:ext cx="487680" cy="237490"/>
                    </a:xfrm>
                    <a:prstGeom prst="rect"/>
                  </pic:spPr>
                </pic:pic>
              </a:graphicData>
            </a:graphic>
          </wp:anchor>
        </w:drawing>
      </w:r>
      <w:bookmarkStart w:id="2300" w:name="bookmark2300"/>
      <w:bookmarkStart w:id="2301" w:name="bookmark2301"/>
      <w:bookmarkStart w:id="2302" w:name="bookmark2302"/>
      <w:bookmarkStart w:id="2303" w:name="bookmark2303"/>
      <w:r>
        <w:rPr>
          <w:rFonts w:ascii="Times New Roman" w:eastAsia="Times New Roman" w:hAnsi="Times New Roman" w:cs="Times New Roman"/>
          <w:color w:val="000000"/>
          <w:spacing w:val="0"/>
          <w:w w:val="100"/>
          <w:position w:val="0"/>
        </w:rPr>
        <w:t>3</w:t>
      </w:r>
      <w:bookmarkEnd w:id="2302"/>
      <w:r>
        <w:rPr>
          <w:color w:val="000000"/>
          <w:spacing w:val="0"/>
          <w:w w:val="100"/>
          <w:position w:val="0"/>
        </w:rPr>
        <w:t>）本期计提、收回或转回的坏账准备情况</w:t>
      </w:r>
      <w:bookmarkEnd w:id="2300"/>
      <w:bookmarkEnd w:id="2301"/>
      <w:bookmarkEnd w:id="2303"/>
    </w:p>
    <w:p>
      <w:pPr>
        <w:pStyle w:val="Style32"/>
        <w:keepNext w:val="0"/>
        <w:keepLines w:val="0"/>
        <w:widowControl w:val="0"/>
        <w:shd w:val="clear" w:color="auto" w:fill="auto"/>
        <w:bidi w:val="0"/>
        <w:spacing w:before="0" w:after="120" w:line="240" w:lineRule="auto"/>
        <w:ind w:left="0" w:right="0" w:firstLine="980"/>
        <w:jc w:val="left"/>
      </w:pPr>
      <w:r>
        <w:rPr>
          <w:color w:val="000000"/>
          <w:spacing w:val="0"/>
          <w:w w:val="100"/>
          <w:position w:val="0"/>
        </w:rPr>
        <w:t>本期计提坏账准备情况:</w:t>
      </w:r>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right"/>
        <w:tblLayout w:type="fixed"/>
      </w:tblPr>
      <w:tblGrid>
        <w:gridCol w:w="1728"/>
        <w:gridCol w:w="1085"/>
        <w:gridCol w:w="1334"/>
        <w:gridCol w:w="1450"/>
        <w:gridCol w:w="1200"/>
        <w:gridCol w:w="1344"/>
        <w:gridCol w:w="1584"/>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40"/>
              <w:jc w:val="left"/>
            </w:pPr>
            <w:r>
              <w:rPr>
                <w:color w:val="000000"/>
                <w:spacing w:val="0"/>
                <w:w w:val="100"/>
                <w:position w:val="0"/>
              </w:rPr>
              <w:t>计提</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其他应收款坏账准备</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2,030,693.09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-401,114.63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1,629,578.46</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2,030,693.09</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-401,114.63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1,629,578.46</w:t>
            </w:r>
          </w:p>
        </w:tc>
      </w:tr>
    </w:tbl>
    <w:p>
      <w:pPr>
        <w:widowControl w:val="0"/>
        <w:spacing w:after="339" w:line="1" w:lineRule="exact"/>
      </w:pPr>
    </w:p>
    <w:p>
      <w:pPr>
        <w:pStyle w:val="Style55"/>
        <w:keepNext/>
        <w:keepLines/>
        <w:widowControl w:val="0"/>
        <w:shd w:val="clear" w:color="auto" w:fill="auto"/>
        <w:tabs>
          <w:tab w:pos="1377" w:val="left"/>
        </w:tabs>
        <w:bidi w:val="0"/>
        <w:spacing w:before="0" w:after="380" w:line="240" w:lineRule="auto"/>
        <w:ind w:left="0" w:right="0" w:firstLine="980"/>
        <w:jc w:val="left"/>
      </w:pPr>
      <w:bookmarkStart w:id="2304" w:name="bookmark2304"/>
      <w:bookmarkStart w:id="2305" w:name="bookmark2305"/>
      <w:bookmarkStart w:id="2306" w:name="bookmark2306"/>
      <w:bookmarkStart w:id="2307" w:name="bookmark2307"/>
      <w:r>
        <w:rPr>
          <w:rFonts w:ascii="Times New Roman" w:eastAsia="Times New Roman" w:hAnsi="Times New Roman" w:cs="Times New Roman"/>
          <w:color w:val="000000"/>
          <w:spacing w:val="0"/>
          <w:w w:val="100"/>
          <w:position w:val="0"/>
        </w:rPr>
        <w:t>4</w:t>
      </w:r>
      <w:bookmarkEnd w:id="2306"/>
      <w:r>
        <w:rPr>
          <w:color w:val="000000"/>
          <w:spacing w:val="0"/>
          <w:w w:val="100"/>
          <w:position w:val="0"/>
        </w:rPr>
        <w:t>）</w:t>
        <w:tab/>
        <w:t>本期实际核销的其他应收款情况</w:t>
      </w:r>
      <w:bookmarkEnd w:id="2304"/>
      <w:bookmarkEnd w:id="2305"/>
      <w:bookmarkEnd w:id="2307"/>
    </w:p>
    <w:p>
      <w:pPr>
        <w:pStyle w:val="Style32"/>
        <w:keepNext w:val="0"/>
        <w:keepLines w:val="0"/>
        <w:widowControl w:val="0"/>
        <w:shd w:val="clear" w:color="auto" w:fill="auto"/>
        <w:bidi w:val="0"/>
        <w:spacing w:before="0" w:after="380" w:line="240" w:lineRule="auto"/>
        <w:ind w:left="0" w:right="0" w:firstLine="980"/>
        <w:jc w:val="left"/>
      </w:pPr>
      <w:r>
        <w:rPr>
          <w:color w:val="000000"/>
          <w:spacing w:val="0"/>
          <w:w w:val="100"/>
          <w:position w:val="0"/>
        </w:rPr>
        <w:t>无</w:t>
      </w:r>
    </w:p>
    <w:p>
      <w:pPr>
        <w:pStyle w:val="Style55"/>
        <w:keepNext/>
        <w:keepLines/>
        <w:widowControl w:val="0"/>
        <w:shd w:val="clear" w:color="auto" w:fill="auto"/>
        <w:tabs>
          <w:tab w:pos="1377" w:val="left"/>
        </w:tabs>
        <w:bidi w:val="0"/>
        <w:spacing w:before="0" w:after="340" w:line="240" w:lineRule="auto"/>
        <w:ind w:left="0" w:right="0" w:firstLine="980"/>
        <w:jc w:val="left"/>
      </w:pPr>
      <w:bookmarkStart w:id="2308" w:name="bookmark2308"/>
      <w:bookmarkStart w:id="2309" w:name="bookmark2309"/>
      <w:bookmarkStart w:id="2310" w:name="bookmark2310"/>
      <w:bookmarkStart w:id="2311" w:name="bookmark2311"/>
      <w:r>
        <w:rPr>
          <w:rFonts w:ascii="Times New Roman" w:eastAsia="Times New Roman" w:hAnsi="Times New Roman" w:cs="Times New Roman"/>
          <w:color w:val="000000"/>
          <w:spacing w:val="0"/>
          <w:w w:val="100"/>
          <w:position w:val="0"/>
        </w:rPr>
        <w:t>5</w:t>
      </w:r>
      <w:bookmarkEnd w:id="2310"/>
      <w:r>
        <w:rPr>
          <w:color w:val="000000"/>
          <w:spacing w:val="0"/>
          <w:w w:val="100"/>
          <w:position w:val="0"/>
        </w:rPr>
        <w:t>）</w:t>
        <w:tab/>
        <w:t>按欠款方归集的期末余额前五名的其他应收款情况</w:t>
      </w:r>
      <w:bookmarkEnd w:id="2308"/>
      <w:bookmarkEnd w:id="2309"/>
      <w:bookmarkEnd w:id="2311"/>
    </w:p>
    <w:p>
      <w:pPr>
        <w:pStyle w:val="Style32"/>
        <w:keepNext w:val="0"/>
        <w:keepLines w:val="0"/>
        <w:widowControl w:val="0"/>
        <w:shd w:val="clear" w:color="auto" w:fill="auto"/>
        <w:bidi w:val="0"/>
        <w:spacing w:before="0" w:after="80" w:line="240" w:lineRule="auto"/>
        <w:ind w:left="9900" w:right="0" w:firstLine="0"/>
        <w:jc w:val="left"/>
      </w:pPr>
      <w:r>
        <w:rPr>
          <w:color w:val="000000"/>
          <w:spacing w:val="0"/>
          <w:w w:val="100"/>
          <w:position w:val="0"/>
        </w:rPr>
        <w:t>单位：元</w:t>
      </w:r>
    </w:p>
    <w:tbl>
      <w:tblPr>
        <w:tblOverlap w:val="never"/>
        <w:jc w:val="right"/>
        <w:tblLayout w:type="fixed"/>
      </w:tblPr>
      <w:tblGrid>
        <w:gridCol w:w="1694"/>
        <w:gridCol w:w="1550"/>
        <w:gridCol w:w="1550"/>
        <w:gridCol w:w="1550"/>
        <w:gridCol w:w="1618"/>
        <w:gridCol w:w="1622"/>
      </w:tblGrid>
      <w:tr>
        <w:trPr>
          <w:trHeight w:val="720"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80"/>
              <w:jc w:val="left"/>
            </w:pPr>
            <w:r>
              <w:rPr>
                <w:color w:val="000000"/>
                <w:spacing w:val="0"/>
                <w:w w:val="100"/>
                <w:position w:val="0"/>
              </w:rPr>
              <w:t>单位名称</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款项的性质</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期末余额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600"/>
              <w:jc w:val="left"/>
            </w:pPr>
            <w:r>
              <w:rPr>
                <w:color w:val="000000"/>
                <w:spacing w:val="0"/>
                <w:w w:val="100"/>
                <w:position w:val="0"/>
              </w:rPr>
              <w:t>账龄</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占其他应收款期末 余额合计数的比例</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坏账准备期末余额</w:t>
            </w: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股权转让款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8,400,000.00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54.79%</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168,000.00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代垫及代付款项</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1,200,000.00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1,200,000.00</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876,757.00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r>
              <w:rPr>
                <w:rFonts w:ascii="Times New Roman" w:eastAsia="Times New Roman" w:hAnsi="Times New Roman" w:cs="Times New Roman"/>
                <w:color w:val="000000"/>
                <w:spacing w:val="0"/>
                <w:w w:val="100"/>
                <w:position w:val="0"/>
              </w:rPr>
              <w:t>1-2</w:t>
            </w:r>
            <w:r>
              <w:rPr>
                <w:color w:val="000000"/>
                <w:spacing w:val="0"/>
                <w:w w:val="100"/>
                <w:position w:val="0"/>
              </w:rPr>
              <w:t>年</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17,887.64</w:t>
            </w: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650,663.53</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552,650.00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11,053.00</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11,680,070.53</w:t>
            </w:r>
          </w:p>
        </w:tc>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76.18%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1,396,940.64</w:t>
            </w:r>
          </w:p>
        </w:tc>
      </w:tr>
    </w:tbl>
    <w:p>
      <w:pPr>
        <w:widowControl w:val="0"/>
        <w:spacing w:after="339" w:line="1" w:lineRule="exact"/>
      </w:pPr>
    </w:p>
    <w:p>
      <w:pPr>
        <w:pStyle w:val="Style55"/>
        <w:keepNext/>
        <w:keepLines/>
        <w:widowControl w:val="0"/>
        <w:shd w:val="clear" w:color="auto" w:fill="auto"/>
        <w:bidi w:val="0"/>
        <w:spacing w:before="0" w:after="380" w:line="240" w:lineRule="auto"/>
        <w:ind w:left="0" w:right="0" w:firstLine="980"/>
        <w:jc w:val="left"/>
      </w:pPr>
      <w:bookmarkStart w:id="2312" w:name="bookmark2312"/>
      <w:bookmarkStart w:id="2313" w:name="bookmark2313"/>
      <w:bookmarkStart w:id="2314" w:name="bookmark2314"/>
      <w:bookmarkStart w:id="2315" w:name="bookmark2315"/>
      <w:r>
        <w:rPr>
          <w:rFonts w:ascii="Times New Roman" w:eastAsia="Times New Roman" w:hAnsi="Times New Roman" w:cs="Times New Roman"/>
          <w:color w:val="000000"/>
          <w:spacing w:val="0"/>
          <w:w w:val="100"/>
          <w:position w:val="0"/>
        </w:rPr>
        <w:t>6</w:t>
      </w:r>
      <w:bookmarkEnd w:id="2314"/>
      <w:r>
        <w:rPr>
          <w:color w:val="000000"/>
          <w:spacing w:val="0"/>
          <w:w w:val="100"/>
          <w:position w:val="0"/>
        </w:rPr>
        <w:t>）涉及政府补助的应收款项</w:t>
      </w:r>
      <w:bookmarkEnd w:id="2312"/>
      <w:bookmarkEnd w:id="2313"/>
      <w:bookmarkEnd w:id="2315"/>
    </w:p>
    <w:p>
      <w:pPr>
        <w:pStyle w:val="Style32"/>
        <w:keepNext w:val="0"/>
        <w:keepLines w:val="0"/>
        <w:widowControl w:val="0"/>
        <w:shd w:val="clear" w:color="auto" w:fill="auto"/>
        <w:bidi w:val="0"/>
        <w:spacing w:before="0" w:after="340" w:line="240" w:lineRule="auto"/>
        <w:ind w:left="0" w:right="0" w:firstLine="980"/>
        <w:jc w:val="left"/>
        <w:sectPr>
          <w:headerReference w:type="default" r:id="rId557"/>
          <w:footerReference w:type="default" r:id="rId558"/>
          <w:headerReference w:type="even" r:id="rId559"/>
          <w:footerReference w:type="even" r:id="rId560"/>
          <w:footnotePr>
            <w:pos w:val="pageBottom"/>
            <w:numFmt w:val="decimal"/>
            <w:numRestart w:val="continuous"/>
          </w:footnotePr>
          <w:pgSz w:w="11900" w:h="16840"/>
          <w:pgMar w:top="1119" w:right="1105" w:bottom="1547" w:left="133" w:header="0" w:footer="3" w:gutter="0"/>
          <w:cols w:space="720"/>
          <w:noEndnote/>
          <w:rtlGutter w:val="0"/>
          <w:docGrid w:linePitch="360"/>
        </w:sectPr>
      </w:pPr>
      <w:r>
        <w:rPr>
          <w:color w:val="000000"/>
          <w:spacing w:val="0"/>
          <w:w w:val="100"/>
          <w:position w:val="0"/>
        </w:rPr>
        <w:t>无</w:t>
      </w:r>
    </w:p>
    <w:p>
      <w:pPr>
        <w:widowControl w:val="0"/>
        <w:spacing w:line="1" w:lineRule="exact"/>
      </w:pPr>
      <w:r>
        <mc:AlternateContent>
          <mc:Choice Requires="wps">
            <w:drawing>
              <wp:anchor distT="0" distB="0" distL="0" distR="0" simplePos="0" relativeHeight="125829696" behindDoc="0" locked="0" layoutInCell="1" allowOverlap="1">
                <wp:simplePos x="0" y="0"/>
                <wp:positionH relativeFrom="page">
                  <wp:posOffset>749300</wp:posOffset>
                </wp:positionH>
                <wp:positionV relativeFrom="paragraph">
                  <wp:posOffset>12700</wp:posOffset>
                </wp:positionV>
                <wp:extent cx="1301750" cy="323215"/>
                <wp:wrapTopAndBottom/>
                <wp:docPr id="1306" name="Shape 1306"/>
                <a:graphic xmlns:a="http://schemas.openxmlformats.org/drawingml/2006/main">
                  <a:graphicData uri="http://schemas.microsoft.com/office/word/2010/wordprocessingShape">
                    <wps:wsp>
                      <wps:cNvSpPr txBox="1"/>
                      <wps:spPr>
                        <a:xfrm>
                          <a:ext cx="1301750" cy="323215"/>
                        </a:xfrm>
                        <a:prstGeom prst="rect"/>
                        <a:noFill/>
                      </wps:spPr>
                      <wps:txbx>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wps:txbx>
                      <wps:bodyPr lIns="0" tIns="0" rIns="0" bIns="0">
                        <a:noAutoFit/>
                      </wps:bodyPr>
                    </wps:wsp>
                  </a:graphicData>
                </a:graphic>
              </wp:anchor>
            </w:drawing>
          </mc:Choice>
          <mc:Fallback>
            <w:pict>
              <v:shape id="_x0000_s2332" type="#_x0000_t202" style="position:absolute;margin-left:59.pt;margin-top:1.pt;width:102.5pt;height:25.449999999999999pt;z-index:-125829057;mso-wrap-distance-left:0;mso-wrap-distance-right:0;mso-position-horizontal-relative:page" filled="f" stroked="f">
                <v:textbox inset="0,0,0,0">
                  <w:txbxContent>
                    <w:p>
                      <w:pPr>
                        <w:pStyle w:val="Style44"/>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44"/>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b/>
                          <w:bCs/>
                          <w:color w:val="2D2B2E"/>
                          <w:spacing w:val="0"/>
                          <w:w w:val="100"/>
                          <w:position w:val="0"/>
                          <w:sz w:val="8"/>
                          <w:szCs w:val="8"/>
                        </w:rPr>
                        <w:t>BMNCSraiK</w:t>
                      </w:r>
                    </w:p>
                  </w:txbxContent>
                </v:textbox>
                <w10:wrap type="topAndBottom" anchorx="page"/>
              </v:shape>
            </w:pict>
          </mc:Fallback>
        </mc:AlternateContent>
      </w:r>
      <w:r>
        <mc:AlternateContent>
          <mc:Choice Requires="wps">
            <w:drawing>
              <wp:anchor distT="0" distB="0" distL="0" distR="0" simplePos="0" relativeHeight="125829698" behindDoc="0" locked="0" layoutInCell="1" allowOverlap="1">
                <wp:simplePos x="0" y="0"/>
                <wp:positionH relativeFrom="page">
                  <wp:posOffset>706755</wp:posOffset>
                </wp:positionH>
                <wp:positionV relativeFrom="paragraph">
                  <wp:posOffset>506095</wp:posOffset>
                </wp:positionV>
                <wp:extent cx="194945" cy="170815"/>
                <wp:wrapSquare wrapText="right"/>
                <wp:docPr id="1308" name="Shape 1308"/>
                <a:graphic xmlns:a="http://schemas.openxmlformats.org/drawingml/2006/main">
                  <a:graphicData uri="http://schemas.microsoft.com/office/word/2010/wordprocessingShape">
                    <wps:wsp>
                      <wps:cNvSpPr txBox="1"/>
                      <wps:spPr>
                        <a:xfrm>
                          <a:ext cx="194945" cy="170815"/>
                        </a:xfrm>
                        <a:prstGeom prst="rect"/>
                        <a:noFill/>
                      </wps:spPr>
                      <wps:txbx>
                        <w:txbxContent>
                          <w:p>
                            <w:pPr>
                              <w:pStyle w:val="Style16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w:t>
                            </w:r>
                            <w:r>
                              <w:rPr>
                                <w:color w:val="000000"/>
                                <w:spacing w:val="0"/>
                                <w:w w:val="100"/>
                                <w:position w:val="0"/>
                              </w:rPr>
                              <w:t>)</w:t>
                            </w:r>
                          </w:p>
                        </w:txbxContent>
                      </wps:txbx>
                      <wps:bodyPr wrap="none" lIns="0" tIns="0" rIns="0" bIns="0">
                        <a:noAutoFit/>
                      </wps:bodyPr>
                    </wps:wsp>
                  </a:graphicData>
                </a:graphic>
              </wp:anchor>
            </w:drawing>
          </mc:Choice>
          <mc:Fallback>
            <w:pict>
              <v:shape id="_x0000_s2334" type="#_x0000_t202" style="position:absolute;margin-left:55.649999999999999pt;margin-top:39.850000000000001pt;width:15.35pt;height:13.450000000000001pt;z-index:-125829055;mso-wrap-distance-left:0;mso-wrap-distance-right:0;mso-position-horizontal-relative:page" filled="f" stroked="f">
                <v:textbox inset="0,0,0,0">
                  <w:txbxContent>
                    <w:p>
                      <w:pPr>
                        <w:pStyle w:val="Style16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w:t>
                      </w:r>
                      <w:r>
                        <w:rPr>
                          <w:color w:val="000000"/>
                          <w:spacing w:val="0"/>
                          <w:w w:val="100"/>
                          <w:position w:val="0"/>
                        </w:rPr>
                        <w:t>)</w:t>
                      </w:r>
                    </w:p>
                  </w:txbxContent>
                </v:textbox>
                <w10:wrap type="square" side="right" anchorx="page"/>
              </v:shape>
            </w:pict>
          </mc:Fallback>
        </mc:AlternateContent>
      </w:r>
      <w:r>
        <mc:AlternateContent>
          <mc:Choice Requires="wps">
            <w:drawing>
              <wp:anchor distT="536575" distB="780415" distL="114300" distR="3092450" simplePos="0" relativeHeight="125829700" behindDoc="0" locked="0" layoutInCell="1" allowOverlap="1">
                <wp:simplePos x="0" y="0"/>
                <wp:positionH relativeFrom="page">
                  <wp:posOffset>703580</wp:posOffset>
                </wp:positionH>
                <wp:positionV relativeFrom="paragraph">
                  <wp:posOffset>1286510</wp:posOffset>
                </wp:positionV>
                <wp:extent cx="198120" cy="167640"/>
                <wp:wrapTopAndBottom/>
                <wp:docPr id="1310" name="Shape 1310"/>
                <a:graphic xmlns:a="http://schemas.openxmlformats.org/drawingml/2006/main">
                  <a:graphicData uri="http://schemas.microsoft.com/office/word/2010/wordprocessingShape">
                    <wps:wsp>
                      <wps:cNvSpPr txBox="1"/>
                      <wps:spPr>
                        <a:xfrm>
                          <a:ext cx="198120" cy="167640"/>
                        </a:xfrm>
                        <a:prstGeom prst="rect"/>
                        <a:noFill/>
                      </wps:spPr>
                      <wps:txbx>
                        <w:txbxContent>
                          <w:p>
                            <w:pPr>
                              <w:pStyle w:val="Style169"/>
                              <w:keepNext/>
                              <w:keepLines/>
                              <w:widowControl w:val="0"/>
                              <w:shd w:val="clear" w:color="auto" w:fill="auto"/>
                              <w:bidi w:val="0"/>
                              <w:spacing w:before="0" w:after="0" w:line="240" w:lineRule="auto"/>
                              <w:ind w:left="0" w:right="0" w:firstLine="0"/>
                              <w:jc w:val="left"/>
                            </w:pPr>
                            <w:bookmarkStart w:id="2316" w:name="bookmark2316"/>
                            <w:bookmarkStart w:id="2317" w:name="bookmark2317"/>
                            <w:r>
                              <w:rPr>
                                <w:rFonts w:ascii="Times New Roman" w:eastAsia="Times New Roman" w:hAnsi="Times New Roman" w:cs="Times New Roman"/>
                                <w:color w:val="000000"/>
                                <w:spacing w:val="0"/>
                                <w:w w:val="100"/>
                                <w:position w:val="0"/>
                              </w:rPr>
                              <w:t>8</w:t>
                            </w:r>
                            <w:r>
                              <w:rPr>
                                <w:color w:val="000000"/>
                                <w:spacing w:val="0"/>
                                <w:w w:val="100"/>
                                <w:position w:val="0"/>
                              </w:rPr>
                              <w:t>)</w:t>
                            </w:r>
                            <w:bookmarkEnd w:id="2316"/>
                            <w:bookmarkEnd w:id="2317"/>
                          </w:p>
                        </w:txbxContent>
                      </wps:txbx>
                      <wps:bodyPr wrap="none" lIns="0" tIns="0" rIns="0" bIns="0">
                        <a:noAutoFit/>
                      </wps:bodyPr>
                    </wps:wsp>
                  </a:graphicData>
                </a:graphic>
              </wp:anchor>
            </w:drawing>
          </mc:Choice>
          <mc:Fallback>
            <w:pict>
              <v:shape id="_x0000_s2336" type="#_x0000_t202" style="position:absolute;margin-left:55.399999999999999pt;margin-top:101.3pt;width:15.6pt;height:13.200000000000001pt;z-index:-125829053;mso-wrap-distance-left:9.pt;mso-wrap-distance-top:42.25pt;mso-wrap-distance-right:243.5pt;mso-wrap-distance-bottom:61.450000000000003pt;mso-position-horizontal-relative:page" filled="f" stroked="f">
                <v:textbox inset="0,0,0,0">
                  <w:txbxContent>
                    <w:p>
                      <w:pPr>
                        <w:pStyle w:val="Style169"/>
                        <w:keepNext/>
                        <w:keepLines/>
                        <w:widowControl w:val="0"/>
                        <w:shd w:val="clear" w:color="auto" w:fill="auto"/>
                        <w:bidi w:val="0"/>
                        <w:spacing w:before="0" w:after="0" w:line="240" w:lineRule="auto"/>
                        <w:ind w:left="0" w:right="0" w:firstLine="0"/>
                        <w:jc w:val="left"/>
                      </w:pPr>
                      <w:bookmarkStart w:id="2316" w:name="bookmark2316"/>
                      <w:bookmarkStart w:id="2317" w:name="bookmark2317"/>
                      <w:r>
                        <w:rPr>
                          <w:rFonts w:ascii="Times New Roman" w:eastAsia="Times New Roman" w:hAnsi="Times New Roman" w:cs="Times New Roman"/>
                          <w:color w:val="000000"/>
                          <w:spacing w:val="0"/>
                          <w:w w:val="100"/>
                          <w:position w:val="0"/>
                        </w:rPr>
                        <w:t>8</w:t>
                      </w:r>
                      <w:r>
                        <w:rPr>
                          <w:color w:val="000000"/>
                          <w:spacing w:val="0"/>
                          <w:w w:val="100"/>
                          <w:position w:val="0"/>
                        </w:rPr>
                        <w:t>)</w:t>
                      </w:r>
                      <w:bookmarkEnd w:id="2316"/>
                      <w:bookmarkEnd w:id="2317"/>
                    </w:p>
                  </w:txbxContent>
                </v:textbox>
                <w10:wrap type="topAndBottom" anchorx="page"/>
              </v:shape>
            </w:pict>
          </mc:Fallback>
        </mc:AlternateContent>
      </w:r>
      <w:r>
        <mc:AlternateContent>
          <mc:Choice Requires="wps">
            <w:drawing>
              <wp:anchor distT="533400" distB="780415" distL="315595" distR="114300" simplePos="0" relativeHeight="125829702" behindDoc="0" locked="0" layoutInCell="1" allowOverlap="1">
                <wp:simplePos x="0" y="0"/>
                <wp:positionH relativeFrom="page">
                  <wp:posOffset>904875</wp:posOffset>
                </wp:positionH>
                <wp:positionV relativeFrom="paragraph">
                  <wp:posOffset>1283335</wp:posOffset>
                </wp:positionV>
                <wp:extent cx="2974975" cy="170815"/>
                <wp:wrapTopAndBottom/>
                <wp:docPr id="1312" name="Shape 1312"/>
                <a:graphic xmlns:a="http://schemas.openxmlformats.org/drawingml/2006/main">
                  <a:graphicData uri="http://schemas.microsoft.com/office/word/2010/wordprocessingShape">
                    <wps:wsp>
                      <wps:cNvSpPr txBox="1"/>
                      <wps:spPr>
                        <a:xfrm>
                          <a:ext cx="2974975" cy="170815"/>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2318" w:name="bookmark2318"/>
                            <w:bookmarkStart w:id="2319" w:name="bookmark2319"/>
                            <w:bookmarkStart w:id="2320" w:name="bookmark2320"/>
                            <w:r>
                              <w:rPr>
                                <w:color w:val="000000"/>
                                <w:spacing w:val="0"/>
                                <w:w w:val="100"/>
                                <w:position w:val="0"/>
                              </w:rPr>
                              <w:t>转移其他应收款且继续涉入形成的资产、负债金额</w:t>
                            </w:r>
                            <w:bookmarkEnd w:id="2318"/>
                            <w:bookmarkEnd w:id="2319"/>
                            <w:bookmarkEnd w:id="2320"/>
                          </w:p>
                        </w:txbxContent>
                      </wps:txbx>
                      <wps:bodyPr wrap="none" lIns="0" tIns="0" rIns="0" bIns="0">
                        <a:noAutoFit/>
                      </wps:bodyPr>
                    </wps:wsp>
                  </a:graphicData>
                </a:graphic>
              </wp:anchor>
            </w:drawing>
          </mc:Choice>
          <mc:Fallback>
            <w:pict>
              <v:shape id="_x0000_s2338" type="#_x0000_t202" style="position:absolute;margin-left:71.25pt;margin-top:101.05pt;width:234.25pt;height:13.450000000000001pt;z-index:-125829051;mso-wrap-distance-left:24.850000000000001pt;mso-wrap-distance-top:42.pt;mso-wrap-distance-right:9.pt;mso-wrap-distance-bottom:61.450000000000003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2318" w:name="bookmark2318"/>
                      <w:bookmarkStart w:id="2319" w:name="bookmark2319"/>
                      <w:bookmarkStart w:id="2320" w:name="bookmark2320"/>
                      <w:r>
                        <w:rPr>
                          <w:color w:val="000000"/>
                          <w:spacing w:val="0"/>
                          <w:w w:val="100"/>
                          <w:position w:val="0"/>
                        </w:rPr>
                        <w:t>转移其他应收款且继续涉入形成的资产、负债金额</w:t>
                      </w:r>
                      <w:bookmarkEnd w:id="2318"/>
                      <w:bookmarkEnd w:id="2319"/>
                      <w:bookmarkEnd w:id="2320"/>
                    </w:p>
                  </w:txbxContent>
                </v:textbox>
                <w10:wrap type="topAndBottom" anchorx="page"/>
              </v:shape>
            </w:pict>
          </mc:Fallback>
        </mc:AlternateContent>
      </w:r>
      <w:r>
        <mc:AlternateContent>
          <mc:Choice Requires="wps">
            <w:drawing>
              <wp:anchor distT="1313815" distB="3175" distL="114300" distR="3092450" simplePos="0" relativeHeight="125829704" behindDoc="0" locked="0" layoutInCell="1" allowOverlap="1">
                <wp:simplePos x="0" y="0"/>
                <wp:positionH relativeFrom="page">
                  <wp:posOffset>703580</wp:posOffset>
                </wp:positionH>
                <wp:positionV relativeFrom="paragraph">
                  <wp:posOffset>2063750</wp:posOffset>
                </wp:positionV>
                <wp:extent cx="198120" cy="167640"/>
                <wp:wrapTopAndBottom/>
                <wp:docPr id="1314" name="Shape 1314"/>
                <a:graphic xmlns:a="http://schemas.openxmlformats.org/drawingml/2006/main">
                  <a:graphicData uri="http://schemas.microsoft.com/office/word/2010/wordprocessingShape">
                    <wps:wsp>
                      <wps:cNvSpPr txBox="1"/>
                      <wps:spPr>
                        <a:xfrm>
                          <a:ext cx="198120" cy="167640"/>
                        </a:xfrm>
                        <a:prstGeom prst="rect"/>
                        <a:noFill/>
                      </wps:spPr>
                      <wps:txbx>
                        <w:txbxContent>
                          <w:p>
                            <w:pPr>
                              <w:pStyle w:val="Style169"/>
                              <w:keepNext/>
                              <w:keepLines/>
                              <w:widowControl w:val="0"/>
                              <w:shd w:val="clear" w:color="auto" w:fill="auto"/>
                              <w:bidi w:val="0"/>
                              <w:spacing w:before="0" w:after="0" w:line="240" w:lineRule="auto"/>
                              <w:ind w:left="0" w:right="0" w:firstLine="0"/>
                              <w:jc w:val="left"/>
                            </w:pPr>
                            <w:bookmarkStart w:id="2321" w:name="bookmark2321"/>
                            <w:bookmarkStart w:id="2322" w:name="bookmark2322"/>
                            <w:r>
                              <w:rPr>
                                <w:rFonts w:ascii="Times New Roman" w:eastAsia="Times New Roman" w:hAnsi="Times New Roman" w:cs="Times New Roman"/>
                                <w:color w:val="000000"/>
                                <w:spacing w:val="0"/>
                                <w:w w:val="100"/>
                                <w:position w:val="0"/>
                              </w:rPr>
                              <w:t>3</w:t>
                            </w:r>
                            <w:r>
                              <w:rPr>
                                <w:color w:val="000000"/>
                                <w:spacing w:val="0"/>
                                <w:w w:val="100"/>
                                <w:position w:val="0"/>
                              </w:rPr>
                              <w:t>、</w:t>
                            </w:r>
                            <w:bookmarkEnd w:id="2321"/>
                            <w:bookmarkEnd w:id="2322"/>
                          </w:p>
                        </w:txbxContent>
                      </wps:txbx>
                      <wps:bodyPr wrap="none" lIns="0" tIns="0" rIns="0" bIns="0">
                        <a:noAutoFit/>
                      </wps:bodyPr>
                    </wps:wsp>
                  </a:graphicData>
                </a:graphic>
              </wp:anchor>
            </w:drawing>
          </mc:Choice>
          <mc:Fallback>
            <w:pict>
              <v:shape id="_x0000_s2340" type="#_x0000_t202" style="position:absolute;margin-left:55.399999999999999pt;margin-top:162.5pt;width:15.6pt;height:13.200000000000001pt;z-index:-125829049;mso-wrap-distance-left:9.pt;mso-wrap-distance-top:103.45pt;mso-wrap-distance-right:243.5pt;mso-wrap-distance-bottom:0.25pt;mso-position-horizontal-relative:page" filled="f" stroked="f">
                <v:textbox inset="0,0,0,0">
                  <w:txbxContent>
                    <w:p>
                      <w:pPr>
                        <w:pStyle w:val="Style169"/>
                        <w:keepNext/>
                        <w:keepLines/>
                        <w:widowControl w:val="0"/>
                        <w:shd w:val="clear" w:color="auto" w:fill="auto"/>
                        <w:bidi w:val="0"/>
                        <w:spacing w:before="0" w:after="0" w:line="240" w:lineRule="auto"/>
                        <w:ind w:left="0" w:right="0" w:firstLine="0"/>
                        <w:jc w:val="left"/>
                      </w:pPr>
                      <w:bookmarkStart w:id="2321" w:name="bookmark2321"/>
                      <w:bookmarkStart w:id="2322" w:name="bookmark2322"/>
                      <w:r>
                        <w:rPr>
                          <w:rFonts w:ascii="Times New Roman" w:eastAsia="Times New Roman" w:hAnsi="Times New Roman" w:cs="Times New Roman"/>
                          <w:color w:val="000000"/>
                          <w:spacing w:val="0"/>
                          <w:w w:val="100"/>
                          <w:position w:val="0"/>
                        </w:rPr>
                        <w:t>3</w:t>
                      </w:r>
                      <w:r>
                        <w:rPr>
                          <w:color w:val="000000"/>
                          <w:spacing w:val="0"/>
                          <w:w w:val="100"/>
                          <w:position w:val="0"/>
                        </w:rPr>
                        <w:t>、</w:t>
                      </w:r>
                      <w:bookmarkEnd w:id="2321"/>
                      <w:bookmarkEnd w:id="2322"/>
                    </w:p>
                  </w:txbxContent>
                </v:textbox>
                <w10:wrap type="topAndBottom" anchorx="page"/>
              </v:shape>
            </w:pict>
          </mc:Fallback>
        </mc:AlternateContent>
      </w:r>
      <w:r>
        <mc:AlternateContent>
          <mc:Choice Requires="wps">
            <w:drawing>
              <wp:anchor distT="1310640" distB="0" distL="315595" distR="2257425" simplePos="0" relativeHeight="125829706" behindDoc="0" locked="0" layoutInCell="1" allowOverlap="1">
                <wp:simplePos x="0" y="0"/>
                <wp:positionH relativeFrom="page">
                  <wp:posOffset>904875</wp:posOffset>
                </wp:positionH>
                <wp:positionV relativeFrom="paragraph">
                  <wp:posOffset>2060575</wp:posOffset>
                </wp:positionV>
                <wp:extent cx="831850" cy="173990"/>
                <wp:wrapTopAndBottom/>
                <wp:docPr id="1316" name="Shape 1316"/>
                <a:graphic xmlns:a="http://schemas.openxmlformats.org/drawingml/2006/main">
                  <a:graphicData uri="http://schemas.microsoft.com/office/word/2010/wordprocessingShape">
                    <wps:wsp>
                      <wps:cNvSpPr txBox="1"/>
                      <wps:spPr>
                        <a:xfrm>
                          <a:ext cx="831850" cy="173990"/>
                        </a:xfrm>
                        <a:prstGeom prst="rect"/>
                        <a:noFill/>
                      </wps:spPr>
                      <wps:txbx>
                        <w:txbxContent>
                          <w:p>
                            <w:pPr>
                              <w:pStyle w:val="Style55"/>
                              <w:keepNext/>
                              <w:keepLines/>
                              <w:widowControl w:val="0"/>
                              <w:shd w:val="clear" w:color="auto" w:fill="auto"/>
                              <w:bidi w:val="0"/>
                              <w:spacing w:before="0" w:after="0" w:line="240" w:lineRule="auto"/>
                              <w:ind w:left="0" w:right="0" w:firstLine="0"/>
                              <w:jc w:val="left"/>
                            </w:pPr>
                            <w:bookmarkStart w:id="2323" w:name="bookmark2323"/>
                            <w:bookmarkStart w:id="2324" w:name="bookmark2324"/>
                            <w:bookmarkStart w:id="2325" w:name="bookmark2325"/>
                            <w:r>
                              <w:rPr>
                                <w:color w:val="000000"/>
                                <w:spacing w:val="0"/>
                                <w:w w:val="100"/>
                                <w:position w:val="0"/>
                              </w:rPr>
                              <w:t>长期股权投资</w:t>
                            </w:r>
                            <w:bookmarkEnd w:id="2323"/>
                            <w:bookmarkEnd w:id="2324"/>
                            <w:bookmarkEnd w:id="2325"/>
                          </w:p>
                        </w:txbxContent>
                      </wps:txbx>
                      <wps:bodyPr wrap="none" lIns="0" tIns="0" rIns="0" bIns="0">
                        <a:noAutoFit/>
                      </wps:bodyPr>
                    </wps:wsp>
                  </a:graphicData>
                </a:graphic>
              </wp:anchor>
            </w:drawing>
          </mc:Choice>
          <mc:Fallback>
            <w:pict>
              <v:shape id="_x0000_s2342" type="#_x0000_t202" style="position:absolute;margin-left:71.25pt;margin-top:162.25pt;width:65.5pt;height:13.700000000000001pt;z-index:-125829047;mso-wrap-distance-left:24.850000000000001pt;mso-wrap-distance-top:103.2pt;mso-wrap-distance-right:177.75pt;mso-position-horizontal-relative:page" filled="f" stroked="f">
                <v:textbox inset="0,0,0,0">
                  <w:txbxContent>
                    <w:p>
                      <w:pPr>
                        <w:pStyle w:val="Style55"/>
                        <w:keepNext/>
                        <w:keepLines/>
                        <w:widowControl w:val="0"/>
                        <w:shd w:val="clear" w:color="auto" w:fill="auto"/>
                        <w:bidi w:val="0"/>
                        <w:spacing w:before="0" w:after="0" w:line="240" w:lineRule="auto"/>
                        <w:ind w:left="0" w:right="0" w:firstLine="0"/>
                        <w:jc w:val="left"/>
                      </w:pPr>
                      <w:bookmarkStart w:id="2323" w:name="bookmark2323"/>
                      <w:bookmarkStart w:id="2324" w:name="bookmark2324"/>
                      <w:bookmarkStart w:id="2325" w:name="bookmark2325"/>
                      <w:r>
                        <w:rPr>
                          <w:color w:val="000000"/>
                          <w:spacing w:val="0"/>
                          <w:w w:val="100"/>
                          <w:position w:val="0"/>
                        </w:rPr>
                        <w:t>长期股权投资</w:t>
                      </w:r>
                      <w:bookmarkEnd w:id="2323"/>
                      <w:bookmarkEnd w:id="2324"/>
                      <w:bookmarkEnd w:id="2325"/>
                    </w:p>
                  </w:txbxContent>
                </v:textbox>
                <w10:wrap type="topAndBottom" anchorx="page"/>
              </v:shape>
            </w:pict>
          </mc:Fallback>
        </mc:AlternateContent>
      </w:r>
    </w:p>
    <w:p>
      <w:pPr>
        <w:pStyle w:val="Style5"/>
        <w:keepNext w:val="0"/>
        <w:keepLines w:val="0"/>
        <w:widowControl w:val="0"/>
        <w:shd w:val="clear" w:color="auto" w:fill="auto"/>
        <w:tabs>
          <w:tab w:pos="1450" w:val="left"/>
        </w:tabs>
        <w:bidi w:val="0"/>
        <w:spacing w:before="0" w:after="0" w:line="240" w:lineRule="auto"/>
        <w:ind w:left="0" w:right="0" w:firstLine="840"/>
        <w:jc w:val="left"/>
      </w:pPr>
      <w:r>
        <w:rPr>
          <w:rFonts w:ascii="Arial" w:eastAsia="Arial" w:hAnsi="Arial" w:cs="Arial"/>
          <w:color w:val="245994"/>
          <w:spacing w:val="0"/>
          <w:w w:val="100"/>
          <w:position w:val="0"/>
        </w:rPr>
        <w:t>Vi</w:t>
        <w:tab/>
      </w:r>
      <w:r>
        <w:rPr>
          <w:spacing w:val="0"/>
          <w:w w:val="100"/>
          <w:position w:val="0"/>
        </w:rPr>
        <w:t>国家高新技术企业</w:t>
      </w:r>
    </w:p>
    <w:p>
      <w:pPr>
        <w:pStyle w:val="Style32"/>
        <w:keepNext w:val="0"/>
        <w:keepLines w:val="0"/>
        <w:widowControl w:val="0"/>
        <w:shd w:val="clear" w:color="auto" w:fill="auto"/>
        <w:tabs>
          <w:tab w:pos="1450" w:val="left"/>
        </w:tabs>
        <w:bidi w:val="0"/>
        <w:spacing w:before="0" w:after="0" w:line="240" w:lineRule="auto"/>
        <w:ind w:left="0" w:right="0" w:firstLine="840"/>
        <w:jc w:val="both"/>
      </w:pPr>
      <w:r>
        <w:rPr>
          <w:rFonts w:ascii="SimHei" w:eastAsia="SimHei" w:hAnsi="SimHei" w:cs="SimHei"/>
          <w:color w:val="245994"/>
          <w:spacing w:val="0"/>
          <w:w w:val="100"/>
          <w:position w:val="0"/>
          <w:sz w:val="15"/>
          <w:szCs w:val="15"/>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p>
      <w:pPr>
        <w:pStyle w:val="Style55"/>
        <w:keepNext/>
        <w:keepLines/>
        <w:widowControl w:val="0"/>
        <w:shd w:val="clear" w:color="auto" w:fill="auto"/>
        <w:bidi w:val="0"/>
        <w:spacing w:before="0" w:after="0" w:line="240" w:lineRule="auto"/>
        <w:ind w:left="0" w:right="0" w:firstLine="0"/>
        <w:jc w:val="left"/>
        <w:sectPr>
          <w:headerReference w:type="default" r:id="rId561"/>
          <w:footerReference w:type="default" r:id="rId562"/>
          <w:headerReference w:type="even" r:id="rId563"/>
          <w:footerReference w:type="even" r:id="rId564"/>
          <w:headerReference w:type="first" r:id="rId565"/>
          <w:footerReference w:type="first" r:id="rId566"/>
          <w:footnotePr>
            <w:pos w:val="pageBottom"/>
            <w:numFmt w:val="decimal"/>
            <w:numRestart w:val="continuous"/>
          </w:footnotePr>
          <w:pgSz w:w="11900" w:h="16840"/>
          <w:pgMar w:top="1057" w:right="1106" w:bottom="1547" w:left="417" w:header="0" w:footer="3" w:gutter="0"/>
          <w:cols w:space="720"/>
          <w:noEndnote/>
          <w:titlePg/>
          <w:rtlGutter w:val="0"/>
          <w:docGrid w:linePitch="360"/>
        </w:sectPr>
      </w:pPr>
      <w:bookmarkStart w:id="2326" w:name="bookmark2326"/>
      <w:bookmarkStart w:id="2327" w:name="bookmark2327"/>
      <w:bookmarkStart w:id="2328" w:name="bookmark2328"/>
      <w:r>
        <w:rPr>
          <w:color w:val="000000"/>
          <w:spacing w:val="0"/>
          <w:w w:val="100"/>
          <w:position w:val="0"/>
        </w:rPr>
        <w:t>因金融资产转移而终止确认的其他应收款</w:t>
      </w:r>
      <w:bookmarkEnd w:id="2326"/>
      <w:bookmarkEnd w:id="2327"/>
      <w:bookmarkEnd w:id="2328"/>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128" w:right="0" w:bottom="1479" w:left="0" w:header="0" w:footer="3" w:gutter="0"/>
          <w:cols w:space="720"/>
          <w:noEndnote/>
          <w:rtlGutter w:val="0"/>
          <w:docGrid w:linePitch="360"/>
        </w:sectPr>
      </w:pPr>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320" w:firstLine="0"/>
              <w:jc w:val="right"/>
            </w:pPr>
            <w:r>
              <w:rPr>
                <w:color w:val="000000"/>
                <w:spacing w:val="0"/>
                <w:w w:val="100"/>
                <w:position w:val="0"/>
              </w:rPr>
              <w:t>账面价值</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对子公司投资</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980,474,474.27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980,474,474.27</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766,475,762.08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766,475,762.08</w:t>
            </w: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980,474,474.27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980,474,474.27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766,475,762.08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766,475,762.08</w:t>
            </w:r>
          </w:p>
        </w:tc>
      </w:tr>
    </w:tbl>
    <w:p>
      <w:pPr>
        <w:widowControl w:val="0"/>
        <w:spacing w:after="339" w:line="1" w:lineRule="exact"/>
      </w:pPr>
    </w:p>
    <w:p>
      <w:pPr>
        <w:pStyle w:val="Style55"/>
        <w:keepNext/>
        <w:keepLines/>
        <w:widowControl w:val="0"/>
        <w:shd w:val="clear" w:color="auto" w:fill="auto"/>
        <w:bidi w:val="0"/>
        <w:spacing w:before="0" w:after="340" w:line="240" w:lineRule="auto"/>
        <w:ind w:left="1100" w:right="0" w:firstLine="0"/>
        <w:jc w:val="left"/>
      </w:pPr>
      <w:bookmarkStart w:id="2329" w:name="bookmark2329"/>
      <w:bookmarkStart w:id="2330" w:name="bookmark2330"/>
      <w:bookmarkStart w:id="2331" w:name="bookmark2331"/>
      <w:r>
        <w:rPr>
          <w:rFonts w:ascii="Times New Roman" w:eastAsia="Times New Roman" w:hAnsi="Times New Roman" w:cs="Times New Roman"/>
          <w:color w:val="000000"/>
          <w:spacing w:val="0"/>
          <w:w w:val="100"/>
          <w:position w:val="0"/>
        </w:rPr>
        <w:t>(1</w:t>
      </w:r>
      <w:r>
        <w:rPr>
          <w:color w:val="000000"/>
          <w:spacing w:val="0"/>
          <w:w w:val="100"/>
          <w:position w:val="0"/>
        </w:rPr>
        <w:t>)对子公司投资</w:t>
      </w:r>
      <w:bookmarkEnd w:id="2329"/>
      <w:bookmarkEnd w:id="2330"/>
      <w:bookmarkEnd w:id="2331"/>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14"/>
        <w:gridCol w:w="1277"/>
        <w:gridCol w:w="1277"/>
        <w:gridCol w:w="1133"/>
        <w:gridCol w:w="1277"/>
        <w:gridCol w:w="566"/>
        <w:gridCol w:w="1277"/>
        <w:gridCol w:w="1075"/>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60"/>
              <w:jc w:val="left"/>
            </w:pPr>
            <w:r>
              <w:rPr>
                <w:color w:val="000000"/>
                <w:spacing w:val="0"/>
                <w:w w:val="100"/>
                <w:position w:val="0"/>
              </w:rPr>
              <w:t>被投资单位</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期初余额</w:t>
            </w:r>
            <w:r>
              <w:rPr>
                <w:rFonts w:ascii="Times New Roman" w:eastAsia="Times New Roman" w:hAnsi="Times New Roman" w:cs="Times New Roman"/>
                <w:color w:val="000000"/>
                <w:spacing w:val="0"/>
                <w:w w:val="100"/>
                <w:position w:val="0"/>
              </w:rPr>
              <w:t>(</w:t>
            </w:r>
            <w:r>
              <w:rPr>
                <w:color w:val="000000"/>
                <w:spacing w:val="0"/>
                <w:w w:val="100"/>
                <w:position w:val="0"/>
              </w:rPr>
              <w:t>账面 价值</w:t>
            </w:r>
            <w:r>
              <w:rPr>
                <w:color w:val="000000"/>
                <w:spacing w:val="0"/>
                <w:w w:val="100"/>
                <w:position w:val="0"/>
              </w:rPr>
              <w:t>)</w:t>
            </w:r>
          </w:p>
        </w:tc>
        <w:tc>
          <w:tcPr>
            <w:gridSpan w:val="4"/>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期末余额</w:t>
            </w:r>
            <w:r>
              <w:rPr>
                <w:rFonts w:ascii="Times New Roman" w:eastAsia="Times New Roman" w:hAnsi="Times New Roman" w:cs="Times New Roman"/>
                <w:color w:val="000000"/>
                <w:spacing w:val="0"/>
                <w:w w:val="100"/>
                <w:position w:val="0"/>
              </w:rPr>
              <w:t>(</w:t>
            </w:r>
            <w:r>
              <w:rPr>
                <w:color w:val="000000"/>
                <w:spacing w:val="0"/>
                <w:w w:val="100"/>
                <w:position w:val="0"/>
              </w:rPr>
              <w:t>账面 价值</w:t>
            </w:r>
            <w:r>
              <w:rPr>
                <w:color w:val="000000"/>
                <w:spacing w:val="0"/>
                <w:w w:val="100"/>
                <w:position w:val="0"/>
              </w:rPr>
              <w:t>)</w:t>
            </w:r>
          </w:p>
        </w:tc>
        <w:tc>
          <w:tcPr>
            <w:vMerge w:val="restart"/>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减值准备期 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追加投资</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减少投资</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计提减值准备</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辽宁荣科金融服务有限公司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北京荣科爱信科技有限公司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享云科技有限责任公司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15,618,996.08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5,253,652.15</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20,872,648.23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上海米健信息技术有限公司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368,856,787.00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517,716.67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369,374,503.67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北京神州视翰科技有限公司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315,999,979.00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315,999,979.00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辽宁荣科智维云科技有限公司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5,000,000.00</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20,100,000.00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25,100,000.00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北京荣科智维云科技有限公司</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上海今创信息技术有限公司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209,999,991.60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209,999,991.60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766,475,762.08</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235,871,360.42</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21,872,648.23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980,474,474.27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55"/>
        <w:keepNext/>
        <w:keepLines/>
        <w:widowControl w:val="0"/>
        <w:shd w:val="clear" w:color="auto" w:fill="auto"/>
        <w:bidi w:val="0"/>
        <w:spacing w:before="0" w:after="980" w:line="240" w:lineRule="auto"/>
        <w:ind w:left="1100" w:right="0" w:firstLine="0"/>
        <w:jc w:val="left"/>
      </w:pPr>
      <w:bookmarkStart w:id="2332" w:name="bookmark2332"/>
      <w:bookmarkStart w:id="2333" w:name="bookmark2333"/>
      <w:bookmarkStart w:id="2334" w:name="bookmark2334"/>
      <w:r>
        <w:rPr>
          <w:rFonts w:ascii="Times New Roman" w:eastAsia="Times New Roman" w:hAnsi="Times New Roman" w:cs="Times New Roman"/>
          <w:color w:val="000000"/>
          <w:spacing w:val="0"/>
          <w:w w:val="100"/>
          <w:position w:val="0"/>
        </w:rPr>
        <w:t>(2</w:t>
      </w:r>
      <w:r>
        <w:rPr>
          <w:color w:val="000000"/>
          <w:spacing w:val="0"/>
          <w:w w:val="100"/>
          <w:position w:val="0"/>
        </w:rPr>
        <w:t>)对联营、合营企业投资</w:t>
      </w:r>
      <w:bookmarkEnd w:id="2332"/>
      <w:bookmarkEnd w:id="2333"/>
      <w:bookmarkEnd w:id="2334"/>
    </w:p>
    <w:p>
      <w:pPr>
        <w:pStyle w:val="Style55"/>
        <w:keepNext/>
        <w:keepLines/>
        <w:widowControl w:val="0"/>
        <w:numPr>
          <w:ilvl w:val="0"/>
          <w:numId w:val="189"/>
        </w:numPr>
        <w:shd w:val="clear" w:color="auto" w:fill="auto"/>
        <w:bidi w:val="0"/>
        <w:spacing w:before="0" w:after="340" w:line="240" w:lineRule="auto"/>
        <w:ind w:left="0" w:right="0" w:firstLine="980"/>
        <w:jc w:val="left"/>
      </w:pPr>
      <w:bookmarkStart w:id="2335" w:name="bookmark2335"/>
      <w:bookmarkStart w:id="2336" w:name="bookmark2336"/>
      <w:bookmarkStart w:id="2337" w:name="bookmark2337"/>
      <w:bookmarkStart w:id="2338" w:name="bookmark2338"/>
      <w:bookmarkEnd w:id="2337"/>
      <w:r>
        <w:rPr>
          <w:color w:val="000000"/>
          <w:spacing w:val="0"/>
          <w:w w:val="100"/>
          <w:position w:val="0"/>
        </w:rPr>
        <w:t>其他说明</w:t>
      </w:r>
      <w:bookmarkEnd w:id="2335"/>
      <w:bookmarkEnd w:id="2336"/>
      <w:bookmarkEnd w:id="2338"/>
    </w:p>
    <w:p>
      <w:pPr>
        <w:pStyle w:val="Style32"/>
        <w:keepNext w:val="0"/>
        <w:keepLines w:val="0"/>
        <w:widowControl w:val="0"/>
        <w:shd w:val="clear" w:color="auto" w:fill="auto"/>
        <w:bidi w:val="0"/>
        <w:spacing w:before="0" w:after="140" w:line="240" w:lineRule="auto"/>
        <w:ind w:left="0" w:right="0" w:firstLine="98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月，公司对子公司辽宁荣科智维云科技有限公司实缴出资人民币</w:t>
      </w:r>
      <w:r>
        <w:rPr>
          <w:rFonts w:ascii="Times New Roman" w:eastAsia="Times New Roman" w:hAnsi="Times New Roman" w:cs="Times New Roman"/>
          <w:color w:val="000000"/>
          <w:spacing w:val="0"/>
          <w:w w:val="100"/>
          <w:position w:val="0"/>
        </w:rPr>
        <w:t>2,010.00</w:t>
      </w:r>
      <w:r>
        <w:rPr>
          <w:color w:val="000000"/>
          <w:spacing w:val="0"/>
          <w:w w:val="100"/>
          <w:position w:val="0"/>
        </w:rPr>
        <w:t>万元。</w:t>
      </w: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本项目其他变动详见本报告第十二节、八、合并范围的变更。</w:t>
      </w:r>
    </w:p>
    <w:p>
      <w:pPr>
        <w:pStyle w:val="Style32"/>
        <w:keepNext w:val="0"/>
        <w:keepLines w:val="0"/>
        <w:widowControl w:val="0"/>
        <w:shd w:val="clear" w:color="auto" w:fill="auto"/>
        <w:bidi w:val="0"/>
        <w:spacing w:before="0" w:after="340" w:line="240" w:lineRule="auto"/>
        <w:ind w:left="0" w:right="0" w:firstLine="980"/>
        <w:jc w:val="left"/>
      </w:pPr>
      <w:r>
        <w:rPr>
          <w:color w:val="000000"/>
          <w:spacing w:val="0"/>
          <w:w w:val="100"/>
          <w:position w:val="0"/>
        </w:rPr>
        <w:t>公司与兴业银行股份有限公司沈阳分行(以下简称兴业银行)签订非上市公司股权最高额质押合同，以其持有的上海米健信</w:t>
      </w:r>
      <w:r>
        <w:br w:type="page"/>
      </w:r>
    </w:p>
    <w:p>
      <w:pPr>
        <w:pStyle w:val="Style32"/>
        <w:keepNext w:val="0"/>
        <w:keepLines w:val="0"/>
        <w:widowControl w:val="0"/>
        <w:shd w:val="clear" w:color="auto" w:fill="auto"/>
        <w:bidi w:val="0"/>
        <w:spacing w:before="0" w:after="100" w:line="240" w:lineRule="auto"/>
        <w:ind w:left="0" w:right="0" w:firstLine="980"/>
        <w:jc w:val="both"/>
      </w:pPr>
      <w:r>
        <mc:AlternateContent>
          <mc:Choice Requires="wps">
            <w:drawing>
              <wp:anchor distT="0" distB="0" distL="114300" distR="114300" simplePos="0" relativeHeight="125829708" behindDoc="0" locked="0" layoutInCell="1" allowOverlap="1">
                <wp:simplePos x="0" y="0"/>
                <wp:positionH relativeFrom="page">
                  <wp:posOffset>795020</wp:posOffset>
                </wp:positionH>
                <wp:positionV relativeFrom="margin">
                  <wp:posOffset>-60325</wp:posOffset>
                </wp:positionV>
                <wp:extent cx="1243330" cy="283210"/>
                <wp:wrapTopAndBottom/>
                <wp:docPr id="1333" name="Shape 1333"/>
                <a:graphic xmlns:a="http://schemas.openxmlformats.org/drawingml/2006/main">
                  <a:graphicData uri="http://schemas.microsoft.com/office/word/2010/wordprocessingShape">
                    <wps:wsp>
                      <wps:cNvSpPr txBox="1"/>
                      <wps:spPr>
                        <a:xfrm>
                          <a:ext cx="1243330" cy="283210"/>
                        </a:xfrm>
                        <a:prstGeom prst="rect"/>
                        <a:noFill/>
                      </wps:spPr>
                      <wps:txbx>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359" type="#_x0000_t202" style="position:absolute;margin-left:62.600000000000001pt;margin-top:-4.75pt;width:97.900000000000006pt;height:22.300000000000001pt;z-index:-125829045;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624" w:val="left"/>
                        </w:tabs>
                        <w:bidi w:val="0"/>
                        <w:spacing w:before="0" w:after="0"/>
                        <w:ind w:left="0" w:right="0" w:firstLine="0"/>
                        <w:jc w:val="left"/>
                        <w:rPr>
                          <w:sz w:val="18"/>
                          <w:szCs w:val="18"/>
                        </w:rPr>
                      </w:pPr>
                      <w:r>
                        <w:rPr>
                          <w:color w:val="245994"/>
                          <w:spacing w:val="0"/>
                          <w:w w:val="100"/>
                          <w:position w:val="0"/>
                          <w:sz w:val="30"/>
                          <w:szCs w:val="30"/>
                        </w:rPr>
                        <w:t>匕广</w:t>
                      </w:r>
                      <w:r>
                        <w:rPr>
                          <w:color w:val="2D2B2E"/>
                          <w:spacing w:val="0"/>
                          <w:w w:val="100"/>
                          <w:position w:val="0"/>
                          <w:sz w:val="30"/>
                          <w:szCs w:val="30"/>
                        </w:rPr>
                        <w:t>i</w:t>
                      </w:r>
                      <w:r>
                        <w:rPr>
                          <w:spacing w:val="0"/>
                          <w:w w:val="100"/>
                          <w:position w:val="0"/>
                          <w:sz w:val="15"/>
                          <w:szCs w:val="15"/>
                        </w:rPr>
                        <w:t xml:space="preserve">国家高新技术企业 </w:t>
                      </w:r>
                      <w:r>
                        <w:rPr>
                          <w:color w:val="245994"/>
                          <w:spacing w:val="0"/>
                          <w:w w:val="100"/>
                          <w:position w:val="0"/>
                          <w:sz w:val="15"/>
                          <w:szCs w:val="15"/>
                        </w:rPr>
                        <w:t>，|</w:t>
                        <w:tab/>
                      </w:r>
                      <w:r>
                        <w:rPr>
                          <w:spacing w:val="0"/>
                          <w:w w:val="100"/>
                          <w:position w:val="0"/>
                          <w:sz w:val="15"/>
                          <w:szCs w:val="15"/>
                        </w:rPr>
                        <w:t>股票代码：</w:t>
                      </w:r>
                      <w:r>
                        <w:rPr>
                          <w:rFonts w:ascii="SimSun" w:eastAsia="SimSun" w:hAnsi="SimSun" w:cs="SimSun"/>
                          <w:spacing w:val="0"/>
                          <w:w w:val="100"/>
                          <w:position w:val="0"/>
                          <w:sz w:val="18"/>
                          <w:szCs w:val="18"/>
                        </w:rPr>
                        <w:t>300290</w:t>
                      </w:r>
                    </w:p>
                  </w:txbxContent>
                </v:textbox>
                <w10:wrap type="topAndBottom" anchorx="page" anchory="margin"/>
              </v:shape>
            </w:pict>
          </mc:Fallback>
        </mc:AlternateContent>
      </w:r>
      <w:r>
        <w:rPr>
          <w:color w:val="000000"/>
          <w:spacing w:val="0"/>
          <w:w w:val="100"/>
          <w:position w:val="0"/>
        </w:rPr>
        <w:t>息技术有限公司</w:t>
      </w:r>
      <w:r>
        <w:rPr>
          <w:rFonts w:ascii="Times New Roman" w:eastAsia="Times New Roman" w:hAnsi="Times New Roman" w:cs="Times New Roman"/>
          <w:color w:val="000000"/>
          <w:spacing w:val="0"/>
          <w:w w:val="100"/>
          <w:position w:val="0"/>
        </w:rPr>
        <w:t>100%</w:t>
      </w:r>
      <w:r>
        <w:rPr>
          <w:color w:val="000000"/>
          <w:spacing w:val="0"/>
          <w:w w:val="100"/>
          <w:position w:val="0"/>
        </w:rPr>
        <w:t>股权作为质押取得兴业银行在</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日至</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日期间内最高本金限额为人民币</w:t>
      </w:r>
    </w:p>
    <w:p>
      <w:pPr>
        <w:pStyle w:val="Style32"/>
        <w:keepNext w:val="0"/>
        <w:keepLines w:val="0"/>
        <w:widowControl w:val="0"/>
        <w:shd w:val="clear" w:color="auto" w:fill="auto"/>
        <w:bidi w:val="0"/>
        <w:spacing w:before="0" w:after="360" w:line="240" w:lineRule="auto"/>
        <w:ind w:left="0" w:right="0" w:firstLine="980"/>
        <w:jc w:val="both"/>
      </w:pPr>
      <w:r>
        <w:rPr>
          <w:rFonts w:ascii="Times New Roman" w:eastAsia="Times New Roman" w:hAnsi="Times New Roman" w:cs="Times New Roman"/>
          <w:color w:val="000000"/>
          <w:spacing w:val="0"/>
          <w:w w:val="100"/>
          <w:position w:val="0"/>
        </w:rPr>
        <w:t>12,100.00</w:t>
      </w:r>
      <w:r>
        <w:rPr>
          <w:color w:val="000000"/>
          <w:spacing w:val="0"/>
          <w:w w:val="100"/>
          <w:position w:val="0"/>
        </w:rPr>
        <w:t>万元的贷款，质押期限为</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日至</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日止，前述质押依然存在。</w:t>
      </w:r>
    </w:p>
    <w:p>
      <w:pPr>
        <w:pStyle w:val="Style55"/>
        <w:keepNext/>
        <w:keepLines/>
        <w:widowControl w:val="0"/>
        <w:shd w:val="clear" w:color="auto" w:fill="auto"/>
        <w:bidi w:val="0"/>
        <w:spacing w:before="0" w:after="360" w:line="240" w:lineRule="auto"/>
        <w:ind w:left="0" w:right="0" w:firstLine="980"/>
        <w:jc w:val="left"/>
      </w:pPr>
      <w:bookmarkStart w:id="2339" w:name="bookmark2339"/>
      <w:bookmarkStart w:id="2340" w:name="bookmark2340"/>
      <w:bookmarkStart w:id="2341" w:name="bookmark2341"/>
      <w:bookmarkStart w:id="2342" w:name="bookmark2342"/>
      <w:r>
        <w:rPr>
          <w:rFonts w:ascii="Times New Roman" w:eastAsia="Times New Roman" w:hAnsi="Times New Roman" w:cs="Times New Roman"/>
          <w:color w:val="000000"/>
          <w:spacing w:val="0"/>
          <w:w w:val="100"/>
          <w:position w:val="0"/>
        </w:rPr>
        <w:t>4</w:t>
      </w:r>
      <w:bookmarkEnd w:id="2341"/>
      <w:r>
        <w:rPr>
          <w:color w:val="000000"/>
          <w:spacing w:val="0"/>
          <w:w w:val="100"/>
          <w:position w:val="0"/>
        </w:rPr>
        <w:t>、营业收入和营业成本</w:t>
      </w:r>
      <w:bookmarkEnd w:id="2339"/>
      <w:bookmarkEnd w:id="2340"/>
      <w:bookmarkEnd w:id="2342"/>
    </w:p>
    <w:p>
      <w:pPr>
        <w:pStyle w:val="Style4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right"/>
        <w:tblLayout w:type="fixed"/>
      </w:tblPr>
      <w:tblGrid>
        <w:gridCol w:w="2002"/>
        <w:gridCol w:w="1838"/>
        <w:gridCol w:w="1910"/>
        <w:gridCol w:w="1915"/>
        <w:gridCol w:w="1925"/>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60"/>
              <w:jc w:val="left"/>
            </w:pPr>
            <w:r>
              <w:rPr>
                <w:color w:val="000000"/>
                <w:spacing w:val="0"/>
                <w:w w:val="100"/>
                <w:position w:val="0"/>
              </w:rPr>
              <w:t>收入</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760"/>
              <w:jc w:val="left"/>
            </w:pPr>
            <w:r>
              <w:rPr>
                <w:color w:val="000000"/>
                <w:spacing w:val="0"/>
                <w:w w:val="100"/>
                <w:position w:val="0"/>
              </w:rPr>
              <w:t>成本</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271,973,450.89</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251,118,779.61</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364,947,562.82</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296,365,901.13</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155,963.28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90,978.59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272,129,414.17</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251,118,779.61</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365,038,541.41</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296,365,901.13</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980"/>
        <w:jc w:val="left"/>
      </w:pPr>
      <w:bookmarkStart w:id="2343" w:name="bookmark2343"/>
      <w:bookmarkStart w:id="2344" w:name="bookmark2344"/>
      <w:bookmarkStart w:id="2345" w:name="bookmark2345"/>
      <w:bookmarkStart w:id="2346" w:name="bookmark2346"/>
      <w:r>
        <w:rPr>
          <w:rFonts w:ascii="Times New Roman" w:eastAsia="Times New Roman" w:hAnsi="Times New Roman" w:cs="Times New Roman"/>
          <w:color w:val="000000"/>
          <w:spacing w:val="0"/>
          <w:w w:val="100"/>
          <w:position w:val="0"/>
        </w:rPr>
        <w:t>5</w:t>
      </w:r>
      <w:bookmarkEnd w:id="2345"/>
      <w:r>
        <w:rPr>
          <w:color w:val="000000"/>
          <w:spacing w:val="0"/>
          <w:w w:val="100"/>
          <w:position w:val="0"/>
        </w:rPr>
        <w:t>、投资收益</w:t>
      </w:r>
      <w:bookmarkEnd w:id="2343"/>
      <w:bookmarkEnd w:id="2344"/>
      <w:bookmarkEnd w:id="2346"/>
    </w:p>
    <w:p>
      <w:pPr>
        <w:pStyle w:val="Style32"/>
        <w:keepNext w:val="0"/>
        <w:keepLines w:val="0"/>
        <w:widowControl w:val="0"/>
        <w:shd w:val="clear" w:color="auto" w:fill="auto"/>
        <w:bidi w:val="0"/>
        <w:spacing w:before="0" w:after="100" w:line="240" w:lineRule="auto"/>
        <w:ind w:left="9900" w:right="0" w:firstLine="0"/>
        <w:jc w:val="left"/>
      </w:pPr>
      <w:r>
        <w:rPr>
          <w:color w:val="000000"/>
          <w:spacing w:val="0"/>
          <w:w w:val="100"/>
          <w:position w:val="0"/>
        </w:rPr>
        <w:t>单位：元</w:t>
      </w:r>
    </w:p>
    <w:tbl>
      <w:tblPr>
        <w:tblOverlap w:val="never"/>
        <w:jc w:val="right"/>
        <w:tblLayout w:type="fixed"/>
      </w:tblPr>
      <w:tblGrid>
        <w:gridCol w:w="3331"/>
        <w:gridCol w:w="3062"/>
        <w:gridCol w:w="3192"/>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成本法核算的长期股权投资收益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34,400,000.00</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33,000,000.00</w:t>
            </w: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-3,872,648.23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30,527,351.77</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33,000,000.00</w:t>
            </w:r>
          </w:p>
        </w:tc>
      </w:tr>
    </w:tbl>
    <w:p>
      <w:pPr>
        <w:widowControl w:val="0"/>
        <w:spacing w:after="359" w:line="1" w:lineRule="exact"/>
      </w:pPr>
    </w:p>
    <w:p>
      <w:pPr>
        <w:pStyle w:val="Style55"/>
        <w:keepNext/>
        <w:keepLines/>
        <w:widowControl w:val="0"/>
        <w:shd w:val="clear" w:color="auto" w:fill="auto"/>
        <w:bidi w:val="0"/>
        <w:spacing w:before="0" w:after="360" w:line="240" w:lineRule="auto"/>
        <w:ind w:left="0" w:right="0" w:firstLine="980"/>
        <w:jc w:val="left"/>
      </w:pPr>
      <w:bookmarkStart w:id="2347" w:name="bookmark2347"/>
      <w:bookmarkStart w:id="2348" w:name="bookmark2348"/>
      <w:bookmarkStart w:id="2349" w:name="bookmark2349"/>
      <w:bookmarkStart w:id="2350" w:name="bookmark2350"/>
      <w:r>
        <w:rPr>
          <w:rFonts w:ascii="Times New Roman" w:eastAsia="Times New Roman" w:hAnsi="Times New Roman" w:cs="Times New Roman"/>
          <w:color w:val="000000"/>
          <w:spacing w:val="0"/>
          <w:w w:val="100"/>
          <w:position w:val="0"/>
        </w:rPr>
        <w:t>6</w:t>
      </w:r>
      <w:bookmarkEnd w:id="2349"/>
      <w:r>
        <w:rPr>
          <w:color w:val="000000"/>
          <w:spacing w:val="0"/>
          <w:w w:val="100"/>
          <w:position w:val="0"/>
        </w:rPr>
        <w:t>、其他</w:t>
      </w:r>
      <w:bookmarkEnd w:id="2347"/>
      <w:bookmarkEnd w:id="2348"/>
      <w:bookmarkEnd w:id="2350"/>
    </w:p>
    <w:p>
      <w:pPr>
        <w:pStyle w:val="Style32"/>
        <w:keepNext w:val="0"/>
        <w:keepLines w:val="0"/>
        <w:widowControl w:val="0"/>
        <w:shd w:val="clear" w:color="auto" w:fill="auto"/>
        <w:bidi w:val="0"/>
        <w:spacing w:before="0" w:after="360" w:line="240" w:lineRule="auto"/>
        <w:ind w:left="0" w:right="0" w:firstLine="980"/>
        <w:jc w:val="left"/>
      </w:pPr>
      <w:r>
        <w:rPr>
          <w:color w:val="000000"/>
          <w:spacing w:val="0"/>
          <w:w w:val="100"/>
          <w:position w:val="0"/>
        </w:rPr>
        <w:t>无</w:t>
      </w:r>
    </w:p>
    <w:p>
      <w:pPr>
        <w:pStyle w:val="Style47"/>
        <w:keepNext/>
        <w:keepLines/>
        <w:widowControl w:val="0"/>
        <w:shd w:val="clear" w:color="auto" w:fill="auto"/>
        <w:bidi w:val="0"/>
        <w:spacing w:before="0" w:after="360" w:line="240" w:lineRule="auto"/>
        <w:ind w:left="0" w:right="0" w:firstLine="980"/>
        <w:jc w:val="both"/>
      </w:pPr>
      <w:bookmarkStart w:id="2351" w:name="bookmark2351"/>
      <w:bookmarkStart w:id="2352" w:name="bookmark2352"/>
      <w:bookmarkStart w:id="2353" w:name="bookmark2353"/>
      <w:r>
        <w:rPr>
          <w:color w:val="000000"/>
          <w:spacing w:val="0"/>
          <w:w w:val="100"/>
          <w:position w:val="0"/>
          <w:sz w:val="24"/>
          <w:szCs w:val="24"/>
        </w:rPr>
        <w:t>十八、补充资料</w:t>
      </w:r>
      <w:bookmarkEnd w:id="2351"/>
      <w:bookmarkEnd w:id="2352"/>
      <w:bookmarkEnd w:id="2353"/>
    </w:p>
    <w:p>
      <w:pPr>
        <w:pStyle w:val="Style55"/>
        <w:keepNext/>
        <w:keepLines/>
        <w:widowControl w:val="0"/>
        <w:shd w:val="clear" w:color="auto" w:fill="auto"/>
        <w:bidi w:val="0"/>
        <w:spacing w:before="0" w:after="360" w:line="240" w:lineRule="auto"/>
        <w:ind w:left="0" w:right="0" w:firstLine="980"/>
        <w:jc w:val="left"/>
      </w:pPr>
      <w:bookmarkStart w:id="2354" w:name="bookmark2354"/>
      <w:bookmarkStart w:id="2355" w:name="bookmark2355"/>
      <w:bookmarkStart w:id="2356" w:name="bookmark2356"/>
      <w:r>
        <w:rPr>
          <w:rFonts w:ascii="Times New Roman" w:eastAsia="Times New Roman" w:hAnsi="Times New Roman" w:cs="Times New Roman"/>
          <w:color w:val="000000"/>
          <w:spacing w:val="0"/>
          <w:w w:val="100"/>
          <w:position w:val="0"/>
        </w:rPr>
        <w:t>1</w:t>
      </w:r>
      <w:r>
        <w:rPr>
          <w:color w:val="000000"/>
          <w:spacing w:val="0"/>
          <w:w w:val="100"/>
          <w:position w:val="0"/>
        </w:rPr>
        <w:t>、当期非经常性损益明细表</w:t>
      </w:r>
      <w:bookmarkEnd w:id="2354"/>
      <w:bookmarkEnd w:id="2355"/>
      <w:bookmarkEnd w:id="2356"/>
    </w:p>
    <w:p>
      <w:pPr>
        <w:pStyle w:val="Style32"/>
        <w:keepNext w:val="0"/>
        <w:keepLines w:val="0"/>
        <w:widowControl w:val="0"/>
        <w:shd w:val="clear" w:color="auto" w:fill="auto"/>
        <w:bidi w:val="0"/>
        <w:spacing w:before="0" w:after="100" w:line="240" w:lineRule="auto"/>
        <w:ind w:left="0" w:right="0" w:firstLine="980"/>
        <w:jc w:val="left"/>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2"/>
        <w:keepNext w:val="0"/>
        <w:keepLines w:val="0"/>
        <w:widowControl w:val="0"/>
        <w:shd w:val="clear" w:color="auto" w:fill="auto"/>
        <w:bidi w:val="0"/>
        <w:spacing w:before="0" w:after="100" w:line="240" w:lineRule="auto"/>
        <w:ind w:left="9900" w:right="0" w:firstLine="0"/>
        <w:jc w:val="left"/>
      </w:pPr>
      <w:r>
        <w:rPr>
          <w:color w:val="000000"/>
          <w:spacing w:val="0"/>
          <w:w w:val="100"/>
          <w:position w:val="0"/>
        </w:rPr>
        <w:t>单位：元</w:t>
      </w:r>
    </w:p>
    <w:tbl>
      <w:tblPr>
        <w:tblOverlap w:val="never"/>
        <w:jc w:val="center"/>
        <w:tblLayout w:type="fixed"/>
      </w:tblPr>
      <w:tblGrid>
        <w:gridCol w:w="7944"/>
        <w:gridCol w:w="1416"/>
        <w:gridCol w:w="1214"/>
      </w:tblGrid>
      <w:tr>
        <w:trPr>
          <w:trHeight w:val="40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520"/>
              <w:jc w:val="left"/>
            </w:pPr>
            <w:r>
              <w:rPr>
                <w:color w:val="000000"/>
                <w:spacing w:val="0"/>
                <w:w w:val="100"/>
                <w:position w:val="0"/>
              </w:rPr>
              <w:t>金额</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非流动资产处置损益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1,703,309.42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计入当期损益的政府补助（与企业业务密切相关，按照国家统一标准定额或定量享受的政府补助除外）</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6,843,822.54</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314" w:lineRule="exact"/>
              <w:ind w:left="0" w:right="0" w:firstLine="0"/>
              <w:jc w:val="both"/>
            </w:pPr>
            <w:r>
              <w:rPr>
                <w:color w:val="000000"/>
                <w:spacing w:val="0"/>
                <w:w w:val="100"/>
                <w:position w:val="0"/>
              </w:rPr>
              <w:t>除同公司正常经营业务相关的有效套期保值业务外，持有交易性金融资产、衍生金融资产、交易性金 融负债、衍生金融负债产生的公允价值变动损益，以及处置交易性金融资产、衍生金融资产、交易性 金融负债、衍生金融负债和其他债权投资取得的投资收益</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1,381,622.64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单独进行减值测试的应收款项、合同资产减值准备转回</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2,698,120.01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-2,119,944.14</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其他符合非经常性损益定义的损益项目</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5,538.34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p>
      <w:pPr>
        <w:framePr w:w="768" w:h="370" w:hSpace="1296" w:vSpace="5" w:wrap="notBeside" w:vAnchor="text" w:hAnchor="text" w:x="1023" w:y="1"/>
        <w:widowControl w:val="0"/>
        <w:rPr>
          <w:sz w:val="2"/>
          <w:szCs w:val="2"/>
        </w:rPr>
      </w:pPr>
      <w:r>
        <w:drawing>
          <wp:inline>
            <wp:extent cx="487680" cy="237490"/>
            <wp:docPr id="1335" name="Picutre 1335"/>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567"/>
                    <a:stretch/>
                  </pic:blipFill>
                  <pic:spPr>
                    <a:xfrm>
                      <a:ext cx="487680" cy="237490"/>
                    </a:xfrm>
                    <a:prstGeom prst="rect"/>
                  </pic:spPr>
                </pic:pic>
              </a:graphicData>
            </a:graphic>
          </wp:inline>
        </w:drawing>
      </w:r>
    </w:p>
    <w:p>
      <w:pPr>
        <w:widowControl w:val="0"/>
        <w:spacing w:line="1" w:lineRule="exact"/>
      </w:pPr>
      <w:r>
        <mc:AlternateContent>
          <mc:Choice Requires="wps">
            <w:drawing>
              <wp:anchor distT="0" distB="0" distL="648970" distR="4809490" simplePos="0" relativeHeight="125829710" behindDoc="0" locked="0" layoutInCell="1" allowOverlap="1">
                <wp:simplePos x="0" y="0"/>
                <wp:positionH relativeFrom="column">
                  <wp:posOffset>1136650</wp:posOffset>
                </wp:positionH>
                <wp:positionV relativeFrom="paragraph">
                  <wp:posOffset>6350</wp:posOffset>
                </wp:positionV>
                <wp:extent cx="822960" cy="231775"/>
                <wp:wrapTopAndBottom/>
                <wp:docPr id="1336" name="Shape 1336"/>
                <a:graphic xmlns:a="http://schemas.openxmlformats.org/drawingml/2006/main">
                  <a:graphicData uri="http://schemas.microsoft.com/office/word/2010/wordprocessingShape">
                    <wps:wsp>
                      <wps:cNvSpPr txBox="1"/>
                      <wps:spPr>
                        <a:xfrm>
                          <a:ext cx="822960" cy="231775"/>
                        </a:xfrm>
                        <a:prstGeom prst="rect"/>
                        <a:noFill/>
                      </wps:spPr>
                      <wps:txbx>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wps:txbx>
                      <wps:bodyPr lIns="0" tIns="0" rIns="0" bIns="0">
                        <a:noAutoFit/>
                      </wps:bodyPr>
                    </wps:wsp>
                  </a:graphicData>
                </a:graphic>
              </wp:anchor>
            </w:drawing>
          </mc:Choice>
          <mc:Fallback>
            <w:pict>
              <v:shape id="_x0000_s2362" type="#_x0000_t202" style="position:absolute;margin-left:89.5pt;margin-top:0.5pt;width:64.799999999999997pt;height:18.25pt;z-index:-125829043;mso-wrap-distance-left:51.100000000000001pt;mso-wrap-distance-right:378.69999999999999pt" filled="f" stroked="f">
                <v:textbox inset="0,0,0,0">
                  <w:txbxContent>
                    <w:p>
                      <w:pPr>
                        <w:pStyle w:val="Style26"/>
                        <w:keepNext w:val="0"/>
                        <w:keepLines w:val="0"/>
                        <w:widowControl w:val="0"/>
                        <w:shd w:val="clear" w:color="auto" w:fill="auto"/>
                        <w:bidi w:val="0"/>
                        <w:spacing w:before="0" w:after="0"/>
                        <w:ind w:left="0"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txbxContent>
                </v:textbox>
                <w10:wrap type="topAndBottom"/>
              </v:shape>
            </w:pict>
          </mc:Fallback>
        </mc:AlternateContent>
      </w:r>
    </w:p>
    <w:tbl>
      <w:tblPr>
        <w:tblOverlap w:val="never"/>
        <w:jc w:val="center"/>
        <w:tblLayout w:type="fixed"/>
      </w:tblPr>
      <w:tblGrid>
        <w:gridCol w:w="7944"/>
        <w:gridCol w:w="1416"/>
        <w:gridCol w:w="1214"/>
      </w:tblGrid>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减：所得税影响额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1,301,048.32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少数股东权益影响额</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893,619.74</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8,317,800.75</w:t>
            </w:r>
          </w:p>
        </w:tc>
        <w:tc>
          <w:tcPr>
            <w:tcBorders>
              <w:top w:val="single" w:sz="4"/>
              <w:left w:val="single" w:sz="4"/>
              <w:bottom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49"/>
        <w:keepNext w:val="0"/>
        <w:keepLines w:val="0"/>
        <w:widowControl w:val="0"/>
        <w:shd w:val="clear" w:color="auto" w:fill="auto"/>
        <w:bidi w:val="0"/>
        <w:spacing w:before="0" w:after="0" w:line="240" w:lineRule="auto"/>
        <w:ind w:left="974" w:right="0" w:firstLine="0"/>
        <w:jc w:val="left"/>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号一非经常性损益》定义界定的非经常性损益项目，以及把《公</w:t>
      </w:r>
    </w:p>
    <w:p>
      <w:pPr>
        <w:widowControl w:val="0"/>
        <w:spacing w:after="59" w:line="1" w:lineRule="exact"/>
      </w:pPr>
    </w:p>
    <w:p>
      <w:pPr>
        <w:pStyle w:val="Style32"/>
        <w:keepNext w:val="0"/>
        <w:keepLines w:val="0"/>
        <w:widowControl w:val="0"/>
        <w:shd w:val="clear" w:color="auto" w:fill="auto"/>
        <w:bidi w:val="0"/>
        <w:spacing w:before="0" w:after="60" w:line="240" w:lineRule="auto"/>
        <w:ind w:left="0" w:right="0" w:firstLine="980"/>
        <w:jc w:val="left"/>
      </w:pPr>
      <w:r>
        <w:rPr>
          <w:color w:val="000000"/>
          <w:spacing w:val="0"/>
          <w:w w:val="100"/>
          <w:position w:val="0"/>
        </w:rPr>
        <w:t>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w:t>
      </w:r>
      <w:r>
        <w:rPr>
          <w:color w:val="000000"/>
          <w:spacing w:val="0"/>
          <w:w w:val="100"/>
          <w:position w:val="0"/>
        </w:rPr>
        <w:t>一</w:t>
      </w:r>
      <w:r>
        <w:rPr>
          <w:color w:val="000000"/>
          <w:spacing w:val="0"/>
          <w:w w:val="100"/>
          <w:position w:val="0"/>
        </w:rPr>
        <w:t>非经常性损益》中列举的非经常性损益项目界定为经常性损益的项目，应</w:t>
      </w:r>
    </w:p>
    <w:p>
      <w:pPr>
        <w:pStyle w:val="Style32"/>
        <w:keepNext w:val="0"/>
        <w:keepLines w:val="0"/>
        <w:widowControl w:val="0"/>
        <w:shd w:val="clear" w:color="auto" w:fill="auto"/>
        <w:bidi w:val="0"/>
        <w:spacing w:before="0" w:after="140" w:line="240" w:lineRule="auto"/>
        <w:ind w:left="0" w:right="0" w:firstLine="980"/>
        <w:jc w:val="left"/>
      </w:pPr>
      <w:r>
        <w:rPr>
          <w:color w:val="000000"/>
          <w:spacing w:val="0"/>
          <w:w w:val="100"/>
          <w:position w:val="0"/>
        </w:rPr>
        <w:t>说明原因。</w:t>
      </w:r>
    </w:p>
    <w:p>
      <w:pPr>
        <w:pStyle w:val="Style32"/>
        <w:keepNext w:val="0"/>
        <w:keepLines w:val="0"/>
        <w:widowControl w:val="0"/>
        <w:shd w:val="clear" w:color="auto" w:fill="auto"/>
        <w:bidi w:val="0"/>
        <w:spacing w:before="0" w:after="380" w:line="240" w:lineRule="auto"/>
        <w:ind w:left="0" w:right="0" w:firstLine="9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55"/>
        <w:keepNext/>
        <w:keepLines/>
        <w:widowControl w:val="0"/>
        <w:shd w:val="clear" w:color="auto" w:fill="auto"/>
        <w:bidi w:val="0"/>
        <w:spacing w:before="0" w:after="320" w:line="240" w:lineRule="auto"/>
        <w:ind w:left="0" w:right="0" w:firstLine="980"/>
        <w:jc w:val="left"/>
      </w:pPr>
      <w:bookmarkStart w:id="2357" w:name="bookmark2357"/>
      <w:bookmarkStart w:id="2358" w:name="bookmark2358"/>
      <w:bookmarkStart w:id="2359" w:name="bookmark2359"/>
      <w:r>
        <w:rPr>
          <w:rFonts w:ascii="Times New Roman" w:eastAsia="Times New Roman" w:hAnsi="Times New Roman" w:cs="Times New Roman"/>
          <w:color w:val="000000"/>
          <w:spacing w:val="0"/>
          <w:w w:val="100"/>
          <w:position w:val="0"/>
        </w:rPr>
        <w:t>2</w:t>
      </w:r>
      <w:r>
        <w:rPr>
          <w:color w:val="000000"/>
          <w:spacing w:val="0"/>
          <w:w w:val="100"/>
          <w:position w:val="0"/>
        </w:rPr>
        <w:t>、净资产收益率及每股收益</w:t>
      </w:r>
      <w:bookmarkEnd w:id="2357"/>
      <w:bookmarkEnd w:id="2358"/>
      <w:bookmarkEnd w:id="2359"/>
    </w:p>
    <w:tbl>
      <w:tblPr>
        <w:tblOverlap w:val="never"/>
        <w:jc w:val="center"/>
        <w:tblLayout w:type="fixed"/>
      </w:tblPr>
      <w:tblGrid>
        <w:gridCol w:w="4258"/>
        <w:gridCol w:w="2054"/>
        <w:gridCol w:w="1915"/>
        <w:gridCol w:w="1920"/>
      </w:tblGrid>
      <w:tr>
        <w:trPr>
          <w:trHeight w:val="408" w:hRule="exact"/>
        </w:trPr>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报告期利润</w:t>
            </w:r>
          </w:p>
        </w:tc>
        <w:tc>
          <w:tcPr>
            <w:vMerge w:val="restart"/>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p>
        </w:tc>
        <w:tc>
          <w:tcPr>
            <w:gridSpan w:val="2"/>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每股收益</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基本每股收益（元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righ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right"/>
            </w:pPr>
            <w:r>
              <w:rPr>
                <w:color w:val="000000"/>
                <w:spacing w:val="0"/>
                <w:w w:val="100"/>
                <w:position w:val="0"/>
              </w:rPr>
              <w:t>稀释每股收益（元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r>
      <w:tr>
        <w:trPr>
          <w:trHeight w:val="398" w:hRule="exact"/>
        </w:trPr>
        <w:tc>
          <w:tcPr>
            <w:tcBorders>
              <w:top w:val="single" w:sz="4"/>
              <w:left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归属于公司普通股股东的净利润</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w:t>
            </w:r>
          </w:p>
        </w:tc>
        <w:tc>
          <w:tcPr>
            <w:tcBorders>
              <w:top w:val="single" w:sz="4"/>
              <w:lef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0.1403</w:t>
            </w:r>
          </w:p>
        </w:tc>
        <w:tc>
          <w:tcPr>
            <w:tcBorders>
              <w:top w:val="single" w:sz="4"/>
              <w:left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0.1395</w:t>
            </w:r>
          </w:p>
        </w:tc>
      </w:tr>
      <w:tr>
        <w:trPr>
          <w:trHeight w:val="413" w:hRule="exact"/>
        </w:trPr>
        <w:tc>
          <w:tcPr>
            <w:tcBorders>
              <w:top w:val="single" w:sz="4"/>
              <w:left w:val="single" w:sz="4"/>
              <w:bottom w:val="single" w:sz="4"/>
            </w:tcBorders>
            <w:shd w:val="clear" w:color="auto" w:fill="D4D4D4"/>
            <w:vAlign w:val="center"/>
          </w:tcPr>
          <w:p>
            <w:pPr>
              <w:pStyle w:val="Style44"/>
              <w:keepNext w:val="0"/>
              <w:keepLines w:val="0"/>
              <w:widowControl w:val="0"/>
              <w:shd w:val="clear" w:color="auto" w:fill="auto"/>
              <w:bidi w:val="0"/>
              <w:spacing w:before="0" w:after="0" w:line="240" w:lineRule="auto"/>
              <w:ind w:left="0" w:right="0" w:firstLine="0"/>
              <w:jc w:val="left"/>
            </w:pPr>
            <w:r>
              <w:rPr>
                <w:color w:val="000000"/>
                <w:spacing w:val="0"/>
                <w:w w:val="100"/>
                <w:position w:val="0"/>
              </w:rPr>
              <w:t>扣除非经常性损益后归属于公司普通股股东的净利润</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5.90%</w:t>
            </w:r>
          </w:p>
        </w:tc>
        <w:tc>
          <w:tcPr>
            <w:tcBorders>
              <w:top w:val="single" w:sz="4"/>
              <w:left w:val="single" w:sz="4"/>
              <w:bottom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0.1258</w:t>
            </w:r>
          </w:p>
        </w:tc>
        <w:tc>
          <w:tcPr>
            <w:tcBorders>
              <w:top w:val="single" w:sz="4"/>
              <w:left w:val="single" w:sz="4"/>
              <w:bottom w:val="single" w:sz="4"/>
              <w:right w:val="single" w:sz="4"/>
            </w:tcBorders>
            <w:shd w:val="clear" w:color="auto" w:fill="FFFFFF"/>
            <w:vAlign w:val="center"/>
          </w:tcPr>
          <w:p>
            <w:pPr>
              <w:pStyle w:val="Style4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0.1250</w:t>
            </w:r>
          </w:p>
        </w:tc>
      </w:tr>
    </w:tbl>
    <w:p>
      <w:pPr>
        <w:widowControl w:val="0"/>
        <w:spacing w:after="319" w:line="1" w:lineRule="exact"/>
      </w:pPr>
    </w:p>
    <w:p>
      <w:pPr>
        <w:pStyle w:val="Style55"/>
        <w:keepNext/>
        <w:keepLines/>
        <w:widowControl w:val="0"/>
        <w:shd w:val="clear" w:color="auto" w:fill="auto"/>
        <w:bidi w:val="0"/>
        <w:spacing w:before="0" w:after="380" w:line="240" w:lineRule="auto"/>
        <w:ind w:left="0" w:right="0" w:firstLine="980"/>
        <w:jc w:val="left"/>
      </w:pPr>
      <w:bookmarkStart w:id="2360" w:name="bookmark2360"/>
      <w:bookmarkStart w:id="2361" w:name="bookmark2361"/>
      <w:bookmarkStart w:id="2362" w:name="bookmark2362"/>
      <w:bookmarkStart w:id="2363" w:name="bookmark2363"/>
      <w:r>
        <w:rPr>
          <w:rFonts w:ascii="Times New Roman" w:eastAsia="Times New Roman" w:hAnsi="Times New Roman" w:cs="Times New Roman"/>
          <w:color w:val="000000"/>
          <w:spacing w:val="0"/>
          <w:w w:val="100"/>
          <w:position w:val="0"/>
        </w:rPr>
        <w:t>3</w:t>
      </w:r>
      <w:bookmarkEnd w:id="2362"/>
      <w:r>
        <w:rPr>
          <w:color w:val="000000"/>
          <w:spacing w:val="0"/>
          <w:w w:val="100"/>
          <w:position w:val="0"/>
        </w:rPr>
        <w:t>、境内外会计准则下会计数据差异</w:t>
      </w:r>
      <w:bookmarkEnd w:id="2360"/>
      <w:bookmarkEnd w:id="2361"/>
      <w:bookmarkEnd w:id="2363"/>
    </w:p>
    <w:p>
      <w:pPr>
        <w:pStyle w:val="Style32"/>
        <w:keepNext w:val="0"/>
        <w:keepLines w:val="0"/>
        <w:widowControl w:val="0"/>
        <w:shd w:val="clear" w:color="auto" w:fill="auto"/>
        <w:bidi w:val="0"/>
        <w:spacing w:before="0" w:after="320" w:line="240" w:lineRule="auto"/>
        <w:ind w:left="0" w:right="0" w:firstLine="980"/>
        <w:jc w:val="left"/>
        <w:sectPr>
          <w:footnotePr>
            <w:pos w:val="pageBottom"/>
            <w:numFmt w:val="decimal"/>
            <w:numRestart w:val="continuous"/>
          </w:footnotePr>
          <w:type w:val="continuous"/>
          <w:pgSz w:w="11900" w:h="16840"/>
          <w:pgMar w:top="1128" w:right="1033" w:bottom="1479" w:left="119" w:header="0" w:footer="3" w:gutter="0"/>
          <w:cols w:space="720"/>
          <w:noEndnote/>
          <w:rtlGutter w:val="0"/>
          <w:docGrid w:linePitch="360"/>
        </w:sectPr>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widowControl w:val="0"/>
        <w:jc w:val="center"/>
        <w:rPr>
          <w:sz w:val="2"/>
          <w:szCs w:val="2"/>
        </w:rPr>
      </w:pPr>
      <w:r>
        <w:drawing>
          <wp:inline>
            <wp:extent cx="1304290" cy="518160"/>
            <wp:docPr id="1338" name="Picutre 1338"/>
            <a:graphic xmlns:a="http://schemas.openxmlformats.org/drawingml/2006/main">
              <a:graphicData uri="http://schemas.openxmlformats.org/drawingml/2006/picture">
                <pic:pic xmlns:pic="http://schemas.openxmlformats.org/drawingml/2006/picture">
                  <pic:nvPicPr>
                    <pic:cNvPr id="1338" name="Picture 1338"/>
                    <pic:cNvPicPr/>
                  </pic:nvPicPr>
                  <pic:blipFill>
                    <a:blip r:embed="rId569"/>
                    <a:stretch/>
                  </pic:blipFill>
                  <pic:spPr>
                    <a:xfrm>
                      <a:ext cx="1304290" cy="518160"/>
                    </a:xfrm>
                    <a:prstGeom prst="rect"/>
                  </pic:spPr>
                </pic:pic>
              </a:graphicData>
            </a:graphic>
          </wp:inline>
        </w:drawing>
      </w:r>
    </w:p>
    <w:p>
      <w:pPr>
        <w:pStyle w:val="Style26"/>
        <w:keepNext w:val="0"/>
        <w:keepLines w:val="0"/>
        <w:widowControl w:val="0"/>
        <w:shd w:val="clear" w:color="auto" w:fill="auto"/>
        <w:bidi w:val="0"/>
        <w:spacing w:before="0" w:after="0" w:line="168" w:lineRule="exact"/>
        <w:ind w:left="778" w:right="0" w:firstLine="0"/>
        <w:jc w:val="left"/>
        <w:rPr>
          <w:sz w:val="18"/>
          <w:szCs w:val="18"/>
        </w:rPr>
      </w:pPr>
      <w:r>
        <w:rPr>
          <w:spacing w:val="0"/>
          <w:w w:val="100"/>
          <w:position w:val="0"/>
          <w:sz w:val="15"/>
          <w:szCs w:val="15"/>
        </w:rPr>
        <w:t>国家高新技术企业 股票代码：</w:t>
      </w:r>
      <w:r>
        <w:rPr>
          <w:rFonts w:ascii="SimSun" w:eastAsia="SimSun" w:hAnsi="SimSun" w:cs="SimSun"/>
          <w:spacing w:val="0"/>
          <w:w w:val="100"/>
          <w:position w:val="0"/>
          <w:sz w:val="18"/>
          <w:szCs w:val="18"/>
        </w:rPr>
        <w:t>300290</w:t>
      </w:r>
    </w:p>
    <w:p>
      <w:pPr>
        <w:widowControl w:val="0"/>
        <w:spacing w:after="139" w:line="1" w:lineRule="exact"/>
      </w:pPr>
    </w:p>
    <w:p>
      <w:pPr>
        <w:pStyle w:val="Style20"/>
        <w:keepNext/>
        <w:keepLines/>
        <w:widowControl w:val="0"/>
        <w:shd w:val="clear" w:color="auto" w:fill="auto"/>
        <w:bidi w:val="0"/>
        <w:spacing w:before="0" w:after="580" w:line="240" w:lineRule="auto"/>
        <w:ind w:left="0" w:right="0" w:firstLine="0"/>
        <w:jc w:val="center"/>
      </w:pPr>
      <w:bookmarkStart w:id="2364" w:name="bookmark2364"/>
      <w:bookmarkStart w:id="2365" w:name="bookmark2365"/>
      <w:bookmarkStart w:id="2366" w:name="bookmark2366"/>
      <w:r>
        <w:rPr>
          <w:color w:val="000000"/>
          <w:spacing w:val="0"/>
          <w:w w:val="100"/>
          <w:position w:val="0"/>
        </w:rPr>
        <w:t>第十三节备查文件目录</w:t>
      </w:r>
      <w:bookmarkEnd w:id="2364"/>
      <w:bookmarkEnd w:id="2365"/>
      <w:bookmarkEnd w:id="2366"/>
    </w:p>
    <w:p>
      <w:pPr>
        <w:pStyle w:val="Style32"/>
        <w:keepNext w:val="0"/>
        <w:keepLines w:val="0"/>
        <w:widowControl w:val="0"/>
        <w:shd w:val="clear" w:color="auto" w:fill="auto"/>
        <w:tabs>
          <w:tab w:pos="1350" w:val="left"/>
        </w:tabs>
        <w:bidi w:val="0"/>
        <w:spacing w:before="0" w:after="100" w:line="240" w:lineRule="auto"/>
        <w:ind w:left="0" w:right="0" w:firstLine="920"/>
        <w:jc w:val="left"/>
      </w:pPr>
      <w:bookmarkStart w:id="2367" w:name="bookmark2367"/>
      <w:r>
        <w:rPr>
          <w:color w:val="000000"/>
          <w:spacing w:val="0"/>
          <w:w w:val="100"/>
          <w:position w:val="0"/>
        </w:rPr>
        <w:t>一</w:t>
      </w:r>
      <w:bookmarkEnd w:id="2367"/>
      <w:r>
        <w:rPr>
          <w:color w:val="000000"/>
          <w:spacing w:val="0"/>
          <w:w w:val="100"/>
          <w:position w:val="0"/>
        </w:rPr>
        <w:t>、</w:t>
        <w:tab/>
        <w:t>经公司法定代表人何任晖先生签名的</w:t>
      </w:r>
      <w:r>
        <w:rPr>
          <w:rFonts w:ascii="Times New Roman" w:eastAsia="Times New Roman" w:hAnsi="Times New Roman" w:cs="Times New Roman"/>
          <w:color w:val="000000"/>
          <w:spacing w:val="0"/>
          <w:w w:val="100"/>
          <w:position w:val="0"/>
        </w:rPr>
        <w:t>2020</w:t>
      </w:r>
      <w:r>
        <w:rPr>
          <w:color w:val="000000"/>
          <w:spacing w:val="0"/>
          <w:w w:val="100"/>
          <w:position w:val="0"/>
        </w:rPr>
        <w:t>年度报告文本。</w:t>
      </w:r>
    </w:p>
    <w:p>
      <w:pPr>
        <w:pStyle w:val="Style32"/>
        <w:keepNext w:val="0"/>
        <w:keepLines w:val="0"/>
        <w:widowControl w:val="0"/>
        <w:shd w:val="clear" w:color="auto" w:fill="auto"/>
        <w:tabs>
          <w:tab w:pos="1350" w:val="left"/>
        </w:tabs>
        <w:bidi w:val="0"/>
        <w:spacing w:before="0" w:after="100" w:line="240" w:lineRule="auto"/>
        <w:ind w:left="0" w:right="0" w:firstLine="920"/>
        <w:jc w:val="left"/>
      </w:pPr>
      <w:bookmarkStart w:id="2368" w:name="bookmark2368"/>
      <w:r>
        <w:rPr>
          <w:color w:val="000000"/>
          <w:spacing w:val="0"/>
          <w:w w:val="100"/>
          <w:position w:val="0"/>
        </w:rPr>
        <w:t>二</w:t>
      </w:r>
      <w:bookmarkEnd w:id="2368"/>
      <w:r>
        <w:rPr>
          <w:color w:val="000000"/>
          <w:spacing w:val="0"/>
          <w:w w:val="100"/>
          <w:position w:val="0"/>
        </w:rPr>
        <w:t>、</w:t>
        <w:tab/>
        <w:t>载有公司法定代表人何任晖先生、主管会计工作负责人李绣女士、会计机构负责人谭波涛先生签名并盖章的财务报表。</w:t>
      </w:r>
    </w:p>
    <w:p>
      <w:pPr>
        <w:pStyle w:val="Style32"/>
        <w:keepNext w:val="0"/>
        <w:keepLines w:val="0"/>
        <w:widowControl w:val="0"/>
        <w:shd w:val="clear" w:color="auto" w:fill="auto"/>
        <w:tabs>
          <w:tab w:pos="1350" w:val="left"/>
        </w:tabs>
        <w:bidi w:val="0"/>
        <w:spacing w:before="0" w:after="100" w:line="240" w:lineRule="auto"/>
        <w:ind w:left="0" w:right="0" w:firstLine="920"/>
        <w:jc w:val="left"/>
      </w:pPr>
      <w:bookmarkStart w:id="2369" w:name="bookmark2369"/>
      <w:r>
        <w:rPr>
          <w:color w:val="000000"/>
          <w:spacing w:val="0"/>
          <w:w w:val="100"/>
          <w:position w:val="0"/>
        </w:rPr>
        <w:t>三</w:t>
      </w:r>
      <w:bookmarkEnd w:id="2369"/>
      <w:r>
        <w:rPr>
          <w:color w:val="000000"/>
          <w:spacing w:val="0"/>
          <w:w w:val="100"/>
          <w:position w:val="0"/>
        </w:rPr>
        <w:t>、</w:t>
        <w:tab/>
        <w:t>载有会计师事务所盖章、注册会计师签名并盖章的审计报告原件。</w:t>
      </w:r>
    </w:p>
    <w:p>
      <w:pPr>
        <w:pStyle w:val="Style32"/>
        <w:keepNext w:val="0"/>
        <w:keepLines w:val="0"/>
        <w:widowControl w:val="0"/>
        <w:shd w:val="clear" w:color="auto" w:fill="auto"/>
        <w:tabs>
          <w:tab w:pos="1350" w:val="left"/>
        </w:tabs>
        <w:bidi w:val="0"/>
        <w:spacing w:before="0" w:after="100" w:line="240" w:lineRule="auto"/>
        <w:ind w:left="0" w:right="0" w:firstLine="920"/>
        <w:jc w:val="left"/>
      </w:pPr>
      <w:bookmarkStart w:id="2370" w:name="bookmark2370"/>
      <w:r>
        <w:rPr>
          <w:color w:val="000000"/>
          <w:spacing w:val="0"/>
          <w:w w:val="100"/>
          <w:position w:val="0"/>
        </w:rPr>
        <w:t>四</w:t>
      </w:r>
      <w:bookmarkEnd w:id="2370"/>
      <w:r>
        <w:rPr>
          <w:color w:val="000000"/>
          <w:spacing w:val="0"/>
          <w:w w:val="100"/>
          <w:position w:val="0"/>
        </w:rPr>
        <w:t>、</w:t>
        <w:tab/>
        <w:t>报告期内在中国证监会指定网站上公开披露过的所有公司文件的正本及公告的原稿。</w:t>
      </w:r>
    </w:p>
    <w:p>
      <w:pPr>
        <w:pStyle w:val="Style32"/>
        <w:keepNext w:val="0"/>
        <w:keepLines w:val="0"/>
        <w:widowControl w:val="0"/>
        <w:shd w:val="clear" w:color="auto" w:fill="auto"/>
        <w:tabs>
          <w:tab w:pos="1350" w:val="left"/>
        </w:tabs>
        <w:bidi w:val="0"/>
        <w:spacing w:before="0" w:after="100" w:line="240" w:lineRule="auto"/>
        <w:ind w:left="0" w:right="0" w:firstLine="920"/>
        <w:jc w:val="left"/>
      </w:pPr>
      <w:bookmarkStart w:id="2371" w:name="bookmark2371"/>
      <w:r>
        <w:rPr>
          <w:color w:val="000000"/>
          <w:spacing w:val="0"/>
          <w:w w:val="100"/>
          <w:position w:val="0"/>
        </w:rPr>
        <w:t>五</w:t>
      </w:r>
      <w:bookmarkEnd w:id="2371"/>
      <w:r>
        <w:rPr>
          <w:color w:val="000000"/>
          <w:spacing w:val="0"/>
          <w:w w:val="100"/>
          <w:position w:val="0"/>
        </w:rPr>
        <w:t>、</w:t>
        <w:tab/>
        <w:t>其他有关资料。</w:t>
      </w:r>
    </w:p>
    <w:p>
      <w:pPr>
        <w:pStyle w:val="Style32"/>
        <w:keepNext w:val="0"/>
        <w:keepLines w:val="0"/>
        <w:widowControl w:val="0"/>
        <w:shd w:val="clear" w:color="auto" w:fill="auto"/>
        <w:bidi w:val="0"/>
        <w:spacing w:before="0" w:after="1660" w:line="240" w:lineRule="auto"/>
        <w:ind w:left="0" w:right="0" w:firstLine="920"/>
        <w:jc w:val="left"/>
      </w:pPr>
      <w:r>
        <w:rPr>
          <w:color w:val="000000"/>
          <w:spacing w:val="0"/>
          <w:w w:val="100"/>
          <w:position w:val="0"/>
        </w:rPr>
        <w:t>以上备查文件的备置地点：公司证券投资部</w:t>
      </w:r>
    </w:p>
    <w:p>
      <w:pPr>
        <w:pStyle w:val="Style32"/>
        <w:keepNext w:val="0"/>
        <w:keepLines w:val="0"/>
        <w:widowControl w:val="0"/>
        <w:shd w:val="clear" w:color="auto" w:fill="auto"/>
        <w:bidi w:val="0"/>
        <w:spacing w:before="0" w:after="400" w:line="240" w:lineRule="auto"/>
        <w:ind w:left="6860" w:right="0" w:firstLine="0"/>
        <w:jc w:val="left"/>
      </w:pPr>
      <w:r>
        <w:rPr>
          <w:color w:val="000000"/>
          <w:spacing w:val="0"/>
          <w:w w:val="100"/>
          <w:position w:val="0"/>
        </w:rPr>
        <w:t>荣科科技股份有限公司</w:t>
      </w:r>
    </w:p>
    <w:p>
      <w:pPr>
        <w:pStyle w:val="Style32"/>
        <w:keepNext w:val="0"/>
        <w:keepLines w:val="0"/>
        <w:widowControl w:val="0"/>
        <w:shd w:val="clear" w:color="auto" w:fill="auto"/>
        <w:bidi w:val="0"/>
        <w:spacing w:before="0" w:after="120" w:line="240" w:lineRule="auto"/>
        <w:ind w:left="6860" w:right="0" w:firstLine="0"/>
        <w:jc w:val="left"/>
      </w:pPr>
      <w:r>
        <w:rPr>
          <w:color w:val="000000"/>
          <w:spacing w:val="0"/>
          <w:w w:val="100"/>
          <w:position w:val="0"/>
        </w:rPr>
        <w:t>法定代表人：何任晖</w:t>
      </w:r>
    </w:p>
    <w:sectPr>
      <w:headerReference w:type="default" r:id="rId571"/>
      <w:footerReference w:type="default" r:id="rId572"/>
      <w:headerReference w:type="even" r:id="rId573"/>
      <w:footerReference w:type="even" r:id="rId574"/>
      <w:footnotePr>
        <w:pos w:val="pageBottom"/>
        <w:numFmt w:val="decimal"/>
        <w:numRestart w:val="continuous"/>
      </w:footnotePr>
      <w:pgSz w:w="11900" w:h="16840"/>
      <w:pgMar w:top="692" w:right="1030" w:bottom="1158" w:left="210"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6736715</wp:posOffset>
              </wp:positionH>
              <wp:positionV relativeFrom="page">
                <wp:posOffset>10051415</wp:posOffset>
              </wp:positionV>
              <wp:extent cx="97790" cy="82550"/>
              <wp:wrapNone/>
              <wp:docPr id="5" name="Shape 5"/>
              <a:graphic xmlns:a="http://schemas.openxmlformats.org/drawingml/2006/main">
                <a:graphicData uri="http://schemas.microsoft.com/office/word/2010/wordprocessingShape">
                  <wps:wsp>
                    <wps:cNvSpPr txBox="1"/>
                    <wps:spPr>
                      <a:xfrm>
                        <a:ext cx="97790" cy="825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1" type="#_x0000_t202" style="position:absolute;margin-left:530.45000000000005pt;margin-top:791.45000000000005pt;width:7.7000000000000002pt;height:6.5pt;z-index:-18874406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6736080</wp:posOffset>
              </wp:positionH>
              <wp:positionV relativeFrom="page">
                <wp:posOffset>10219055</wp:posOffset>
              </wp:positionV>
              <wp:extent cx="94615" cy="79375"/>
              <wp:wrapNone/>
              <wp:docPr id="65" name="Shape 65"/>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91" type="#_x0000_t202" style="position:absolute;margin-left:530.39999999999998pt;margin-top:804.64999999999998pt;width:7.4500000000000002pt;height:6.25pt;z-index:-18874401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6683375</wp:posOffset>
              </wp:positionH>
              <wp:positionV relativeFrom="page">
                <wp:posOffset>10001250</wp:posOffset>
              </wp:positionV>
              <wp:extent cx="152400" cy="79375"/>
              <wp:wrapNone/>
              <wp:docPr id="779" name="Shape 77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05" type="#_x0000_t202" style="position:absolute;margin-left:526.25pt;margin-top:787.5pt;width:12.pt;height:6.25pt;z-index:-18874360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6699885</wp:posOffset>
              </wp:positionH>
              <wp:positionV relativeFrom="page">
                <wp:posOffset>10014585</wp:posOffset>
              </wp:positionV>
              <wp:extent cx="103505" cy="82550"/>
              <wp:wrapNone/>
              <wp:docPr id="783" name="Shape 783"/>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09" type="#_x0000_t202" style="position:absolute;margin-left:527.54999999999995pt;margin-top:788.55000000000007pt;width:8.1500000000000004pt;height:6.5pt;z-index:-18874360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6699885</wp:posOffset>
              </wp:positionH>
              <wp:positionV relativeFrom="page">
                <wp:posOffset>10014585</wp:posOffset>
              </wp:positionV>
              <wp:extent cx="103505" cy="82550"/>
              <wp:wrapNone/>
              <wp:docPr id="787" name="Shape 787"/>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13" type="#_x0000_t202" style="position:absolute;margin-left:527.54999999999995pt;margin-top:788.55000000000007pt;width:8.1500000000000004pt;height:6.5pt;z-index:-1887435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6577965</wp:posOffset>
              </wp:positionH>
              <wp:positionV relativeFrom="page">
                <wp:posOffset>10208895</wp:posOffset>
              </wp:positionV>
              <wp:extent cx="146050" cy="82550"/>
              <wp:wrapNone/>
              <wp:docPr id="804" name="Shape 804"/>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30" type="#_x0000_t202" style="position:absolute;margin-left:517.95000000000005pt;margin-top:803.85000000000002pt;width:11.5pt;height:6.5pt;z-index:-18874359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6577965</wp:posOffset>
              </wp:positionH>
              <wp:positionV relativeFrom="page">
                <wp:posOffset>10208895</wp:posOffset>
              </wp:positionV>
              <wp:extent cx="146050" cy="82550"/>
              <wp:wrapNone/>
              <wp:docPr id="809" name="Shape 809"/>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35" type="#_x0000_t202" style="position:absolute;margin-left:517.95000000000005pt;margin-top:803.85000000000002pt;width:11.5pt;height:6.5pt;z-index:-18874358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6699885</wp:posOffset>
              </wp:positionH>
              <wp:positionV relativeFrom="page">
                <wp:posOffset>10014585</wp:posOffset>
              </wp:positionV>
              <wp:extent cx="103505" cy="82550"/>
              <wp:wrapNone/>
              <wp:docPr id="817" name="Shape 817"/>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43" type="#_x0000_t202" style="position:absolute;margin-left:527.54999999999995pt;margin-top:788.55000000000007pt;width:8.1500000000000004pt;height:6.5pt;z-index:-18874358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6699885</wp:posOffset>
              </wp:positionH>
              <wp:positionV relativeFrom="page">
                <wp:posOffset>10014585</wp:posOffset>
              </wp:positionV>
              <wp:extent cx="103505" cy="82550"/>
              <wp:wrapNone/>
              <wp:docPr id="821" name="Shape 821"/>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47" type="#_x0000_t202" style="position:absolute;margin-left:527.54999999999995pt;margin-top:788.55000000000007pt;width:8.1500000000000004pt;height:6.5pt;z-index:-18874358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6699885</wp:posOffset>
              </wp:positionH>
              <wp:positionV relativeFrom="page">
                <wp:posOffset>10014585</wp:posOffset>
              </wp:positionV>
              <wp:extent cx="103505" cy="82550"/>
              <wp:wrapNone/>
              <wp:docPr id="829" name="Shape 829"/>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55" type="#_x0000_t202" style="position:absolute;margin-left:527.54999999999995pt;margin-top:788.55000000000007pt;width:8.1500000000000004pt;height:6.5pt;z-index:-18874357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6699885</wp:posOffset>
              </wp:positionH>
              <wp:positionV relativeFrom="page">
                <wp:posOffset>10014585</wp:posOffset>
              </wp:positionV>
              <wp:extent cx="103505" cy="82550"/>
              <wp:wrapNone/>
              <wp:docPr id="833" name="Shape 833"/>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59" type="#_x0000_t202" style="position:absolute;margin-left:527.54999999999995pt;margin-top:788.55000000000007pt;width:8.1500000000000004pt;height:6.5pt;z-index:-18874357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6577965</wp:posOffset>
              </wp:positionH>
              <wp:positionV relativeFrom="page">
                <wp:posOffset>10208895</wp:posOffset>
              </wp:positionV>
              <wp:extent cx="146050" cy="82550"/>
              <wp:wrapNone/>
              <wp:docPr id="838" name="Shape 838"/>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64" type="#_x0000_t202" style="position:absolute;margin-left:517.95000000000005pt;margin-top:803.85000000000002pt;width:11.5pt;height:6.5pt;z-index:-18874356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6736080</wp:posOffset>
              </wp:positionH>
              <wp:positionV relativeFrom="page">
                <wp:posOffset>10219055</wp:posOffset>
              </wp:positionV>
              <wp:extent cx="94615" cy="79375"/>
              <wp:wrapNone/>
              <wp:docPr id="70" name="Shape 70"/>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96" type="#_x0000_t202" style="position:absolute;margin-left:530.39999999999998pt;margin-top:804.64999999999998pt;width:7.4500000000000002pt;height:6.25pt;z-index:-18874401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6577965</wp:posOffset>
              </wp:positionH>
              <wp:positionV relativeFrom="page">
                <wp:posOffset>10208895</wp:posOffset>
              </wp:positionV>
              <wp:extent cx="146050" cy="82550"/>
              <wp:wrapNone/>
              <wp:docPr id="846" name="Shape 846"/>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72" type="#_x0000_t202" style="position:absolute;margin-left:517.95000000000005pt;margin-top:803.85000000000002pt;width:11.5pt;height:6.5pt;z-index:-1887435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6577965</wp:posOffset>
              </wp:positionH>
              <wp:positionV relativeFrom="page">
                <wp:posOffset>10208895</wp:posOffset>
              </wp:positionV>
              <wp:extent cx="146050" cy="82550"/>
              <wp:wrapNone/>
              <wp:docPr id="851" name="Shape 851"/>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77" type="#_x0000_t202" style="position:absolute;margin-left:517.95000000000005pt;margin-top:803.85000000000002pt;width:11.5pt;height:6.5pt;z-index:-1887435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6577965</wp:posOffset>
              </wp:positionH>
              <wp:positionV relativeFrom="page">
                <wp:posOffset>10208895</wp:posOffset>
              </wp:positionV>
              <wp:extent cx="146050" cy="82550"/>
              <wp:wrapNone/>
              <wp:docPr id="857" name="Shape 857"/>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83" type="#_x0000_t202" style="position:absolute;margin-left:517.95000000000005pt;margin-top:803.85000000000002pt;width:11.5pt;height:6.5pt;z-index:-18874355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6699885</wp:posOffset>
              </wp:positionH>
              <wp:positionV relativeFrom="page">
                <wp:posOffset>10014585</wp:posOffset>
              </wp:positionV>
              <wp:extent cx="103505" cy="82550"/>
              <wp:wrapNone/>
              <wp:docPr id="861" name="Shape 861"/>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87" type="#_x0000_t202" style="position:absolute;margin-left:527.54999999999995pt;margin-top:788.55000000000007pt;width:8.1500000000000004pt;height:6.5pt;z-index:-18874355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6577965</wp:posOffset>
              </wp:positionH>
              <wp:positionV relativeFrom="page">
                <wp:posOffset>10208895</wp:posOffset>
              </wp:positionV>
              <wp:extent cx="146050" cy="82550"/>
              <wp:wrapNone/>
              <wp:docPr id="870" name="Shape 870"/>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96" type="#_x0000_t202" style="position:absolute;margin-left:517.95000000000005pt;margin-top:803.85000000000002pt;width:11.5pt;height:6.5pt;z-index:-18874354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6577965</wp:posOffset>
              </wp:positionH>
              <wp:positionV relativeFrom="page">
                <wp:posOffset>10208895</wp:posOffset>
              </wp:positionV>
              <wp:extent cx="146050" cy="82550"/>
              <wp:wrapNone/>
              <wp:docPr id="875" name="Shape 875"/>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01" type="#_x0000_t202" style="position:absolute;margin-left:517.95000000000005pt;margin-top:803.85000000000002pt;width:11.5pt;height:6.5pt;z-index:-18874354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6699885</wp:posOffset>
              </wp:positionH>
              <wp:positionV relativeFrom="page">
                <wp:posOffset>10014585</wp:posOffset>
              </wp:positionV>
              <wp:extent cx="103505" cy="82550"/>
              <wp:wrapNone/>
              <wp:docPr id="885" name="Shape 885"/>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11" type="#_x0000_t202" style="position:absolute;margin-left:527.54999999999995pt;margin-top:788.55000000000007pt;width:8.1500000000000004pt;height:6.5pt;z-index:-18874354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6699885</wp:posOffset>
              </wp:positionH>
              <wp:positionV relativeFrom="page">
                <wp:posOffset>10014585</wp:posOffset>
              </wp:positionV>
              <wp:extent cx="103505" cy="82550"/>
              <wp:wrapNone/>
              <wp:docPr id="889" name="Shape 889"/>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15" type="#_x0000_t202" style="position:absolute;margin-left:527.54999999999995pt;margin-top:788.55000000000007pt;width:8.1500000000000004pt;height:6.5pt;z-index:-18874353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6577965</wp:posOffset>
              </wp:positionH>
              <wp:positionV relativeFrom="page">
                <wp:posOffset>10208895</wp:posOffset>
              </wp:positionV>
              <wp:extent cx="146050" cy="82550"/>
              <wp:wrapNone/>
              <wp:docPr id="894" name="Shape 894"/>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20" type="#_x0000_t202" style="position:absolute;margin-left:517.95000000000005pt;margin-top:803.85000000000002pt;width:11.5pt;height:6.5pt;z-index:-18874353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6577965</wp:posOffset>
              </wp:positionH>
              <wp:positionV relativeFrom="page">
                <wp:posOffset>10208895</wp:posOffset>
              </wp:positionV>
              <wp:extent cx="146050" cy="82550"/>
              <wp:wrapNone/>
              <wp:docPr id="899" name="Shape 899"/>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25" type="#_x0000_t202" style="position:absolute;margin-left:517.95000000000005pt;margin-top:803.85000000000002pt;width:11.5pt;height:6.5pt;z-index:-18874352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6736715</wp:posOffset>
              </wp:positionH>
              <wp:positionV relativeFrom="page">
                <wp:posOffset>10051415</wp:posOffset>
              </wp:positionV>
              <wp:extent cx="97790" cy="82550"/>
              <wp:wrapNone/>
              <wp:docPr id="77" name="Shape 77"/>
              <a:graphic xmlns:a="http://schemas.openxmlformats.org/drawingml/2006/main">
                <a:graphicData uri="http://schemas.microsoft.com/office/word/2010/wordprocessingShape">
                  <wps:wsp>
                    <wps:cNvSpPr txBox="1"/>
                    <wps:spPr>
                      <a:xfrm>
                        <a:ext cx="97790" cy="825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03" type="#_x0000_t202" style="position:absolute;margin-left:530.45000000000005pt;margin-top:791.45000000000005pt;width:7.7000000000000002pt;height:6.5pt;z-index:-18874401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6577965</wp:posOffset>
              </wp:positionH>
              <wp:positionV relativeFrom="page">
                <wp:posOffset>10208895</wp:posOffset>
              </wp:positionV>
              <wp:extent cx="146050" cy="82550"/>
              <wp:wrapNone/>
              <wp:docPr id="923" name="Shape 923"/>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49" type="#_x0000_t202" style="position:absolute;margin-left:517.95000000000005pt;margin-top:803.85000000000002pt;width:11.5pt;height:6.5pt;z-index:-18874352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6699885</wp:posOffset>
              </wp:positionH>
              <wp:positionV relativeFrom="page">
                <wp:posOffset>10014585</wp:posOffset>
              </wp:positionV>
              <wp:extent cx="103505" cy="82550"/>
              <wp:wrapNone/>
              <wp:docPr id="927" name="Shape 927"/>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53" type="#_x0000_t202" style="position:absolute;margin-left:527.54999999999995pt;margin-top:788.55000000000007pt;width:8.1500000000000004pt;height:6.5pt;z-index:-18874352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6" behindDoc="1" locked="0" layoutInCell="1" allowOverlap="1">
              <wp:simplePos x="0" y="0"/>
              <wp:positionH relativeFrom="page">
                <wp:posOffset>6699885</wp:posOffset>
              </wp:positionH>
              <wp:positionV relativeFrom="page">
                <wp:posOffset>10014585</wp:posOffset>
              </wp:positionV>
              <wp:extent cx="103505" cy="82550"/>
              <wp:wrapNone/>
              <wp:docPr id="936" name="Shape 936"/>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62" type="#_x0000_t202" style="position:absolute;margin-left:527.54999999999995pt;margin-top:788.55000000000007pt;width:8.1500000000000004pt;height:6.5pt;z-index:-18874351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6699885</wp:posOffset>
              </wp:positionH>
              <wp:positionV relativeFrom="page">
                <wp:posOffset>10014585</wp:posOffset>
              </wp:positionV>
              <wp:extent cx="103505" cy="82550"/>
              <wp:wrapNone/>
              <wp:docPr id="940" name="Shape 940"/>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66" type="#_x0000_t202" style="position:absolute;margin-left:527.54999999999995pt;margin-top:788.55000000000007pt;width:8.1500000000000004pt;height:6.5pt;z-index:-18874351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6577965</wp:posOffset>
              </wp:positionH>
              <wp:positionV relativeFrom="page">
                <wp:posOffset>10208895</wp:posOffset>
              </wp:positionV>
              <wp:extent cx="146050" cy="82550"/>
              <wp:wrapNone/>
              <wp:docPr id="951" name="Shape 951"/>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77" type="#_x0000_t202" style="position:absolute;margin-left:517.95000000000005pt;margin-top:803.85000000000002pt;width:11.5pt;height:6.5pt;z-index:-18874350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6699885</wp:posOffset>
              </wp:positionH>
              <wp:positionV relativeFrom="page">
                <wp:posOffset>10014585</wp:posOffset>
              </wp:positionV>
              <wp:extent cx="103505" cy="82550"/>
              <wp:wrapNone/>
              <wp:docPr id="955" name="Shape 955"/>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81" type="#_x0000_t202" style="position:absolute;margin-left:527.54999999999995pt;margin-top:788.55000000000007pt;width:8.1500000000000004pt;height:6.5pt;z-index:-18874350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6577965</wp:posOffset>
              </wp:positionH>
              <wp:positionV relativeFrom="page">
                <wp:posOffset>10208895</wp:posOffset>
              </wp:positionV>
              <wp:extent cx="146050" cy="82550"/>
              <wp:wrapNone/>
              <wp:docPr id="970" name="Shape 970"/>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96" type="#_x0000_t202" style="position:absolute;margin-left:517.95000000000005pt;margin-top:803.85000000000002pt;width:11.5pt;height:6.5pt;z-index:-18874350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6577965</wp:posOffset>
              </wp:positionH>
              <wp:positionV relativeFrom="page">
                <wp:posOffset>10208895</wp:posOffset>
              </wp:positionV>
              <wp:extent cx="146050" cy="82550"/>
              <wp:wrapNone/>
              <wp:docPr id="975" name="Shape 975"/>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01" type="#_x0000_t202" style="position:absolute;margin-left:517.95000000000005pt;margin-top:803.85000000000002pt;width:11.5pt;height:6.5pt;z-index:-1887434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6699885</wp:posOffset>
              </wp:positionH>
              <wp:positionV relativeFrom="page">
                <wp:posOffset>10014585</wp:posOffset>
              </wp:positionV>
              <wp:extent cx="103505" cy="82550"/>
              <wp:wrapNone/>
              <wp:docPr id="991" name="Shape 991"/>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17" type="#_x0000_t202" style="position:absolute;margin-left:527.54999999999995pt;margin-top:788.55000000000007pt;width:8.1500000000000004pt;height:6.5pt;z-index:-18874349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6699885</wp:posOffset>
              </wp:positionH>
              <wp:positionV relativeFrom="page">
                <wp:posOffset>10014585</wp:posOffset>
              </wp:positionV>
              <wp:extent cx="103505" cy="82550"/>
              <wp:wrapNone/>
              <wp:docPr id="995" name="Shape 995"/>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21" type="#_x0000_t202" style="position:absolute;margin-left:527.54999999999995pt;margin-top:788.55000000000007pt;width:8.1500000000000004pt;height:6.5pt;z-index:-18874348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6736715</wp:posOffset>
              </wp:positionH>
              <wp:positionV relativeFrom="page">
                <wp:posOffset>10051415</wp:posOffset>
              </wp:positionV>
              <wp:extent cx="97790" cy="82550"/>
              <wp:wrapNone/>
              <wp:docPr id="81" name="Shape 81"/>
              <a:graphic xmlns:a="http://schemas.openxmlformats.org/drawingml/2006/main">
                <a:graphicData uri="http://schemas.microsoft.com/office/word/2010/wordprocessingShape">
                  <wps:wsp>
                    <wps:cNvSpPr txBox="1"/>
                    <wps:spPr>
                      <a:xfrm>
                        <a:ext cx="97790" cy="825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07" type="#_x0000_t202" style="position:absolute;margin-left:530.45000000000005pt;margin-top:791.45000000000005pt;width:7.7000000000000002pt;height:6.5pt;z-index:-18874400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6577965</wp:posOffset>
              </wp:positionH>
              <wp:positionV relativeFrom="page">
                <wp:posOffset>10208895</wp:posOffset>
              </wp:positionV>
              <wp:extent cx="146050" cy="82550"/>
              <wp:wrapNone/>
              <wp:docPr id="1001" name="Shape 1001"/>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27" type="#_x0000_t202" style="position:absolute;margin-left:517.95000000000005pt;margin-top:803.85000000000002pt;width:11.5pt;height:6.5pt;z-index:-18874348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2" behindDoc="1" locked="0" layoutInCell="1" allowOverlap="1">
              <wp:simplePos x="0" y="0"/>
              <wp:positionH relativeFrom="page">
                <wp:posOffset>6577965</wp:posOffset>
              </wp:positionH>
              <wp:positionV relativeFrom="page">
                <wp:posOffset>10208895</wp:posOffset>
              </wp:positionV>
              <wp:extent cx="146050" cy="82550"/>
              <wp:wrapNone/>
              <wp:docPr id="1006" name="Shape 1006"/>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32" type="#_x0000_t202" style="position:absolute;margin-left:517.95000000000005pt;margin-top:803.85000000000002pt;width:11.5pt;height:6.5pt;z-index:-18874348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6699885</wp:posOffset>
              </wp:positionH>
              <wp:positionV relativeFrom="page">
                <wp:posOffset>10014585</wp:posOffset>
              </wp:positionV>
              <wp:extent cx="103505" cy="82550"/>
              <wp:wrapNone/>
              <wp:docPr id="1016" name="Shape 1016"/>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42" type="#_x0000_t202" style="position:absolute;margin-left:527.54999999999995pt;margin-top:788.55000000000007pt;width:8.1500000000000004pt;height:6.5pt;z-index:-18874347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6699885</wp:posOffset>
              </wp:positionH>
              <wp:positionV relativeFrom="page">
                <wp:posOffset>10014585</wp:posOffset>
              </wp:positionV>
              <wp:extent cx="103505" cy="82550"/>
              <wp:wrapNone/>
              <wp:docPr id="1020" name="Shape 1020"/>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46" type="#_x0000_t202" style="position:absolute;margin-left:527.54999999999995pt;margin-top:788.55000000000007pt;width:8.1500000000000004pt;height:6.5pt;z-index:-18874347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6699885</wp:posOffset>
              </wp:positionH>
              <wp:positionV relativeFrom="page">
                <wp:posOffset>10014585</wp:posOffset>
              </wp:positionV>
              <wp:extent cx="103505" cy="82550"/>
              <wp:wrapNone/>
              <wp:docPr id="1030" name="Shape 1030"/>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56" type="#_x0000_t202" style="position:absolute;margin-left:527.54999999999995pt;margin-top:788.55000000000007pt;width:8.1500000000000004pt;height:6.5pt;z-index:-18874346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6699885</wp:posOffset>
              </wp:positionH>
              <wp:positionV relativeFrom="page">
                <wp:posOffset>10014585</wp:posOffset>
              </wp:positionV>
              <wp:extent cx="103505" cy="82550"/>
              <wp:wrapNone/>
              <wp:docPr id="1034" name="Shape 1034"/>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60" type="#_x0000_t202" style="position:absolute;margin-left:527.54999999999995pt;margin-top:788.55000000000007pt;width:8.1500000000000004pt;height:6.5pt;z-index:-1887434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6577965</wp:posOffset>
              </wp:positionH>
              <wp:positionV relativeFrom="page">
                <wp:posOffset>10208895</wp:posOffset>
              </wp:positionV>
              <wp:extent cx="146050" cy="82550"/>
              <wp:wrapNone/>
              <wp:docPr id="1039" name="Shape 1039"/>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65" type="#_x0000_t202" style="position:absolute;margin-left:517.95000000000005pt;margin-top:803.85000000000002pt;width:11.5pt;height:6.5pt;z-index:-1887434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6577965</wp:posOffset>
              </wp:positionH>
              <wp:positionV relativeFrom="page">
                <wp:posOffset>10208895</wp:posOffset>
              </wp:positionV>
              <wp:extent cx="146050" cy="82550"/>
              <wp:wrapNone/>
              <wp:docPr id="1050" name="Shape 1050"/>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76" type="#_x0000_t202" style="position:absolute;margin-left:517.95000000000005pt;margin-top:803.85000000000002pt;width:11.5pt;height:6.5pt;z-index:-18874345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6577965</wp:posOffset>
              </wp:positionH>
              <wp:positionV relativeFrom="page">
                <wp:posOffset>10208895</wp:posOffset>
              </wp:positionV>
              <wp:extent cx="146050" cy="82550"/>
              <wp:wrapNone/>
              <wp:docPr id="1055" name="Shape 1055"/>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81" type="#_x0000_t202" style="position:absolute;margin-left:517.95000000000005pt;margin-top:803.85000000000002pt;width:11.5pt;height:6.5pt;z-index:-18874345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6699885</wp:posOffset>
              </wp:positionH>
              <wp:positionV relativeFrom="page">
                <wp:posOffset>10014585</wp:posOffset>
              </wp:positionV>
              <wp:extent cx="103505" cy="82550"/>
              <wp:wrapNone/>
              <wp:docPr id="1064" name="Shape 1064"/>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90" type="#_x0000_t202" style="position:absolute;margin-left:527.54999999999995pt;margin-top:788.55000000000007pt;width:8.1500000000000004pt;height:6.5pt;z-index:-18874344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6736715</wp:posOffset>
              </wp:positionH>
              <wp:positionV relativeFrom="page">
                <wp:posOffset>9988550</wp:posOffset>
              </wp:positionV>
              <wp:extent cx="97790" cy="79375"/>
              <wp:wrapNone/>
              <wp:docPr id="92" name="Shape 9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18" type="#_x0000_t202" style="position:absolute;margin-left:530.45000000000005pt;margin-top:786.5pt;width:7.7000000000000002pt;height:6.25pt;z-index:-18874400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6699885</wp:posOffset>
              </wp:positionH>
              <wp:positionV relativeFrom="page">
                <wp:posOffset>10014585</wp:posOffset>
              </wp:positionV>
              <wp:extent cx="103505" cy="82550"/>
              <wp:wrapNone/>
              <wp:docPr id="1068" name="Shape 1068"/>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94" type="#_x0000_t202" style="position:absolute;margin-left:527.54999999999995pt;margin-top:788.55000000000007pt;width:8.1500000000000004pt;height:6.5pt;z-index:-18874344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6673850</wp:posOffset>
              </wp:positionH>
              <wp:positionV relativeFrom="page">
                <wp:posOffset>9919335</wp:posOffset>
              </wp:positionV>
              <wp:extent cx="155575" cy="79375"/>
              <wp:wrapNone/>
              <wp:docPr id="1073" name="Shape 107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99" type="#_x0000_t202" style="position:absolute;margin-left:525.5pt;margin-top:781.05000000000007pt;width:12.25pt;height:6.25pt;z-index:-18874344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6" behindDoc="1" locked="0" layoutInCell="1" allowOverlap="1">
              <wp:simplePos x="0" y="0"/>
              <wp:positionH relativeFrom="page">
                <wp:posOffset>6390005</wp:posOffset>
              </wp:positionH>
              <wp:positionV relativeFrom="page">
                <wp:posOffset>9363710</wp:posOffset>
              </wp:positionV>
              <wp:extent cx="445135" cy="106680"/>
              <wp:wrapNone/>
              <wp:docPr id="1090" name="Shape 1090"/>
              <a:graphic xmlns:a="http://schemas.openxmlformats.org/drawingml/2006/main">
                <a:graphicData uri="http://schemas.microsoft.com/office/word/2010/wordprocessingShape">
                  <wps:wsp>
                    <wps:cNvSpPr txBox="1"/>
                    <wps:spPr>
                      <a:xfrm>
                        <a:ext cx="44513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单位：元</w:t>
                          </w:r>
                        </w:p>
                      </w:txbxContent>
                    </wps:txbx>
                    <wps:bodyPr wrap="none" lIns="0" tIns="0" rIns="0" bIns="0">
                      <a:spAutoFit/>
                    </wps:bodyPr>
                  </wps:wsp>
                </a:graphicData>
              </a:graphic>
            </wp:anchor>
          </w:drawing>
        </mc:Choice>
        <mc:Fallback>
          <w:pict>
            <v:shape id="_x0000_s2116" type="#_x0000_t202" style="position:absolute;margin-left:503.15000000000003pt;margin-top:737.30000000000007pt;width:35.050000000000004pt;height:8.4000000000000004pt;z-index:-18874343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单位：元</w:t>
                    </w:r>
                  </w:p>
                </w:txbxContent>
              </v:textbox>
              <w10:wrap anchorx="page" anchory="page"/>
            </v:shape>
          </w:pict>
        </mc:Fallback>
      </mc:AlternateContent>
    </w:r>
    <w:r>
      <mc:AlternateContent>
        <mc:Choice Requires="wps">
          <w:drawing>
            <wp:anchor distT="0" distB="0" distL="0" distR="0" simplePos="0" relativeHeight="62915318" behindDoc="1" locked="0" layoutInCell="1" allowOverlap="1">
              <wp:simplePos x="0" y="0"/>
              <wp:positionH relativeFrom="page">
                <wp:posOffset>6679565</wp:posOffset>
              </wp:positionH>
              <wp:positionV relativeFrom="page">
                <wp:posOffset>9958070</wp:posOffset>
              </wp:positionV>
              <wp:extent cx="155575" cy="79375"/>
              <wp:wrapNone/>
              <wp:docPr id="1092" name="Shape 1092"/>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18" type="#_x0000_t202" style="position:absolute;margin-left:525.95000000000005pt;margin-top:784.10000000000002pt;width:12.25pt;height:6.25pt;z-index:-18874343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6390005</wp:posOffset>
              </wp:positionH>
              <wp:positionV relativeFrom="page">
                <wp:posOffset>9363710</wp:posOffset>
              </wp:positionV>
              <wp:extent cx="445135" cy="106680"/>
              <wp:wrapNone/>
              <wp:docPr id="1097" name="Shape 1097"/>
              <a:graphic xmlns:a="http://schemas.openxmlformats.org/drawingml/2006/main">
                <a:graphicData uri="http://schemas.microsoft.com/office/word/2010/wordprocessingShape">
                  <wps:wsp>
                    <wps:cNvSpPr txBox="1"/>
                    <wps:spPr>
                      <a:xfrm>
                        <a:ext cx="44513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单位：元</w:t>
                          </w:r>
                        </w:p>
                      </w:txbxContent>
                    </wps:txbx>
                    <wps:bodyPr wrap="none" lIns="0" tIns="0" rIns="0" bIns="0">
                      <a:spAutoFit/>
                    </wps:bodyPr>
                  </wps:wsp>
                </a:graphicData>
              </a:graphic>
            </wp:anchor>
          </w:drawing>
        </mc:Choice>
        <mc:Fallback>
          <w:pict>
            <v:shape id="_x0000_s2123" type="#_x0000_t202" style="position:absolute;margin-left:503.15000000000003pt;margin-top:737.30000000000007pt;width:35.050000000000004pt;height:8.4000000000000004pt;z-index:-18874343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单位：元</w:t>
                    </w:r>
                  </w:p>
                </w:txbxContent>
              </v:textbox>
              <w10:wrap anchorx="page" anchory="page"/>
            </v:shape>
          </w:pict>
        </mc:Fallback>
      </mc:AlternateContent>
    </w:r>
    <w:r>
      <mc:AlternateContent>
        <mc:Choice Requires="wps">
          <w:drawing>
            <wp:anchor distT="0" distB="0" distL="0" distR="0" simplePos="0" relativeHeight="62915324" behindDoc="1" locked="0" layoutInCell="1" allowOverlap="1">
              <wp:simplePos x="0" y="0"/>
              <wp:positionH relativeFrom="page">
                <wp:posOffset>6679565</wp:posOffset>
              </wp:positionH>
              <wp:positionV relativeFrom="page">
                <wp:posOffset>9958070</wp:posOffset>
              </wp:positionV>
              <wp:extent cx="155575" cy="79375"/>
              <wp:wrapNone/>
              <wp:docPr id="1099" name="Shape 109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25" type="#_x0000_t202" style="position:absolute;margin-left:525.95000000000005pt;margin-top:784.10000000000002pt;width:12.25pt;height:6.25pt;z-index:-18874342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6699885</wp:posOffset>
              </wp:positionH>
              <wp:positionV relativeFrom="page">
                <wp:posOffset>10014585</wp:posOffset>
              </wp:positionV>
              <wp:extent cx="103505" cy="82550"/>
              <wp:wrapNone/>
              <wp:docPr id="1107" name="Shape 1107"/>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33" type="#_x0000_t202" style="position:absolute;margin-left:527.54999999999995pt;margin-top:788.55000000000007pt;width:8.1500000000000004pt;height:6.5pt;z-index:-18874342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2" behindDoc="1" locked="0" layoutInCell="1" allowOverlap="1">
              <wp:simplePos x="0" y="0"/>
              <wp:positionH relativeFrom="page">
                <wp:posOffset>6699885</wp:posOffset>
              </wp:positionH>
              <wp:positionV relativeFrom="page">
                <wp:posOffset>10014585</wp:posOffset>
              </wp:positionV>
              <wp:extent cx="103505" cy="82550"/>
              <wp:wrapNone/>
              <wp:docPr id="1111" name="Shape 1111"/>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37" type="#_x0000_t202" style="position:absolute;margin-left:527.54999999999995pt;margin-top:788.55000000000007pt;width:8.1500000000000004pt;height:6.5pt;z-index:-18874342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8" behindDoc="1" locked="0" layoutInCell="1" allowOverlap="1">
              <wp:simplePos x="0" y="0"/>
              <wp:positionH relativeFrom="page">
                <wp:posOffset>6664325</wp:posOffset>
              </wp:positionH>
              <wp:positionV relativeFrom="page">
                <wp:posOffset>10074275</wp:posOffset>
              </wp:positionV>
              <wp:extent cx="155575" cy="79375"/>
              <wp:wrapNone/>
              <wp:docPr id="1117" name="Shape 111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43" type="#_x0000_t202" style="position:absolute;margin-left:524.75pt;margin-top:793.25pt;width:12.25pt;height:6.25pt;z-index:-18874341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4" behindDoc="1" locked="0" layoutInCell="1" allowOverlap="1">
              <wp:simplePos x="0" y="0"/>
              <wp:positionH relativeFrom="page">
                <wp:posOffset>6664325</wp:posOffset>
              </wp:positionH>
              <wp:positionV relativeFrom="page">
                <wp:posOffset>10074275</wp:posOffset>
              </wp:positionV>
              <wp:extent cx="155575" cy="79375"/>
              <wp:wrapNone/>
              <wp:docPr id="1123" name="Shape 112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49" type="#_x0000_t202" style="position:absolute;margin-left:524.75pt;margin-top:793.25pt;width:12.25pt;height:6.25pt;z-index:-18874340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0" behindDoc="1" locked="0" layoutInCell="1" allowOverlap="1">
              <wp:simplePos x="0" y="0"/>
              <wp:positionH relativeFrom="page">
                <wp:posOffset>6664325</wp:posOffset>
              </wp:positionH>
              <wp:positionV relativeFrom="page">
                <wp:posOffset>10074275</wp:posOffset>
              </wp:positionV>
              <wp:extent cx="155575" cy="79375"/>
              <wp:wrapNone/>
              <wp:docPr id="1129" name="Shape 112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55" type="#_x0000_t202" style="position:absolute;margin-left:524.75pt;margin-top:793.25pt;width:12.25pt;height:6.25pt;z-index:-18874340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4" behindDoc="1" locked="0" layoutInCell="1" allowOverlap="1">
              <wp:simplePos x="0" y="0"/>
              <wp:positionH relativeFrom="page">
                <wp:posOffset>6577965</wp:posOffset>
              </wp:positionH>
              <wp:positionV relativeFrom="page">
                <wp:posOffset>10208895</wp:posOffset>
              </wp:positionV>
              <wp:extent cx="146050" cy="82550"/>
              <wp:wrapNone/>
              <wp:docPr id="1135" name="Shape 1135"/>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61" type="#_x0000_t202" style="position:absolute;margin-left:517.95000000000005pt;margin-top:803.85000000000002pt;width:11.5pt;height:6.5pt;z-index:-18874339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6736715</wp:posOffset>
              </wp:positionH>
              <wp:positionV relativeFrom="page">
                <wp:posOffset>9988550</wp:posOffset>
              </wp:positionV>
              <wp:extent cx="97790" cy="79375"/>
              <wp:wrapNone/>
              <wp:docPr id="98" name="Shape 9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24" type="#_x0000_t202" style="position:absolute;margin-left:530.45000000000005pt;margin-top:786.5pt;width:7.7000000000000002pt;height:6.25pt;z-index:-18874399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8" behindDoc="1" locked="0" layoutInCell="1" allowOverlap="1">
              <wp:simplePos x="0" y="0"/>
              <wp:positionH relativeFrom="page">
                <wp:posOffset>6577965</wp:posOffset>
              </wp:positionH>
              <wp:positionV relativeFrom="page">
                <wp:posOffset>10208895</wp:posOffset>
              </wp:positionV>
              <wp:extent cx="146050" cy="82550"/>
              <wp:wrapNone/>
              <wp:docPr id="1140" name="Shape 1140"/>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66" type="#_x0000_t202" style="position:absolute;margin-left:517.95000000000005pt;margin-top:803.85000000000002pt;width:11.5pt;height:6.5pt;z-index:-18874339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4" behindDoc="1" locked="0" layoutInCell="1" allowOverlap="1">
              <wp:simplePos x="0" y="0"/>
              <wp:positionH relativeFrom="page">
                <wp:posOffset>6664325</wp:posOffset>
              </wp:positionH>
              <wp:positionV relativeFrom="page">
                <wp:posOffset>10074275</wp:posOffset>
              </wp:positionV>
              <wp:extent cx="155575" cy="79375"/>
              <wp:wrapNone/>
              <wp:docPr id="1150" name="Shape 1150"/>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76" type="#_x0000_t202" style="position:absolute;margin-left:524.75pt;margin-top:793.25pt;width:12.25pt;height:6.25pt;z-index:-18874338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0" behindDoc="1" locked="0" layoutInCell="1" allowOverlap="1">
              <wp:simplePos x="0" y="0"/>
              <wp:positionH relativeFrom="page">
                <wp:posOffset>6664325</wp:posOffset>
              </wp:positionH>
              <wp:positionV relativeFrom="page">
                <wp:posOffset>10074275</wp:posOffset>
              </wp:positionV>
              <wp:extent cx="155575" cy="79375"/>
              <wp:wrapNone/>
              <wp:docPr id="1156" name="Shape 115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82" type="#_x0000_t202" style="position:absolute;margin-left:524.75pt;margin-top:793.25pt;width:12.25pt;height:6.25pt;z-index:-18874338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6" behindDoc="1" locked="0" layoutInCell="1" allowOverlap="1">
              <wp:simplePos x="0" y="0"/>
              <wp:positionH relativeFrom="page">
                <wp:posOffset>6664325</wp:posOffset>
              </wp:positionH>
              <wp:positionV relativeFrom="page">
                <wp:posOffset>10074275</wp:posOffset>
              </wp:positionV>
              <wp:extent cx="155575" cy="79375"/>
              <wp:wrapNone/>
              <wp:docPr id="1167" name="Shape 116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93" type="#_x0000_t202" style="position:absolute;margin-left:524.75pt;margin-top:793.25pt;width:12.25pt;height:6.25pt;z-index:-18874337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2" behindDoc="1" locked="0" layoutInCell="1" allowOverlap="1">
              <wp:simplePos x="0" y="0"/>
              <wp:positionH relativeFrom="page">
                <wp:posOffset>6664325</wp:posOffset>
              </wp:positionH>
              <wp:positionV relativeFrom="page">
                <wp:posOffset>10074275</wp:posOffset>
              </wp:positionV>
              <wp:extent cx="155575" cy="79375"/>
              <wp:wrapNone/>
              <wp:docPr id="1173" name="Shape 117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99" type="#_x0000_t202" style="position:absolute;margin-left:524.75pt;margin-top:793.25pt;width:12.25pt;height:6.25pt;z-index:-18874337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6" behindDoc="1" locked="0" layoutInCell="1" allowOverlap="1">
              <wp:simplePos x="0" y="0"/>
              <wp:positionH relativeFrom="page">
                <wp:posOffset>6699885</wp:posOffset>
              </wp:positionH>
              <wp:positionV relativeFrom="page">
                <wp:posOffset>10014585</wp:posOffset>
              </wp:positionV>
              <wp:extent cx="103505" cy="82550"/>
              <wp:wrapNone/>
              <wp:docPr id="1177" name="Shape 1177"/>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03" type="#_x0000_t202" style="position:absolute;margin-left:527.54999999999995pt;margin-top:788.55000000000007pt;width:8.1500000000000004pt;height:6.5pt;z-index:-18874336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2" behindDoc="1" locked="0" layoutInCell="1" allowOverlap="1">
              <wp:simplePos x="0" y="0"/>
              <wp:positionH relativeFrom="page">
                <wp:posOffset>6664325</wp:posOffset>
              </wp:positionH>
              <wp:positionV relativeFrom="page">
                <wp:posOffset>10012045</wp:posOffset>
              </wp:positionV>
              <wp:extent cx="146050" cy="79375"/>
              <wp:wrapNone/>
              <wp:docPr id="1183" name="Shape 118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09" type="#_x0000_t202" style="position:absolute;margin-left:524.75pt;margin-top:788.35000000000002pt;width:11.5pt;height:6.25pt;z-index:-1887433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8" behindDoc="1" locked="0" layoutInCell="1" allowOverlap="1">
              <wp:simplePos x="0" y="0"/>
              <wp:positionH relativeFrom="page">
                <wp:posOffset>6664325</wp:posOffset>
              </wp:positionH>
              <wp:positionV relativeFrom="page">
                <wp:posOffset>10012045</wp:posOffset>
              </wp:positionV>
              <wp:extent cx="146050" cy="79375"/>
              <wp:wrapNone/>
              <wp:docPr id="1189" name="Shape 1189"/>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15" type="#_x0000_t202" style="position:absolute;margin-left:524.75pt;margin-top:788.35000000000002pt;width:11.5pt;height:6.25pt;z-index:-18874335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6577965</wp:posOffset>
              </wp:positionH>
              <wp:positionV relativeFrom="page">
                <wp:posOffset>10208895</wp:posOffset>
              </wp:positionV>
              <wp:extent cx="146050" cy="82550"/>
              <wp:wrapNone/>
              <wp:docPr id="1194" name="Shape 1194"/>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20" type="#_x0000_t202" style="position:absolute;margin-left:517.95000000000005pt;margin-top:803.85000000000002pt;width:11.5pt;height:6.5pt;z-index:-18874335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6577965</wp:posOffset>
              </wp:positionH>
              <wp:positionV relativeFrom="page">
                <wp:posOffset>10208895</wp:posOffset>
              </wp:positionV>
              <wp:extent cx="146050" cy="82550"/>
              <wp:wrapNone/>
              <wp:docPr id="1199" name="Shape 1199"/>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25" type="#_x0000_t202" style="position:absolute;margin-left:517.95000000000005pt;margin-top:803.85000000000002pt;width:11.5pt;height:6.5pt;z-index:-18874334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6736080</wp:posOffset>
              </wp:positionH>
              <wp:positionV relativeFrom="page">
                <wp:posOffset>10219055</wp:posOffset>
              </wp:positionV>
              <wp:extent cx="94615" cy="79375"/>
              <wp:wrapNone/>
              <wp:docPr id="104" name="Shape 10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30" type="#_x0000_t202" style="position:absolute;margin-left:530.39999999999998pt;margin-top:804.64999999999998pt;width:7.4500000000000002pt;height:6.25pt;z-index:-18874399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6664325</wp:posOffset>
              </wp:positionH>
              <wp:positionV relativeFrom="page">
                <wp:posOffset>10012045</wp:posOffset>
              </wp:positionV>
              <wp:extent cx="146050" cy="79375"/>
              <wp:wrapNone/>
              <wp:docPr id="1207" name="Shape 1207"/>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33" type="#_x0000_t202" style="position:absolute;margin-left:524.75pt;margin-top:788.35000000000002pt;width:11.5pt;height:6.25pt;z-index:-18874334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6664325</wp:posOffset>
              </wp:positionH>
              <wp:positionV relativeFrom="page">
                <wp:posOffset>10012045</wp:posOffset>
              </wp:positionV>
              <wp:extent cx="146050" cy="79375"/>
              <wp:wrapNone/>
              <wp:docPr id="1213" name="Shape 121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39" type="#_x0000_t202" style="position:absolute;margin-left:524.75pt;margin-top:788.35000000000002pt;width:11.5pt;height:6.25pt;z-index:-18874333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6691630</wp:posOffset>
              </wp:positionH>
              <wp:positionV relativeFrom="page">
                <wp:posOffset>9957435</wp:posOffset>
              </wp:positionV>
              <wp:extent cx="155575" cy="79375"/>
              <wp:wrapNone/>
              <wp:docPr id="1217" name="Shape 121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43" type="#_x0000_t202" style="position:absolute;margin-left:526.89999999999998pt;margin-top:784.05000000000007pt;width:12.25pt;height:6.25pt;z-index:-18874333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6691630</wp:posOffset>
              </wp:positionH>
              <wp:positionV relativeFrom="page">
                <wp:posOffset>9957435</wp:posOffset>
              </wp:positionV>
              <wp:extent cx="155575" cy="79375"/>
              <wp:wrapNone/>
              <wp:docPr id="1221" name="Shape 122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47" type="#_x0000_t202" style="position:absolute;margin-left:526.89999999999998pt;margin-top:784.05000000000007pt;width:12.25pt;height:6.25pt;z-index:-18874332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6577965</wp:posOffset>
              </wp:positionH>
              <wp:positionV relativeFrom="page">
                <wp:posOffset>10208895</wp:posOffset>
              </wp:positionV>
              <wp:extent cx="146050" cy="82550"/>
              <wp:wrapNone/>
              <wp:docPr id="1226" name="Shape 1226"/>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52" type="#_x0000_t202" style="position:absolute;margin-left:517.95000000000005pt;margin-top:803.85000000000002pt;width:11.5pt;height:6.5pt;z-index:-18874332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4" behindDoc="1" locked="0" layoutInCell="1" allowOverlap="1">
              <wp:simplePos x="0" y="0"/>
              <wp:positionH relativeFrom="page">
                <wp:posOffset>6577965</wp:posOffset>
              </wp:positionH>
              <wp:positionV relativeFrom="page">
                <wp:posOffset>10208895</wp:posOffset>
              </wp:positionV>
              <wp:extent cx="146050" cy="82550"/>
              <wp:wrapNone/>
              <wp:docPr id="1231" name="Shape 1231"/>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57" type="#_x0000_t202" style="position:absolute;margin-left:517.95000000000005pt;margin-top:803.85000000000002pt;width:11.5pt;height:6.5pt;z-index:-18874331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6691630</wp:posOffset>
              </wp:positionH>
              <wp:positionV relativeFrom="page">
                <wp:posOffset>9957435</wp:posOffset>
              </wp:positionV>
              <wp:extent cx="155575" cy="79375"/>
              <wp:wrapNone/>
              <wp:docPr id="1240" name="Shape 1240"/>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66" type="#_x0000_t202" style="position:absolute;margin-left:526.89999999999998pt;margin-top:784.05000000000007pt;width:12.25pt;height:6.25pt;z-index:-18874331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6577965</wp:posOffset>
              </wp:positionH>
              <wp:positionV relativeFrom="page">
                <wp:posOffset>10208895</wp:posOffset>
              </wp:positionV>
              <wp:extent cx="146050" cy="82550"/>
              <wp:wrapNone/>
              <wp:docPr id="1245" name="Shape 1245"/>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71" type="#_x0000_t202" style="position:absolute;margin-left:517.95000000000005pt;margin-top:803.85000000000002pt;width:11.5pt;height:6.5pt;z-index:-18874331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6577965</wp:posOffset>
              </wp:positionH>
              <wp:positionV relativeFrom="page">
                <wp:posOffset>10208895</wp:posOffset>
              </wp:positionV>
              <wp:extent cx="146050" cy="82550"/>
              <wp:wrapNone/>
              <wp:docPr id="1259" name="Shape 1259"/>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85" type="#_x0000_t202" style="position:absolute;margin-left:517.95000000000005pt;margin-top:803.85000000000002pt;width:11.5pt;height:6.5pt;z-index:-18874330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6661785</wp:posOffset>
              </wp:positionH>
              <wp:positionV relativeFrom="page">
                <wp:posOffset>9989820</wp:posOffset>
              </wp:positionV>
              <wp:extent cx="155575" cy="79375"/>
              <wp:wrapNone/>
              <wp:docPr id="1264" name="Shape 1264"/>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90" type="#_x0000_t202" style="position:absolute;margin-left:524.54999999999995pt;margin-top:786.60000000000002pt;width:12.25pt;height:6.25pt;z-index:-18874330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6736080</wp:posOffset>
              </wp:positionH>
              <wp:positionV relativeFrom="page">
                <wp:posOffset>10219055</wp:posOffset>
              </wp:positionV>
              <wp:extent cx="94615" cy="79375"/>
              <wp:wrapNone/>
              <wp:docPr id="109" name="Shape 109"/>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35" type="#_x0000_t202" style="position:absolute;margin-left:530.39999999999998pt;margin-top:804.64999999999998pt;width:7.4500000000000002pt;height:6.25pt;z-index:-18874398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6577965</wp:posOffset>
              </wp:positionH>
              <wp:positionV relativeFrom="page">
                <wp:posOffset>10208895</wp:posOffset>
              </wp:positionV>
              <wp:extent cx="146050" cy="82550"/>
              <wp:wrapNone/>
              <wp:docPr id="1269" name="Shape 1269"/>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95" type="#_x0000_t202" style="position:absolute;margin-left:517.95000000000005pt;margin-top:803.85000000000002pt;width:11.5pt;height:6.5pt;z-index:-18874329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6577965</wp:posOffset>
              </wp:positionH>
              <wp:positionV relativeFrom="page">
                <wp:posOffset>10208895</wp:posOffset>
              </wp:positionV>
              <wp:extent cx="146050" cy="82550"/>
              <wp:wrapNone/>
              <wp:docPr id="1274" name="Shape 1274"/>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00" type="#_x0000_t202" style="position:absolute;margin-left:517.95000000000005pt;margin-top:803.85000000000002pt;width:11.5pt;height:6.5pt;z-index:-18874329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6577965</wp:posOffset>
              </wp:positionH>
              <wp:positionV relativeFrom="page">
                <wp:posOffset>10208895</wp:posOffset>
              </wp:positionV>
              <wp:extent cx="146050" cy="82550"/>
              <wp:wrapNone/>
              <wp:docPr id="1284" name="Shape 1284"/>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10" type="#_x0000_t202" style="position:absolute;margin-left:517.95000000000005pt;margin-top:803.85000000000002pt;width:11.5pt;height:6.5pt;z-index:-18874329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6680835</wp:posOffset>
              </wp:positionH>
              <wp:positionV relativeFrom="page">
                <wp:posOffset>9985375</wp:posOffset>
              </wp:positionV>
              <wp:extent cx="155575" cy="79375"/>
              <wp:wrapNone/>
              <wp:docPr id="1289" name="Shape 128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15" type="#_x0000_t202" style="position:absolute;margin-left:526.04999999999995pt;margin-top:786.25pt;width:12.25pt;height:6.25pt;z-index:-18874328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6680835</wp:posOffset>
              </wp:positionH>
              <wp:positionV relativeFrom="page">
                <wp:posOffset>9985375</wp:posOffset>
              </wp:positionV>
              <wp:extent cx="155575" cy="79375"/>
              <wp:wrapNone/>
              <wp:docPr id="1299" name="Shape 129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25" type="#_x0000_t202" style="position:absolute;margin-left:526.04999999999995pt;margin-top:786.25pt;width:12.25pt;height:6.25pt;z-index:-18874328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6680835</wp:posOffset>
              </wp:positionH>
              <wp:positionV relativeFrom="page">
                <wp:posOffset>9985375</wp:posOffset>
              </wp:positionV>
              <wp:extent cx="155575" cy="79375"/>
              <wp:wrapNone/>
              <wp:docPr id="1304" name="Shape 1304"/>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30" type="#_x0000_t202" style="position:absolute;margin-left:526.04999999999995pt;margin-top:786.25pt;width:12.25pt;height:6.25pt;z-index:-18874327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6680835</wp:posOffset>
              </wp:positionH>
              <wp:positionV relativeFrom="page">
                <wp:posOffset>9985375</wp:posOffset>
              </wp:positionV>
              <wp:extent cx="155575" cy="79375"/>
              <wp:wrapNone/>
              <wp:docPr id="1321" name="Shape 132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47" type="#_x0000_t202" style="position:absolute;margin-left:526.04999999999995pt;margin-top:786.25pt;width:12.25pt;height:6.25pt;z-index:-18874327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6680835</wp:posOffset>
              </wp:positionH>
              <wp:positionV relativeFrom="page">
                <wp:posOffset>9985375</wp:posOffset>
              </wp:positionV>
              <wp:extent cx="155575" cy="79375"/>
              <wp:wrapNone/>
              <wp:docPr id="1326" name="Shape 132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52" type="#_x0000_t202" style="position:absolute;margin-left:526.04999999999995pt;margin-top:786.25pt;width:12.25pt;height:6.25pt;z-index:-18874327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6" behindDoc="1" locked="0" layoutInCell="1" allowOverlap="1">
              <wp:simplePos x="0" y="0"/>
              <wp:positionH relativeFrom="page">
                <wp:posOffset>6577965</wp:posOffset>
              </wp:positionH>
              <wp:positionV relativeFrom="page">
                <wp:posOffset>10208895</wp:posOffset>
              </wp:positionV>
              <wp:extent cx="146050" cy="82550"/>
              <wp:wrapNone/>
              <wp:docPr id="1331" name="Shape 1331"/>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57" type="#_x0000_t202" style="position:absolute;margin-left:517.95000000000005pt;margin-top:803.85000000000002pt;width:11.5pt;height:6.5pt;z-index:-18874326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6577965</wp:posOffset>
              </wp:positionH>
              <wp:positionV relativeFrom="page">
                <wp:posOffset>10208895</wp:posOffset>
              </wp:positionV>
              <wp:extent cx="146050" cy="82550"/>
              <wp:wrapNone/>
              <wp:docPr id="1342" name="Shape 1342"/>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68" type="#_x0000_t202" style="position:absolute;margin-left:517.95000000000005pt;margin-top:803.85000000000002pt;width:11.5pt;height:6.5pt;z-index:-18874326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6736715</wp:posOffset>
              </wp:positionH>
              <wp:positionV relativeFrom="page">
                <wp:posOffset>10051415</wp:posOffset>
              </wp:positionV>
              <wp:extent cx="97790" cy="82550"/>
              <wp:wrapNone/>
              <wp:docPr id="119" name="Shape 119"/>
              <a:graphic xmlns:a="http://schemas.openxmlformats.org/drawingml/2006/main">
                <a:graphicData uri="http://schemas.microsoft.com/office/word/2010/wordprocessingShape">
                  <wps:wsp>
                    <wps:cNvSpPr txBox="1"/>
                    <wps:spPr>
                      <a:xfrm>
                        <a:ext cx="97790" cy="825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45" type="#_x0000_t202" style="position:absolute;margin-left:530.45000000000005pt;margin-top:791.45000000000005pt;width:7.7000000000000002pt;height:6.5pt;z-index:-18874398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6577965</wp:posOffset>
              </wp:positionH>
              <wp:positionV relativeFrom="page">
                <wp:posOffset>10208895</wp:posOffset>
              </wp:positionV>
              <wp:extent cx="146050" cy="82550"/>
              <wp:wrapNone/>
              <wp:docPr id="1347" name="Shape 1347"/>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73" type="#_x0000_t202" style="position:absolute;margin-left:517.95000000000005pt;margin-top:803.85000000000002pt;width:11.5pt;height:6.5pt;z-index:-1887432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6736715</wp:posOffset>
              </wp:positionH>
              <wp:positionV relativeFrom="page">
                <wp:posOffset>10051415</wp:posOffset>
              </wp:positionV>
              <wp:extent cx="97790" cy="82550"/>
              <wp:wrapNone/>
              <wp:docPr id="123" name="Shape 123"/>
              <a:graphic xmlns:a="http://schemas.openxmlformats.org/drawingml/2006/main">
                <a:graphicData uri="http://schemas.microsoft.com/office/word/2010/wordprocessingShape">
                  <wps:wsp>
                    <wps:cNvSpPr txBox="1"/>
                    <wps:spPr>
                      <a:xfrm>
                        <a:ext cx="97790" cy="825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49" type="#_x0000_t202" style="position:absolute;margin-left:530.45000000000005pt;margin-top:791.45000000000005pt;width:7.7000000000000002pt;height:6.5pt;z-index:-18874397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6736715</wp:posOffset>
              </wp:positionH>
              <wp:positionV relativeFrom="page">
                <wp:posOffset>10051415</wp:posOffset>
              </wp:positionV>
              <wp:extent cx="97790" cy="82550"/>
              <wp:wrapNone/>
              <wp:docPr id="9" name="Shape 9"/>
              <a:graphic xmlns:a="http://schemas.openxmlformats.org/drawingml/2006/main">
                <a:graphicData uri="http://schemas.microsoft.com/office/word/2010/wordprocessingShape">
                  <wps:wsp>
                    <wps:cNvSpPr txBox="1"/>
                    <wps:spPr>
                      <a:xfrm>
                        <a:ext cx="97790" cy="825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5" type="#_x0000_t202" style="position:absolute;margin-left:530.45000000000005pt;margin-top:791.45000000000005pt;width:7.7000000000000002pt;height:6.5pt;z-index:-18874405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6771005</wp:posOffset>
              </wp:positionH>
              <wp:positionV relativeFrom="page">
                <wp:posOffset>9820275</wp:posOffset>
              </wp:positionV>
              <wp:extent cx="109855" cy="79375"/>
              <wp:wrapNone/>
              <wp:docPr id="136" name="Shape 136"/>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62" type="#_x0000_t202" style="position:absolute;margin-left:533.14999999999998pt;margin-top:773.25pt;width:8.6500000000000004pt;height:6.25pt;z-index:-18874397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6771005</wp:posOffset>
              </wp:positionH>
              <wp:positionV relativeFrom="page">
                <wp:posOffset>9820275</wp:posOffset>
              </wp:positionV>
              <wp:extent cx="109855" cy="79375"/>
              <wp:wrapNone/>
              <wp:docPr id="142" name="Shape 142"/>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68" type="#_x0000_t202" style="position:absolute;margin-left:533.14999999999998pt;margin-top:773.25pt;width:8.6500000000000004pt;height:6.25pt;z-index:-18874396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6713220</wp:posOffset>
              </wp:positionH>
              <wp:positionV relativeFrom="page">
                <wp:posOffset>10087610</wp:posOffset>
              </wp:positionV>
              <wp:extent cx="97790" cy="79375"/>
              <wp:wrapNone/>
              <wp:docPr id="148" name="Shape 14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74" type="#_x0000_t202" style="position:absolute;margin-left:528.60000000000002pt;margin-top:794.30000000000007pt;width:7.7000000000000002pt;height:6.25pt;z-index:-18874396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6736080</wp:posOffset>
              </wp:positionH>
              <wp:positionV relativeFrom="page">
                <wp:posOffset>10219055</wp:posOffset>
              </wp:positionV>
              <wp:extent cx="94615" cy="79375"/>
              <wp:wrapNone/>
              <wp:docPr id="154" name="Shape 15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0" type="#_x0000_t202" style="position:absolute;margin-left:530.39999999999998pt;margin-top:804.64999999999998pt;width:7.4500000000000002pt;height:6.25pt;z-index:-18874395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6736080</wp:posOffset>
              </wp:positionH>
              <wp:positionV relativeFrom="page">
                <wp:posOffset>10219055</wp:posOffset>
              </wp:positionV>
              <wp:extent cx="94615" cy="79375"/>
              <wp:wrapNone/>
              <wp:docPr id="159" name="Shape 159"/>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5" type="#_x0000_t202" style="position:absolute;margin-left:530.39999999999998pt;margin-top:804.64999999999998pt;width:7.4500000000000002pt;height:6.25pt;z-index:-18874395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6724015</wp:posOffset>
              </wp:positionH>
              <wp:positionV relativeFrom="page">
                <wp:posOffset>9942195</wp:posOffset>
              </wp:positionV>
              <wp:extent cx="106680" cy="79375"/>
              <wp:wrapNone/>
              <wp:docPr id="166" name="Shape 166"/>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92" type="#_x0000_t202" style="position:absolute;margin-left:529.45000000000005pt;margin-top:782.85000000000002pt;width:8.4000000000000004pt;height:6.25pt;z-index:-18874394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6724015</wp:posOffset>
              </wp:positionH>
              <wp:positionV relativeFrom="page">
                <wp:posOffset>9942195</wp:posOffset>
              </wp:positionV>
              <wp:extent cx="106680" cy="79375"/>
              <wp:wrapNone/>
              <wp:docPr id="171" name="Shape 17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97" type="#_x0000_t202" style="position:absolute;margin-left:529.45000000000005pt;margin-top:782.85000000000002pt;width:8.4000000000000004pt;height:6.25pt;z-index:-18874394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6713220</wp:posOffset>
              </wp:positionH>
              <wp:positionV relativeFrom="page">
                <wp:posOffset>10087610</wp:posOffset>
              </wp:positionV>
              <wp:extent cx="97790" cy="79375"/>
              <wp:wrapNone/>
              <wp:docPr id="177" name="Shape 17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03" type="#_x0000_t202" style="position:absolute;margin-left:528.60000000000002pt;margin-top:794.30000000000007pt;width:7.7000000000000002pt;height:6.25pt;z-index:-18874393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6736080</wp:posOffset>
              </wp:positionH>
              <wp:positionV relativeFrom="page">
                <wp:posOffset>10219055</wp:posOffset>
              </wp:positionV>
              <wp:extent cx="94615" cy="79375"/>
              <wp:wrapNone/>
              <wp:docPr id="183" name="Shape 18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09" type="#_x0000_t202" style="position:absolute;margin-left:530.39999999999998pt;margin-top:804.64999999999998pt;width:7.4500000000000002pt;height:6.25pt;z-index:-18874393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6736080</wp:posOffset>
              </wp:positionH>
              <wp:positionV relativeFrom="page">
                <wp:posOffset>10219055</wp:posOffset>
              </wp:positionV>
              <wp:extent cx="94615" cy="79375"/>
              <wp:wrapNone/>
              <wp:docPr id="188" name="Shape 188"/>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14" type="#_x0000_t202" style="position:absolute;margin-left:530.39999999999998pt;margin-top:804.64999999999998pt;width:7.4500000000000002pt;height:6.25pt;z-index:-18874393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6791325</wp:posOffset>
              </wp:positionH>
              <wp:positionV relativeFrom="page">
                <wp:posOffset>10132060</wp:posOffset>
              </wp:positionV>
              <wp:extent cx="30480" cy="79375"/>
              <wp:wrapNone/>
              <wp:docPr id="14" name="Shape 14"/>
              <a:graphic xmlns:a="http://schemas.openxmlformats.org/drawingml/2006/main">
                <a:graphicData uri="http://schemas.microsoft.com/office/word/2010/wordprocessingShape">
                  <wps:wsp>
                    <wps:cNvSpPr txBox="1"/>
                    <wps:spPr>
                      <a:xfrm>
                        <a:ext cx="3048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40" type="#_x0000_t202" style="position:absolute;margin-left:534.75pt;margin-top:797.80000000000007pt;width:2.3999999999999999pt;height:6.25pt;z-index:-18874405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6724015</wp:posOffset>
              </wp:positionH>
              <wp:positionV relativeFrom="page">
                <wp:posOffset>9942195</wp:posOffset>
              </wp:positionV>
              <wp:extent cx="106680" cy="79375"/>
              <wp:wrapNone/>
              <wp:docPr id="201" name="Shape 20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27" type="#_x0000_t202" style="position:absolute;margin-left:529.45000000000005pt;margin-top:782.85000000000002pt;width:8.4000000000000004pt;height:6.25pt;z-index:-18874392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6724015</wp:posOffset>
              </wp:positionH>
              <wp:positionV relativeFrom="page">
                <wp:posOffset>9942195</wp:posOffset>
              </wp:positionV>
              <wp:extent cx="106680" cy="79375"/>
              <wp:wrapNone/>
              <wp:docPr id="206" name="Shape 206"/>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32" type="#_x0000_t202" style="position:absolute;margin-left:529.45000000000005pt;margin-top:782.85000000000002pt;width:8.4000000000000004pt;height:6.25pt;z-index:-18874392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6713220</wp:posOffset>
              </wp:positionH>
              <wp:positionV relativeFrom="page">
                <wp:posOffset>10087610</wp:posOffset>
              </wp:positionV>
              <wp:extent cx="97790" cy="79375"/>
              <wp:wrapNone/>
              <wp:docPr id="212" name="Shape 21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38" type="#_x0000_t202" style="position:absolute;margin-left:528.60000000000002pt;margin-top:794.30000000000007pt;width:7.7000000000000002pt;height:6.25pt;z-index:-18874391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6736080</wp:posOffset>
              </wp:positionH>
              <wp:positionV relativeFrom="page">
                <wp:posOffset>10219055</wp:posOffset>
              </wp:positionV>
              <wp:extent cx="94615" cy="79375"/>
              <wp:wrapNone/>
              <wp:docPr id="219" name="Shape 219"/>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45" type="#_x0000_t202" style="position:absolute;margin-left:530.39999999999998pt;margin-top:804.64999999999998pt;width:7.4500000000000002pt;height:6.25pt;z-index:-18874391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6736080</wp:posOffset>
              </wp:positionH>
              <wp:positionV relativeFrom="page">
                <wp:posOffset>10219055</wp:posOffset>
              </wp:positionV>
              <wp:extent cx="94615" cy="79375"/>
              <wp:wrapNone/>
              <wp:docPr id="224" name="Shape 22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0" type="#_x0000_t202" style="position:absolute;margin-left:530.39999999999998pt;margin-top:804.64999999999998pt;width:7.4500000000000002pt;height:6.25pt;z-index:-18874390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6713220</wp:posOffset>
              </wp:positionH>
              <wp:positionV relativeFrom="page">
                <wp:posOffset>10087610</wp:posOffset>
              </wp:positionV>
              <wp:extent cx="97790" cy="79375"/>
              <wp:wrapNone/>
              <wp:docPr id="235" name="Shape 23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61" type="#_x0000_t202" style="position:absolute;margin-left:528.60000000000002pt;margin-top:794.30000000000007pt;width:7.7000000000000002pt;height:6.25pt;z-index:-18874390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6724015</wp:posOffset>
              </wp:positionH>
              <wp:positionV relativeFrom="page">
                <wp:posOffset>9942195</wp:posOffset>
              </wp:positionV>
              <wp:extent cx="106680" cy="79375"/>
              <wp:wrapNone/>
              <wp:docPr id="240" name="Shape 240"/>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66" type="#_x0000_t202" style="position:absolute;margin-left:529.45000000000005pt;margin-top:782.85000000000002pt;width:8.4000000000000004pt;height:6.25pt;z-index:-18874389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6713220</wp:posOffset>
              </wp:positionH>
              <wp:positionV relativeFrom="page">
                <wp:posOffset>10087610</wp:posOffset>
              </wp:positionV>
              <wp:extent cx="97790" cy="79375"/>
              <wp:wrapNone/>
              <wp:docPr id="250" name="Shape 25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76" type="#_x0000_t202" style="position:absolute;margin-left:528.60000000000002pt;margin-top:794.30000000000007pt;width:7.7000000000000002pt;height:6.25pt;z-index:-18874389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6713220</wp:posOffset>
              </wp:positionH>
              <wp:positionV relativeFrom="page">
                <wp:posOffset>10087610</wp:posOffset>
              </wp:positionV>
              <wp:extent cx="97790" cy="79375"/>
              <wp:wrapNone/>
              <wp:docPr id="256" name="Shape 25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82" type="#_x0000_t202" style="position:absolute;margin-left:528.60000000000002pt;margin-top:794.30000000000007pt;width:7.7000000000000002pt;height:6.25pt;z-index:-18874388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6736080</wp:posOffset>
              </wp:positionH>
              <wp:positionV relativeFrom="page">
                <wp:posOffset>10219055</wp:posOffset>
              </wp:positionV>
              <wp:extent cx="94615" cy="79375"/>
              <wp:wrapNone/>
              <wp:docPr id="263" name="Shape 26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89" type="#_x0000_t202" style="position:absolute;margin-left:530.39999999999998pt;margin-top:804.64999999999998pt;width:7.4500000000000002pt;height:6.25pt;z-index:-18874388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6736715</wp:posOffset>
              </wp:positionH>
              <wp:positionV relativeFrom="page">
                <wp:posOffset>9988550</wp:posOffset>
              </wp:positionV>
              <wp:extent cx="97790" cy="79375"/>
              <wp:wrapNone/>
              <wp:docPr id="23" name="Shape 2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49" type="#_x0000_t202" style="position:absolute;margin-left:530.45000000000005pt;margin-top:786.5pt;width:7.7000000000000002pt;height:6.25pt;z-index:-18874404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6736080</wp:posOffset>
              </wp:positionH>
              <wp:positionV relativeFrom="page">
                <wp:posOffset>10219055</wp:posOffset>
              </wp:positionV>
              <wp:extent cx="94615" cy="79375"/>
              <wp:wrapNone/>
              <wp:docPr id="268" name="Shape 268"/>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94" type="#_x0000_t202" style="position:absolute;margin-left:530.39999999999998pt;margin-top:804.64999999999998pt;width:7.4500000000000002pt;height:6.25pt;z-index:-18874387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6731635</wp:posOffset>
              </wp:positionH>
              <wp:positionV relativeFrom="page">
                <wp:posOffset>9932670</wp:posOffset>
              </wp:positionV>
              <wp:extent cx="100330" cy="79375"/>
              <wp:wrapNone/>
              <wp:docPr id="277" name="Shape 27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03" type="#_x0000_t202" style="position:absolute;margin-left:530.04999999999995pt;margin-top:782.10000000000002pt;width:7.9000000000000004pt;height:6.25pt;z-index:-18874387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6713220</wp:posOffset>
              </wp:positionH>
              <wp:positionV relativeFrom="page">
                <wp:posOffset>10087610</wp:posOffset>
              </wp:positionV>
              <wp:extent cx="97790" cy="79375"/>
              <wp:wrapNone/>
              <wp:docPr id="283" name="Shape 28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09" type="#_x0000_t202" style="position:absolute;margin-left:528.60000000000002pt;margin-top:794.30000000000007pt;width:7.7000000000000002pt;height:6.25pt;z-index:-18874386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6713220</wp:posOffset>
              </wp:positionH>
              <wp:positionV relativeFrom="page">
                <wp:posOffset>10087610</wp:posOffset>
              </wp:positionV>
              <wp:extent cx="97790" cy="79375"/>
              <wp:wrapNone/>
              <wp:docPr id="289" name="Shape 28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15" type="#_x0000_t202" style="position:absolute;margin-left:528.60000000000002pt;margin-top:794.30000000000007pt;width:7.7000000000000002pt;height:6.25pt;z-index:-18874386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6713220</wp:posOffset>
              </wp:positionH>
              <wp:positionV relativeFrom="page">
                <wp:posOffset>10087610</wp:posOffset>
              </wp:positionV>
              <wp:extent cx="97790" cy="79375"/>
              <wp:wrapNone/>
              <wp:docPr id="295" name="Shape 29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21" type="#_x0000_t202" style="position:absolute;margin-left:528.60000000000002pt;margin-top:794.30000000000007pt;width:7.7000000000000002pt;height:6.25pt;z-index:-18874385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6736080</wp:posOffset>
              </wp:positionH>
              <wp:positionV relativeFrom="page">
                <wp:posOffset>10219055</wp:posOffset>
              </wp:positionV>
              <wp:extent cx="94615" cy="79375"/>
              <wp:wrapNone/>
              <wp:docPr id="300" name="Shape 300"/>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26" type="#_x0000_t202" style="position:absolute;margin-left:530.39999999999998pt;margin-top:804.64999999999998pt;width:7.4500000000000002pt;height:6.25pt;z-index:-18874385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6736080</wp:posOffset>
              </wp:positionH>
              <wp:positionV relativeFrom="page">
                <wp:posOffset>10219055</wp:posOffset>
              </wp:positionV>
              <wp:extent cx="94615" cy="79375"/>
              <wp:wrapNone/>
              <wp:docPr id="305" name="Shape 305"/>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1" type="#_x0000_t202" style="position:absolute;margin-left:530.39999999999998pt;margin-top:804.64999999999998pt;width:7.4500000000000002pt;height:6.25pt;z-index:-18874384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6713220</wp:posOffset>
              </wp:positionH>
              <wp:positionV relativeFrom="page">
                <wp:posOffset>10087610</wp:posOffset>
              </wp:positionV>
              <wp:extent cx="97790" cy="79375"/>
              <wp:wrapNone/>
              <wp:docPr id="317" name="Shape 31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43" type="#_x0000_t202" style="position:absolute;margin-left:528.60000000000002pt;margin-top:794.30000000000007pt;width:7.7000000000000002pt;height:6.25pt;z-index:-18874384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6713220</wp:posOffset>
              </wp:positionH>
              <wp:positionV relativeFrom="page">
                <wp:posOffset>10087610</wp:posOffset>
              </wp:positionV>
              <wp:extent cx="97790" cy="79375"/>
              <wp:wrapNone/>
              <wp:docPr id="323" name="Shape 32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49" type="#_x0000_t202" style="position:absolute;margin-left:528.60000000000002pt;margin-top:794.30000000000007pt;width:7.7000000000000002pt;height:6.25pt;z-index:-18874383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6736080</wp:posOffset>
              </wp:positionH>
              <wp:positionV relativeFrom="page">
                <wp:posOffset>10219055</wp:posOffset>
              </wp:positionV>
              <wp:extent cx="94615" cy="79375"/>
              <wp:wrapNone/>
              <wp:docPr id="328" name="Shape 328"/>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54" type="#_x0000_t202" style="position:absolute;margin-left:530.39999999999998pt;margin-top:804.64999999999998pt;width:7.4500000000000002pt;height:6.25pt;z-index:-18874383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6736715</wp:posOffset>
              </wp:positionH>
              <wp:positionV relativeFrom="page">
                <wp:posOffset>9988550</wp:posOffset>
              </wp:positionV>
              <wp:extent cx="97790" cy="79375"/>
              <wp:wrapNone/>
              <wp:docPr id="29" name="Shape 2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55" type="#_x0000_t202" style="position:absolute;margin-left:530.45000000000005pt;margin-top:786.5pt;width:7.7000000000000002pt;height:6.25pt;z-index:-18874404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6736080</wp:posOffset>
              </wp:positionH>
              <wp:positionV relativeFrom="page">
                <wp:posOffset>10219055</wp:posOffset>
              </wp:positionV>
              <wp:extent cx="94615" cy="79375"/>
              <wp:wrapNone/>
              <wp:docPr id="333" name="Shape 33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59" type="#_x0000_t202" style="position:absolute;margin-left:530.39999999999998pt;margin-top:804.64999999999998pt;width:7.4500000000000002pt;height:6.25pt;z-index:-18874382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6713220</wp:posOffset>
              </wp:positionH>
              <wp:positionV relativeFrom="page">
                <wp:posOffset>10087610</wp:posOffset>
              </wp:positionV>
              <wp:extent cx="97790" cy="79375"/>
              <wp:wrapNone/>
              <wp:docPr id="345" name="Shape 34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71" type="#_x0000_t202" style="position:absolute;margin-left:528.60000000000002pt;margin-top:794.30000000000007pt;width:7.7000000000000002pt;height:6.25pt;z-index:-18874381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6713220</wp:posOffset>
              </wp:positionH>
              <wp:positionV relativeFrom="page">
                <wp:posOffset>10087610</wp:posOffset>
              </wp:positionV>
              <wp:extent cx="97790" cy="79375"/>
              <wp:wrapNone/>
              <wp:docPr id="351" name="Shape 35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77" type="#_x0000_t202" style="position:absolute;margin-left:528.60000000000002pt;margin-top:794.30000000000007pt;width:7.7000000000000002pt;height:6.25pt;z-index:-18874381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6736080</wp:posOffset>
              </wp:positionH>
              <wp:positionV relativeFrom="page">
                <wp:posOffset>10219055</wp:posOffset>
              </wp:positionV>
              <wp:extent cx="94615" cy="79375"/>
              <wp:wrapNone/>
              <wp:docPr id="364" name="Shape 36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90" type="#_x0000_t202" style="position:absolute;margin-left:530.39999999999998pt;margin-top:804.64999999999998pt;width:7.4500000000000002pt;height:6.25pt;z-index:-18874380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6736080</wp:posOffset>
              </wp:positionH>
              <wp:positionV relativeFrom="page">
                <wp:posOffset>10219055</wp:posOffset>
              </wp:positionV>
              <wp:extent cx="94615" cy="79375"/>
              <wp:wrapNone/>
              <wp:docPr id="369" name="Shape 369"/>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95" type="#_x0000_t202" style="position:absolute;margin-left:530.39999999999998pt;margin-top:804.64999999999998pt;width:7.4500000000000002pt;height:6.25pt;z-index:-18874380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6736080</wp:posOffset>
              </wp:positionH>
              <wp:positionV relativeFrom="page">
                <wp:posOffset>10219055</wp:posOffset>
              </wp:positionV>
              <wp:extent cx="94615" cy="79375"/>
              <wp:wrapNone/>
              <wp:docPr id="375" name="Shape 375"/>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01" type="#_x0000_t202" style="position:absolute;margin-left:530.39999999999998pt;margin-top:804.64999999999998pt;width:7.4500000000000002pt;height:6.25pt;z-index:-18874380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6789420</wp:posOffset>
              </wp:positionH>
              <wp:positionV relativeFrom="page">
                <wp:posOffset>9985375</wp:posOffset>
              </wp:positionV>
              <wp:extent cx="106680" cy="79375"/>
              <wp:wrapNone/>
              <wp:docPr id="379" name="Shape 379"/>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05" type="#_x0000_t202" style="position:absolute;margin-left:534.60000000000002pt;margin-top:786.25pt;width:8.4000000000000004pt;height:6.25pt;z-index:-1887437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6736080</wp:posOffset>
              </wp:positionH>
              <wp:positionV relativeFrom="page">
                <wp:posOffset>10219055</wp:posOffset>
              </wp:positionV>
              <wp:extent cx="94615" cy="79375"/>
              <wp:wrapNone/>
              <wp:docPr id="461" name="Shape 461"/>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87" type="#_x0000_t202" style="position:absolute;margin-left:530.39999999999998pt;margin-top:804.64999999999998pt;width:7.4500000000000002pt;height:6.25pt;z-index:-18874379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6736080</wp:posOffset>
              </wp:positionH>
              <wp:positionV relativeFrom="page">
                <wp:posOffset>10219055</wp:posOffset>
              </wp:positionV>
              <wp:extent cx="94615" cy="79375"/>
              <wp:wrapNone/>
              <wp:docPr id="466" name="Shape 466"/>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92" type="#_x0000_t202" style="position:absolute;margin-left:530.39999999999998pt;margin-top:804.64999999999998pt;width:7.4500000000000002pt;height:6.25pt;z-index:-18874378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6736080</wp:posOffset>
              </wp:positionH>
              <wp:positionV relativeFrom="page">
                <wp:posOffset>10219055</wp:posOffset>
              </wp:positionV>
              <wp:extent cx="94615" cy="79375"/>
              <wp:wrapNone/>
              <wp:docPr id="475" name="Shape 475"/>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01" type="#_x0000_t202" style="position:absolute;margin-left:530.39999999999998pt;margin-top:804.64999999999998pt;width:7.4500000000000002pt;height:6.25pt;z-index:-18874378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6776085</wp:posOffset>
              </wp:positionH>
              <wp:positionV relativeFrom="page">
                <wp:posOffset>9920605</wp:posOffset>
              </wp:positionV>
              <wp:extent cx="42545" cy="79375"/>
              <wp:wrapNone/>
              <wp:docPr id="34" name="Shape 34"/>
              <a:graphic xmlns:a="http://schemas.openxmlformats.org/drawingml/2006/main">
                <a:graphicData uri="http://schemas.microsoft.com/office/word/2010/wordprocessingShape">
                  <wps:wsp>
                    <wps:cNvSpPr txBox="1"/>
                    <wps:spPr>
                      <a:xfrm>
                        <a:ext cx="4254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60" type="#_x0000_t202" style="position:absolute;margin-left:533.54999999999995pt;margin-top:781.14999999999998pt;width:3.3500000000000001pt;height:6.25pt;z-index:-18874403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6789420</wp:posOffset>
              </wp:positionH>
              <wp:positionV relativeFrom="page">
                <wp:posOffset>9985375</wp:posOffset>
              </wp:positionV>
              <wp:extent cx="106680" cy="79375"/>
              <wp:wrapNone/>
              <wp:docPr id="479" name="Shape 479"/>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05" type="#_x0000_t202" style="position:absolute;margin-left:534.60000000000002pt;margin-top:786.25pt;width:8.4000000000000004pt;height:6.25pt;z-index:-18874378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7" behindDoc="1" locked="0" layoutInCell="1" allowOverlap="1">
              <wp:simplePos x="0" y="0"/>
              <wp:positionH relativeFrom="page">
                <wp:posOffset>6789420</wp:posOffset>
              </wp:positionH>
              <wp:positionV relativeFrom="page">
                <wp:posOffset>9985375</wp:posOffset>
              </wp:positionV>
              <wp:extent cx="106680" cy="79375"/>
              <wp:wrapNone/>
              <wp:docPr id="488" name="Shape 488"/>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14" type="#_x0000_t202" style="position:absolute;margin-left:534.60000000000002pt;margin-top:786.25pt;width:8.4000000000000004pt;height:6.25pt;z-index:-18874377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6789420</wp:posOffset>
              </wp:positionH>
              <wp:positionV relativeFrom="page">
                <wp:posOffset>9985375</wp:posOffset>
              </wp:positionV>
              <wp:extent cx="106680" cy="79375"/>
              <wp:wrapNone/>
              <wp:docPr id="492" name="Shape 492"/>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18" type="#_x0000_t202" style="position:absolute;margin-left:534.60000000000002pt;margin-top:786.25pt;width:8.4000000000000004pt;height:6.25pt;z-index:-18874377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6736080</wp:posOffset>
              </wp:positionH>
              <wp:positionV relativeFrom="page">
                <wp:posOffset>10219055</wp:posOffset>
              </wp:positionV>
              <wp:extent cx="94615" cy="79375"/>
              <wp:wrapNone/>
              <wp:docPr id="499" name="Shape 499"/>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25" type="#_x0000_t202" style="position:absolute;margin-left:530.39999999999998pt;margin-top:804.64999999999998pt;width:7.4500000000000002pt;height:6.25pt;z-index:-18874376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6736080</wp:posOffset>
              </wp:positionH>
              <wp:positionV relativeFrom="page">
                <wp:posOffset>10219055</wp:posOffset>
              </wp:positionV>
              <wp:extent cx="94615" cy="79375"/>
              <wp:wrapNone/>
              <wp:docPr id="504" name="Shape 50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30" type="#_x0000_t202" style="position:absolute;margin-left:530.39999999999998pt;margin-top:804.64999999999998pt;width:7.4500000000000002pt;height:6.25pt;z-index:-18874376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6595110</wp:posOffset>
              </wp:positionH>
              <wp:positionV relativeFrom="page">
                <wp:posOffset>9937750</wp:posOffset>
              </wp:positionV>
              <wp:extent cx="106680" cy="79375"/>
              <wp:wrapNone/>
              <wp:docPr id="511" name="Shape 51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37" type="#_x0000_t202" style="position:absolute;margin-left:519.29999999999995pt;margin-top:782.5pt;width:8.4000000000000004pt;height:6.25pt;z-index:-18874375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6595110</wp:posOffset>
              </wp:positionH>
              <wp:positionV relativeFrom="page">
                <wp:posOffset>9937750</wp:posOffset>
              </wp:positionV>
              <wp:extent cx="106680" cy="79375"/>
              <wp:wrapNone/>
              <wp:docPr id="517" name="Shape 517"/>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3" type="#_x0000_t202" style="position:absolute;margin-left:519.29999999999995pt;margin-top:782.5pt;width:8.4000000000000004pt;height:6.25pt;z-index:-18874375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6736080</wp:posOffset>
              </wp:positionH>
              <wp:positionV relativeFrom="page">
                <wp:posOffset>10219055</wp:posOffset>
              </wp:positionV>
              <wp:extent cx="94615" cy="79375"/>
              <wp:wrapNone/>
              <wp:docPr id="524" name="Shape 52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50" type="#_x0000_t202" style="position:absolute;margin-left:530.39999999999998pt;margin-top:804.64999999999998pt;width:7.4500000000000002pt;height:6.25pt;z-index:-18874374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6736080</wp:posOffset>
              </wp:positionH>
              <wp:positionV relativeFrom="page">
                <wp:posOffset>10219055</wp:posOffset>
              </wp:positionV>
              <wp:extent cx="94615" cy="79375"/>
              <wp:wrapNone/>
              <wp:docPr id="529" name="Shape 529"/>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55" type="#_x0000_t202" style="position:absolute;margin-left:530.39999999999998pt;margin-top:804.64999999999998pt;width:7.4500000000000002pt;height:6.25pt;z-index:-18874374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6727190</wp:posOffset>
              </wp:positionH>
              <wp:positionV relativeFrom="page">
                <wp:posOffset>9864090</wp:posOffset>
              </wp:positionV>
              <wp:extent cx="106680" cy="79375"/>
              <wp:wrapNone/>
              <wp:docPr id="547" name="Shape 547"/>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73" type="#_x0000_t202" style="position:absolute;margin-left:529.70000000000005pt;margin-top:776.70000000000005pt;width:8.4000000000000004pt;height:6.25pt;z-index:-18874373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6736715</wp:posOffset>
              </wp:positionH>
              <wp:positionV relativeFrom="page">
                <wp:posOffset>9988550</wp:posOffset>
              </wp:positionV>
              <wp:extent cx="97790" cy="79375"/>
              <wp:wrapNone/>
              <wp:docPr id="50" name="Shape 5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76" type="#_x0000_t202" style="position:absolute;margin-left:530.45000000000005pt;margin-top:786.5pt;width:7.7000000000000002pt;height:6.25pt;z-index:-18874403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6727190</wp:posOffset>
              </wp:positionH>
              <wp:positionV relativeFrom="page">
                <wp:posOffset>9864090</wp:posOffset>
              </wp:positionV>
              <wp:extent cx="106680" cy="79375"/>
              <wp:wrapNone/>
              <wp:docPr id="553" name="Shape 553"/>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79" type="#_x0000_t202" style="position:absolute;margin-left:529.70000000000005pt;margin-top:776.70000000000005pt;width:8.4000000000000004pt;height:6.25pt;z-index:-18874373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6699885</wp:posOffset>
              </wp:positionH>
              <wp:positionV relativeFrom="page">
                <wp:posOffset>10014585</wp:posOffset>
              </wp:positionV>
              <wp:extent cx="103505" cy="82550"/>
              <wp:wrapNone/>
              <wp:docPr id="565" name="Shape 565"/>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91" type="#_x0000_t202" style="position:absolute;margin-left:527.54999999999995pt;margin-top:788.55000000000007pt;width:8.1500000000000004pt;height:6.5pt;z-index:-18874372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6699885</wp:posOffset>
              </wp:positionH>
              <wp:positionV relativeFrom="page">
                <wp:posOffset>10014585</wp:posOffset>
              </wp:positionV>
              <wp:extent cx="103505" cy="82550"/>
              <wp:wrapNone/>
              <wp:docPr id="569" name="Shape 569"/>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95" type="#_x0000_t202" style="position:absolute;margin-left:527.54999999999995pt;margin-top:788.55000000000007pt;width:8.1500000000000004pt;height:6.5pt;z-index:-18874372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6595110</wp:posOffset>
              </wp:positionH>
              <wp:positionV relativeFrom="page">
                <wp:posOffset>9937750</wp:posOffset>
              </wp:positionV>
              <wp:extent cx="106680" cy="79375"/>
              <wp:wrapNone/>
              <wp:docPr id="575" name="Shape 575"/>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01" type="#_x0000_t202" style="position:absolute;margin-left:519.29999999999995pt;margin-top:782.5pt;width:8.4000000000000004pt;height:6.25pt;z-index:-18874371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6699885</wp:posOffset>
              </wp:positionH>
              <wp:positionV relativeFrom="page">
                <wp:posOffset>10014585</wp:posOffset>
              </wp:positionV>
              <wp:extent cx="103505" cy="82550"/>
              <wp:wrapNone/>
              <wp:docPr id="590" name="Shape 590"/>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16" type="#_x0000_t202" style="position:absolute;margin-left:527.54999999999995pt;margin-top:788.55000000000007pt;width:8.1500000000000004pt;height:6.5pt;z-index:-18874371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6699885</wp:posOffset>
              </wp:positionH>
              <wp:positionV relativeFrom="page">
                <wp:posOffset>10014585</wp:posOffset>
              </wp:positionV>
              <wp:extent cx="103505" cy="82550"/>
              <wp:wrapNone/>
              <wp:docPr id="594" name="Shape 594"/>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20" type="#_x0000_t202" style="position:absolute;margin-left:527.54999999999995pt;margin-top:788.55000000000007pt;width:8.1500000000000004pt;height:6.5pt;z-index:-18874370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6736080</wp:posOffset>
              </wp:positionH>
              <wp:positionV relativeFrom="page">
                <wp:posOffset>10219055</wp:posOffset>
              </wp:positionV>
              <wp:extent cx="94615" cy="79375"/>
              <wp:wrapNone/>
              <wp:docPr id="599" name="Shape 599"/>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25" type="#_x0000_t202" style="position:absolute;margin-left:530.39999999999998pt;margin-top:804.64999999999998pt;width:7.4500000000000002pt;height:6.25pt;z-index:-18874370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6699885</wp:posOffset>
              </wp:positionH>
              <wp:positionV relativeFrom="page">
                <wp:posOffset>10014585</wp:posOffset>
              </wp:positionV>
              <wp:extent cx="103505" cy="82550"/>
              <wp:wrapNone/>
              <wp:docPr id="626" name="Shape 626"/>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52" type="#_x0000_t202" style="position:absolute;margin-left:527.54999999999995pt;margin-top:788.55000000000007pt;width:8.1500000000000004pt;height:6.5pt;z-index:-18874370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6699885</wp:posOffset>
              </wp:positionH>
              <wp:positionV relativeFrom="page">
                <wp:posOffset>10014585</wp:posOffset>
              </wp:positionV>
              <wp:extent cx="103505" cy="82550"/>
              <wp:wrapNone/>
              <wp:docPr id="630" name="Shape 630"/>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56" type="#_x0000_t202" style="position:absolute;margin-left:527.54999999999995pt;margin-top:788.55000000000007pt;width:8.1500000000000004pt;height:6.5pt;z-index:-1887436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6736080</wp:posOffset>
              </wp:positionH>
              <wp:positionV relativeFrom="page">
                <wp:posOffset>10219055</wp:posOffset>
              </wp:positionV>
              <wp:extent cx="94615" cy="79375"/>
              <wp:wrapNone/>
              <wp:docPr id="635" name="Shape 635"/>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61" type="#_x0000_t202" style="position:absolute;margin-left:530.39999999999998pt;margin-top:804.64999999999998pt;width:7.4500000000000002pt;height:6.25pt;z-index:-18874369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6736715</wp:posOffset>
              </wp:positionH>
              <wp:positionV relativeFrom="page">
                <wp:posOffset>10051415</wp:posOffset>
              </wp:positionV>
              <wp:extent cx="97790" cy="82550"/>
              <wp:wrapNone/>
              <wp:docPr id="54" name="Shape 54"/>
              <a:graphic xmlns:a="http://schemas.openxmlformats.org/drawingml/2006/main">
                <a:graphicData uri="http://schemas.microsoft.com/office/word/2010/wordprocessingShape">
                  <wps:wsp>
                    <wps:cNvSpPr txBox="1"/>
                    <wps:spPr>
                      <a:xfrm>
                        <a:ext cx="97790" cy="825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80" type="#_x0000_t202" style="position:absolute;margin-left:530.45000000000005pt;margin-top:791.45000000000005pt;width:7.7000000000000002pt;height:6.5pt;z-index:-18874402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6732905</wp:posOffset>
              </wp:positionH>
              <wp:positionV relativeFrom="page">
                <wp:posOffset>9958070</wp:posOffset>
              </wp:positionV>
              <wp:extent cx="103505" cy="79375"/>
              <wp:wrapNone/>
              <wp:docPr id="642" name="Shape 64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68" type="#_x0000_t202" style="position:absolute;margin-left:530.14999999999998pt;margin-top:784.10000000000002pt;width:8.1500000000000004pt;height:6.25pt;z-index:-18874368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6732905</wp:posOffset>
              </wp:positionH>
              <wp:positionV relativeFrom="page">
                <wp:posOffset>9958070</wp:posOffset>
              </wp:positionV>
              <wp:extent cx="103505" cy="79375"/>
              <wp:wrapNone/>
              <wp:docPr id="647" name="Shape 64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73" type="#_x0000_t202" style="position:absolute;margin-left:530.14999999999998pt;margin-top:784.10000000000002pt;width:8.1500000000000004pt;height:6.25pt;z-index:-18874368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6731000</wp:posOffset>
              </wp:positionH>
              <wp:positionV relativeFrom="page">
                <wp:posOffset>9945370</wp:posOffset>
              </wp:positionV>
              <wp:extent cx="106680" cy="79375"/>
              <wp:wrapNone/>
              <wp:docPr id="667" name="Shape 667"/>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93" type="#_x0000_t202" style="position:absolute;margin-left:530.pt;margin-top:783.10000000000002pt;width:8.4000000000000004pt;height:6.25pt;z-index:-18874367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6699885</wp:posOffset>
              </wp:positionH>
              <wp:positionV relativeFrom="page">
                <wp:posOffset>10014585</wp:posOffset>
              </wp:positionV>
              <wp:extent cx="103505" cy="82550"/>
              <wp:wrapNone/>
              <wp:docPr id="671" name="Shape 671"/>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97" type="#_x0000_t202" style="position:absolute;margin-left:527.54999999999995pt;margin-top:788.55000000000007pt;width:8.1500000000000004pt;height:6.5pt;z-index:-18874367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6699885</wp:posOffset>
              </wp:positionH>
              <wp:positionV relativeFrom="page">
                <wp:posOffset>10014585</wp:posOffset>
              </wp:positionV>
              <wp:extent cx="103505" cy="82550"/>
              <wp:wrapNone/>
              <wp:docPr id="677" name="Shape 677"/>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03" type="#_x0000_t202" style="position:absolute;margin-left:527.54999999999995pt;margin-top:788.55000000000007pt;width:8.1500000000000004pt;height:6.5pt;z-index:-18874366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6699885</wp:posOffset>
              </wp:positionH>
              <wp:positionV relativeFrom="page">
                <wp:posOffset>10014585</wp:posOffset>
              </wp:positionV>
              <wp:extent cx="103505" cy="82550"/>
              <wp:wrapNone/>
              <wp:docPr id="681" name="Shape 681"/>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07" type="#_x0000_t202" style="position:absolute;margin-left:527.54999999999995pt;margin-top:788.55000000000007pt;width:8.1500000000000004pt;height:6.5pt;z-index:-1887436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6732905</wp:posOffset>
              </wp:positionH>
              <wp:positionV relativeFrom="page">
                <wp:posOffset>9958070</wp:posOffset>
              </wp:positionV>
              <wp:extent cx="103505" cy="79375"/>
              <wp:wrapNone/>
              <wp:docPr id="686" name="Shape 68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12" type="#_x0000_t202" style="position:absolute;margin-left:530.14999999999998pt;margin-top:784.10000000000002pt;width:8.1500000000000004pt;height:6.25pt;z-index:-1887436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6732905</wp:posOffset>
              </wp:positionH>
              <wp:positionV relativeFrom="page">
                <wp:posOffset>9958070</wp:posOffset>
              </wp:positionV>
              <wp:extent cx="103505" cy="79375"/>
              <wp:wrapNone/>
              <wp:docPr id="691" name="Shape 69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17" type="#_x0000_t202" style="position:absolute;margin-left:530.14999999999998pt;margin-top:784.10000000000002pt;width:8.1500000000000004pt;height:6.25pt;z-index:-18874365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6699885</wp:posOffset>
              </wp:positionH>
              <wp:positionV relativeFrom="page">
                <wp:posOffset>10014585</wp:posOffset>
              </wp:positionV>
              <wp:extent cx="103505" cy="82550"/>
              <wp:wrapNone/>
              <wp:docPr id="710" name="Shape 710"/>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36" type="#_x0000_t202" style="position:absolute;margin-left:527.54999999999995pt;margin-top:788.55000000000007pt;width:8.1500000000000004pt;height:6.5pt;z-index:-18874365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6699885</wp:posOffset>
              </wp:positionH>
              <wp:positionV relativeFrom="page">
                <wp:posOffset>10014585</wp:posOffset>
              </wp:positionV>
              <wp:extent cx="103505" cy="82550"/>
              <wp:wrapNone/>
              <wp:docPr id="714" name="Shape 714"/>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40" type="#_x0000_t202" style="position:absolute;margin-left:527.54999999999995pt;margin-top:788.55000000000007pt;width:8.1500000000000004pt;height:6.5pt;z-index:-18874364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6740525</wp:posOffset>
              </wp:positionH>
              <wp:positionV relativeFrom="page">
                <wp:posOffset>9919335</wp:posOffset>
              </wp:positionV>
              <wp:extent cx="42545" cy="79375"/>
              <wp:wrapNone/>
              <wp:docPr id="59" name="Shape 59"/>
              <a:graphic xmlns:a="http://schemas.openxmlformats.org/drawingml/2006/main">
                <a:graphicData uri="http://schemas.microsoft.com/office/word/2010/wordprocessingShape">
                  <wps:wsp>
                    <wps:cNvSpPr txBox="1"/>
                    <wps:spPr>
                      <a:xfrm>
                        <a:ext cx="42545" cy="79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85" type="#_x0000_t202" style="position:absolute;margin-left:530.75pt;margin-top:781.05000000000007pt;width:3.3500000000000001pt;height:6.25pt;z-index:-18874402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6680200</wp:posOffset>
              </wp:positionH>
              <wp:positionV relativeFrom="page">
                <wp:posOffset>9919970</wp:posOffset>
              </wp:positionV>
              <wp:extent cx="146050" cy="82550"/>
              <wp:wrapNone/>
              <wp:docPr id="719" name="Shape 719"/>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45" type="#_x0000_t202" style="position:absolute;margin-left:526.pt;margin-top:781.10000000000002pt;width:11.5pt;height:6.5pt;z-index:-18874364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6680200</wp:posOffset>
              </wp:positionH>
              <wp:positionV relativeFrom="page">
                <wp:posOffset>9958070</wp:posOffset>
              </wp:positionV>
              <wp:extent cx="155575" cy="79375"/>
              <wp:wrapNone/>
              <wp:docPr id="724" name="Shape 724"/>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50" type="#_x0000_t202" style="position:absolute;margin-left:526.pt;margin-top:784.10000000000002pt;width:12.25pt;height:6.25pt;z-index:-18874364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6680200</wp:posOffset>
              </wp:positionH>
              <wp:positionV relativeFrom="page">
                <wp:posOffset>9958070</wp:posOffset>
              </wp:positionV>
              <wp:extent cx="155575" cy="79375"/>
              <wp:wrapNone/>
              <wp:docPr id="729" name="Shape 72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55" type="#_x0000_t202" style="position:absolute;margin-left:526.pt;margin-top:784.10000000000002pt;width:12.25pt;height:6.25pt;z-index:-18874363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6699885</wp:posOffset>
              </wp:positionH>
              <wp:positionV relativeFrom="page">
                <wp:posOffset>10014585</wp:posOffset>
              </wp:positionV>
              <wp:extent cx="103505" cy="82550"/>
              <wp:wrapNone/>
              <wp:docPr id="739" name="Shape 739"/>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65" type="#_x0000_t202" style="position:absolute;margin-left:527.54999999999995pt;margin-top:788.55000000000007pt;width:8.1500000000000004pt;height:6.5pt;z-index:-18874363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6699885</wp:posOffset>
              </wp:positionH>
              <wp:positionV relativeFrom="page">
                <wp:posOffset>10014585</wp:posOffset>
              </wp:positionV>
              <wp:extent cx="103505" cy="82550"/>
              <wp:wrapNone/>
              <wp:docPr id="743" name="Shape 743"/>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69" type="#_x0000_t202" style="position:absolute;margin-left:527.54999999999995pt;margin-top:788.55000000000007pt;width:8.1500000000000004pt;height:6.5pt;z-index:-18874362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6680200</wp:posOffset>
              </wp:positionH>
              <wp:positionV relativeFrom="page">
                <wp:posOffset>9958070</wp:posOffset>
              </wp:positionV>
              <wp:extent cx="155575" cy="79375"/>
              <wp:wrapNone/>
              <wp:docPr id="748" name="Shape 74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74" type="#_x0000_t202" style="position:absolute;margin-left:526.pt;margin-top:784.10000000000002pt;width:12.25pt;height:6.25pt;z-index:-18874362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6680200</wp:posOffset>
              </wp:positionH>
              <wp:positionV relativeFrom="page">
                <wp:posOffset>9958070</wp:posOffset>
              </wp:positionV>
              <wp:extent cx="155575" cy="79375"/>
              <wp:wrapNone/>
              <wp:docPr id="753" name="Shape 75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79" type="#_x0000_t202" style="position:absolute;margin-left:526.pt;margin-top:784.10000000000002pt;width:12.25pt;height:6.25pt;z-index:-18874362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6699885</wp:posOffset>
              </wp:positionH>
              <wp:positionV relativeFrom="page">
                <wp:posOffset>10014585</wp:posOffset>
              </wp:positionV>
              <wp:extent cx="103505" cy="82550"/>
              <wp:wrapNone/>
              <wp:docPr id="765" name="Shape 765"/>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91" type="#_x0000_t202" style="position:absolute;margin-left:527.54999999999995pt;margin-top:788.55000000000007pt;width:8.1500000000000004pt;height:6.5pt;z-index:-18874361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6699885</wp:posOffset>
              </wp:positionH>
              <wp:positionV relativeFrom="page">
                <wp:posOffset>10014585</wp:posOffset>
              </wp:positionV>
              <wp:extent cx="103505" cy="82550"/>
              <wp:wrapNone/>
              <wp:docPr id="769" name="Shape 769"/>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95" type="#_x0000_t202" style="position:absolute;margin-left:527.54999999999995pt;margin-top:788.55000000000007pt;width:8.1500000000000004pt;height:6.5pt;z-index:-18874361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6683375</wp:posOffset>
              </wp:positionH>
              <wp:positionV relativeFrom="page">
                <wp:posOffset>10001250</wp:posOffset>
              </wp:positionV>
              <wp:extent cx="152400" cy="79375"/>
              <wp:wrapNone/>
              <wp:docPr id="774" name="Shape 77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00" type="#_x0000_t202" style="position:absolute;margin-left:526.25pt;margin-top:787.5pt;width:12.pt;height:6.25pt;z-index:-18874360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759460</wp:posOffset>
              </wp:positionH>
              <wp:positionV relativeFrom="page">
                <wp:posOffset>410845</wp:posOffset>
              </wp:positionV>
              <wp:extent cx="6065520" cy="222250"/>
              <wp:wrapNone/>
              <wp:docPr id="3" name="Shape 3"/>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59.800000000000004pt;margin-top:32.350000000000001pt;width:477.60000000000002pt;height:17.5pt;z-index:-188744062;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5782945</wp:posOffset>
              </wp:positionH>
              <wp:positionV relativeFrom="page">
                <wp:posOffset>514985</wp:posOffset>
              </wp:positionV>
              <wp:extent cx="1051560" cy="106680"/>
              <wp:wrapNone/>
              <wp:docPr id="62" name="Shape 6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88" type="#_x0000_t202" style="position:absolute;margin-left:455.35000000000002pt;margin-top:40.550000000000004pt;width:82.799999999999997pt;height:8.4000000000000004pt;z-index:-18874402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64" name="Shape 6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1242695</wp:posOffset>
              </wp:positionH>
              <wp:positionV relativeFrom="page">
                <wp:posOffset>534035</wp:posOffset>
              </wp:positionV>
              <wp:extent cx="5593080" cy="213360"/>
              <wp:wrapNone/>
              <wp:docPr id="776" name="Shape 776"/>
              <a:graphic xmlns:a="http://schemas.openxmlformats.org/drawingml/2006/main">
                <a:graphicData uri="http://schemas.microsoft.com/office/word/2010/wordprocessingShape">
                  <wps:wsp>
                    <wps:cNvSpPr txBox="1"/>
                    <wps:spPr>
                      <a:xfrm>
                        <a:ext cx="5593080" cy="213360"/>
                      </a:xfrm>
                      <a:prstGeom prst="rect"/>
                      <a:noFill/>
                    </wps:spPr>
                    <wps:txbx>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02" type="#_x0000_t202" style="position:absolute;margin-left:97.850000000000009pt;margin-top:42.050000000000004pt;width:440.40000000000003pt;height:16.800000000000001pt;z-index:-18874360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748665</wp:posOffset>
              </wp:positionV>
              <wp:extent cx="4791710" cy="0"/>
              <wp:wrapNone/>
              <wp:docPr id="778" name="Shape 77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8.950000000000003pt;width:377.30000000000001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737870</wp:posOffset>
              </wp:positionH>
              <wp:positionV relativeFrom="page">
                <wp:posOffset>361950</wp:posOffset>
              </wp:positionV>
              <wp:extent cx="6065520" cy="222250"/>
              <wp:wrapNone/>
              <wp:docPr id="781" name="Shape 781"/>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07" type="#_x0000_t202" style="position:absolute;margin-left:58.100000000000001pt;margin-top:28.5pt;width:477.60000000000002pt;height:17.5pt;z-index:-18874360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737870</wp:posOffset>
              </wp:positionH>
              <wp:positionV relativeFrom="page">
                <wp:posOffset>361950</wp:posOffset>
              </wp:positionV>
              <wp:extent cx="6065520" cy="222250"/>
              <wp:wrapNone/>
              <wp:docPr id="785" name="Shape 785"/>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11" type="#_x0000_t202" style="position:absolute;margin-left:58.100000000000001pt;margin-top:28.5pt;width:477.60000000000002pt;height:17.5pt;z-index:-18874359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5681980</wp:posOffset>
              </wp:positionH>
              <wp:positionV relativeFrom="page">
                <wp:posOffset>476250</wp:posOffset>
              </wp:positionV>
              <wp:extent cx="1051560" cy="106680"/>
              <wp:wrapNone/>
              <wp:docPr id="801" name="Shape 80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27" type="#_x0000_t202" style="position:absolute;margin-left:447.40000000000003pt;margin-top:37.5pt;width:82.799999999999997pt;height:8.4000000000000004pt;z-index:-18874359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03" name="Shape 80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5681980</wp:posOffset>
              </wp:positionH>
              <wp:positionV relativeFrom="page">
                <wp:posOffset>476250</wp:posOffset>
              </wp:positionV>
              <wp:extent cx="1051560" cy="106680"/>
              <wp:wrapNone/>
              <wp:docPr id="806" name="Shape 80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32" type="#_x0000_t202" style="position:absolute;margin-left:447.40000000000003pt;margin-top:37.5pt;width:82.799999999999997pt;height:8.4000000000000004pt;z-index:-18874359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08" name="Shape 80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737870</wp:posOffset>
              </wp:positionH>
              <wp:positionV relativeFrom="page">
                <wp:posOffset>361950</wp:posOffset>
              </wp:positionV>
              <wp:extent cx="6065520" cy="222250"/>
              <wp:wrapNone/>
              <wp:docPr id="815" name="Shape 815"/>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41" type="#_x0000_t202" style="position:absolute;margin-left:58.100000000000001pt;margin-top:28.5pt;width:477.60000000000002pt;height:17.5pt;z-index:-18874358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737870</wp:posOffset>
              </wp:positionH>
              <wp:positionV relativeFrom="page">
                <wp:posOffset>361950</wp:posOffset>
              </wp:positionV>
              <wp:extent cx="6065520" cy="222250"/>
              <wp:wrapNone/>
              <wp:docPr id="819" name="Shape 819"/>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45" type="#_x0000_t202" style="position:absolute;margin-left:58.100000000000001pt;margin-top:28.5pt;width:477.60000000000002pt;height:17.5pt;z-index:-18874358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737870</wp:posOffset>
              </wp:positionH>
              <wp:positionV relativeFrom="page">
                <wp:posOffset>361950</wp:posOffset>
              </wp:positionV>
              <wp:extent cx="6065520" cy="222250"/>
              <wp:wrapNone/>
              <wp:docPr id="827" name="Shape 82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53" type="#_x0000_t202" style="position:absolute;margin-left:58.100000000000001pt;margin-top:28.5pt;width:477.60000000000002pt;height:17.5pt;z-index:-18874357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737870</wp:posOffset>
              </wp:positionH>
              <wp:positionV relativeFrom="page">
                <wp:posOffset>361950</wp:posOffset>
              </wp:positionV>
              <wp:extent cx="6065520" cy="222250"/>
              <wp:wrapNone/>
              <wp:docPr id="831" name="Shape 831"/>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57" type="#_x0000_t202" style="position:absolute;margin-left:58.100000000000001pt;margin-top:28.5pt;width:477.60000000000002pt;height:17.5pt;z-index:-18874357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5681980</wp:posOffset>
              </wp:positionH>
              <wp:positionV relativeFrom="page">
                <wp:posOffset>476250</wp:posOffset>
              </wp:positionV>
              <wp:extent cx="1051560" cy="106680"/>
              <wp:wrapNone/>
              <wp:docPr id="835" name="Shape 83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61" type="#_x0000_t202" style="position:absolute;margin-left:447.40000000000003pt;margin-top:37.5pt;width:82.799999999999997pt;height:8.4000000000000004pt;z-index:-18874357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37" name="Shape 837"/>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5782945</wp:posOffset>
              </wp:positionH>
              <wp:positionV relativeFrom="page">
                <wp:posOffset>514985</wp:posOffset>
              </wp:positionV>
              <wp:extent cx="1051560" cy="106680"/>
              <wp:wrapNone/>
              <wp:docPr id="67" name="Shape 6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93" type="#_x0000_t202" style="position:absolute;margin-left:455.35000000000002pt;margin-top:40.550000000000004pt;width:82.799999999999997pt;height:8.4000000000000004pt;z-index:-18874401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69" name="Shape 69"/>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5681980</wp:posOffset>
              </wp:positionH>
              <wp:positionV relativeFrom="page">
                <wp:posOffset>476250</wp:posOffset>
              </wp:positionV>
              <wp:extent cx="1051560" cy="106680"/>
              <wp:wrapNone/>
              <wp:docPr id="843" name="Shape 843"/>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69" type="#_x0000_t202" style="position:absolute;margin-left:447.40000000000003pt;margin-top:37.5pt;width:82.799999999999997pt;height:8.4000000000000004pt;z-index:-18874356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45" name="Shape 845"/>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5681980</wp:posOffset>
              </wp:positionH>
              <wp:positionV relativeFrom="page">
                <wp:posOffset>476250</wp:posOffset>
              </wp:positionV>
              <wp:extent cx="1051560" cy="106680"/>
              <wp:wrapNone/>
              <wp:docPr id="848" name="Shape 84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74" type="#_x0000_t202" style="position:absolute;margin-left:447.40000000000003pt;margin-top:37.5pt;width:82.799999999999997pt;height:8.4000000000000004pt;z-index:-18874356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50" name="Shape 85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5681980</wp:posOffset>
              </wp:positionH>
              <wp:positionV relativeFrom="page">
                <wp:posOffset>476250</wp:posOffset>
              </wp:positionV>
              <wp:extent cx="1051560" cy="106680"/>
              <wp:wrapNone/>
              <wp:docPr id="854" name="Shape 854"/>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80" type="#_x0000_t202" style="position:absolute;margin-left:447.40000000000003pt;margin-top:37.5pt;width:82.799999999999997pt;height:8.4000000000000004pt;z-index:-1887435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56" name="Shape 856"/>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737870</wp:posOffset>
              </wp:positionH>
              <wp:positionV relativeFrom="page">
                <wp:posOffset>361950</wp:posOffset>
              </wp:positionV>
              <wp:extent cx="6065520" cy="222250"/>
              <wp:wrapNone/>
              <wp:docPr id="859" name="Shape 859"/>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85" type="#_x0000_t202" style="position:absolute;margin-left:58.100000000000001pt;margin-top:28.5pt;width:477.60000000000002pt;height:17.5pt;z-index:-18874355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5681980</wp:posOffset>
              </wp:positionH>
              <wp:positionV relativeFrom="page">
                <wp:posOffset>476250</wp:posOffset>
              </wp:positionV>
              <wp:extent cx="1051560" cy="106680"/>
              <wp:wrapNone/>
              <wp:docPr id="867" name="Shape 86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93" type="#_x0000_t202" style="position:absolute;margin-left:447.40000000000003pt;margin-top:37.5pt;width:82.799999999999997pt;height:8.4000000000000004pt;z-index:-18874355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69" name="Shape 869"/>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5681980</wp:posOffset>
              </wp:positionH>
              <wp:positionV relativeFrom="page">
                <wp:posOffset>476250</wp:posOffset>
              </wp:positionV>
              <wp:extent cx="1051560" cy="106680"/>
              <wp:wrapNone/>
              <wp:docPr id="872" name="Shape 87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98" type="#_x0000_t202" style="position:absolute;margin-left:447.40000000000003pt;margin-top:37.5pt;width:82.799999999999997pt;height:8.4000000000000004pt;z-index:-18874354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74" name="Shape 87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737870</wp:posOffset>
              </wp:positionH>
              <wp:positionV relativeFrom="page">
                <wp:posOffset>361950</wp:posOffset>
              </wp:positionV>
              <wp:extent cx="6065520" cy="222250"/>
              <wp:wrapNone/>
              <wp:docPr id="883" name="Shape 883"/>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909" type="#_x0000_t202" style="position:absolute;margin-left:58.100000000000001pt;margin-top:28.5pt;width:477.60000000000002pt;height:17.5pt;z-index:-18874354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737870</wp:posOffset>
              </wp:positionH>
              <wp:positionV relativeFrom="page">
                <wp:posOffset>361950</wp:posOffset>
              </wp:positionV>
              <wp:extent cx="6065520" cy="222250"/>
              <wp:wrapNone/>
              <wp:docPr id="887" name="Shape 88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913" type="#_x0000_t202" style="position:absolute;margin-left:58.100000000000001pt;margin-top:28.5pt;width:477.60000000000002pt;height:17.5pt;z-index:-18874353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5681980</wp:posOffset>
              </wp:positionH>
              <wp:positionV relativeFrom="page">
                <wp:posOffset>476250</wp:posOffset>
              </wp:positionV>
              <wp:extent cx="1051560" cy="106680"/>
              <wp:wrapNone/>
              <wp:docPr id="891" name="Shape 89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17" type="#_x0000_t202" style="position:absolute;margin-left:447.40000000000003pt;margin-top:37.5pt;width:82.799999999999997pt;height:8.4000000000000004pt;z-index:-18874353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93" name="Shape 89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5681980</wp:posOffset>
              </wp:positionH>
              <wp:positionV relativeFrom="page">
                <wp:posOffset>476250</wp:posOffset>
              </wp:positionV>
              <wp:extent cx="1051560" cy="106680"/>
              <wp:wrapNone/>
              <wp:docPr id="896" name="Shape 89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22" type="#_x0000_t202" style="position:absolute;margin-left:447.40000000000003pt;margin-top:37.5pt;width:82.799999999999997pt;height:8.4000000000000004pt;z-index:-18874353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898" name="Shape 89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759460</wp:posOffset>
              </wp:positionH>
              <wp:positionV relativeFrom="page">
                <wp:posOffset>410845</wp:posOffset>
              </wp:positionV>
              <wp:extent cx="6065520" cy="222250"/>
              <wp:wrapNone/>
              <wp:docPr id="75" name="Shape 75"/>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101" type="#_x0000_t202" style="position:absolute;margin-left:59.800000000000004pt;margin-top:32.350000000000001pt;width:477.60000000000002pt;height:17.5pt;z-index:-188744012;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5681980</wp:posOffset>
              </wp:positionH>
              <wp:positionV relativeFrom="page">
                <wp:posOffset>476250</wp:posOffset>
              </wp:positionV>
              <wp:extent cx="1051560" cy="106680"/>
              <wp:wrapNone/>
              <wp:docPr id="920" name="Shape 920"/>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46" type="#_x0000_t202" style="position:absolute;margin-left:447.40000000000003pt;margin-top:37.5pt;width:82.799999999999997pt;height:8.4000000000000004pt;z-index:-18874352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922" name="Shape 922"/>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737870</wp:posOffset>
              </wp:positionH>
              <wp:positionV relativeFrom="page">
                <wp:posOffset>361950</wp:posOffset>
              </wp:positionV>
              <wp:extent cx="6065520" cy="222250"/>
              <wp:wrapNone/>
              <wp:docPr id="925" name="Shape 925"/>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951" type="#_x0000_t202" style="position:absolute;margin-left:58.100000000000001pt;margin-top:28.5pt;width:477.60000000000002pt;height:17.5pt;z-index:-18874352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737870</wp:posOffset>
              </wp:positionH>
              <wp:positionV relativeFrom="page">
                <wp:posOffset>361950</wp:posOffset>
              </wp:positionV>
              <wp:extent cx="6065520" cy="222250"/>
              <wp:wrapNone/>
              <wp:docPr id="934" name="Shape 934"/>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960" type="#_x0000_t202" style="position:absolute;margin-left:58.100000000000001pt;margin-top:28.5pt;width:477.60000000000002pt;height:17.5pt;z-index:-18874351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737870</wp:posOffset>
              </wp:positionH>
              <wp:positionV relativeFrom="page">
                <wp:posOffset>361950</wp:posOffset>
              </wp:positionV>
              <wp:extent cx="6065520" cy="222250"/>
              <wp:wrapNone/>
              <wp:docPr id="938" name="Shape 93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964" type="#_x0000_t202" style="position:absolute;margin-left:58.100000000000001pt;margin-top:28.5pt;width:477.60000000000002pt;height:17.5pt;z-index:-18874351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5681980</wp:posOffset>
              </wp:positionH>
              <wp:positionV relativeFrom="page">
                <wp:posOffset>476250</wp:posOffset>
              </wp:positionV>
              <wp:extent cx="1051560" cy="106680"/>
              <wp:wrapNone/>
              <wp:docPr id="948" name="Shape 94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74" type="#_x0000_t202" style="position:absolute;margin-left:447.40000000000003pt;margin-top:37.5pt;width:82.799999999999997pt;height:8.4000000000000004pt;z-index:-18874351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950" name="Shape 95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737870</wp:posOffset>
              </wp:positionH>
              <wp:positionV relativeFrom="page">
                <wp:posOffset>361950</wp:posOffset>
              </wp:positionV>
              <wp:extent cx="6065520" cy="222250"/>
              <wp:wrapNone/>
              <wp:docPr id="953" name="Shape 953"/>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979" type="#_x0000_t202" style="position:absolute;margin-left:58.100000000000001pt;margin-top:28.5pt;width:477.60000000000002pt;height:17.5pt;z-index:-18874350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5681980</wp:posOffset>
              </wp:positionH>
              <wp:positionV relativeFrom="page">
                <wp:posOffset>476250</wp:posOffset>
              </wp:positionV>
              <wp:extent cx="1051560" cy="106680"/>
              <wp:wrapNone/>
              <wp:docPr id="967" name="Shape 96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93" type="#_x0000_t202" style="position:absolute;margin-left:447.40000000000003pt;margin-top:37.5pt;width:82.799999999999997pt;height:8.4000000000000004pt;z-index:-18874350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969" name="Shape 969"/>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5681980</wp:posOffset>
              </wp:positionH>
              <wp:positionV relativeFrom="page">
                <wp:posOffset>476250</wp:posOffset>
              </wp:positionV>
              <wp:extent cx="1051560" cy="106680"/>
              <wp:wrapNone/>
              <wp:docPr id="972" name="Shape 97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98" type="#_x0000_t202" style="position:absolute;margin-left:447.40000000000003pt;margin-top:37.5pt;width:82.799999999999997pt;height:8.4000000000000004pt;z-index:-18874349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974" name="Shape 97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737870</wp:posOffset>
              </wp:positionH>
              <wp:positionV relativeFrom="page">
                <wp:posOffset>361950</wp:posOffset>
              </wp:positionV>
              <wp:extent cx="6065520" cy="222250"/>
              <wp:wrapNone/>
              <wp:docPr id="989" name="Shape 989"/>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15" type="#_x0000_t202" style="position:absolute;margin-left:58.100000000000001pt;margin-top:28.5pt;width:477.60000000000002pt;height:17.5pt;z-index:-18874349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737870</wp:posOffset>
              </wp:positionH>
              <wp:positionV relativeFrom="page">
                <wp:posOffset>361950</wp:posOffset>
              </wp:positionV>
              <wp:extent cx="6065520" cy="222250"/>
              <wp:wrapNone/>
              <wp:docPr id="993" name="Shape 993"/>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19" type="#_x0000_t202" style="position:absolute;margin-left:58.100000000000001pt;margin-top:28.5pt;width:477.60000000000002pt;height:17.5pt;z-index:-18874349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759460</wp:posOffset>
              </wp:positionH>
              <wp:positionV relativeFrom="page">
                <wp:posOffset>410845</wp:posOffset>
              </wp:positionV>
              <wp:extent cx="6065520" cy="222250"/>
              <wp:wrapNone/>
              <wp:docPr id="79" name="Shape 79"/>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105" type="#_x0000_t202" style="position:absolute;margin-left:59.800000000000004pt;margin-top:32.350000000000001pt;width:477.60000000000002pt;height:17.5pt;z-index:-188744008;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6" behindDoc="1" locked="0" layoutInCell="1" allowOverlap="1">
              <wp:simplePos x="0" y="0"/>
              <wp:positionH relativeFrom="page">
                <wp:posOffset>5681980</wp:posOffset>
              </wp:positionH>
              <wp:positionV relativeFrom="page">
                <wp:posOffset>476250</wp:posOffset>
              </wp:positionV>
              <wp:extent cx="1051560" cy="106680"/>
              <wp:wrapNone/>
              <wp:docPr id="998" name="Shape 99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24" type="#_x0000_t202" style="position:absolute;margin-left:447.40000000000003pt;margin-top:37.5pt;width:82.799999999999997pt;height:8.4000000000000004pt;z-index:-18874348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000" name="Shape 100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5681980</wp:posOffset>
              </wp:positionH>
              <wp:positionV relativeFrom="page">
                <wp:posOffset>476250</wp:posOffset>
              </wp:positionV>
              <wp:extent cx="1051560" cy="106680"/>
              <wp:wrapNone/>
              <wp:docPr id="1003" name="Shape 1003"/>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29" type="#_x0000_t202" style="position:absolute;margin-left:447.40000000000003pt;margin-top:37.5pt;width:82.799999999999997pt;height:8.4000000000000004pt;z-index:-18874348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005" name="Shape 1005"/>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737870</wp:posOffset>
              </wp:positionH>
              <wp:positionV relativeFrom="page">
                <wp:posOffset>361950</wp:posOffset>
              </wp:positionV>
              <wp:extent cx="6065520" cy="222250"/>
              <wp:wrapNone/>
              <wp:docPr id="1014" name="Shape 1014"/>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40" type="#_x0000_t202" style="position:absolute;margin-left:58.100000000000001pt;margin-top:28.5pt;width:477.60000000000002pt;height:17.5pt;z-index:-18874347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737870</wp:posOffset>
              </wp:positionH>
              <wp:positionV relativeFrom="page">
                <wp:posOffset>361950</wp:posOffset>
              </wp:positionV>
              <wp:extent cx="6065520" cy="222250"/>
              <wp:wrapNone/>
              <wp:docPr id="1018" name="Shape 101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44" type="#_x0000_t202" style="position:absolute;margin-left:58.100000000000001pt;margin-top:28.5pt;width:477.60000000000002pt;height:17.5pt;z-index:-18874347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737870</wp:posOffset>
              </wp:positionH>
              <wp:positionV relativeFrom="page">
                <wp:posOffset>361950</wp:posOffset>
              </wp:positionV>
              <wp:extent cx="6065520" cy="222250"/>
              <wp:wrapNone/>
              <wp:docPr id="1028" name="Shape 102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54" type="#_x0000_t202" style="position:absolute;margin-left:58.100000000000001pt;margin-top:28.5pt;width:477.60000000000002pt;height:17.5pt;z-index:-18874347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737870</wp:posOffset>
              </wp:positionH>
              <wp:positionV relativeFrom="page">
                <wp:posOffset>361950</wp:posOffset>
              </wp:positionV>
              <wp:extent cx="6065520" cy="222250"/>
              <wp:wrapNone/>
              <wp:docPr id="1032" name="Shape 1032"/>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58" type="#_x0000_t202" style="position:absolute;margin-left:58.100000000000001pt;margin-top:28.5pt;width:477.60000000000002pt;height:17.5pt;z-index:-18874346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5681980</wp:posOffset>
              </wp:positionH>
              <wp:positionV relativeFrom="page">
                <wp:posOffset>476250</wp:posOffset>
              </wp:positionV>
              <wp:extent cx="1051560" cy="106680"/>
              <wp:wrapNone/>
              <wp:docPr id="1036" name="Shape 103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62" type="#_x0000_t202" style="position:absolute;margin-left:447.40000000000003pt;margin-top:37.5pt;width:82.799999999999997pt;height:8.4000000000000004pt;z-index:-18874346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038" name="Shape 103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5681980</wp:posOffset>
              </wp:positionH>
              <wp:positionV relativeFrom="page">
                <wp:posOffset>476250</wp:posOffset>
              </wp:positionV>
              <wp:extent cx="1051560" cy="106680"/>
              <wp:wrapNone/>
              <wp:docPr id="1047" name="Shape 104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73" type="#_x0000_t202" style="position:absolute;margin-left:447.40000000000003pt;margin-top:37.5pt;width:82.799999999999997pt;height:8.4000000000000004pt;z-index:-1887434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049" name="Shape 1049"/>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5681980</wp:posOffset>
              </wp:positionH>
              <wp:positionV relativeFrom="page">
                <wp:posOffset>476250</wp:posOffset>
              </wp:positionV>
              <wp:extent cx="1051560" cy="106680"/>
              <wp:wrapNone/>
              <wp:docPr id="1052" name="Shape 105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78" type="#_x0000_t202" style="position:absolute;margin-left:447.40000000000003pt;margin-top:37.5pt;width:82.799999999999997pt;height:8.4000000000000004pt;z-index:-18874345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054" name="Shape 105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737870</wp:posOffset>
              </wp:positionH>
              <wp:positionV relativeFrom="page">
                <wp:posOffset>361950</wp:posOffset>
              </wp:positionV>
              <wp:extent cx="6065520" cy="222250"/>
              <wp:wrapNone/>
              <wp:docPr id="1062" name="Shape 1062"/>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88" type="#_x0000_t202" style="position:absolute;margin-left:58.100000000000001pt;margin-top:28.5pt;width:477.60000000000002pt;height:17.5pt;z-index:-18874345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794385</wp:posOffset>
              </wp:positionH>
              <wp:positionV relativeFrom="page">
                <wp:posOffset>413385</wp:posOffset>
              </wp:positionV>
              <wp:extent cx="1246505" cy="222250"/>
              <wp:wrapNone/>
              <wp:docPr id="88" name="Shape 88"/>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114" type="#_x0000_t202" style="position:absolute;margin-left:62.550000000000004pt;margin-top:32.549999999999997pt;width:98.150000000000006pt;height:17.5pt;z-index:-18874400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751" behindDoc="1" locked="0" layoutInCell="1" allowOverlap="1">
              <wp:simplePos x="0" y="0"/>
              <wp:positionH relativeFrom="page">
                <wp:posOffset>5808345</wp:posOffset>
              </wp:positionH>
              <wp:positionV relativeFrom="page">
                <wp:posOffset>526415</wp:posOffset>
              </wp:positionV>
              <wp:extent cx="1051560" cy="106680"/>
              <wp:wrapNone/>
              <wp:docPr id="90" name="Shape 90"/>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16" type="#_x0000_t202" style="position:absolute;margin-left:457.35000000000002pt;margin-top:41.450000000000003pt;width:82.799999999999997pt;height:8.4000000000000004pt;z-index:-18874400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737870</wp:posOffset>
              </wp:positionH>
              <wp:positionV relativeFrom="page">
                <wp:posOffset>361950</wp:posOffset>
              </wp:positionV>
              <wp:extent cx="6065520" cy="222250"/>
              <wp:wrapNone/>
              <wp:docPr id="1066" name="Shape 1066"/>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92" type="#_x0000_t202" style="position:absolute;margin-left:58.100000000000001pt;margin-top:28.5pt;width:477.60000000000002pt;height:17.5pt;z-index:-18874344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1236345</wp:posOffset>
              </wp:positionH>
              <wp:positionV relativeFrom="page">
                <wp:posOffset>452755</wp:posOffset>
              </wp:positionV>
              <wp:extent cx="5593080" cy="213360"/>
              <wp:wrapNone/>
              <wp:docPr id="1070" name="Shape 1070"/>
              <a:graphic xmlns:a="http://schemas.openxmlformats.org/drawingml/2006/main">
                <a:graphicData uri="http://schemas.microsoft.com/office/word/2010/wordprocessingShape">
                  <wps:wsp>
                    <wps:cNvSpPr txBox="1"/>
                    <wps:spPr>
                      <a:xfrm>
                        <a:ext cx="5593080" cy="213360"/>
                      </a:xfrm>
                      <a:prstGeom prst="rect"/>
                      <a:noFill/>
                    </wps:spPr>
                    <wps:txbx>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96" type="#_x0000_t202" style="position:absolute;margin-left:97.350000000000009pt;margin-top:35.649999999999999pt;width:440.40000000000003pt;height:16.800000000000001pt;z-index:-18874344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2062480</wp:posOffset>
              </wp:positionH>
              <wp:positionV relativeFrom="page">
                <wp:posOffset>667385</wp:posOffset>
              </wp:positionV>
              <wp:extent cx="4791710" cy="0"/>
              <wp:wrapNone/>
              <wp:docPr id="1072" name="Shape 1072"/>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40000000000001pt;margin-top:52.550000000000004pt;width:377.30000000000001pt;height:0;z-index:-251658240;mso-position-horizontal-relative:page;mso-position-vertical-relative:page">
              <v:stroke weight="1.pt"/>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5783580</wp:posOffset>
              </wp:positionH>
              <wp:positionV relativeFrom="page">
                <wp:posOffset>564515</wp:posOffset>
              </wp:positionV>
              <wp:extent cx="1051560" cy="106680"/>
              <wp:wrapNone/>
              <wp:docPr id="1087" name="Shape 108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13" type="#_x0000_t202" style="position:absolute;margin-left:455.40000000000003pt;margin-top:44.450000000000003pt;width:82.799999999999997pt;height:8.4000000000000004pt;z-index:-18874343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2068195</wp:posOffset>
              </wp:positionH>
              <wp:positionV relativeFrom="page">
                <wp:posOffset>706120</wp:posOffset>
              </wp:positionV>
              <wp:extent cx="4791710" cy="0"/>
              <wp:wrapNone/>
              <wp:docPr id="1089" name="Shape 1089"/>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4999999999999pt;margin-top:55.600000000000001pt;width:377.30000000000001pt;height:0;z-index:-251658240;mso-position-horizontal-relative:page;mso-position-vertical-relative:page">
              <v:stroke weight="1.pt"/>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5783580</wp:posOffset>
              </wp:positionH>
              <wp:positionV relativeFrom="page">
                <wp:posOffset>564515</wp:posOffset>
              </wp:positionV>
              <wp:extent cx="1051560" cy="106680"/>
              <wp:wrapNone/>
              <wp:docPr id="1094" name="Shape 1094"/>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20" type="#_x0000_t202" style="position:absolute;margin-left:455.40000000000003pt;margin-top:44.450000000000003pt;width:82.799999999999997pt;height:8.4000000000000004pt;z-index:-18874343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2068195</wp:posOffset>
              </wp:positionH>
              <wp:positionV relativeFrom="page">
                <wp:posOffset>706120</wp:posOffset>
              </wp:positionV>
              <wp:extent cx="4791710" cy="0"/>
              <wp:wrapNone/>
              <wp:docPr id="1096" name="Shape 1096"/>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4999999999999pt;margin-top:55.600000000000001pt;width:377.30000000000001pt;height:0;z-index:-251658240;mso-position-horizontal-relative:page;mso-position-vertical-relative:page">
              <v:stroke weight="1.pt"/>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6" behindDoc="1" locked="0" layoutInCell="1" allowOverlap="1">
              <wp:simplePos x="0" y="0"/>
              <wp:positionH relativeFrom="page">
                <wp:posOffset>737870</wp:posOffset>
              </wp:positionH>
              <wp:positionV relativeFrom="page">
                <wp:posOffset>361950</wp:posOffset>
              </wp:positionV>
              <wp:extent cx="6065520" cy="222250"/>
              <wp:wrapNone/>
              <wp:docPr id="1105" name="Shape 1105"/>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131" type="#_x0000_t202" style="position:absolute;margin-left:58.100000000000001pt;margin-top:28.5pt;width:477.60000000000002pt;height:17.5pt;z-index:-18874342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0" behindDoc="1" locked="0" layoutInCell="1" allowOverlap="1">
              <wp:simplePos x="0" y="0"/>
              <wp:positionH relativeFrom="page">
                <wp:posOffset>737870</wp:posOffset>
              </wp:positionH>
              <wp:positionV relativeFrom="page">
                <wp:posOffset>361950</wp:posOffset>
              </wp:positionV>
              <wp:extent cx="6065520" cy="222250"/>
              <wp:wrapNone/>
              <wp:docPr id="1109" name="Shape 1109"/>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135" type="#_x0000_t202" style="position:absolute;margin-left:58.100000000000001pt;margin-top:28.5pt;width:477.60000000000002pt;height:17.5pt;z-index:-18874342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754380</wp:posOffset>
              </wp:positionH>
              <wp:positionV relativeFrom="page">
                <wp:posOffset>412750</wp:posOffset>
              </wp:positionV>
              <wp:extent cx="1246505" cy="222250"/>
              <wp:wrapNone/>
              <wp:docPr id="1113" name="Shape 1113"/>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2139" type="#_x0000_t202" style="position:absolute;margin-left:59.399999999999999pt;margin-top:32.5pt;width:98.150000000000006pt;height:17.5pt;z-index:-18874341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336" behindDoc="1" locked="0" layoutInCell="1" allowOverlap="1">
              <wp:simplePos x="0" y="0"/>
              <wp:positionH relativeFrom="page">
                <wp:posOffset>5768340</wp:posOffset>
              </wp:positionH>
              <wp:positionV relativeFrom="page">
                <wp:posOffset>525780</wp:posOffset>
              </wp:positionV>
              <wp:extent cx="1051560" cy="106680"/>
              <wp:wrapNone/>
              <wp:docPr id="1115" name="Shape 111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41" type="#_x0000_t202" style="position:absolute;margin-left:454.19999999999999pt;margin-top:41.399999999999999pt;width:82.799999999999997pt;height:8.4000000000000004pt;z-index:-18874341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754380</wp:posOffset>
              </wp:positionH>
              <wp:positionV relativeFrom="page">
                <wp:posOffset>412750</wp:posOffset>
              </wp:positionV>
              <wp:extent cx="1246505" cy="222250"/>
              <wp:wrapNone/>
              <wp:docPr id="1119" name="Shape 1119"/>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2145" type="#_x0000_t202" style="position:absolute;margin-left:59.399999999999999pt;margin-top:32.5pt;width:98.150000000000006pt;height:17.5pt;z-index:-18874341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342" behindDoc="1" locked="0" layoutInCell="1" allowOverlap="1">
              <wp:simplePos x="0" y="0"/>
              <wp:positionH relativeFrom="page">
                <wp:posOffset>5768340</wp:posOffset>
              </wp:positionH>
              <wp:positionV relativeFrom="page">
                <wp:posOffset>525780</wp:posOffset>
              </wp:positionV>
              <wp:extent cx="1051560" cy="106680"/>
              <wp:wrapNone/>
              <wp:docPr id="1121" name="Shape 112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47" type="#_x0000_t202" style="position:absolute;margin-left:454.19999999999999pt;margin-top:41.399999999999999pt;width:82.799999999999997pt;height:8.4000000000000004pt;z-index:-18874341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6" behindDoc="1" locked="0" layoutInCell="1" allowOverlap="1">
              <wp:simplePos x="0" y="0"/>
              <wp:positionH relativeFrom="page">
                <wp:posOffset>754380</wp:posOffset>
              </wp:positionH>
              <wp:positionV relativeFrom="page">
                <wp:posOffset>412750</wp:posOffset>
              </wp:positionV>
              <wp:extent cx="1246505" cy="222250"/>
              <wp:wrapNone/>
              <wp:docPr id="1125" name="Shape 1125"/>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2151" type="#_x0000_t202" style="position:absolute;margin-left:59.399999999999999pt;margin-top:32.5pt;width:98.150000000000006pt;height:17.5pt;z-index:-18874340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348" behindDoc="1" locked="0" layoutInCell="1" allowOverlap="1">
              <wp:simplePos x="0" y="0"/>
              <wp:positionH relativeFrom="page">
                <wp:posOffset>5768340</wp:posOffset>
              </wp:positionH>
              <wp:positionV relativeFrom="page">
                <wp:posOffset>525780</wp:posOffset>
              </wp:positionV>
              <wp:extent cx="1051560" cy="106680"/>
              <wp:wrapNone/>
              <wp:docPr id="1127" name="Shape 112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53" type="#_x0000_t202" style="position:absolute;margin-left:454.19999999999999pt;margin-top:41.399999999999999pt;width:82.799999999999997pt;height:8.4000000000000004pt;z-index:-18874340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2" behindDoc="1" locked="0" layoutInCell="1" allowOverlap="1">
              <wp:simplePos x="0" y="0"/>
              <wp:positionH relativeFrom="page">
                <wp:posOffset>5681980</wp:posOffset>
              </wp:positionH>
              <wp:positionV relativeFrom="page">
                <wp:posOffset>476250</wp:posOffset>
              </wp:positionV>
              <wp:extent cx="1051560" cy="106680"/>
              <wp:wrapNone/>
              <wp:docPr id="1132" name="Shape 113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58" type="#_x0000_t202" style="position:absolute;margin-left:447.40000000000003pt;margin-top:37.5pt;width:82.799999999999997pt;height:8.4000000000000004pt;z-index:-18874340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134" name="Shape 113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794385</wp:posOffset>
              </wp:positionH>
              <wp:positionV relativeFrom="page">
                <wp:posOffset>413385</wp:posOffset>
              </wp:positionV>
              <wp:extent cx="1246505" cy="222250"/>
              <wp:wrapNone/>
              <wp:docPr id="94" name="Shape 94"/>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120" type="#_x0000_t202" style="position:absolute;margin-left:62.550000000000004pt;margin-top:32.549999999999997pt;width:98.150000000000006pt;height:17.5pt;z-index:-18874399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757" behindDoc="1" locked="0" layoutInCell="1" allowOverlap="1">
              <wp:simplePos x="0" y="0"/>
              <wp:positionH relativeFrom="page">
                <wp:posOffset>5808345</wp:posOffset>
              </wp:positionH>
              <wp:positionV relativeFrom="page">
                <wp:posOffset>526415</wp:posOffset>
              </wp:positionV>
              <wp:extent cx="1051560" cy="106680"/>
              <wp:wrapNone/>
              <wp:docPr id="96" name="Shape 9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22" type="#_x0000_t202" style="position:absolute;margin-left:457.35000000000002pt;margin-top:41.450000000000003pt;width:82.799999999999997pt;height:8.4000000000000004pt;z-index:-18874399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6" behindDoc="1" locked="0" layoutInCell="1" allowOverlap="1">
              <wp:simplePos x="0" y="0"/>
              <wp:positionH relativeFrom="page">
                <wp:posOffset>5681980</wp:posOffset>
              </wp:positionH>
              <wp:positionV relativeFrom="page">
                <wp:posOffset>476250</wp:posOffset>
              </wp:positionV>
              <wp:extent cx="1051560" cy="106680"/>
              <wp:wrapNone/>
              <wp:docPr id="1137" name="Shape 113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63" type="#_x0000_t202" style="position:absolute;margin-left:447.40000000000003pt;margin-top:37.5pt;width:82.799999999999997pt;height:8.4000000000000004pt;z-index:-1887433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139" name="Shape 1139"/>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0" behindDoc="1" locked="0" layoutInCell="1" allowOverlap="1">
              <wp:simplePos x="0" y="0"/>
              <wp:positionH relativeFrom="page">
                <wp:posOffset>754380</wp:posOffset>
              </wp:positionH>
              <wp:positionV relativeFrom="page">
                <wp:posOffset>412750</wp:posOffset>
              </wp:positionV>
              <wp:extent cx="1246505" cy="222250"/>
              <wp:wrapNone/>
              <wp:docPr id="1146" name="Shape 1146"/>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2172" type="#_x0000_t202" style="position:absolute;margin-left:59.399999999999999pt;margin-top:32.5pt;width:98.150000000000006pt;height:17.5pt;z-index:-18874339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362" behindDoc="1" locked="0" layoutInCell="1" allowOverlap="1">
              <wp:simplePos x="0" y="0"/>
              <wp:positionH relativeFrom="page">
                <wp:posOffset>5768340</wp:posOffset>
              </wp:positionH>
              <wp:positionV relativeFrom="page">
                <wp:posOffset>525780</wp:posOffset>
              </wp:positionV>
              <wp:extent cx="1051560" cy="106680"/>
              <wp:wrapNone/>
              <wp:docPr id="1148" name="Shape 114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74" type="#_x0000_t202" style="position:absolute;margin-left:454.19999999999999pt;margin-top:41.399999999999999pt;width:82.799999999999997pt;height:8.4000000000000004pt;z-index:-18874339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6" behindDoc="1" locked="0" layoutInCell="1" allowOverlap="1">
              <wp:simplePos x="0" y="0"/>
              <wp:positionH relativeFrom="page">
                <wp:posOffset>754380</wp:posOffset>
              </wp:positionH>
              <wp:positionV relativeFrom="page">
                <wp:posOffset>412750</wp:posOffset>
              </wp:positionV>
              <wp:extent cx="1246505" cy="222250"/>
              <wp:wrapNone/>
              <wp:docPr id="1152" name="Shape 1152"/>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2178" type="#_x0000_t202" style="position:absolute;margin-left:59.399999999999999pt;margin-top:32.5pt;width:98.150000000000006pt;height:17.5pt;z-index:-18874338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368" behindDoc="1" locked="0" layoutInCell="1" allowOverlap="1">
              <wp:simplePos x="0" y="0"/>
              <wp:positionH relativeFrom="page">
                <wp:posOffset>5768340</wp:posOffset>
              </wp:positionH>
              <wp:positionV relativeFrom="page">
                <wp:posOffset>525780</wp:posOffset>
              </wp:positionV>
              <wp:extent cx="1051560" cy="106680"/>
              <wp:wrapNone/>
              <wp:docPr id="1154" name="Shape 1154"/>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80" type="#_x0000_t202" style="position:absolute;margin-left:454.19999999999999pt;margin-top:41.399999999999999pt;width:82.799999999999997pt;height:8.4000000000000004pt;z-index:-18874338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2" behindDoc="1" locked="0" layoutInCell="1" allowOverlap="1">
              <wp:simplePos x="0" y="0"/>
              <wp:positionH relativeFrom="page">
                <wp:posOffset>754380</wp:posOffset>
              </wp:positionH>
              <wp:positionV relativeFrom="page">
                <wp:posOffset>412750</wp:posOffset>
              </wp:positionV>
              <wp:extent cx="1246505" cy="222250"/>
              <wp:wrapNone/>
              <wp:docPr id="1163" name="Shape 1163"/>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2189" type="#_x0000_t202" style="position:absolute;margin-left:59.399999999999999pt;margin-top:32.5pt;width:98.150000000000006pt;height:17.5pt;z-index:-18874338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374" behindDoc="1" locked="0" layoutInCell="1" allowOverlap="1">
              <wp:simplePos x="0" y="0"/>
              <wp:positionH relativeFrom="page">
                <wp:posOffset>5768340</wp:posOffset>
              </wp:positionH>
              <wp:positionV relativeFrom="page">
                <wp:posOffset>525780</wp:posOffset>
              </wp:positionV>
              <wp:extent cx="1051560" cy="106680"/>
              <wp:wrapNone/>
              <wp:docPr id="1165" name="Shape 116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91" type="#_x0000_t202" style="position:absolute;margin-left:454.19999999999999pt;margin-top:41.399999999999999pt;width:82.799999999999997pt;height:8.4000000000000004pt;z-index:-18874337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8" behindDoc="1" locked="0" layoutInCell="1" allowOverlap="1">
              <wp:simplePos x="0" y="0"/>
              <wp:positionH relativeFrom="page">
                <wp:posOffset>754380</wp:posOffset>
              </wp:positionH>
              <wp:positionV relativeFrom="page">
                <wp:posOffset>412750</wp:posOffset>
              </wp:positionV>
              <wp:extent cx="1246505" cy="222250"/>
              <wp:wrapNone/>
              <wp:docPr id="1169" name="Shape 1169"/>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2195" type="#_x0000_t202" style="position:absolute;margin-left:59.399999999999999pt;margin-top:32.5pt;width:98.150000000000006pt;height:17.5pt;z-index:-18874337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380" behindDoc="1" locked="0" layoutInCell="1" allowOverlap="1">
              <wp:simplePos x="0" y="0"/>
              <wp:positionH relativeFrom="page">
                <wp:posOffset>5768340</wp:posOffset>
              </wp:positionH>
              <wp:positionV relativeFrom="page">
                <wp:posOffset>525780</wp:posOffset>
              </wp:positionV>
              <wp:extent cx="1051560" cy="106680"/>
              <wp:wrapNone/>
              <wp:docPr id="1171" name="Shape 117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97" type="#_x0000_t202" style="position:absolute;margin-left:454.19999999999999pt;margin-top:41.399999999999999pt;width:82.799999999999997pt;height:8.4000000000000004pt;z-index:-18874337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4" behindDoc="1" locked="0" layoutInCell="1" allowOverlap="1">
              <wp:simplePos x="0" y="0"/>
              <wp:positionH relativeFrom="page">
                <wp:posOffset>737870</wp:posOffset>
              </wp:positionH>
              <wp:positionV relativeFrom="page">
                <wp:posOffset>361950</wp:posOffset>
              </wp:positionV>
              <wp:extent cx="6065520" cy="222250"/>
              <wp:wrapNone/>
              <wp:docPr id="1175" name="Shape 1175"/>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201" type="#_x0000_t202" style="position:absolute;margin-left:58.100000000000001pt;margin-top:28.5pt;width:477.60000000000002pt;height:17.5pt;z-index:-18874336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8" behindDoc="1" locked="0" layoutInCell="1" allowOverlap="1">
              <wp:simplePos x="0" y="0"/>
              <wp:positionH relativeFrom="page">
                <wp:posOffset>754380</wp:posOffset>
              </wp:positionH>
              <wp:positionV relativeFrom="page">
                <wp:posOffset>395605</wp:posOffset>
              </wp:positionV>
              <wp:extent cx="1246505" cy="277495"/>
              <wp:wrapNone/>
              <wp:docPr id="1179" name="Shape 1179"/>
              <a:graphic xmlns:a="http://schemas.openxmlformats.org/drawingml/2006/main">
                <a:graphicData uri="http://schemas.microsoft.com/office/word/2010/wordprocessingShape">
                  <wps:wsp>
                    <wps:cNvSpPr txBox="1"/>
                    <wps:spPr>
                      <a:xfrm>
                        <a:ext cx="1246505" cy="27749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D2B2E"/>
                              <w:spacing w:val="0"/>
                              <w:w w:val="100"/>
                              <w:position w:val="0"/>
                              <w:sz w:val="8"/>
                              <w:szCs w:val="8"/>
                            </w:rPr>
                            <w:t>BMNCSraiK</w:t>
                          </w:r>
                        </w:p>
                      </w:txbxContent>
                    </wps:txbx>
                    <wps:bodyPr wrap="none" lIns="0" tIns="0" rIns="0" bIns="0">
                      <a:spAutoFit/>
                    </wps:bodyPr>
                  </wps:wsp>
                </a:graphicData>
              </a:graphic>
            </wp:anchor>
          </w:drawing>
        </mc:Choice>
        <mc:Fallback>
          <w:pict>
            <v:shape id="_x0000_s2205" type="#_x0000_t202" style="position:absolute;margin-left:59.399999999999999pt;margin-top:31.150000000000002pt;width:98.150000000000006pt;height:21.850000000000001pt;z-index:-1887433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D2B2E"/>
                        <w:spacing w:val="0"/>
                        <w:w w:val="100"/>
                        <w:position w:val="0"/>
                        <w:sz w:val="8"/>
                        <w:szCs w:val="8"/>
                      </w:rPr>
                      <w:t>BMNCSraiK</w:t>
                    </w:r>
                  </w:p>
                </w:txbxContent>
              </v:textbox>
              <w10:wrap anchorx="page" anchory="page"/>
            </v:shape>
          </w:pict>
        </mc:Fallback>
      </mc:AlternateContent>
    </w:r>
    <w:r>
      <mc:AlternateContent>
        <mc:Choice Requires="wps">
          <w:drawing>
            <wp:anchor distT="0" distB="0" distL="0" distR="0" simplePos="0" relativeHeight="62915390" behindDoc="1" locked="0" layoutInCell="1" allowOverlap="1">
              <wp:simplePos x="0" y="0"/>
              <wp:positionH relativeFrom="page">
                <wp:posOffset>5768340</wp:posOffset>
              </wp:positionH>
              <wp:positionV relativeFrom="page">
                <wp:posOffset>508000</wp:posOffset>
              </wp:positionV>
              <wp:extent cx="1051560" cy="106680"/>
              <wp:wrapNone/>
              <wp:docPr id="1181" name="Shape 118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07" type="#_x0000_t202" style="position:absolute;margin-left:454.19999999999999pt;margin-top:40.pt;width:82.799999999999997pt;height:8.4000000000000004pt;z-index:-18874336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4" behindDoc="1" locked="0" layoutInCell="1" allowOverlap="1">
              <wp:simplePos x="0" y="0"/>
              <wp:positionH relativeFrom="page">
                <wp:posOffset>754380</wp:posOffset>
              </wp:positionH>
              <wp:positionV relativeFrom="page">
                <wp:posOffset>395605</wp:posOffset>
              </wp:positionV>
              <wp:extent cx="1246505" cy="277495"/>
              <wp:wrapNone/>
              <wp:docPr id="1185" name="Shape 1185"/>
              <a:graphic xmlns:a="http://schemas.openxmlformats.org/drawingml/2006/main">
                <a:graphicData uri="http://schemas.microsoft.com/office/word/2010/wordprocessingShape">
                  <wps:wsp>
                    <wps:cNvSpPr txBox="1"/>
                    <wps:spPr>
                      <a:xfrm>
                        <a:ext cx="1246505" cy="27749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D2B2E"/>
                              <w:spacing w:val="0"/>
                              <w:w w:val="100"/>
                              <w:position w:val="0"/>
                              <w:sz w:val="8"/>
                              <w:szCs w:val="8"/>
                            </w:rPr>
                            <w:t>BMNCSraiK</w:t>
                          </w:r>
                        </w:p>
                      </w:txbxContent>
                    </wps:txbx>
                    <wps:bodyPr wrap="none" lIns="0" tIns="0" rIns="0" bIns="0">
                      <a:spAutoFit/>
                    </wps:bodyPr>
                  </wps:wsp>
                </a:graphicData>
              </a:graphic>
            </wp:anchor>
          </w:drawing>
        </mc:Choice>
        <mc:Fallback>
          <w:pict>
            <v:shape id="_x0000_s2211" type="#_x0000_t202" style="position:absolute;margin-left:59.399999999999999pt;margin-top:31.150000000000002pt;width:98.150000000000006pt;height:21.850000000000001pt;z-index:-1887433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D2B2E"/>
                        <w:spacing w:val="0"/>
                        <w:w w:val="100"/>
                        <w:position w:val="0"/>
                        <w:sz w:val="8"/>
                        <w:szCs w:val="8"/>
                      </w:rPr>
                      <w:t>BMNCSraiK</w:t>
                    </w:r>
                  </w:p>
                </w:txbxContent>
              </v:textbox>
              <w10:wrap anchorx="page" anchory="page"/>
            </v:shape>
          </w:pict>
        </mc:Fallback>
      </mc:AlternateContent>
    </w:r>
    <w:r>
      <mc:AlternateContent>
        <mc:Choice Requires="wps">
          <w:drawing>
            <wp:anchor distT="0" distB="0" distL="0" distR="0" simplePos="0" relativeHeight="62915396" behindDoc="1" locked="0" layoutInCell="1" allowOverlap="1">
              <wp:simplePos x="0" y="0"/>
              <wp:positionH relativeFrom="page">
                <wp:posOffset>5768340</wp:posOffset>
              </wp:positionH>
              <wp:positionV relativeFrom="page">
                <wp:posOffset>508000</wp:posOffset>
              </wp:positionV>
              <wp:extent cx="1051560" cy="106680"/>
              <wp:wrapNone/>
              <wp:docPr id="1187" name="Shape 118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3" type="#_x0000_t202" style="position:absolute;margin-left:454.19999999999999pt;margin-top:40.pt;width:82.799999999999997pt;height:8.4000000000000004pt;z-index:-18874335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0" behindDoc="1" locked="0" layoutInCell="1" allowOverlap="1">
              <wp:simplePos x="0" y="0"/>
              <wp:positionH relativeFrom="page">
                <wp:posOffset>5681980</wp:posOffset>
              </wp:positionH>
              <wp:positionV relativeFrom="page">
                <wp:posOffset>476250</wp:posOffset>
              </wp:positionV>
              <wp:extent cx="1051560" cy="106680"/>
              <wp:wrapNone/>
              <wp:docPr id="1191" name="Shape 119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7" type="#_x0000_t202" style="position:absolute;margin-left:447.40000000000003pt;margin-top:37.5pt;width:82.799999999999997pt;height:8.4000000000000004pt;z-index:-18874335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193" name="Shape 119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4" behindDoc="1" locked="0" layoutInCell="1" allowOverlap="1">
              <wp:simplePos x="0" y="0"/>
              <wp:positionH relativeFrom="page">
                <wp:posOffset>5681980</wp:posOffset>
              </wp:positionH>
              <wp:positionV relativeFrom="page">
                <wp:posOffset>476250</wp:posOffset>
              </wp:positionV>
              <wp:extent cx="1051560" cy="106680"/>
              <wp:wrapNone/>
              <wp:docPr id="1196" name="Shape 119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22" type="#_x0000_t202" style="position:absolute;margin-left:447.40000000000003pt;margin-top:37.5pt;width:82.799999999999997pt;height:8.4000000000000004pt;z-index:-18874334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198" name="Shape 119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5782945</wp:posOffset>
              </wp:positionH>
              <wp:positionV relativeFrom="page">
                <wp:posOffset>514985</wp:posOffset>
              </wp:positionV>
              <wp:extent cx="1051560" cy="106680"/>
              <wp:wrapNone/>
              <wp:docPr id="101" name="Shape 10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27" type="#_x0000_t202" style="position:absolute;margin-left:455.35000000000002pt;margin-top:40.550000000000004pt;width:82.799999999999997pt;height:8.4000000000000004pt;z-index:-18874399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103" name="Shape 10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754380</wp:posOffset>
              </wp:positionH>
              <wp:positionV relativeFrom="page">
                <wp:posOffset>395605</wp:posOffset>
              </wp:positionV>
              <wp:extent cx="1246505" cy="277495"/>
              <wp:wrapNone/>
              <wp:docPr id="1203" name="Shape 1203"/>
              <a:graphic xmlns:a="http://schemas.openxmlformats.org/drawingml/2006/main">
                <a:graphicData uri="http://schemas.microsoft.com/office/word/2010/wordprocessingShape">
                  <wps:wsp>
                    <wps:cNvSpPr txBox="1"/>
                    <wps:spPr>
                      <a:xfrm>
                        <a:ext cx="1246505" cy="27749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D2B2E"/>
                              <w:spacing w:val="0"/>
                              <w:w w:val="100"/>
                              <w:position w:val="0"/>
                              <w:sz w:val="8"/>
                              <w:szCs w:val="8"/>
                            </w:rPr>
                            <w:t>BMNCSraiK</w:t>
                          </w:r>
                        </w:p>
                      </w:txbxContent>
                    </wps:txbx>
                    <wps:bodyPr wrap="none" lIns="0" tIns="0" rIns="0" bIns="0">
                      <a:spAutoFit/>
                    </wps:bodyPr>
                  </wps:wsp>
                </a:graphicData>
              </a:graphic>
            </wp:anchor>
          </w:drawing>
        </mc:Choice>
        <mc:Fallback>
          <w:pict>
            <v:shape id="_x0000_s2229" type="#_x0000_t202" style="position:absolute;margin-left:59.399999999999999pt;margin-top:31.150000000000002pt;width:98.150000000000006pt;height:21.850000000000001pt;z-index:-18874334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D2B2E"/>
                        <w:spacing w:val="0"/>
                        <w:w w:val="100"/>
                        <w:position w:val="0"/>
                        <w:sz w:val="8"/>
                        <w:szCs w:val="8"/>
                      </w:rPr>
                      <w:t>BMNCSraiK</w:t>
                    </w:r>
                  </w:p>
                </w:txbxContent>
              </v:textbox>
              <w10:wrap anchorx="page" anchory="page"/>
            </v:shape>
          </w:pict>
        </mc:Fallback>
      </mc:AlternateContent>
    </w:r>
    <w:r>
      <mc:AlternateContent>
        <mc:Choice Requires="wps">
          <w:drawing>
            <wp:anchor distT="0" distB="0" distL="0" distR="0" simplePos="0" relativeHeight="62915410" behindDoc="1" locked="0" layoutInCell="1" allowOverlap="1">
              <wp:simplePos x="0" y="0"/>
              <wp:positionH relativeFrom="page">
                <wp:posOffset>5768340</wp:posOffset>
              </wp:positionH>
              <wp:positionV relativeFrom="page">
                <wp:posOffset>508000</wp:posOffset>
              </wp:positionV>
              <wp:extent cx="1051560" cy="106680"/>
              <wp:wrapNone/>
              <wp:docPr id="1205" name="Shape 120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31" type="#_x0000_t202" style="position:absolute;margin-left:454.19999999999999pt;margin-top:40.pt;width:82.799999999999997pt;height:8.4000000000000004pt;z-index:-18874334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754380</wp:posOffset>
              </wp:positionH>
              <wp:positionV relativeFrom="page">
                <wp:posOffset>395605</wp:posOffset>
              </wp:positionV>
              <wp:extent cx="1246505" cy="277495"/>
              <wp:wrapNone/>
              <wp:docPr id="1209" name="Shape 1209"/>
              <a:graphic xmlns:a="http://schemas.openxmlformats.org/drawingml/2006/main">
                <a:graphicData uri="http://schemas.microsoft.com/office/word/2010/wordprocessingShape">
                  <wps:wsp>
                    <wps:cNvSpPr txBox="1"/>
                    <wps:spPr>
                      <a:xfrm>
                        <a:ext cx="1246505" cy="27749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D2B2E"/>
                              <w:spacing w:val="0"/>
                              <w:w w:val="100"/>
                              <w:position w:val="0"/>
                              <w:sz w:val="8"/>
                              <w:szCs w:val="8"/>
                            </w:rPr>
                            <w:t>BMNCSraiK</w:t>
                          </w:r>
                        </w:p>
                      </w:txbxContent>
                    </wps:txbx>
                    <wps:bodyPr wrap="none" lIns="0" tIns="0" rIns="0" bIns="0">
                      <a:spAutoFit/>
                    </wps:bodyPr>
                  </wps:wsp>
                </a:graphicData>
              </a:graphic>
            </wp:anchor>
          </w:drawing>
        </mc:Choice>
        <mc:Fallback>
          <w:pict>
            <v:shape id="_x0000_s2235" type="#_x0000_t202" style="position:absolute;margin-left:59.399999999999999pt;margin-top:31.150000000000002pt;width:98.150000000000006pt;height:21.850000000000001pt;z-index:-18874333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D2B2E"/>
                        <w:spacing w:val="0"/>
                        <w:w w:val="100"/>
                        <w:position w:val="0"/>
                        <w:sz w:val="8"/>
                        <w:szCs w:val="8"/>
                      </w:rPr>
                      <w:t>BMNCSraiK</w:t>
                    </w:r>
                  </w:p>
                </w:txbxContent>
              </v:textbox>
              <w10:wrap anchorx="page" anchory="page"/>
            </v:shape>
          </w:pict>
        </mc:Fallback>
      </mc:AlternateContent>
    </w:r>
    <w:r>
      <mc:AlternateContent>
        <mc:Choice Requires="wps">
          <w:drawing>
            <wp:anchor distT="0" distB="0" distL="0" distR="0" simplePos="0" relativeHeight="62915416" behindDoc="1" locked="0" layoutInCell="1" allowOverlap="1">
              <wp:simplePos x="0" y="0"/>
              <wp:positionH relativeFrom="page">
                <wp:posOffset>5768340</wp:posOffset>
              </wp:positionH>
              <wp:positionV relativeFrom="page">
                <wp:posOffset>508000</wp:posOffset>
              </wp:positionV>
              <wp:extent cx="1051560" cy="106680"/>
              <wp:wrapNone/>
              <wp:docPr id="1211" name="Shape 121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37" type="#_x0000_t202" style="position:absolute;margin-left:454.19999999999999pt;margin-top:40.pt;width:82.799999999999997pt;height:8.4000000000000004pt;z-index:-18874333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781685</wp:posOffset>
              </wp:positionH>
              <wp:positionV relativeFrom="page">
                <wp:posOffset>419735</wp:posOffset>
              </wp:positionV>
              <wp:extent cx="6065520" cy="222250"/>
              <wp:wrapNone/>
              <wp:docPr id="1215" name="Shape 1215"/>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241" type="#_x0000_t202" style="position:absolute;margin-left:61.550000000000004pt;margin-top:33.049999999999997pt;width:477.60000000000002pt;height:17.5pt;z-index:-18874333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781685</wp:posOffset>
              </wp:positionH>
              <wp:positionV relativeFrom="page">
                <wp:posOffset>419735</wp:posOffset>
              </wp:positionV>
              <wp:extent cx="6065520" cy="222250"/>
              <wp:wrapNone/>
              <wp:docPr id="1219" name="Shape 1219"/>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245" type="#_x0000_t202" style="position:absolute;margin-left:61.550000000000004pt;margin-top:33.049999999999997pt;width:477.60000000000002pt;height:17.5pt;z-index:-18874332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5681980</wp:posOffset>
              </wp:positionH>
              <wp:positionV relativeFrom="page">
                <wp:posOffset>476250</wp:posOffset>
              </wp:positionV>
              <wp:extent cx="1051560" cy="106680"/>
              <wp:wrapNone/>
              <wp:docPr id="1223" name="Shape 1223"/>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49" type="#_x0000_t202" style="position:absolute;margin-left:447.40000000000003pt;margin-top:37.5pt;width:82.799999999999997pt;height:8.4000000000000004pt;z-index:-18874332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225" name="Shape 1225"/>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2" behindDoc="1" locked="0" layoutInCell="1" allowOverlap="1">
              <wp:simplePos x="0" y="0"/>
              <wp:positionH relativeFrom="page">
                <wp:posOffset>5681980</wp:posOffset>
              </wp:positionH>
              <wp:positionV relativeFrom="page">
                <wp:posOffset>476250</wp:posOffset>
              </wp:positionV>
              <wp:extent cx="1051560" cy="106680"/>
              <wp:wrapNone/>
              <wp:docPr id="1228" name="Shape 122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54" type="#_x0000_t202" style="position:absolute;margin-left:447.40000000000003pt;margin-top:37.5pt;width:82.799999999999997pt;height:8.4000000000000004pt;z-index:-18874332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230" name="Shape 123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781685</wp:posOffset>
              </wp:positionH>
              <wp:positionV relativeFrom="page">
                <wp:posOffset>419735</wp:posOffset>
              </wp:positionV>
              <wp:extent cx="6065520" cy="222250"/>
              <wp:wrapNone/>
              <wp:docPr id="1238" name="Shape 123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264" type="#_x0000_t202" style="position:absolute;margin-left:61.550000000000004pt;margin-top:33.049999999999997pt;width:477.60000000000002pt;height:17.5pt;z-index:-18874331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5681980</wp:posOffset>
              </wp:positionH>
              <wp:positionV relativeFrom="page">
                <wp:posOffset>476250</wp:posOffset>
              </wp:positionV>
              <wp:extent cx="1051560" cy="106680"/>
              <wp:wrapNone/>
              <wp:docPr id="1242" name="Shape 124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68" type="#_x0000_t202" style="position:absolute;margin-left:447.40000000000003pt;margin-top:37.5pt;width:82.799999999999997pt;height:8.4000000000000004pt;z-index:-18874331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244" name="Shape 124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5681980</wp:posOffset>
              </wp:positionH>
              <wp:positionV relativeFrom="page">
                <wp:posOffset>476250</wp:posOffset>
              </wp:positionV>
              <wp:extent cx="1051560" cy="106680"/>
              <wp:wrapNone/>
              <wp:docPr id="1256" name="Shape 125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82" type="#_x0000_t202" style="position:absolute;margin-left:447.40000000000003pt;margin-top:37.5pt;width:82.799999999999997pt;height:8.4000000000000004pt;z-index:-18874330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258" name="Shape 125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1224280</wp:posOffset>
              </wp:positionH>
              <wp:positionV relativeFrom="page">
                <wp:posOffset>525780</wp:posOffset>
              </wp:positionV>
              <wp:extent cx="5593080" cy="213360"/>
              <wp:wrapNone/>
              <wp:docPr id="1261" name="Shape 1261"/>
              <a:graphic xmlns:a="http://schemas.openxmlformats.org/drawingml/2006/main">
                <a:graphicData uri="http://schemas.microsoft.com/office/word/2010/wordprocessingShape">
                  <wps:wsp>
                    <wps:cNvSpPr txBox="1"/>
                    <wps:spPr>
                      <a:xfrm>
                        <a:ext cx="5593080" cy="213360"/>
                      </a:xfrm>
                      <a:prstGeom prst="rect"/>
                      <a:noFill/>
                    </wps:spPr>
                    <wps:txbx>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287" type="#_x0000_t202" style="position:absolute;margin-left:96.400000000000006pt;margin-top:41.399999999999999pt;width:440.40000000000003pt;height:16.800000000000001pt;z-index:-18874330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2049780</wp:posOffset>
              </wp:positionH>
              <wp:positionV relativeFrom="page">
                <wp:posOffset>740410</wp:posOffset>
              </wp:positionV>
              <wp:extent cx="4791710" cy="0"/>
              <wp:wrapNone/>
              <wp:docPr id="1263" name="Shape 126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1.40000000000001pt;margin-top:58.300000000000004pt;width:377.30000000000001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5782945</wp:posOffset>
              </wp:positionH>
              <wp:positionV relativeFrom="page">
                <wp:posOffset>514985</wp:posOffset>
              </wp:positionV>
              <wp:extent cx="1051560" cy="106680"/>
              <wp:wrapNone/>
              <wp:docPr id="106" name="Shape 10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32" type="#_x0000_t202" style="position:absolute;margin-left:455.35000000000002pt;margin-top:40.550000000000004pt;width:82.799999999999997pt;height:8.4000000000000004pt;z-index:-18874398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108" name="Shape 10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5681980</wp:posOffset>
              </wp:positionH>
              <wp:positionV relativeFrom="page">
                <wp:posOffset>476250</wp:posOffset>
              </wp:positionV>
              <wp:extent cx="1051560" cy="106680"/>
              <wp:wrapNone/>
              <wp:docPr id="1266" name="Shape 126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92" type="#_x0000_t202" style="position:absolute;margin-left:447.40000000000003pt;margin-top:37.5pt;width:82.799999999999997pt;height:8.4000000000000004pt;z-index:-18874330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268" name="Shape 126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5681980</wp:posOffset>
              </wp:positionH>
              <wp:positionV relativeFrom="page">
                <wp:posOffset>476250</wp:posOffset>
              </wp:positionV>
              <wp:extent cx="1051560" cy="106680"/>
              <wp:wrapNone/>
              <wp:docPr id="1271" name="Shape 127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97" type="#_x0000_t202" style="position:absolute;margin-left:447.40000000000003pt;margin-top:37.5pt;width:82.799999999999997pt;height:8.4000000000000004pt;z-index:-1887432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273" name="Shape 127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5681980</wp:posOffset>
              </wp:positionH>
              <wp:positionV relativeFrom="page">
                <wp:posOffset>476250</wp:posOffset>
              </wp:positionV>
              <wp:extent cx="1051560" cy="106680"/>
              <wp:wrapNone/>
              <wp:docPr id="1281" name="Shape 128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07" type="#_x0000_t202" style="position:absolute;margin-left:447.40000000000003pt;margin-top:37.5pt;width:82.799999999999997pt;height:8.4000000000000004pt;z-index:-18874329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283" name="Shape 128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770255</wp:posOffset>
              </wp:positionH>
              <wp:positionV relativeFrom="page">
                <wp:posOffset>419735</wp:posOffset>
              </wp:positionV>
              <wp:extent cx="6065520" cy="222250"/>
              <wp:wrapNone/>
              <wp:docPr id="1286" name="Shape 1286"/>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312" type="#_x0000_t202" style="position:absolute;margin-left:60.649999999999999pt;margin-top:33.049999999999997pt;width:477.60000000000002pt;height:17.5pt;z-index:-18874328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674370</wp:posOffset>
              </wp:positionV>
              <wp:extent cx="4791710" cy="0"/>
              <wp:wrapNone/>
              <wp:docPr id="1288" name="Shape 128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3.100000000000001pt;width:377.30000000000001pt;height:0;z-index:-251658240;mso-position-horizontal-relative:page;mso-position-vertical-relative:page">
              <v:stroke weight="1.pt"/>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770255</wp:posOffset>
              </wp:positionH>
              <wp:positionV relativeFrom="page">
                <wp:posOffset>419735</wp:posOffset>
              </wp:positionV>
              <wp:extent cx="6065520" cy="222250"/>
              <wp:wrapNone/>
              <wp:docPr id="1296" name="Shape 1296"/>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322" type="#_x0000_t202" style="position:absolute;margin-left:60.649999999999999pt;margin-top:33.049999999999997pt;width:477.60000000000002pt;height:17.5pt;z-index:-18874328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674370</wp:posOffset>
              </wp:positionV>
              <wp:extent cx="4791710" cy="0"/>
              <wp:wrapNone/>
              <wp:docPr id="1298" name="Shape 129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3.100000000000001pt;width:377.30000000000001pt;height:0;z-index:-251658240;mso-position-horizontal-relative:page;mso-position-vertical-relative:page">
              <v:stroke weight="1.pt"/>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770255</wp:posOffset>
              </wp:positionH>
              <wp:positionV relativeFrom="page">
                <wp:posOffset>419735</wp:posOffset>
              </wp:positionV>
              <wp:extent cx="6065520" cy="222250"/>
              <wp:wrapNone/>
              <wp:docPr id="1301" name="Shape 1301"/>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327" type="#_x0000_t202" style="position:absolute;margin-left:60.649999999999999pt;margin-top:33.049999999999997pt;width:477.60000000000002pt;height:17.5pt;z-index:-18874328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674370</wp:posOffset>
              </wp:positionV>
              <wp:extent cx="4791710" cy="0"/>
              <wp:wrapNone/>
              <wp:docPr id="1303" name="Shape 130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3.100000000000001pt;width:377.30000000000001pt;height:0;z-index:-251658240;mso-position-horizontal-relative:page;mso-position-vertical-relative:page">
              <v:stroke weight="1.pt"/>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770255</wp:posOffset>
              </wp:positionH>
              <wp:positionV relativeFrom="page">
                <wp:posOffset>419735</wp:posOffset>
              </wp:positionV>
              <wp:extent cx="6065520" cy="222250"/>
              <wp:wrapNone/>
              <wp:docPr id="1318" name="Shape 131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344" type="#_x0000_t202" style="position:absolute;margin-left:60.649999999999999pt;margin-top:33.049999999999997pt;width:477.60000000000002pt;height:17.5pt;z-index:-18874327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674370</wp:posOffset>
              </wp:positionV>
              <wp:extent cx="4791710" cy="0"/>
              <wp:wrapNone/>
              <wp:docPr id="1320" name="Shape 132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3.100000000000001pt;width:377.30000000000001pt;height:0;z-index:-251658240;mso-position-horizontal-relative:page;mso-position-vertical-relative:page">
              <v:stroke weight="1.pt"/>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770255</wp:posOffset>
              </wp:positionH>
              <wp:positionV relativeFrom="page">
                <wp:posOffset>419735</wp:posOffset>
              </wp:positionV>
              <wp:extent cx="6065520" cy="222250"/>
              <wp:wrapNone/>
              <wp:docPr id="1323" name="Shape 1323"/>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349" type="#_x0000_t202" style="position:absolute;margin-left:60.649999999999999pt;margin-top:33.049999999999997pt;width:477.60000000000002pt;height:17.5pt;z-index:-18874327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674370</wp:posOffset>
              </wp:positionV>
              <wp:extent cx="4791710" cy="0"/>
              <wp:wrapNone/>
              <wp:docPr id="1325" name="Shape 1325"/>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3.100000000000001pt;width:377.30000000000001pt;height:0;z-index:-251658240;mso-position-horizontal-relative:page;mso-position-vertical-relative:page">
              <v:stroke weight="1.pt"/>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5681980</wp:posOffset>
              </wp:positionH>
              <wp:positionV relativeFrom="page">
                <wp:posOffset>476250</wp:posOffset>
              </wp:positionV>
              <wp:extent cx="1051560" cy="106680"/>
              <wp:wrapNone/>
              <wp:docPr id="1328" name="Shape 132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54" type="#_x0000_t202" style="position:absolute;margin-left:447.40000000000003pt;margin-top:37.5pt;width:82.799999999999997pt;height:8.4000000000000004pt;z-index:-18874326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330" name="Shape 133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5681980</wp:posOffset>
              </wp:positionH>
              <wp:positionV relativeFrom="page">
                <wp:posOffset>476250</wp:posOffset>
              </wp:positionV>
              <wp:extent cx="1051560" cy="106680"/>
              <wp:wrapNone/>
              <wp:docPr id="1339" name="Shape 1339"/>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65" type="#_x0000_t202" style="position:absolute;margin-left:447.40000000000003pt;margin-top:37.5pt;width:82.799999999999997pt;height:8.4000000000000004pt;z-index:-1887432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341" name="Shape 1341"/>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759460</wp:posOffset>
              </wp:positionH>
              <wp:positionV relativeFrom="page">
                <wp:posOffset>410845</wp:posOffset>
              </wp:positionV>
              <wp:extent cx="6065520" cy="222250"/>
              <wp:wrapNone/>
              <wp:docPr id="117" name="Shape 11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143" type="#_x0000_t202" style="position:absolute;margin-left:59.800000000000004pt;margin-top:32.350000000000001pt;width:477.60000000000002pt;height:17.5pt;z-index:-188743984;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2" behindDoc="1" locked="0" layoutInCell="1" allowOverlap="1">
              <wp:simplePos x="0" y="0"/>
              <wp:positionH relativeFrom="page">
                <wp:posOffset>5681980</wp:posOffset>
              </wp:positionH>
              <wp:positionV relativeFrom="page">
                <wp:posOffset>476250</wp:posOffset>
              </wp:positionV>
              <wp:extent cx="1051560" cy="106680"/>
              <wp:wrapNone/>
              <wp:docPr id="1344" name="Shape 1344"/>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70" type="#_x0000_t202" style="position:absolute;margin-left:447.40000000000003pt;margin-top:37.5pt;width:82.799999999999997pt;height:8.4000000000000004pt;z-index:-1887432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1966595</wp:posOffset>
              </wp:positionH>
              <wp:positionV relativeFrom="page">
                <wp:posOffset>690880</wp:posOffset>
              </wp:positionV>
              <wp:extent cx="4791710" cy="0"/>
              <wp:wrapNone/>
              <wp:docPr id="1346" name="Shape 1346"/>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4.84999999999999pt;margin-top:54.399999999999999pt;width:377.30000000000001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759460</wp:posOffset>
              </wp:positionH>
              <wp:positionV relativeFrom="page">
                <wp:posOffset>410845</wp:posOffset>
              </wp:positionV>
              <wp:extent cx="6065520" cy="222250"/>
              <wp:wrapNone/>
              <wp:docPr id="121" name="Shape 121"/>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147" type="#_x0000_t202" style="position:absolute;margin-left:59.800000000000004pt;margin-top:32.350000000000001pt;width:477.60000000000002pt;height:17.5pt;z-index:-188743980;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759460</wp:posOffset>
              </wp:positionH>
              <wp:positionV relativeFrom="page">
                <wp:posOffset>410845</wp:posOffset>
              </wp:positionV>
              <wp:extent cx="6065520" cy="222250"/>
              <wp:wrapNone/>
              <wp:docPr id="7" name="Shape 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033" type="#_x0000_t202" style="position:absolute;margin-left:59.800000000000004pt;margin-top:32.350000000000001pt;width:477.60000000000002pt;height:17.5pt;z-index:-188744058;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778510</wp:posOffset>
              </wp:positionH>
              <wp:positionV relativeFrom="page">
                <wp:posOffset>313055</wp:posOffset>
              </wp:positionV>
              <wp:extent cx="1289050" cy="463550"/>
              <wp:wrapNone/>
              <wp:docPr id="132" name="Shape 132"/>
              <a:graphic xmlns:a="http://schemas.openxmlformats.org/drawingml/2006/main">
                <a:graphicData uri="http://schemas.microsoft.com/office/word/2010/wordprocessingShape">
                  <wps:wsp>
                    <wps:cNvSpPr txBox="1"/>
                    <wps:spPr>
                      <a:xfrm>
                        <a:ext cx="1289050" cy="4635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呆超科技</w:t>
                          </w:r>
                        </w:p>
                        <w:p>
                          <w:pPr>
                            <w:pStyle w:val="Style12"/>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45994"/>
                              <w:spacing w:val="0"/>
                              <w:w w:val="100"/>
                              <w:position w:val="0"/>
                              <w:sz w:val="15"/>
                              <w:szCs w:val="15"/>
                              <w:shd w:val="clear" w:color="auto" w:fill="FFFFFF"/>
                            </w:rPr>
                            <w:t>"g</w:t>
                          </w:r>
                          <w:r>
                            <w:rPr>
                              <w:rFonts w:ascii="SimHei" w:eastAsia="SimHei" w:hAnsi="SimHei" w:cs="SimHei"/>
                              <w:color w:val="4E698D"/>
                              <w:spacing w:val="0"/>
                              <w:w w:val="100"/>
                              <w:position w:val="0"/>
                              <w:sz w:val="15"/>
                              <w:szCs w:val="15"/>
                              <w:shd w:val="clear" w:color="auto" w:fill="FFFFFF"/>
                            </w:rPr>
                            <w:t>国家高新技术企业</w:t>
                          </w:r>
                        </w:p>
                        <w:p>
                          <w:pPr>
                            <w:pStyle w:val="Style12"/>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4E698D"/>
                              <w:spacing w:val="0"/>
                              <w:w w:val="100"/>
                              <w:position w:val="0"/>
                              <w:sz w:val="15"/>
                              <w:szCs w:val="15"/>
                            </w:rPr>
                            <w:t>股票代码：</w:t>
                          </w:r>
                          <w:r>
                            <w:rPr>
                              <w:rFonts w:ascii="SimSun" w:eastAsia="SimSun" w:hAnsi="SimSun" w:cs="SimSun"/>
                              <w:color w:val="4E698D"/>
                              <w:spacing w:val="0"/>
                              <w:w w:val="100"/>
                              <w:position w:val="0"/>
                              <w:sz w:val="18"/>
                              <w:szCs w:val="18"/>
                            </w:rPr>
                            <w:t>300290</w:t>
                          </w:r>
                        </w:p>
                      </w:txbxContent>
                    </wps:txbx>
                    <wps:bodyPr wrap="none" lIns="0" tIns="0" rIns="0" bIns="0">
                      <a:spAutoFit/>
                    </wps:bodyPr>
                  </wps:wsp>
                </a:graphicData>
              </a:graphic>
            </wp:anchor>
          </w:drawing>
        </mc:Choice>
        <mc:Fallback>
          <w:pict>
            <v:shape id="_x0000_s1158" type="#_x0000_t202" style="position:absolute;margin-left:61.300000000000004pt;margin-top:24.650000000000002pt;width:101.5pt;height:36.5pt;z-index:-18874397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呆超科技</w:t>
                    </w:r>
                  </w:p>
                  <w:p>
                    <w:pPr>
                      <w:pStyle w:val="Style12"/>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45994"/>
                        <w:spacing w:val="0"/>
                        <w:w w:val="100"/>
                        <w:position w:val="0"/>
                        <w:sz w:val="15"/>
                        <w:szCs w:val="15"/>
                        <w:shd w:val="clear" w:color="auto" w:fill="FFFFFF"/>
                      </w:rPr>
                      <w:t>"g</w:t>
                    </w:r>
                    <w:r>
                      <w:rPr>
                        <w:rFonts w:ascii="SimHei" w:eastAsia="SimHei" w:hAnsi="SimHei" w:cs="SimHei"/>
                        <w:color w:val="4E698D"/>
                        <w:spacing w:val="0"/>
                        <w:w w:val="100"/>
                        <w:position w:val="0"/>
                        <w:sz w:val="15"/>
                        <w:szCs w:val="15"/>
                        <w:shd w:val="clear" w:color="auto" w:fill="FFFFFF"/>
                      </w:rPr>
                      <w:t>国家高新技术企业</w:t>
                    </w:r>
                  </w:p>
                  <w:p>
                    <w:pPr>
                      <w:pStyle w:val="Style12"/>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4E698D"/>
                        <w:spacing w:val="0"/>
                        <w:w w:val="100"/>
                        <w:position w:val="0"/>
                        <w:sz w:val="15"/>
                        <w:szCs w:val="15"/>
                      </w:rPr>
                      <w:t>股票代码：</w:t>
                    </w:r>
                    <w:r>
                      <w:rPr>
                        <w:rFonts w:ascii="SimSun" w:eastAsia="SimSun" w:hAnsi="SimSun" w:cs="SimSun"/>
                        <w:color w:val="4E698D"/>
                        <w:spacing w:val="0"/>
                        <w:w w:val="100"/>
                        <w:position w:val="0"/>
                        <w:sz w:val="18"/>
                        <w:szCs w:val="18"/>
                      </w:rPr>
                      <w:t>300290</w:t>
                    </w:r>
                  </w:p>
                </w:txbxContent>
              </v:textbox>
              <w10:wrap anchorx="page" anchory="page"/>
            </v:shape>
          </w:pict>
        </mc:Fallback>
      </mc:AlternateContent>
    </w:r>
    <w:r>
      <mc:AlternateContent>
        <mc:Choice Requires="wps">
          <w:drawing>
            <wp:anchor distT="0" distB="0" distL="0" distR="0" simplePos="0" relativeHeight="62914779" behindDoc="1" locked="0" layoutInCell="1" allowOverlap="1">
              <wp:simplePos x="0" y="0"/>
              <wp:positionH relativeFrom="page">
                <wp:posOffset>5829300</wp:posOffset>
              </wp:positionH>
              <wp:positionV relativeFrom="page">
                <wp:posOffset>426085</wp:posOffset>
              </wp:positionV>
              <wp:extent cx="1051560" cy="106680"/>
              <wp:wrapNone/>
              <wp:docPr id="134" name="Shape 134"/>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60" type="#_x0000_t202" style="position:absolute;margin-left:459.pt;margin-top:33.549999999999997pt;width:82.799999999999997pt;height:8.4000000000000004pt;z-index:-18874397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778510</wp:posOffset>
              </wp:positionH>
              <wp:positionV relativeFrom="page">
                <wp:posOffset>313055</wp:posOffset>
              </wp:positionV>
              <wp:extent cx="1289050" cy="463550"/>
              <wp:wrapNone/>
              <wp:docPr id="138" name="Shape 138"/>
              <a:graphic xmlns:a="http://schemas.openxmlformats.org/drawingml/2006/main">
                <a:graphicData uri="http://schemas.microsoft.com/office/word/2010/wordprocessingShape">
                  <wps:wsp>
                    <wps:cNvSpPr txBox="1"/>
                    <wps:spPr>
                      <a:xfrm>
                        <a:ext cx="1289050" cy="4635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呆超科技</w:t>
                          </w:r>
                        </w:p>
                        <w:p>
                          <w:pPr>
                            <w:pStyle w:val="Style12"/>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45994"/>
                              <w:spacing w:val="0"/>
                              <w:w w:val="100"/>
                              <w:position w:val="0"/>
                              <w:sz w:val="15"/>
                              <w:szCs w:val="15"/>
                              <w:shd w:val="clear" w:color="auto" w:fill="FFFFFF"/>
                            </w:rPr>
                            <w:t>"g</w:t>
                          </w:r>
                          <w:r>
                            <w:rPr>
                              <w:rFonts w:ascii="SimHei" w:eastAsia="SimHei" w:hAnsi="SimHei" w:cs="SimHei"/>
                              <w:color w:val="4E698D"/>
                              <w:spacing w:val="0"/>
                              <w:w w:val="100"/>
                              <w:position w:val="0"/>
                              <w:sz w:val="15"/>
                              <w:szCs w:val="15"/>
                              <w:shd w:val="clear" w:color="auto" w:fill="FFFFFF"/>
                            </w:rPr>
                            <w:t>国家高新技术企业</w:t>
                          </w:r>
                        </w:p>
                        <w:p>
                          <w:pPr>
                            <w:pStyle w:val="Style12"/>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4E698D"/>
                              <w:spacing w:val="0"/>
                              <w:w w:val="100"/>
                              <w:position w:val="0"/>
                              <w:sz w:val="15"/>
                              <w:szCs w:val="15"/>
                            </w:rPr>
                            <w:t>股票代码：</w:t>
                          </w:r>
                          <w:r>
                            <w:rPr>
                              <w:rFonts w:ascii="SimSun" w:eastAsia="SimSun" w:hAnsi="SimSun" w:cs="SimSun"/>
                              <w:color w:val="4E698D"/>
                              <w:spacing w:val="0"/>
                              <w:w w:val="100"/>
                              <w:position w:val="0"/>
                              <w:sz w:val="18"/>
                              <w:szCs w:val="18"/>
                            </w:rPr>
                            <w:t>300290</w:t>
                          </w:r>
                        </w:p>
                      </w:txbxContent>
                    </wps:txbx>
                    <wps:bodyPr wrap="none" lIns="0" tIns="0" rIns="0" bIns="0">
                      <a:spAutoFit/>
                    </wps:bodyPr>
                  </wps:wsp>
                </a:graphicData>
              </a:graphic>
            </wp:anchor>
          </w:drawing>
        </mc:Choice>
        <mc:Fallback>
          <w:pict>
            <v:shape id="_x0000_s1164" type="#_x0000_t202" style="position:absolute;margin-left:61.300000000000004pt;margin-top:24.650000000000002pt;width:101.5pt;height:36.5pt;z-index:-18874397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呆超科技</w:t>
                    </w:r>
                  </w:p>
                  <w:p>
                    <w:pPr>
                      <w:pStyle w:val="Style12"/>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245994"/>
                        <w:spacing w:val="0"/>
                        <w:w w:val="100"/>
                        <w:position w:val="0"/>
                        <w:sz w:val="15"/>
                        <w:szCs w:val="15"/>
                        <w:shd w:val="clear" w:color="auto" w:fill="FFFFFF"/>
                      </w:rPr>
                      <w:t>"g</w:t>
                    </w:r>
                    <w:r>
                      <w:rPr>
                        <w:rFonts w:ascii="SimHei" w:eastAsia="SimHei" w:hAnsi="SimHei" w:cs="SimHei"/>
                        <w:color w:val="4E698D"/>
                        <w:spacing w:val="0"/>
                        <w:w w:val="100"/>
                        <w:position w:val="0"/>
                        <w:sz w:val="15"/>
                        <w:szCs w:val="15"/>
                        <w:shd w:val="clear" w:color="auto" w:fill="FFFFFF"/>
                      </w:rPr>
                      <w:t>国家高新技术企业</w:t>
                    </w:r>
                  </w:p>
                  <w:p>
                    <w:pPr>
                      <w:pStyle w:val="Style12"/>
                      <w:keepNext w:val="0"/>
                      <w:keepLines w:val="0"/>
                      <w:widowControl w:val="0"/>
                      <w:shd w:val="clear" w:color="auto" w:fill="auto"/>
                      <w:bidi w:val="0"/>
                      <w:spacing w:before="0" w:after="0" w:line="240" w:lineRule="auto"/>
                      <w:ind w:left="0" w:right="0" w:firstLine="0"/>
                      <w:jc w:val="left"/>
                      <w:rPr>
                        <w:sz w:val="18"/>
                        <w:szCs w:val="18"/>
                      </w:rPr>
                    </w:pPr>
                    <w:r>
                      <w:rPr>
                        <w:rFonts w:ascii="SimHei" w:eastAsia="SimHei" w:hAnsi="SimHei" w:cs="SimHei"/>
                        <w:color w:val="4E698D"/>
                        <w:spacing w:val="0"/>
                        <w:w w:val="100"/>
                        <w:position w:val="0"/>
                        <w:sz w:val="15"/>
                        <w:szCs w:val="15"/>
                      </w:rPr>
                      <w:t>股票代码：</w:t>
                    </w:r>
                    <w:r>
                      <w:rPr>
                        <w:rFonts w:ascii="SimSun" w:eastAsia="SimSun" w:hAnsi="SimSun" w:cs="SimSun"/>
                        <w:color w:val="4E698D"/>
                        <w:spacing w:val="0"/>
                        <w:w w:val="100"/>
                        <w:position w:val="0"/>
                        <w:sz w:val="18"/>
                        <w:szCs w:val="18"/>
                      </w:rPr>
                      <w:t>300290</w:t>
                    </w:r>
                  </w:p>
                </w:txbxContent>
              </v:textbox>
              <w10:wrap anchorx="page" anchory="page"/>
            </v:shape>
          </w:pict>
        </mc:Fallback>
      </mc:AlternateContent>
    </w:r>
    <w:r>
      <mc:AlternateContent>
        <mc:Choice Requires="wps">
          <w:drawing>
            <wp:anchor distT="0" distB="0" distL="0" distR="0" simplePos="0" relativeHeight="62914785" behindDoc="1" locked="0" layoutInCell="1" allowOverlap="1">
              <wp:simplePos x="0" y="0"/>
              <wp:positionH relativeFrom="page">
                <wp:posOffset>5829300</wp:posOffset>
              </wp:positionH>
              <wp:positionV relativeFrom="page">
                <wp:posOffset>426085</wp:posOffset>
              </wp:positionV>
              <wp:extent cx="1051560" cy="106680"/>
              <wp:wrapNone/>
              <wp:docPr id="140" name="Shape 140"/>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66" type="#_x0000_t202" style="position:absolute;margin-left:459.pt;margin-top:33.549999999999997pt;width:82.799999999999997pt;height:8.4000000000000004pt;z-index:-18874396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744855</wp:posOffset>
              </wp:positionH>
              <wp:positionV relativeFrom="page">
                <wp:posOffset>424180</wp:posOffset>
              </wp:positionV>
              <wp:extent cx="1246505" cy="222250"/>
              <wp:wrapNone/>
              <wp:docPr id="144" name="Shape 144"/>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170" type="#_x0000_t202" style="position:absolute;margin-left:58.649999999999999pt;margin-top:33.399999999999999pt;width:98.150000000000006pt;height:17.5pt;z-index:-18874396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791" behindDoc="1" locked="0" layoutInCell="1" allowOverlap="1">
              <wp:simplePos x="0" y="0"/>
              <wp:positionH relativeFrom="page">
                <wp:posOffset>5758815</wp:posOffset>
              </wp:positionH>
              <wp:positionV relativeFrom="page">
                <wp:posOffset>537210</wp:posOffset>
              </wp:positionV>
              <wp:extent cx="1051560" cy="106680"/>
              <wp:wrapNone/>
              <wp:docPr id="146" name="Shape 14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72" type="#_x0000_t202" style="position:absolute;margin-left:453.44999999999999pt;margin-top:42.300000000000004pt;width:82.799999999999997pt;height:8.4000000000000004pt;z-index:-18874396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5782945</wp:posOffset>
              </wp:positionH>
              <wp:positionV relativeFrom="page">
                <wp:posOffset>514985</wp:posOffset>
              </wp:positionV>
              <wp:extent cx="1051560" cy="106680"/>
              <wp:wrapNone/>
              <wp:docPr id="151" name="Shape 15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77" type="#_x0000_t202" style="position:absolute;margin-left:455.35000000000002pt;margin-top:40.550000000000004pt;width:82.799999999999997pt;height:8.4000000000000004pt;z-index:-18874395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153" name="Shape 15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5782945</wp:posOffset>
              </wp:positionH>
              <wp:positionV relativeFrom="page">
                <wp:posOffset>514985</wp:posOffset>
              </wp:positionV>
              <wp:extent cx="1051560" cy="106680"/>
              <wp:wrapNone/>
              <wp:docPr id="156" name="Shape 15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82" type="#_x0000_t202" style="position:absolute;margin-left:455.35000000000002pt;margin-top:40.550000000000004pt;width:82.799999999999997pt;height:8.4000000000000004pt;z-index:-18874395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158" name="Shape 15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768350</wp:posOffset>
              </wp:positionH>
              <wp:positionV relativeFrom="page">
                <wp:posOffset>398780</wp:posOffset>
              </wp:positionV>
              <wp:extent cx="6065520" cy="222250"/>
              <wp:wrapNone/>
              <wp:docPr id="163" name="Shape 163"/>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189" type="#_x0000_t202" style="position:absolute;margin-left:60.5pt;margin-top:31.400000000000002pt;width:477.60000000000002pt;height:17.5pt;z-index:-188743950;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2066925</wp:posOffset>
              </wp:positionH>
              <wp:positionV relativeFrom="page">
                <wp:posOffset>677545</wp:posOffset>
              </wp:positionV>
              <wp:extent cx="4791710" cy="0"/>
              <wp:wrapNone/>
              <wp:docPr id="165" name="Shape 165"/>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75pt;margin-top:53.350000000000001pt;width:377.30000000000001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768350</wp:posOffset>
              </wp:positionH>
              <wp:positionV relativeFrom="page">
                <wp:posOffset>398780</wp:posOffset>
              </wp:positionV>
              <wp:extent cx="6065520" cy="222250"/>
              <wp:wrapNone/>
              <wp:docPr id="168" name="Shape 16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194" type="#_x0000_t202" style="position:absolute;margin-left:60.5pt;margin-top:31.400000000000002pt;width:477.60000000000002pt;height:17.5pt;z-index:-188743946;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2066925</wp:posOffset>
              </wp:positionH>
              <wp:positionV relativeFrom="page">
                <wp:posOffset>677545</wp:posOffset>
              </wp:positionV>
              <wp:extent cx="4791710" cy="0"/>
              <wp:wrapNone/>
              <wp:docPr id="170" name="Shape 17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75pt;margin-top:53.350000000000001pt;width:377.30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744855</wp:posOffset>
              </wp:positionH>
              <wp:positionV relativeFrom="page">
                <wp:posOffset>424180</wp:posOffset>
              </wp:positionV>
              <wp:extent cx="1246505" cy="222250"/>
              <wp:wrapNone/>
              <wp:docPr id="173" name="Shape 173"/>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199" type="#_x0000_t202" style="position:absolute;margin-left:58.649999999999999pt;margin-top:33.399999999999999pt;width:98.150000000000006pt;height:17.5pt;z-index:-18874394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813" behindDoc="1" locked="0" layoutInCell="1" allowOverlap="1">
              <wp:simplePos x="0" y="0"/>
              <wp:positionH relativeFrom="page">
                <wp:posOffset>5758815</wp:posOffset>
              </wp:positionH>
              <wp:positionV relativeFrom="page">
                <wp:posOffset>537210</wp:posOffset>
              </wp:positionV>
              <wp:extent cx="1051560" cy="106680"/>
              <wp:wrapNone/>
              <wp:docPr id="175" name="Shape 17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01" type="#_x0000_t202" style="position:absolute;margin-left:453.44999999999999pt;margin-top:42.300000000000004pt;width:82.799999999999997pt;height:8.4000000000000004pt;z-index:-18874394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5782945</wp:posOffset>
              </wp:positionH>
              <wp:positionV relativeFrom="page">
                <wp:posOffset>514985</wp:posOffset>
              </wp:positionV>
              <wp:extent cx="1051560" cy="106680"/>
              <wp:wrapNone/>
              <wp:docPr id="180" name="Shape 180"/>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06" type="#_x0000_t202" style="position:absolute;margin-left:455.35000000000002pt;margin-top:40.550000000000004pt;width:82.799999999999997pt;height:8.4000000000000004pt;z-index:-18874393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182" name="Shape 182"/>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5782945</wp:posOffset>
              </wp:positionH>
              <wp:positionV relativeFrom="page">
                <wp:posOffset>514985</wp:posOffset>
              </wp:positionV>
              <wp:extent cx="1051560" cy="106680"/>
              <wp:wrapNone/>
              <wp:docPr id="185" name="Shape 18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11" type="#_x0000_t202" style="position:absolute;margin-left:455.35000000000002pt;margin-top:40.550000000000004pt;width:82.799999999999997pt;height:8.4000000000000004pt;z-index:-18874393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187" name="Shape 187"/>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5782310</wp:posOffset>
              </wp:positionH>
              <wp:positionV relativeFrom="page">
                <wp:posOffset>478790</wp:posOffset>
              </wp:positionV>
              <wp:extent cx="1051560" cy="106680"/>
              <wp:wrapNone/>
              <wp:docPr id="11" name="Shape 1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37" type="#_x0000_t202" style="position:absolute;margin-left:455.30000000000001pt;margin-top:37.700000000000003pt;width:82.799999999999997pt;height:8.4000000000000004pt;z-index:-18874405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2066925</wp:posOffset>
              </wp:positionH>
              <wp:positionV relativeFrom="page">
                <wp:posOffset>623570</wp:posOffset>
              </wp:positionV>
              <wp:extent cx="4791710" cy="0"/>
              <wp:wrapNone/>
              <wp:docPr id="13" name="Shape 1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75pt;margin-top:49.100000000000001pt;width:377.30000000000001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768350</wp:posOffset>
              </wp:positionH>
              <wp:positionV relativeFrom="page">
                <wp:posOffset>398780</wp:posOffset>
              </wp:positionV>
              <wp:extent cx="6065520" cy="222250"/>
              <wp:wrapNone/>
              <wp:docPr id="198" name="Shape 19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224" type="#_x0000_t202" style="position:absolute;margin-left:60.5pt;margin-top:31.400000000000002pt;width:477.60000000000002pt;height:17.5pt;z-index:-188743927;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2066925</wp:posOffset>
              </wp:positionH>
              <wp:positionV relativeFrom="page">
                <wp:posOffset>677545</wp:posOffset>
              </wp:positionV>
              <wp:extent cx="4791710" cy="0"/>
              <wp:wrapNone/>
              <wp:docPr id="200" name="Shape 20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75pt;margin-top:53.350000000000001pt;width:377.30000000000001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768350</wp:posOffset>
              </wp:positionH>
              <wp:positionV relativeFrom="page">
                <wp:posOffset>398780</wp:posOffset>
              </wp:positionV>
              <wp:extent cx="6065520" cy="222250"/>
              <wp:wrapNone/>
              <wp:docPr id="203" name="Shape 203"/>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229" type="#_x0000_t202" style="position:absolute;margin-left:60.5pt;margin-top:31.400000000000002pt;width:477.60000000000002pt;height:17.5pt;z-index:-188743923;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2066925</wp:posOffset>
              </wp:positionH>
              <wp:positionV relativeFrom="page">
                <wp:posOffset>677545</wp:posOffset>
              </wp:positionV>
              <wp:extent cx="4791710" cy="0"/>
              <wp:wrapNone/>
              <wp:docPr id="205" name="Shape 205"/>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75pt;margin-top:53.350000000000001pt;width:377.30000000000001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744855</wp:posOffset>
              </wp:positionH>
              <wp:positionV relativeFrom="page">
                <wp:posOffset>424180</wp:posOffset>
              </wp:positionV>
              <wp:extent cx="1246505" cy="222250"/>
              <wp:wrapNone/>
              <wp:docPr id="208" name="Shape 208"/>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234" type="#_x0000_t202" style="position:absolute;margin-left:58.649999999999999pt;margin-top:33.399999999999999pt;width:98.150000000000006pt;height:17.5pt;z-index:-18874391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836" behindDoc="1" locked="0" layoutInCell="1" allowOverlap="1">
              <wp:simplePos x="0" y="0"/>
              <wp:positionH relativeFrom="page">
                <wp:posOffset>5758815</wp:posOffset>
              </wp:positionH>
              <wp:positionV relativeFrom="page">
                <wp:posOffset>537210</wp:posOffset>
              </wp:positionV>
              <wp:extent cx="1051560" cy="106680"/>
              <wp:wrapNone/>
              <wp:docPr id="210" name="Shape 210"/>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36" type="#_x0000_t202" style="position:absolute;margin-left:453.44999999999999pt;margin-top:42.300000000000004pt;width:82.799999999999997pt;height:8.4000000000000004pt;z-index:-18874391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5782945</wp:posOffset>
              </wp:positionH>
              <wp:positionV relativeFrom="page">
                <wp:posOffset>514985</wp:posOffset>
              </wp:positionV>
              <wp:extent cx="1051560" cy="106680"/>
              <wp:wrapNone/>
              <wp:docPr id="216" name="Shape 21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42" type="#_x0000_t202" style="position:absolute;margin-left:455.35000000000002pt;margin-top:40.550000000000004pt;width:82.799999999999997pt;height:8.4000000000000004pt;z-index:-18874391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218" name="Shape 21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5782945</wp:posOffset>
              </wp:positionH>
              <wp:positionV relativeFrom="page">
                <wp:posOffset>514985</wp:posOffset>
              </wp:positionV>
              <wp:extent cx="1051560" cy="106680"/>
              <wp:wrapNone/>
              <wp:docPr id="221" name="Shape 22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47" type="#_x0000_t202" style="position:absolute;margin-left:455.35000000000002pt;margin-top:40.550000000000004pt;width:82.799999999999997pt;height:8.4000000000000004pt;z-index:-18874390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223" name="Shape 22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744855</wp:posOffset>
              </wp:positionH>
              <wp:positionV relativeFrom="page">
                <wp:posOffset>424180</wp:posOffset>
              </wp:positionV>
              <wp:extent cx="1246505" cy="222250"/>
              <wp:wrapNone/>
              <wp:docPr id="231" name="Shape 231"/>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257" type="#_x0000_t202" style="position:absolute;margin-left:58.649999999999999pt;margin-top:33.399999999999999pt;width:98.150000000000006pt;height:17.5pt;z-index:-18874390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851" behindDoc="1" locked="0" layoutInCell="1" allowOverlap="1">
              <wp:simplePos x="0" y="0"/>
              <wp:positionH relativeFrom="page">
                <wp:posOffset>5758815</wp:posOffset>
              </wp:positionH>
              <wp:positionV relativeFrom="page">
                <wp:posOffset>537210</wp:posOffset>
              </wp:positionV>
              <wp:extent cx="1051560" cy="106680"/>
              <wp:wrapNone/>
              <wp:docPr id="233" name="Shape 233"/>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59" type="#_x0000_t202" style="position:absolute;margin-left:453.44999999999999pt;margin-top:42.300000000000004pt;width:82.799999999999997pt;height:8.4000000000000004pt;z-index:-18874390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768350</wp:posOffset>
              </wp:positionH>
              <wp:positionV relativeFrom="page">
                <wp:posOffset>398780</wp:posOffset>
              </wp:positionV>
              <wp:extent cx="6065520" cy="222250"/>
              <wp:wrapNone/>
              <wp:docPr id="237" name="Shape 23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263" type="#_x0000_t202" style="position:absolute;margin-left:60.5pt;margin-top:31.400000000000002pt;width:477.60000000000002pt;height:17.5pt;z-index:-188743898;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2066925</wp:posOffset>
              </wp:positionH>
              <wp:positionV relativeFrom="page">
                <wp:posOffset>677545</wp:posOffset>
              </wp:positionV>
              <wp:extent cx="4791710" cy="0"/>
              <wp:wrapNone/>
              <wp:docPr id="239" name="Shape 239"/>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75pt;margin-top:53.350000000000001pt;width:377.30000000000001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744855</wp:posOffset>
              </wp:positionH>
              <wp:positionV relativeFrom="page">
                <wp:posOffset>424180</wp:posOffset>
              </wp:positionV>
              <wp:extent cx="1246505" cy="222250"/>
              <wp:wrapNone/>
              <wp:docPr id="246" name="Shape 246"/>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272" type="#_x0000_t202" style="position:absolute;margin-left:58.649999999999999pt;margin-top:33.399999999999999pt;width:98.150000000000006pt;height:17.5pt;z-index:-18874389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861" behindDoc="1" locked="0" layoutInCell="1" allowOverlap="1">
              <wp:simplePos x="0" y="0"/>
              <wp:positionH relativeFrom="page">
                <wp:posOffset>5758815</wp:posOffset>
              </wp:positionH>
              <wp:positionV relativeFrom="page">
                <wp:posOffset>537210</wp:posOffset>
              </wp:positionV>
              <wp:extent cx="1051560" cy="106680"/>
              <wp:wrapNone/>
              <wp:docPr id="248" name="Shape 24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74" type="#_x0000_t202" style="position:absolute;margin-left:453.44999999999999pt;margin-top:42.300000000000004pt;width:82.799999999999997pt;height:8.4000000000000004pt;z-index:-18874389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744855</wp:posOffset>
              </wp:positionH>
              <wp:positionV relativeFrom="page">
                <wp:posOffset>424180</wp:posOffset>
              </wp:positionV>
              <wp:extent cx="1246505" cy="222250"/>
              <wp:wrapNone/>
              <wp:docPr id="252" name="Shape 252"/>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278" type="#_x0000_t202" style="position:absolute;margin-left:58.649999999999999pt;margin-top:33.399999999999999pt;width:98.150000000000006pt;height:17.5pt;z-index:-18874388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867" behindDoc="1" locked="0" layoutInCell="1" allowOverlap="1">
              <wp:simplePos x="0" y="0"/>
              <wp:positionH relativeFrom="page">
                <wp:posOffset>5758815</wp:posOffset>
              </wp:positionH>
              <wp:positionV relativeFrom="page">
                <wp:posOffset>537210</wp:posOffset>
              </wp:positionV>
              <wp:extent cx="1051560" cy="106680"/>
              <wp:wrapNone/>
              <wp:docPr id="254" name="Shape 254"/>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80" type="#_x0000_t202" style="position:absolute;margin-left:453.44999999999999pt;margin-top:42.300000000000004pt;width:82.799999999999997pt;height:8.4000000000000004pt;z-index:-18874388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5782945</wp:posOffset>
              </wp:positionH>
              <wp:positionV relativeFrom="page">
                <wp:posOffset>514985</wp:posOffset>
              </wp:positionV>
              <wp:extent cx="1051560" cy="106680"/>
              <wp:wrapNone/>
              <wp:docPr id="260" name="Shape 260"/>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86" type="#_x0000_t202" style="position:absolute;margin-left:455.35000000000002pt;margin-top:40.550000000000004pt;width:82.799999999999997pt;height:8.4000000000000004pt;z-index:-18874388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262" name="Shape 262"/>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794385</wp:posOffset>
              </wp:positionH>
              <wp:positionV relativeFrom="page">
                <wp:posOffset>413385</wp:posOffset>
              </wp:positionV>
              <wp:extent cx="1246505" cy="222250"/>
              <wp:wrapNone/>
              <wp:docPr id="19" name="Shape 19"/>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045" type="#_x0000_t202" style="position:absolute;margin-left:62.550000000000004pt;margin-top:32.549999999999997pt;width:98.150000000000006pt;height:17.5pt;z-index:-18874405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705" behindDoc="1" locked="0" layoutInCell="1" allowOverlap="1">
              <wp:simplePos x="0" y="0"/>
              <wp:positionH relativeFrom="page">
                <wp:posOffset>5808345</wp:posOffset>
              </wp:positionH>
              <wp:positionV relativeFrom="page">
                <wp:posOffset>526415</wp:posOffset>
              </wp:positionV>
              <wp:extent cx="1051560" cy="106680"/>
              <wp:wrapNone/>
              <wp:docPr id="21" name="Shape 2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47" type="#_x0000_t202" style="position:absolute;margin-left:457.35000000000002pt;margin-top:41.450000000000003pt;width:82.799999999999997pt;height:8.4000000000000004pt;z-index:-18874404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5782945</wp:posOffset>
              </wp:positionH>
              <wp:positionV relativeFrom="page">
                <wp:posOffset>514985</wp:posOffset>
              </wp:positionV>
              <wp:extent cx="1051560" cy="106680"/>
              <wp:wrapNone/>
              <wp:docPr id="265" name="Shape 26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91" type="#_x0000_t202" style="position:absolute;margin-left:455.35000000000002pt;margin-top:40.550000000000004pt;width:82.799999999999997pt;height:8.4000000000000004pt;z-index:-18874387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267" name="Shape 267"/>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775970</wp:posOffset>
              </wp:positionH>
              <wp:positionV relativeFrom="page">
                <wp:posOffset>426085</wp:posOffset>
              </wp:positionV>
              <wp:extent cx="6065520" cy="222250"/>
              <wp:wrapNone/>
              <wp:docPr id="275" name="Shape 275"/>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301" type="#_x0000_t202" style="position:absolute;margin-left:61.100000000000001pt;margin-top:33.549999999999997pt;width:477.60000000000002pt;height:17.5pt;z-index:-188743874;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744855</wp:posOffset>
              </wp:positionH>
              <wp:positionV relativeFrom="page">
                <wp:posOffset>424180</wp:posOffset>
              </wp:positionV>
              <wp:extent cx="1246505" cy="222250"/>
              <wp:wrapNone/>
              <wp:docPr id="279" name="Shape 279"/>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305" type="#_x0000_t202" style="position:absolute;margin-left:58.649999999999999pt;margin-top:33.399999999999999pt;width:98.150000000000006pt;height:17.5pt;z-index:-188743870;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885" behindDoc="1" locked="0" layoutInCell="1" allowOverlap="1">
              <wp:simplePos x="0" y="0"/>
              <wp:positionH relativeFrom="page">
                <wp:posOffset>5758815</wp:posOffset>
              </wp:positionH>
              <wp:positionV relativeFrom="page">
                <wp:posOffset>537210</wp:posOffset>
              </wp:positionV>
              <wp:extent cx="1051560" cy="106680"/>
              <wp:wrapNone/>
              <wp:docPr id="281" name="Shape 28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07" type="#_x0000_t202" style="position:absolute;margin-left:453.44999999999999pt;margin-top:42.300000000000004pt;width:82.799999999999997pt;height:8.4000000000000004pt;z-index:-18874386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744855</wp:posOffset>
              </wp:positionH>
              <wp:positionV relativeFrom="page">
                <wp:posOffset>424180</wp:posOffset>
              </wp:positionV>
              <wp:extent cx="1246505" cy="222250"/>
              <wp:wrapNone/>
              <wp:docPr id="285" name="Shape 285"/>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311" type="#_x0000_t202" style="position:absolute;margin-left:58.649999999999999pt;margin-top:33.399999999999999pt;width:98.150000000000006pt;height:17.5pt;z-index:-18874386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891" behindDoc="1" locked="0" layoutInCell="1" allowOverlap="1">
              <wp:simplePos x="0" y="0"/>
              <wp:positionH relativeFrom="page">
                <wp:posOffset>5758815</wp:posOffset>
              </wp:positionH>
              <wp:positionV relativeFrom="page">
                <wp:posOffset>537210</wp:posOffset>
              </wp:positionV>
              <wp:extent cx="1051560" cy="106680"/>
              <wp:wrapNone/>
              <wp:docPr id="287" name="Shape 28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13" type="#_x0000_t202" style="position:absolute;margin-left:453.44999999999999pt;margin-top:42.300000000000004pt;width:82.799999999999997pt;height:8.4000000000000004pt;z-index:-18874386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744855</wp:posOffset>
              </wp:positionH>
              <wp:positionV relativeFrom="page">
                <wp:posOffset>424180</wp:posOffset>
              </wp:positionV>
              <wp:extent cx="1246505" cy="222250"/>
              <wp:wrapNone/>
              <wp:docPr id="291" name="Shape 291"/>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317" type="#_x0000_t202" style="position:absolute;margin-left:58.649999999999999pt;margin-top:33.399999999999999pt;width:98.150000000000006pt;height:17.5pt;z-index:-18874385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897" behindDoc="1" locked="0" layoutInCell="1" allowOverlap="1">
              <wp:simplePos x="0" y="0"/>
              <wp:positionH relativeFrom="page">
                <wp:posOffset>5758815</wp:posOffset>
              </wp:positionH>
              <wp:positionV relativeFrom="page">
                <wp:posOffset>537210</wp:posOffset>
              </wp:positionV>
              <wp:extent cx="1051560" cy="106680"/>
              <wp:wrapNone/>
              <wp:docPr id="293" name="Shape 293"/>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19" type="#_x0000_t202" style="position:absolute;margin-left:453.44999999999999pt;margin-top:42.300000000000004pt;width:82.799999999999997pt;height:8.4000000000000004pt;z-index:-18874385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5782945</wp:posOffset>
              </wp:positionH>
              <wp:positionV relativeFrom="page">
                <wp:posOffset>514985</wp:posOffset>
              </wp:positionV>
              <wp:extent cx="1051560" cy="106680"/>
              <wp:wrapNone/>
              <wp:docPr id="297" name="Shape 29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23" type="#_x0000_t202" style="position:absolute;margin-left:455.35000000000002pt;margin-top:40.550000000000004pt;width:82.799999999999997pt;height:8.4000000000000004pt;z-index:-18874385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299" name="Shape 299"/>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5782945</wp:posOffset>
              </wp:positionH>
              <wp:positionV relativeFrom="page">
                <wp:posOffset>514985</wp:posOffset>
              </wp:positionV>
              <wp:extent cx="1051560" cy="106680"/>
              <wp:wrapNone/>
              <wp:docPr id="302" name="Shape 30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28" type="#_x0000_t202" style="position:absolute;margin-left:455.35000000000002pt;margin-top:40.550000000000004pt;width:82.799999999999997pt;height:8.4000000000000004pt;z-index:-18874384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304" name="Shape 30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744855</wp:posOffset>
              </wp:positionH>
              <wp:positionV relativeFrom="page">
                <wp:posOffset>424180</wp:posOffset>
              </wp:positionV>
              <wp:extent cx="1246505" cy="222250"/>
              <wp:wrapNone/>
              <wp:docPr id="313" name="Shape 313"/>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339" type="#_x0000_t202" style="position:absolute;margin-left:58.649999999999999pt;margin-top:33.399999999999999pt;width:98.150000000000006pt;height:17.5pt;z-index:-18874384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911" behindDoc="1" locked="0" layoutInCell="1" allowOverlap="1">
              <wp:simplePos x="0" y="0"/>
              <wp:positionH relativeFrom="page">
                <wp:posOffset>5758815</wp:posOffset>
              </wp:positionH>
              <wp:positionV relativeFrom="page">
                <wp:posOffset>537210</wp:posOffset>
              </wp:positionV>
              <wp:extent cx="1051560" cy="106680"/>
              <wp:wrapNone/>
              <wp:docPr id="315" name="Shape 31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41" type="#_x0000_t202" style="position:absolute;margin-left:453.44999999999999pt;margin-top:42.300000000000004pt;width:82.799999999999997pt;height:8.4000000000000004pt;z-index:-18874384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744855</wp:posOffset>
              </wp:positionH>
              <wp:positionV relativeFrom="page">
                <wp:posOffset>424180</wp:posOffset>
              </wp:positionV>
              <wp:extent cx="1246505" cy="222250"/>
              <wp:wrapNone/>
              <wp:docPr id="319" name="Shape 319"/>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345" type="#_x0000_t202" style="position:absolute;margin-left:58.649999999999999pt;margin-top:33.399999999999999pt;width:98.150000000000006pt;height:17.5pt;z-index:-18874383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917" behindDoc="1" locked="0" layoutInCell="1" allowOverlap="1">
              <wp:simplePos x="0" y="0"/>
              <wp:positionH relativeFrom="page">
                <wp:posOffset>5758815</wp:posOffset>
              </wp:positionH>
              <wp:positionV relativeFrom="page">
                <wp:posOffset>537210</wp:posOffset>
              </wp:positionV>
              <wp:extent cx="1051560" cy="106680"/>
              <wp:wrapNone/>
              <wp:docPr id="321" name="Shape 32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47" type="#_x0000_t202" style="position:absolute;margin-left:453.44999999999999pt;margin-top:42.300000000000004pt;width:82.799999999999997pt;height:8.4000000000000004pt;z-index:-18874383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5782945</wp:posOffset>
              </wp:positionH>
              <wp:positionV relativeFrom="page">
                <wp:posOffset>514985</wp:posOffset>
              </wp:positionV>
              <wp:extent cx="1051560" cy="106680"/>
              <wp:wrapNone/>
              <wp:docPr id="325" name="Shape 32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51" type="#_x0000_t202" style="position:absolute;margin-left:455.35000000000002pt;margin-top:40.550000000000004pt;width:82.799999999999997pt;height:8.4000000000000004pt;z-index:-18874383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327" name="Shape 327"/>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794385</wp:posOffset>
              </wp:positionH>
              <wp:positionV relativeFrom="page">
                <wp:posOffset>413385</wp:posOffset>
              </wp:positionV>
              <wp:extent cx="1246505" cy="222250"/>
              <wp:wrapNone/>
              <wp:docPr id="25" name="Shape 25"/>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051" type="#_x0000_t202" style="position:absolute;margin-left:62.550000000000004pt;margin-top:32.549999999999997pt;width:98.150000000000006pt;height:17.5pt;z-index:-18874404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711" behindDoc="1" locked="0" layoutInCell="1" allowOverlap="1">
              <wp:simplePos x="0" y="0"/>
              <wp:positionH relativeFrom="page">
                <wp:posOffset>5808345</wp:posOffset>
              </wp:positionH>
              <wp:positionV relativeFrom="page">
                <wp:posOffset>526415</wp:posOffset>
              </wp:positionV>
              <wp:extent cx="1051560" cy="106680"/>
              <wp:wrapNone/>
              <wp:docPr id="27" name="Shape 27"/>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53" type="#_x0000_t202" style="position:absolute;margin-left:457.35000000000002pt;margin-top:41.450000000000003pt;width:82.799999999999997pt;height:8.4000000000000004pt;z-index:-18874404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5782945</wp:posOffset>
              </wp:positionH>
              <wp:positionV relativeFrom="page">
                <wp:posOffset>514985</wp:posOffset>
              </wp:positionV>
              <wp:extent cx="1051560" cy="106680"/>
              <wp:wrapNone/>
              <wp:docPr id="330" name="Shape 330"/>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56" type="#_x0000_t202" style="position:absolute;margin-left:455.35000000000002pt;margin-top:40.550000000000004pt;width:82.799999999999997pt;height:8.4000000000000004pt;z-index:-188743828;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332" name="Shape 332"/>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744855</wp:posOffset>
              </wp:positionH>
              <wp:positionV relativeFrom="page">
                <wp:posOffset>424180</wp:posOffset>
              </wp:positionV>
              <wp:extent cx="1246505" cy="222250"/>
              <wp:wrapNone/>
              <wp:docPr id="341" name="Shape 341"/>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367" type="#_x0000_t202" style="position:absolute;margin-left:58.649999999999999pt;margin-top:33.399999999999999pt;width:98.150000000000006pt;height:17.5pt;z-index:-18874382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932" behindDoc="1" locked="0" layoutInCell="1" allowOverlap="1">
              <wp:simplePos x="0" y="0"/>
              <wp:positionH relativeFrom="page">
                <wp:posOffset>5758815</wp:posOffset>
              </wp:positionH>
              <wp:positionV relativeFrom="page">
                <wp:posOffset>537210</wp:posOffset>
              </wp:positionV>
              <wp:extent cx="1051560" cy="106680"/>
              <wp:wrapNone/>
              <wp:docPr id="343" name="Shape 343"/>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69" type="#_x0000_t202" style="position:absolute;margin-left:453.44999999999999pt;margin-top:42.300000000000004pt;width:82.799999999999997pt;height:8.4000000000000004pt;z-index:-18874382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744855</wp:posOffset>
              </wp:positionH>
              <wp:positionV relativeFrom="page">
                <wp:posOffset>424180</wp:posOffset>
              </wp:positionV>
              <wp:extent cx="1246505" cy="222250"/>
              <wp:wrapNone/>
              <wp:docPr id="347" name="Shape 347"/>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373" type="#_x0000_t202" style="position:absolute;margin-left:58.649999999999999pt;margin-top:33.399999999999999pt;width:98.150000000000006pt;height:17.5pt;z-index:-18874381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938" behindDoc="1" locked="0" layoutInCell="1" allowOverlap="1">
              <wp:simplePos x="0" y="0"/>
              <wp:positionH relativeFrom="page">
                <wp:posOffset>5758815</wp:posOffset>
              </wp:positionH>
              <wp:positionV relativeFrom="page">
                <wp:posOffset>537210</wp:posOffset>
              </wp:positionV>
              <wp:extent cx="1051560" cy="106680"/>
              <wp:wrapNone/>
              <wp:docPr id="349" name="Shape 349"/>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75" type="#_x0000_t202" style="position:absolute;margin-left:453.44999999999999pt;margin-top:42.300000000000004pt;width:82.799999999999997pt;height:8.4000000000000004pt;z-index:-18874381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5782945</wp:posOffset>
              </wp:positionH>
              <wp:positionV relativeFrom="page">
                <wp:posOffset>514985</wp:posOffset>
              </wp:positionV>
              <wp:extent cx="1051560" cy="106680"/>
              <wp:wrapNone/>
              <wp:docPr id="361" name="Shape 36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87" type="#_x0000_t202" style="position:absolute;margin-left:455.35000000000002pt;margin-top:40.550000000000004pt;width:82.799999999999997pt;height:8.4000000000000004pt;z-index:-18874381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363" name="Shape 36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5782945</wp:posOffset>
              </wp:positionH>
              <wp:positionV relativeFrom="page">
                <wp:posOffset>514985</wp:posOffset>
              </wp:positionV>
              <wp:extent cx="1051560" cy="106680"/>
              <wp:wrapNone/>
              <wp:docPr id="366" name="Shape 36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92" type="#_x0000_t202" style="position:absolute;margin-left:455.35000000000002pt;margin-top:40.550000000000004pt;width:82.799999999999997pt;height:8.4000000000000004pt;z-index:-18874380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368" name="Shape 36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5782945</wp:posOffset>
              </wp:positionH>
              <wp:positionV relativeFrom="page">
                <wp:posOffset>514985</wp:posOffset>
              </wp:positionV>
              <wp:extent cx="1051560" cy="106680"/>
              <wp:wrapNone/>
              <wp:docPr id="372" name="Shape 37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98" type="#_x0000_t202" style="position:absolute;margin-left:455.35000000000002pt;margin-top:40.550000000000004pt;width:82.799999999999997pt;height:8.4000000000000004pt;z-index:-188743803;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374" name="Shape 37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830580</wp:posOffset>
              </wp:positionH>
              <wp:positionV relativeFrom="page">
                <wp:posOffset>421640</wp:posOffset>
              </wp:positionV>
              <wp:extent cx="6065520" cy="222250"/>
              <wp:wrapNone/>
              <wp:docPr id="377" name="Shape 37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403" type="#_x0000_t202" style="position:absolute;margin-left:65.400000000000006pt;margin-top:33.200000000000003pt;width:477.60000000000002pt;height:17.5pt;z-index:-18874379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5782945</wp:posOffset>
              </wp:positionH>
              <wp:positionV relativeFrom="page">
                <wp:posOffset>514985</wp:posOffset>
              </wp:positionV>
              <wp:extent cx="1051560" cy="106680"/>
              <wp:wrapNone/>
              <wp:docPr id="458" name="Shape 45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484" type="#_x0000_t202" style="position:absolute;margin-left:455.35000000000002pt;margin-top:40.550000000000004pt;width:82.799999999999997pt;height:8.4000000000000004pt;z-index:-18874379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460" name="Shape 46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5782945</wp:posOffset>
              </wp:positionH>
              <wp:positionV relativeFrom="page">
                <wp:posOffset>514985</wp:posOffset>
              </wp:positionV>
              <wp:extent cx="1051560" cy="106680"/>
              <wp:wrapNone/>
              <wp:docPr id="463" name="Shape 463"/>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489" type="#_x0000_t202" style="position:absolute;margin-left:455.35000000000002pt;margin-top:40.550000000000004pt;width:82.799999999999997pt;height:8.4000000000000004pt;z-index:-188743791;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465" name="Shape 465"/>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5782945</wp:posOffset>
              </wp:positionH>
              <wp:positionV relativeFrom="page">
                <wp:posOffset>514985</wp:posOffset>
              </wp:positionV>
              <wp:extent cx="1051560" cy="106680"/>
              <wp:wrapNone/>
              <wp:docPr id="472" name="Shape 47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498" type="#_x0000_t202" style="position:absolute;margin-left:455.35000000000002pt;margin-top:40.550000000000004pt;width:82.799999999999997pt;height:8.4000000000000004pt;z-index:-188743786;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474" name="Shape 47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759460</wp:posOffset>
              </wp:positionH>
              <wp:positionV relativeFrom="page">
                <wp:posOffset>508000</wp:posOffset>
              </wp:positionV>
              <wp:extent cx="6065520" cy="128270"/>
              <wp:wrapNone/>
              <wp:docPr id="31" name="Shape 31"/>
              <a:graphic xmlns:a="http://schemas.openxmlformats.org/drawingml/2006/main">
                <a:graphicData uri="http://schemas.microsoft.com/office/word/2010/wordprocessingShape">
                  <wps:wsp>
                    <wps:cNvSpPr txBox="1"/>
                    <wps:spPr>
                      <a:xfrm>
                        <a:ext cx="6065520" cy="128270"/>
                      </a:xfrm>
                      <a:prstGeom prst="rect"/>
                      <a:noFill/>
                    </wps:spPr>
                    <wps:txbx>
                      <w:txbxContent>
                        <w:p>
                          <w:pPr>
                            <w:pStyle w:val="Style12"/>
                            <w:keepNext w:val="0"/>
                            <w:keepLines w:val="0"/>
                            <w:widowControl w:val="0"/>
                            <w:shd w:val="clear" w:color="auto" w:fill="auto"/>
                            <w:tabs>
                              <w:tab w:pos="9518" w:val="right"/>
                            </w:tabs>
                            <w:bidi w:val="0"/>
                            <w:spacing w:before="0" w:after="0" w:line="240" w:lineRule="auto"/>
                            <w:ind w:left="0" w:right="0" w:firstLine="0"/>
                            <w:jc w:val="left"/>
                            <w:rPr>
                              <w:sz w:val="18"/>
                              <w:szCs w:val="18"/>
                            </w:rPr>
                          </w:pPr>
                          <w:r>
                            <w:rPr>
                              <w:b/>
                              <w:bCs/>
                              <w:color w:val="245994"/>
                              <w:spacing w:val="0"/>
                              <w:w w:val="100"/>
                              <w:position w:val="0"/>
                              <w:sz w:val="32"/>
                              <w:szCs w:val="32"/>
                            </w:rPr>
                            <w:t>%&gt;&lt;5EiIi4ili4dx</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057" type="#_x0000_t202" style="position:absolute;margin-left:59.800000000000004pt;margin-top:40.pt;width:477.60000000000002pt;height:10.1pt;z-index:-188744038;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18" w:val="right"/>
                      </w:tabs>
                      <w:bidi w:val="0"/>
                      <w:spacing w:before="0" w:after="0" w:line="240" w:lineRule="auto"/>
                      <w:ind w:left="0" w:right="0" w:firstLine="0"/>
                      <w:jc w:val="left"/>
                      <w:rPr>
                        <w:sz w:val="18"/>
                        <w:szCs w:val="18"/>
                      </w:rPr>
                    </w:pPr>
                    <w:r>
                      <w:rPr>
                        <w:b/>
                        <w:bCs/>
                        <w:color w:val="245994"/>
                        <w:spacing w:val="0"/>
                        <w:w w:val="100"/>
                        <w:position w:val="0"/>
                        <w:sz w:val="32"/>
                        <w:szCs w:val="32"/>
                      </w:rPr>
                      <w:t>%&gt;&lt;5EiIi4ili4dx</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2058035</wp:posOffset>
              </wp:positionH>
              <wp:positionV relativeFrom="page">
                <wp:posOffset>668020</wp:posOffset>
              </wp:positionV>
              <wp:extent cx="4791710" cy="0"/>
              <wp:wrapNone/>
              <wp:docPr id="33" name="Shape 3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05000000000001pt;margin-top:52.600000000000001pt;width:377.30000000000001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1" behindDoc="1" locked="0" layoutInCell="1" allowOverlap="1">
              <wp:simplePos x="0" y="0"/>
              <wp:positionH relativeFrom="page">
                <wp:posOffset>830580</wp:posOffset>
              </wp:positionH>
              <wp:positionV relativeFrom="page">
                <wp:posOffset>421640</wp:posOffset>
              </wp:positionV>
              <wp:extent cx="6065520" cy="222250"/>
              <wp:wrapNone/>
              <wp:docPr id="477" name="Shape 47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503" type="#_x0000_t202" style="position:absolute;margin-left:65.400000000000006pt;margin-top:33.200000000000003pt;width:477.60000000000002pt;height:17.5pt;z-index:-188743782;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830580</wp:posOffset>
              </wp:positionH>
              <wp:positionV relativeFrom="page">
                <wp:posOffset>421640</wp:posOffset>
              </wp:positionV>
              <wp:extent cx="6065520" cy="222250"/>
              <wp:wrapNone/>
              <wp:docPr id="486" name="Shape 486"/>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512" type="#_x0000_t202" style="position:absolute;margin-left:65.400000000000006pt;margin-top:33.200000000000003pt;width:477.60000000000002pt;height:17.5pt;z-index:-188743778;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9" behindDoc="1" locked="0" layoutInCell="1" allowOverlap="1">
              <wp:simplePos x="0" y="0"/>
              <wp:positionH relativeFrom="page">
                <wp:posOffset>830580</wp:posOffset>
              </wp:positionH>
              <wp:positionV relativeFrom="page">
                <wp:posOffset>421640</wp:posOffset>
              </wp:positionV>
              <wp:extent cx="6065520" cy="222250"/>
              <wp:wrapNone/>
              <wp:docPr id="490" name="Shape 490"/>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516" type="#_x0000_t202" style="position:absolute;margin-left:65.400000000000006pt;margin-top:33.200000000000003pt;width:477.60000000000002pt;height:17.5pt;z-index:-188743774;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5782945</wp:posOffset>
              </wp:positionH>
              <wp:positionV relativeFrom="page">
                <wp:posOffset>514985</wp:posOffset>
              </wp:positionV>
              <wp:extent cx="1051560" cy="106680"/>
              <wp:wrapNone/>
              <wp:docPr id="496" name="Shape 49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522" type="#_x0000_t202" style="position:absolute;margin-left:455.35000000000002pt;margin-top:40.550000000000004pt;width:82.799999999999997pt;height:8.4000000000000004pt;z-index:-18874376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498" name="Shape 49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5782945</wp:posOffset>
              </wp:positionH>
              <wp:positionV relativeFrom="page">
                <wp:posOffset>514985</wp:posOffset>
              </wp:positionV>
              <wp:extent cx="1051560" cy="106680"/>
              <wp:wrapNone/>
              <wp:docPr id="501" name="Shape 50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527" type="#_x0000_t202" style="position:absolute;margin-left:455.35000000000002pt;margin-top:40.550000000000004pt;width:82.799999999999997pt;height:8.4000000000000004pt;z-index:-18874376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503" name="Shape 50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636270</wp:posOffset>
              </wp:positionH>
              <wp:positionV relativeFrom="page">
                <wp:posOffset>416560</wp:posOffset>
              </wp:positionV>
              <wp:extent cx="1246505" cy="222250"/>
              <wp:wrapNone/>
              <wp:docPr id="507" name="Shape 507"/>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533" type="#_x0000_t202" style="position:absolute;margin-left:50.100000000000001pt;margin-top:32.799999999999997pt;width:98.150000000000006pt;height:17.5pt;z-index:-1887437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994" behindDoc="1" locked="0" layoutInCell="1" allowOverlap="1">
              <wp:simplePos x="0" y="0"/>
              <wp:positionH relativeFrom="page">
                <wp:posOffset>5650230</wp:posOffset>
              </wp:positionH>
              <wp:positionV relativeFrom="page">
                <wp:posOffset>529590</wp:posOffset>
              </wp:positionV>
              <wp:extent cx="1051560" cy="106680"/>
              <wp:wrapNone/>
              <wp:docPr id="509" name="Shape 509"/>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35" type="#_x0000_t202" style="position:absolute;margin-left:444.90000000000003pt;margin-top:41.700000000000003pt;width:82.799999999999997pt;height:8.4000000000000004pt;z-index:-1887437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636270</wp:posOffset>
              </wp:positionH>
              <wp:positionV relativeFrom="page">
                <wp:posOffset>416560</wp:posOffset>
              </wp:positionV>
              <wp:extent cx="1246505" cy="222250"/>
              <wp:wrapNone/>
              <wp:docPr id="513" name="Shape 513"/>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539" type="#_x0000_t202" style="position:absolute;margin-left:50.100000000000001pt;margin-top:32.799999999999997pt;width:98.150000000000006pt;height:17.5pt;z-index:-18874375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000" behindDoc="1" locked="0" layoutInCell="1" allowOverlap="1">
              <wp:simplePos x="0" y="0"/>
              <wp:positionH relativeFrom="page">
                <wp:posOffset>5650230</wp:posOffset>
              </wp:positionH>
              <wp:positionV relativeFrom="page">
                <wp:posOffset>529590</wp:posOffset>
              </wp:positionV>
              <wp:extent cx="1051560" cy="106680"/>
              <wp:wrapNone/>
              <wp:docPr id="515" name="Shape 51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41" type="#_x0000_t202" style="position:absolute;margin-left:444.90000000000003pt;margin-top:41.700000000000003pt;width:82.799999999999997pt;height:8.4000000000000004pt;z-index:-18874375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5782945</wp:posOffset>
              </wp:positionH>
              <wp:positionV relativeFrom="page">
                <wp:posOffset>514985</wp:posOffset>
              </wp:positionV>
              <wp:extent cx="1051560" cy="106680"/>
              <wp:wrapNone/>
              <wp:docPr id="521" name="Shape 52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547" type="#_x0000_t202" style="position:absolute;margin-left:455.35000000000002pt;margin-top:40.550000000000004pt;width:82.799999999999997pt;height:8.4000000000000004pt;z-index:-188743749;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523" name="Shape 52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5782945</wp:posOffset>
              </wp:positionH>
              <wp:positionV relativeFrom="page">
                <wp:posOffset>514985</wp:posOffset>
              </wp:positionV>
              <wp:extent cx="1051560" cy="106680"/>
              <wp:wrapNone/>
              <wp:docPr id="526" name="Shape 52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552" type="#_x0000_t202" style="position:absolute;margin-left:455.35000000000002pt;margin-top:40.550000000000004pt;width:82.799999999999997pt;height:8.4000000000000004pt;z-index:-18874374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528" name="Shape 52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749935</wp:posOffset>
              </wp:positionH>
              <wp:positionV relativeFrom="page">
                <wp:posOffset>357505</wp:posOffset>
              </wp:positionV>
              <wp:extent cx="1271270" cy="460375"/>
              <wp:wrapNone/>
              <wp:docPr id="543" name="Shape 543"/>
              <a:graphic xmlns:a="http://schemas.openxmlformats.org/drawingml/2006/main">
                <a:graphicData uri="http://schemas.microsoft.com/office/word/2010/wordprocessingShape">
                  <wps:wsp>
                    <wps:cNvSpPr txBox="1"/>
                    <wps:spPr>
                      <a:xfrm>
                        <a:ext cx="1271270" cy="460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15"/>
                              <w:szCs w:val="15"/>
                            </w:rPr>
                          </w:pPr>
                          <w:r>
                            <w:rPr>
                              <w:i/>
                              <w:iCs/>
                              <w:color w:val="245994"/>
                              <w:spacing w:val="0"/>
                              <w:w w:val="100"/>
                              <w:position w:val="0"/>
                              <w:sz w:val="24"/>
                              <w:szCs w:val="24"/>
                            </w:rPr>
                            <w:t>，</w:t>
                          </w:r>
                          <w:r>
                            <w:rPr>
                              <w:rFonts w:ascii="SimHei" w:eastAsia="SimHei" w:hAnsi="SimHei" w:cs="SimHei"/>
                              <w:color w:val="2D4562"/>
                              <w:spacing w:val="0"/>
                              <w:w w:val="100"/>
                              <w:position w:val="0"/>
                              <w:sz w:val="15"/>
                              <w:szCs w:val="15"/>
                            </w:rPr>
                            <w:t>广</w:t>
                          </w:r>
                          <w:r>
                            <w:rPr>
                              <w:rFonts w:ascii="SimHei" w:eastAsia="SimHei" w:hAnsi="SimHei" w:cs="SimHei"/>
                              <w:color w:val="2D2B2E"/>
                              <w:spacing w:val="0"/>
                              <w:w w:val="100"/>
                              <w:position w:val="0"/>
                              <w:sz w:val="15"/>
                              <w:szCs w:val="15"/>
                            </w:rPr>
                            <w:t>i</w:t>
                          </w:r>
                          <w:r>
                            <w:rPr>
                              <w:rFonts w:ascii="SimHei" w:eastAsia="SimHei" w:hAnsi="SimHei" w:cs="SimHei"/>
                              <w:color w:val="4E698D"/>
                              <w:spacing w:val="0"/>
                              <w:w w:val="100"/>
                              <w:position w:val="0"/>
                              <w:sz w:val="15"/>
                              <w:szCs w:val="15"/>
                            </w:rPr>
                            <w:t>国家高新技术企业</w:t>
                          </w:r>
                        </w:p>
                        <w:p>
                          <w:pPr>
                            <w:pStyle w:val="Style93"/>
                            <w:keepNext w:val="0"/>
                            <w:keepLines w:val="0"/>
                            <w:widowControl w:val="0"/>
                            <w:shd w:val="clear" w:color="auto" w:fill="auto"/>
                            <w:tabs>
                              <w:tab w:pos="1795"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xbxContent>
                    </wps:txbx>
                    <wps:bodyPr lIns="0" tIns="0" rIns="0" bIns="0">
                      <a:spAutoFit/>
                    </wps:bodyPr>
                  </wps:wsp>
                </a:graphicData>
              </a:graphic>
            </wp:anchor>
          </w:drawing>
        </mc:Choice>
        <mc:Fallback>
          <w:pict>
            <v:shape id="_x0000_s1569" type="#_x0000_t202" style="position:absolute;margin-left:59.050000000000004pt;margin-top:28.150000000000002pt;width:100.10000000000001pt;height:36.25pt;z-index:-18874374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15"/>
                        <w:szCs w:val="15"/>
                      </w:rPr>
                    </w:pPr>
                    <w:r>
                      <w:rPr>
                        <w:i/>
                        <w:iCs/>
                        <w:color w:val="245994"/>
                        <w:spacing w:val="0"/>
                        <w:w w:val="100"/>
                        <w:position w:val="0"/>
                        <w:sz w:val="24"/>
                        <w:szCs w:val="24"/>
                      </w:rPr>
                      <w:t>，</w:t>
                    </w:r>
                    <w:r>
                      <w:rPr>
                        <w:rFonts w:ascii="SimHei" w:eastAsia="SimHei" w:hAnsi="SimHei" w:cs="SimHei"/>
                        <w:color w:val="2D4562"/>
                        <w:spacing w:val="0"/>
                        <w:w w:val="100"/>
                        <w:position w:val="0"/>
                        <w:sz w:val="15"/>
                        <w:szCs w:val="15"/>
                      </w:rPr>
                      <w:t>广</w:t>
                    </w:r>
                    <w:r>
                      <w:rPr>
                        <w:rFonts w:ascii="SimHei" w:eastAsia="SimHei" w:hAnsi="SimHei" w:cs="SimHei"/>
                        <w:color w:val="2D2B2E"/>
                        <w:spacing w:val="0"/>
                        <w:w w:val="100"/>
                        <w:position w:val="0"/>
                        <w:sz w:val="15"/>
                        <w:szCs w:val="15"/>
                      </w:rPr>
                      <w:t>i</w:t>
                    </w:r>
                    <w:r>
                      <w:rPr>
                        <w:rFonts w:ascii="SimHei" w:eastAsia="SimHei" w:hAnsi="SimHei" w:cs="SimHei"/>
                        <w:color w:val="4E698D"/>
                        <w:spacing w:val="0"/>
                        <w:w w:val="100"/>
                        <w:position w:val="0"/>
                        <w:sz w:val="15"/>
                        <w:szCs w:val="15"/>
                      </w:rPr>
                      <w:t>国家高新技术企业</w:t>
                    </w:r>
                  </w:p>
                  <w:p>
                    <w:pPr>
                      <w:pStyle w:val="Style93"/>
                      <w:keepNext w:val="0"/>
                      <w:keepLines w:val="0"/>
                      <w:widowControl w:val="0"/>
                      <w:shd w:val="clear" w:color="auto" w:fill="auto"/>
                      <w:tabs>
                        <w:tab w:pos="1795"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xbxContent>
              </v:textbox>
              <w10:wrap anchorx="page" anchory="page"/>
            </v:shape>
          </w:pict>
        </mc:Fallback>
      </mc:AlternateContent>
    </w:r>
    <w:r>
      <mc:AlternateContent>
        <mc:Choice Requires="wps">
          <w:drawing>
            <wp:anchor distT="0" distB="0" distL="0" distR="0" simplePos="0" relativeHeight="62915014" behindDoc="1" locked="0" layoutInCell="1" allowOverlap="1">
              <wp:simplePos x="0" y="0"/>
              <wp:positionH relativeFrom="page">
                <wp:posOffset>5782310</wp:posOffset>
              </wp:positionH>
              <wp:positionV relativeFrom="page">
                <wp:posOffset>469900</wp:posOffset>
              </wp:positionV>
              <wp:extent cx="1051560" cy="106680"/>
              <wp:wrapNone/>
              <wp:docPr id="545" name="Shape 54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71" type="#_x0000_t202" style="position:absolute;margin-left:455.30000000000001pt;margin-top:37.pt;width:82.799999999999997pt;height:8.4000000000000004pt;z-index:-18874373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794385</wp:posOffset>
              </wp:positionH>
              <wp:positionV relativeFrom="page">
                <wp:posOffset>413385</wp:posOffset>
              </wp:positionV>
              <wp:extent cx="1246505" cy="222250"/>
              <wp:wrapNone/>
              <wp:docPr id="46" name="Shape 46"/>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072" type="#_x0000_t202" style="position:absolute;margin-left:62.550000000000004pt;margin-top:32.549999999999997pt;width:98.150000000000006pt;height:17.5pt;z-index:-188744034;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4721" behindDoc="1" locked="0" layoutInCell="1" allowOverlap="1">
              <wp:simplePos x="0" y="0"/>
              <wp:positionH relativeFrom="page">
                <wp:posOffset>5808345</wp:posOffset>
              </wp:positionH>
              <wp:positionV relativeFrom="page">
                <wp:posOffset>526415</wp:posOffset>
              </wp:positionV>
              <wp:extent cx="1051560" cy="106680"/>
              <wp:wrapNone/>
              <wp:docPr id="48" name="Shape 4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74" type="#_x0000_t202" style="position:absolute;margin-left:457.35000000000002pt;margin-top:41.450000000000003pt;width:82.799999999999997pt;height:8.4000000000000004pt;z-index:-188744032;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749935</wp:posOffset>
              </wp:positionH>
              <wp:positionV relativeFrom="page">
                <wp:posOffset>357505</wp:posOffset>
              </wp:positionV>
              <wp:extent cx="1271270" cy="460375"/>
              <wp:wrapNone/>
              <wp:docPr id="549" name="Shape 549"/>
              <a:graphic xmlns:a="http://schemas.openxmlformats.org/drawingml/2006/main">
                <a:graphicData uri="http://schemas.microsoft.com/office/word/2010/wordprocessingShape">
                  <wps:wsp>
                    <wps:cNvSpPr txBox="1"/>
                    <wps:spPr>
                      <a:xfrm>
                        <a:ext cx="1271270" cy="46037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15"/>
                              <w:szCs w:val="15"/>
                            </w:rPr>
                          </w:pPr>
                          <w:r>
                            <w:rPr>
                              <w:i/>
                              <w:iCs/>
                              <w:color w:val="245994"/>
                              <w:spacing w:val="0"/>
                              <w:w w:val="100"/>
                              <w:position w:val="0"/>
                              <w:sz w:val="24"/>
                              <w:szCs w:val="24"/>
                            </w:rPr>
                            <w:t>，</w:t>
                          </w:r>
                          <w:r>
                            <w:rPr>
                              <w:rFonts w:ascii="SimHei" w:eastAsia="SimHei" w:hAnsi="SimHei" w:cs="SimHei"/>
                              <w:color w:val="2D4562"/>
                              <w:spacing w:val="0"/>
                              <w:w w:val="100"/>
                              <w:position w:val="0"/>
                              <w:sz w:val="15"/>
                              <w:szCs w:val="15"/>
                            </w:rPr>
                            <w:t>广</w:t>
                          </w:r>
                          <w:r>
                            <w:rPr>
                              <w:rFonts w:ascii="SimHei" w:eastAsia="SimHei" w:hAnsi="SimHei" w:cs="SimHei"/>
                              <w:color w:val="2D2B2E"/>
                              <w:spacing w:val="0"/>
                              <w:w w:val="100"/>
                              <w:position w:val="0"/>
                              <w:sz w:val="15"/>
                              <w:szCs w:val="15"/>
                            </w:rPr>
                            <w:t>i</w:t>
                          </w:r>
                          <w:r>
                            <w:rPr>
                              <w:rFonts w:ascii="SimHei" w:eastAsia="SimHei" w:hAnsi="SimHei" w:cs="SimHei"/>
                              <w:color w:val="4E698D"/>
                              <w:spacing w:val="0"/>
                              <w:w w:val="100"/>
                              <w:position w:val="0"/>
                              <w:sz w:val="15"/>
                              <w:szCs w:val="15"/>
                            </w:rPr>
                            <w:t>国家高新技术企业</w:t>
                          </w:r>
                        </w:p>
                        <w:p>
                          <w:pPr>
                            <w:pStyle w:val="Style93"/>
                            <w:keepNext w:val="0"/>
                            <w:keepLines w:val="0"/>
                            <w:widowControl w:val="0"/>
                            <w:shd w:val="clear" w:color="auto" w:fill="auto"/>
                            <w:tabs>
                              <w:tab w:pos="1795"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xbxContent>
                    </wps:txbx>
                    <wps:bodyPr lIns="0" tIns="0" rIns="0" bIns="0">
                      <a:spAutoFit/>
                    </wps:bodyPr>
                  </wps:wsp>
                </a:graphicData>
              </a:graphic>
            </wp:anchor>
          </w:drawing>
        </mc:Choice>
        <mc:Fallback>
          <w:pict>
            <v:shape id="_x0000_s1575" type="#_x0000_t202" style="position:absolute;margin-left:59.050000000000004pt;margin-top:28.150000000000002pt;width:100.10000000000001pt;height:36.25pt;z-index:-18874373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p>
                    <w:pPr>
                      <w:pStyle w:val="Style93"/>
                      <w:keepNext w:val="0"/>
                      <w:keepLines w:val="0"/>
                      <w:widowControl w:val="0"/>
                      <w:shd w:val="clear" w:color="auto" w:fill="auto"/>
                      <w:bidi w:val="0"/>
                      <w:spacing w:before="0" w:after="0" w:line="240" w:lineRule="auto"/>
                      <w:ind w:left="0" w:right="0" w:firstLine="0"/>
                      <w:jc w:val="left"/>
                      <w:rPr>
                        <w:sz w:val="15"/>
                        <w:szCs w:val="15"/>
                      </w:rPr>
                    </w:pPr>
                    <w:r>
                      <w:rPr>
                        <w:i/>
                        <w:iCs/>
                        <w:color w:val="245994"/>
                        <w:spacing w:val="0"/>
                        <w:w w:val="100"/>
                        <w:position w:val="0"/>
                        <w:sz w:val="24"/>
                        <w:szCs w:val="24"/>
                      </w:rPr>
                      <w:t>，</w:t>
                    </w:r>
                    <w:r>
                      <w:rPr>
                        <w:rFonts w:ascii="SimHei" w:eastAsia="SimHei" w:hAnsi="SimHei" w:cs="SimHei"/>
                        <w:color w:val="2D4562"/>
                        <w:spacing w:val="0"/>
                        <w:w w:val="100"/>
                        <w:position w:val="0"/>
                        <w:sz w:val="15"/>
                        <w:szCs w:val="15"/>
                      </w:rPr>
                      <w:t>广</w:t>
                    </w:r>
                    <w:r>
                      <w:rPr>
                        <w:rFonts w:ascii="SimHei" w:eastAsia="SimHei" w:hAnsi="SimHei" w:cs="SimHei"/>
                        <w:color w:val="2D2B2E"/>
                        <w:spacing w:val="0"/>
                        <w:w w:val="100"/>
                        <w:position w:val="0"/>
                        <w:sz w:val="15"/>
                        <w:szCs w:val="15"/>
                      </w:rPr>
                      <w:t>i</w:t>
                    </w:r>
                    <w:r>
                      <w:rPr>
                        <w:rFonts w:ascii="SimHei" w:eastAsia="SimHei" w:hAnsi="SimHei" w:cs="SimHei"/>
                        <w:color w:val="4E698D"/>
                        <w:spacing w:val="0"/>
                        <w:w w:val="100"/>
                        <w:position w:val="0"/>
                        <w:sz w:val="15"/>
                        <w:szCs w:val="15"/>
                      </w:rPr>
                      <w:t>国家高新技术企业</w:t>
                    </w:r>
                  </w:p>
                  <w:p>
                    <w:pPr>
                      <w:pStyle w:val="Style93"/>
                      <w:keepNext w:val="0"/>
                      <w:keepLines w:val="0"/>
                      <w:widowControl w:val="0"/>
                      <w:shd w:val="clear" w:color="auto" w:fill="auto"/>
                      <w:tabs>
                        <w:tab w:pos="1795"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tab/>
                    </w:r>
                    <w:r>
                      <w:rPr>
                        <w:rFonts w:ascii="SimHei" w:eastAsia="SimHei" w:hAnsi="SimHei" w:cs="SimHei"/>
                        <w:color w:val="4E698D"/>
                        <w:spacing w:val="0"/>
                        <w:w w:val="100"/>
                        <w:position w:val="0"/>
                        <w:sz w:val="15"/>
                        <w:szCs w:val="15"/>
                      </w:rPr>
                      <w:t>股票代码:</w:t>
                    </w:r>
                    <w:r>
                      <w:rPr>
                        <w:color w:val="4E698D"/>
                        <w:spacing w:val="0"/>
                        <w:w w:val="100"/>
                        <w:position w:val="0"/>
                        <w:sz w:val="18"/>
                        <w:szCs w:val="18"/>
                      </w:rPr>
                      <w:t>300290</w:t>
                    </w:r>
                  </w:p>
                </w:txbxContent>
              </v:textbox>
              <w10:wrap anchorx="page" anchory="page"/>
            </v:shape>
          </w:pict>
        </mc:Fallback>
      </mc:AlternateContent>
    </w:r>
    <w:r>
      <mc:AlternateContent>
        <mc:Choice Requires="wps">
          <w:drawing>
            <wp:anchor distT="0" distB="0" distL="0" distR="0" simplePos="0" relativeHeight="62915020" behindDoc="1" locked="0" layoutInCell="1" allowOverlap="1">
              <wp:simplePos x="0" y="0"/>
              <wp:positionH relativeFrom="page">
                <wp:posOffset>5782310</wp:posOffset>
              </wp:positionH>
              <wp:positionV relativeFrom="page">
                <wp:posOffset>469900</wp:posOffset>
              </wp:positionV>
              <wp:extent cx="1051560" cy="106680"/>
              <wp:wrapNone/>
              <wp:docPr id="551" name="Shape 55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77" type="#_x0000_t202" style="position:absolute;margin-left:455.30000000000001pt;margin-top:37.pt;width:82.799999999999997pt;height:8.4000000000000004pt;z-index:-18874373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737870</wp:posOffset>
              </wp:positionH>
              <wp:positionV relativeFrom="page">
                <wp:posOffset>361950</wp:posOffset>
              </wp:positionV>
              <wp:extent cx="6065520" cy="222250"/>
              <wp:wrapNone/>
              <wp:docPr id="563" name="Shape 563"/>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589" type="#_x0000_t202" style="position:absolute;margin-left:58.100000000000001pt;margin-top:28.5pt;width:477.60000000000002pt;height:17.5pt;z-index:-18874372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737870</wp:posOffset>
              </wp:positionH>
              <wp:positionV relativeFrom="page">
                <wp:posOffset>361950</wp:posOffset>
              </wp:positionV>
              <wp:extent cx="6065520" cy="222250"/>
              <wp:wrapNone/>
              <wp:docPr id="567" name="Shape 56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593" type="#_x0000_t202" style="position:absolute;margin-left:58.100000000000001pt;margin-top:28.5pt;width:477.60000000000002pt;height:17.5pt;z-index:-18874372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636270</wp:posOffset>
              </wp:positionH>
              <wp:positionV relativeFrom="page">
                <wp:posOffset>416560</wp:posOffset>
              </wp:positionV>
              <wp:extent cx="1246505" cy="222250"/>
              <wp:wrapNone/>
              <wp:docPr id="571" name="Shape 571"/>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597" type="#_x0000_t202" style="position:absolute;margin-left:50.100000000000001pt;margin-top:32.799999999999997pt;width:98.150000000000006pt;height:17.5pt;z-index:-18874372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034" behindDoc="1" locked="0" layoutInCell="1" allowOverlap="1">
              <wp:simplePos x="0" y="0"/>
              <wp:positionH relativeFrom="page">
                <wp:posOffset>5650230</wp:posOffset>
              </wp:positionH>
              <wp:positionV relativeFrom="page">
                <wp:posOffset>529590</wp:posOffset>
              </wp:positionV>
              <wp:extent cx="1051560" cy="106680"/>
              <wp:wrapNone/>
              <wp:docPr id="573" name="Shape 573"/>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99" type="#_x0000_t202" style="position:absolute;margin-left:444.90000000000003pt;margin-top:41.700000000000003pt;width:82.799999999999997pt;height:8.4000000000000004pt;z-index:-18874371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737870</wp:posOffset>
              </wp:positionH>
              <wp:positionV relativeFrom="page">
                <wp:posOffset>361950</wp:posOffset>
              </wp:positionV>
              <wp:extent cx="6065520" cy="222250"/>
              <wp:wrapNone/>
              <wp:docPr id="588" name="Shape 58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14" type="#_x0000_t202" style="position:absolute;margin-left:58.100000000000001pt;margin-top:28.5pt;width:477.60000000000002pt;height:17.5pt;z-index:-18874371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737870</wp:posOffset>
              </wp:positionH>
              <wp:positionV relativeFrom="page">
                <wp:posOffset>361950</wp:posOffset>
              </wp:positionV>
              <wp:extent cx="6065520" cy="222250"/>
              <wp:wrapNone/>
              <wp:docPr id="592" name="Shape 592"/>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18" type="#_x0000_t202" style="position:absolute;margin-left:58.100000000000001pt;margin-top:28.5pt;width:477.60000000000002pt;height:17.5pt;z-index:-18874371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5782945</wp:posOffset>
              </wp:positionH>
              <wp:positionV relativeFrom="page">
                <wp:posOffset>514985</wp:posOffset>
              </wp:positionV>
              <wp:extent cx="1051560" cy="106680"/>
              <wp:wrapNone/>
              <wp:docPr id="596" name="Shape 59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622" type="#_x0000_t202" style="position:absolute;margin-left:455.35000000000002pt;margin-top:40.550000000000004pt;width:82.799999999999997pt;height:8.4000000000000004pt;z-index:-188743707;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598" name="Shape 59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737870</wp:posOffset>
              </wp:positionH>
              <wp:positionV relativeFrom="page">
                <wp:posOffset>361950</wp:posOffset>
              </wp:positionV>
              <wp:extent cx="6065520" cy="222250"/>
              <wp:wrapNone/>
              <wp:docPr id="624" name="Shape 624"/>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50" type="#_x0000_t202" style="position:absolute;margin-left:58.100000000000001pt;margin-top:28.5pt;width:477.60000000000002pt;height:17.5pt;z-index:-18874370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737870</wp:posOffset>
              </wp:positionH>
              <wp:positionV relativeFrom="page">
                <wp:posOffset>361950</wp:posOffset>
              </wp:positionV>
              <wp:extent cx="6065520" cy="222250"/>
              <wp:wrapNone/>
              <wp:docPr id="628" name="Shape 62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54" type="#_x0000_t202" style="position:absolute;margin-left:58.100000000000001pt;margin-top:28.5pt;width:477.60000000000002pt;height:17.5pt;z-index:-18874369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5782945</wp:posOffset>
              </wp:positionH>
              <wp:positionV relativeFrom="page">
                <wp:posOffset>514985</wp:posOffset>
              </wp:positionV>
              <wp:extent cx="1051560" cy="106680"/>
              <wp:wrapNone/>
              <wp:docPr id="632" name="Shape 632"/>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658" type="#_x0000_t202" style="position:absolute;margin-left:455.35000000000002pt;margin-top:40.550000000000004pt;width:82.799999999999997pt;height:8.4000000000000004pt;z-index:-188743695;mso-wrap-style:none;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2067560</wp:posOffset>
              </wp:positionH>
              <wp:positionV relativeFrom="page">
                <wp:posOffset>706120</wp:posOffset>
              </wp:positionV>
              <wp:extent cx="4791710" cy="0"/>
              <wp:wrapNone/>
              <wp:docPr id="634" name="Shape 634"/>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80000000000001pt;margin-top:55.600000000000001pt;width:377.30000000000001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759460</wp:posOffset>
              </wp:positionH>
              <wp:positionV relativeFrom="page">
                <wp:posOffset>410845</wp:posOffset>
              </wp:positionV>
              <wp:extent cx="6065520" cy="222250"/>
              <wp:wrapNone/>
              <wp:docPr id="52" name="Shape 52"/>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078" type="#_x0000_t202" style="position:absolute;margin-left:59.800000000000004pt;margin-top:32.350000000000001pt;width:477.60000000000002pt;height:17.5pt;z-index:-188744028;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9552" w:val="right"/>
                      </w:tabs>
                      <w:bidi w:val="0"/>
                      <w:spacing w:before="0" w:after="0" w:line="240" w:lineRule="auto"/>
                      <w:ind w:left="0" w:right="0" w:firstLine="0"/>
                      <w:jc w:val="left"/>
                      <w:rPr>
                        <w:sz w:val="18"/>
                        <w:szCs w:val="18"/>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5784850</wp:posOffset>
              </wp:positionH>
              <wp:positionV relativeFrom="page">
                <wp:posOffset>564515</wp:posOffset>
              </wp:positionV>
              <wp:extent cx="1051560" cy="106680"/>
              <wp:wrapNone/>
              <wp:docPr id="639" name="Shape 639"/>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65" type="#_x0000_t202" style="position:absolute;margin-left:455.5pt;margin-top:44.450000000000003pt;width:82.799999999999997pt;height:8.4000000000000004pt;z-index:-18874369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2069465</wp:posOffset>
              </wp:positionH>
              <wp:positionV relativeFrom="page">
                <wp:posOffset>706120</wp:posOffset>
              </wp:positionV>
              <wp:extent cx="4791710" cy="0"/>
              <wp:wrapNone/>
              <wp:docPr id="641" name="Shape 641"/>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5000000000002pt;margin-top:55.600000000000001pt;width:377.30000000000001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5784850</wp:posOffset>
              </wp:positionH>
              <wp:positionV relativeFrom="page">
                <wp:posOffset>564515</wp:posOffset>
              </wp:positionV>
              <wp:extent cx="1051560" cy="106680"/>
              <wp:wrapNone/>
              <wp:docPr id="644" name="Shape 644"/>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70" type="#_x0000_t202" style="position:absolute;margin-left:455.5pt;margin-top:44.450000000000003pt;width:82.799999999999997pt;height:8.4000000000000004pt;z-index:-18874368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2069465</wp:posOffset>
              </wp:positionH>
              <wp:positionV relativeFrom="page">
                <wp:posOffset>706120</wp:posOffset>
              </wp:positionV>
              <wp:extent cx="4791710" cy="0"/>
              <wp:wrapNone/>
              <wp:docPr id="646" name="Shape 646"/>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5000000000002pt;margin-top:55.600000000000001pt;width:377.30000000000001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768985</wp:posOffset>
              </wp:positionH>
              <wp:positionV relativeFrom="page">
                <wp:posOffset>438150</wp:posOffset>
              </wp:positionV>
              <wp:extent cx="1246505" cy="222250"/>
              <wp:wrapNone/>
              <wp:docPr id="663" name="Shape 663"/>
              <a:graphic xmlns:a="http://schemas.openxmlformats.org/drawingml/2006/main">
                <a:graphicData uri="http://schemas.microsoft.com/office/word/2010/wordprocessingShape">
                  <wps:wsp>
                    <wps:cNvSpPr txBox="1"/>
                    <wps:spPr>
                      <a:xfrm>
                        <a:ext cx="1246505" cy="2222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wps:txbx>
                    <wps:bodyPr wrap="none" lIns="0" tIns="0" rIns="0" bIns="0">
                      <a:spAutoFit/>
                    </wps:bodyPr>
                  </wps:wsp>
                </a:graphicData>
              </a:graphic>
            </wp:anchor>
          </w:drawing>
        </mc:Choice>
        <mc:Fallback>
          <w:pict>
            <v:shape id="_x0000_s1689" type="#_x0000_t202" style="position:absolute;margin-left:60.550000000000004pt;margin-top:34.5pt;width:98.150000000000006pt;height:17.5pt;z-index:-18874368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0"/>
                        <w:szCs w:val="30"/>
                      </w:rPr>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r>
                  </w:p>
                </w:txbxContent>
              </v:textbox>
              <w10:wrap anchorx="page" anchory="page"/>
            </v:shape>
          </w:pict>
        </mc:Fallback>
      </mc:AlternateContent>
    </w:r>
    <w:r>
      <mc:AlternateContent>
        <mc:Choice Requires="wps">
          <w:drawing>
            <wp:anchor distT="0" distB="0" distL="0" distR="0" simplePos="0" relativeHeight="62915074" behindDoc="1" locked="0" layoutInCell="1" allowOverlap="1">
              <wp:simplePos x="0" y="0"/>
              <wp:positionH relativeFrom="page">
                <wp:posOffset>5782945</wp:posOffset>
              </wp:positionH>
              <wp:positionV relativeFrom="page">
                <wp:posOffset>551180</wp:posOffset>
              </wp:positionV>
              <wp:extent cx="1051560" cy="106680"/>
              <wp:wrapNone/>
              <wp:docPr id="665" name="Shape 66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91" type="#_x0000_t202" style="position:absolute;margin-left:455.35000000000002pt;margin-top:43.399999999999999pt;width:82.799999999999997pt;height:8.4000000000000004pt;z-index:-18874367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737870</wp:posOffset>
              </wp:positionH>
              <wp:positionV relativeFrom="page">
                <wp:posOffset>361950</wp:posOffset>
              </wp:positionV>
              <wp:extent cx="6065520" cy="222250"/>
              <wp:wrapNone/>
              <wp:docPr id="669" name="Shape 669"/>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95" type="#_x0000_t202" style="position:absolute;margin-left:58.100000000000001pt;margin-top:28.5pt;width:477.60000000000002pt;height:17.5pt;z-index:-18874367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737870</wp:posOffset>
              </wp:positionH>
              <wp:positionV relativeFrom="page">
                <wp:posOffset>361950</wp:posOffset>
              </wp:positionV>
              <wp:extent cx="6065520" cy="222250"/>
              <wp:wrapNone/>
              <wp:docPr id="675" name="Shape 675"/>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01" type="#_x0000_t202" style="position:absolute;margin-left:58.100000000000001pt;margin-top:28.5pt;width:477.60000000000002pt;height:17.5pt;z-index:-18874367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737870</wp:posOffset>
              </wp:positionH>
              <wp:positionV relativeFrom="page">
                <wp:posOffset>361950</wp:posOffset>
              </wp:positionV>
              <wp:extent cx="6065520" cy="222250"/>
              <wp:wrapNone/>
              <wp:docPr id="679" name="Shape 679"/>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05" type="#_x0000_t202" style="position:absolute;margin-left:58.100000000000001pt;margin-top:28.5pt;width:477.60000000000002pt;height:17.5pt;z-index:-18874366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5784850</wp:posOffset>
              </wp:positionH>
              <wp:positionV relativeFrom="page">
                <wp:posOffset>564515</wp:posOffset>
              </wp:positionV>
              <wp:extent cx="1051560" cy="106680"/>
              <wp:wrapNone/>
              <wp:docPr id="683" name="Shape 683"/>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09" type="#_x0000_t202" style="position:absolute;margin-left:455.5pt;margin-top:44.450000000000003pt;width:82.799999999999997pt;height:8.4000000000000004pt;z-index:-18874366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2069465</wp:posOffset>
              </wp:positionH>
              <wp:positionV relativeFrom="page">
                <wp:posOffset>706120</wp:posOffset>
              </wp:positionV>
              <wp:extent cx="4791710" cy="0"/>
              <wp:wrapNone/>
              <wp:docPr id="685" name="Shape 685"/>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5000000000002pt;margin-top:55.600000000000001pt;width:377.30000000000001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5784850</wp:posOffset>
              </wp:positionH>
              <wp:positionV relativeFrom="page">
                <wp:posOffset>564515</wp:posOffset>
              </wp:positionV>
              <wp:extent cx="1051560" cy="106680"/>
              <wp:wrapNone/>
              <wp:docPr id="688" name="Shape 68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14" type="#_x0000_t202" style="position:absolute;margin-left:455.5pt;margin-top:44.450000000000003pt;width:82.799999999999997pt;height:8.4000000000000004pt;z-index:-1887436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2069465</wp:posOffset>
              </wp:positionH>
              <wp:positionV relativeFrom="page">
                <wp:posOffset>706120</wp:posOffset>
              </wp:positionV>
              <wp:extent cx="4791710" cy="0"/>
              <wp:wrapNone/>
              <wp:docPr id="690" name="Shape 690"/>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5000000000002pt;margin-top:55.600000000000001pt;width:377.30000000000001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737870</wp:posOffset>
              </wp:positionH>
              <wp:positionV relativeFrom="page">
                <wp:posOffset>361950</wp:posOffset>
              </wp:positionV>
              <wp:extent cx="6065520" cy="222250"/>
              <wp:wrapNone/>
              <wp:docPr id="708" name="Shape 708"/>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34" type="#_x0000_t202" style="position:absolute;margin-left:58.100000000000001pt;margin-top:28.5pt;width:477.60000000000002pt;height:17.5pt;z-index:-18874365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737870</wp:posOffset>
              </wp:positionH>
              <wp:positionV relativeFrom="page">
                <wp:posOffset>361950</wp:posOffset>
              </wp:positionV>
              <wp:extent cx="6065520" cy="222250"/>
              <wp:wrapNone/>
              <wp:docPr id="712" name="Shape 712"/>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38" type="#_x0000_t202" style="position:absolute;margin-left:58.100000000000001pt;margin-top:28.5pt;width:477.60000000000002pt;height:17.5pt;z-index:-18874365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1196340</wp:posOffset>
              </wp:positionH>
              <wp:positionV relativeFrom="page">
                <wp:posOffset>452755</wp:posOffset>
              </wp:positionV>
              <wp:extent cx="5593080" cy="213360"/>
              <wp:wrapNone/>
              <wp:docPr id="56" name="Shape 56"/>
              <a:graphic xmlns:a="http://schemas.openxmlformats.org/drawingml/2006/main">
                <a:graphicData uri="http://schemas.microsoft.com/office/word/2010/wordprocessingShape">
                  <wps:wsp>
                    <wps:cNvSpPr txBox="1"/>
                    <wps:spPr>
                      <a:xfrm>
                        <a:ext cx="5593080" cy="213360"/>
                      </a:xfrm>
                      <a:prstGeom prst="rect"/>
                      <a:noFill/>
                    </wps:spPr>
                    <wps:txbx>
                      <w:txbxContent>
                        <w:p>
                          <w:pPr>
                            <w:pStyle w:val="Style12"/>
                            <w:keepNext w:val="0"/>
                            <w:keepLines w:val="0"/>
                            <w:widowControl w:val="0"/>
                            <w:shd w:val="clear" w:color="auto" w:fill="auto"/>
                            <w:tabs>
                              <w:tab w:pos="8808" w:val="right"/>
                            </w:tabs>
                            <w:bidi w:val="0"/>
                            <w:spacing w:before="0" w:after="0" w:line="240" w:lineRule="auto"/>
                            <w:ind w:left="0" w:right="0" w:firstLine="0"/>
                            <w:jc w:val="left"/>
                            <w:rPr>
                              <w:sz w:val="18"/>
                              <w:szCs w:val="18"/>
                            </w:rPr>
                          </w:pPr>
                          <w:r>
                            <w:rPr>
                              <w:rFonts w:ascii="SimSun" w:eastAsia="SimSun" w:hAnsi="SimSun" w:cs="SimSun"/>
                              <w:color w:val="245994"/>
                              <w:spacing w:val="0"/>
                              <w:w w:val="100"/>
                              <w:position w:val="0"/>
                              <w:sz w:val="18"/>
                              <w:szCs w:val="18"/>
                            </w:rPr>
                            <w:t>呆超科技</w:t>
                          </w:r>
                          <w:r>
                            <w:rPr>
                              <w:rFonts w:ascii="SimSun" w:eastAsia="SimSun" w:hAnsi="SimSun" w:cs="SimSun"/>
                              <w:color w:val="000000"/>
                              <w:spacing w:val="0"/>
                              <w:w w:val="100"/>
                              <w:position w:val="0"/>
                              <w:sz w:val="18"/>
                              <w:szCs w:val="18"/>
                            </w:rPr>
                            <w:tab/>
                            <w:t xml:space="preserve"> </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lIns="0" tIns="0" rIns="0" bIns="0">
                      <a:spAutoFit/>
                    </wps:bodyPr>
                  </wps:wsp>
                </a:graphicData>
              </a:graphic>
            </wp:anchor>
          </w:drawing>
        </mc:Choice>
        <mc:Fallback>
          <w:pict>
            <v:shape id="_x0000_s1082" type="#_x0000_t202" style="position:absolute;margin-left:94.200000000000003pt;margin-top:35.649999999999999pt;width:440.40000000000003pt;height:16.800000000000001pt;z-index:-188744024;mso-wrap-distance-left:0;mso-wrap-distance-right:0;mso-position-horizontal-relative:page;mso-position-vertical-relative:page" wrapcoords="0 0" filled="f" stroked="f">
              <v:textbox style="mso-fit-shape-to-text:t" inset="0,0,0,0">
                <w:txbxContent>
                  <w:p>
                    <w:pPr>
                      <w:pStyle w:val="Style12"/>
                      <w:keepNext w:val="0"/>
                      <w:keepLines w:val="0"/>
                      <w:widowControl w:val="0"/>
                      <w:shd w:val="clear" w:color="auto" w:fill="auto"/>
                      <w:tabs>
                        <w:tab w:pos="8808" w:val="right"/>
                      </w:tabs>
                      <w:bidi w:val="0"/>
                      <w:spacing w:before="0" w:after="0" w:line="240" w:lineRule="auto"/>
                      <w:ind w:left="0" w:right="0" w:firstLine="0"/>
                      <w:jc w:val="left"/>
                      <w:rPr>
                        <w:sz w:val="18"/>
                        <w:szCs w:val="18"/>
                      </w:rPr>
                    </w:pPr>
                    <w:r>
                      <w:rPr>
                        <w:rFonts w:ascii="SimSun" w:eastAsia="SimSun" w:hAnsi="SimSun" w:cs="SimSun"/>
                        <w:color w:val="245994"/>
                        <w:spacing w:val="0"/>
                        <w:w w:val="100"/>
                        <w:position w:val="0"/>
                        <w:sz w:val="18"/>
                        <w:szCs w:val="18"/>
                      </w:rPr>
                      <w:t>呆超科技</w:t>
                    </w:r>
                    <w:r>
                      <w:rPr>
                        <w:rFonts w:ascii="SimSun" w:eastAsia="SimSun" w:hAnsi="SimSun" w:cs="SimSun"/>
                        <w:color w:val="000000"/>
                        <w:spacing w:val="0"/>
                        <w:w w:val="100"/>
                        <w:position w:val="0"/>
                        <w:sz w:val="18"/>
                        <w:szCs w:val="18"/>
                      </w:rPr>
                      <w:tab/>
                      <w:t xml:space="preserve"> </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2021840</wp:posOffset>
              </wp:positionH>
              <wp:positionV relativeFrom="page">
                <wp:posOffset>667385</wp:posOffset>
              </wp:positionV>
              <wp:extent cx="4791710" cy="0"/>
              <wp:wrapNone/>
              <wp:docPr id="58" name="Shape 5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59.20000000000002pt;margin-top:52.550000000000004pt;width:377.30000000000001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1242695</wp:posOffset>
              </wp:positionH>
              <wp:positionV relativeFrom="page">
                <wp:posOffset>455930</wp:posOffset>
              </wp:positionV>
              <wp:extent cx="5593080" cy="213360"/>
              <wp:wrapNone/>
              <wp:docPr id="716" name="Shape 716"/>
              <a:graphic xmlns:a="http://schemas.openxmlformats.org/drawingml/2006/main">
                <a:graphicData uri="http://schemas.microsoft.com/office/word/2010/wordprocessingShape">
                  <wps:wsp>
                    <wps:cNvSpPr txBox="1"/>
                    <wps:spPr>
                      <a:xfrm>
                        <a:ext cx="5593080" cy="213360"/>
                      </a:xfrm>
                      <a:prstGeom prst="rect"/>
                      <a:noFill/>
                    </wps:spPr>
                    <wps:txbx>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42" type="#_x0000_t202" style="position:absolute;margin-left:97.850000000000009pt;margin-top:35.899999999999999pt;width:440.40000000000003pt;height:16.800000000000001pt;z-index:-188743647;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670560</wp:posOffset>
              </wp:positionV>
              <wp:extent cx="4791710" cy="0"/>
              <wp:wrapNone/>
              <wp:docPr id="718" name="Shape 71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2.800000000000004pt;width:377.30000000000001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5784215</wp:posOffset>
              </wp:positionH>
              <wp:positionV relativeFrom="page">
                <wp:posOffset>556260</wp:posOffset>
              </wp:positionV>
              <wp:extent cx="1051560" cy="106680"/>
              <wp:wrapNone/>
              <wp:docPr id="721" name="Shape 721"/>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47" type="#_x0000_t202" style="position:absolute;margin-left:455.44999999999999pt;margin-top:43.800000000000004pt;width:82.799999999999997pt;height:8.4000000000000004pt;z-index:-18874364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706120</wp:posOffset>
              </wp:positionV>
              <wp:extent cx="4791710" cy="0"/>
              <wp:wrapNone/>
              <wp:docPr id="723" name="Shape 72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5.600000000000001pt;width:377.30000000000001pt;height:0;z-index:-251658240;mso-position-horizontal-relative:page;mso-position-vertical-relative:page">
              <v:stroke weight="1.pt"/>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5784215</wp:posOffset>
              </wp:positionH>
              <wp:positionV relativeFrom="page">
                <wp:posOffset>556260</wp:posOffset>
              </wp:positionV>
              <wp:extent cx="1051560" cy="106680"/>
              <wp:wrapNone/>
              <wp:docPr id="726" name="Shape 726"/>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52" type="#_x0000_t202" style="position:absolute;margin-left:455.44999999999999pt;margin-top:43.800000000000004pt;width:82.799999999999997pt;height:8.4000000000000004pt;z-index:-18874363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706120</wp:posOffset>
              </wp:positionV>
              <wp:extent cx="4791710" cy="0"/>
              <wp:wrapNone/>
              <wp:docPr id="728" name="Shape 728"/>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5.600000000000001pt;width:377.30000000000001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737870</wp:posOffset>
              </wp:positionH>
              <wp:positionV relativeFrom="page">
                <wp:posOffset>361950</wp:posOffset>
              </wp:positionV>
              <wp:extent cx="6065520" cy="222250"/>
              <wp:wrapNone/>
              <wp:docPr id="737" name="Shape 73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63" type="#_x0000_t202" style="position:absolute;margin-left:58.100000000000001pt;margin-top:28.5pt;width:477.60000000000002pt;height:17.5pt;z-index:-18874363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737870</wp:posOffset>
              </wp:positionH>
              <wp:positionV relativeFrom="page">
                <wp:posOffset>361950</wp:posOffset>
              </wp:positionV>
              <wp:extent cx="6065520" cy="222250"/>
              <wp:wrapNone/>
              <wp:docPr id="741" name="Shape 741"/>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67" type="#_x0000_t202" style="position:absolute;margin-left:58.100000000000001pt;margin-top:28.5pt;width:477.60000000000002pt;height:17.5pt;z-index:-18874363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5784215</wp:posOffset>
              </wp:positionH>
              <wp:positionV relativeFrom="page">
                <wp:posOffset>556260</wp:posOffset>
              </wp:positionV>
              <wp:extent cx="1051560" cy="106680"/>
              <wp:wrapNone/>
              <wp:docPr id="745" name="Shape 745"/>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71" type="#_x0000_t202" style="position:absolute;margin-left:455.44999999999999pt;margin-top:43.800000000000004pt;width:82.799999999999997pt;height:8.4000000000000004pt;z-index:-18874362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706120</wp:posOffset>
              </wp:positionV>
              <wp:extent cx="4791710" cy="0"/>
              <wp:wrapNone/>
              <wp:docPr id="747" name="Shape 747"/>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5.600000000000001pt;width:377.30000000000001pt;height:0;z-index:-251658240;mso-position-horizontal-relative:page;mso-position-vertical-relative:page">
              <v:stroke weight="1.pt"/>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5784215</wp:posOffset>
              </wp:positionH>
              <wp:positionV relativeFrom="page">
                <wp:posOffset>556260</wp:posOffset>
              </wp:positionV>
              <wp:extent cx="1051560" cy="106680"/>
              <wp:wrapNone/>
              <wp:docPr id="750" name="Shape 750"/>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76" type="#_x0000_t202" style="position:absolute;margin-left:455.44999999999999pt;margin-top:43.800000000000004pt;width:82.799999999999997pt;height:8.4000000000000004pt;z-index:-18874362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706120</wp:posOffset>
              </wp:positionV>
              <wp:extent cx="4791710" cy="0"/>
              <wp:wrapNone/>
              <wp:docPr id="752" name="Shape 752"/>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5.600000000000001pt;width:377.30000000000001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737870</wp:posOffset>
              </wp:positionH>
              <wp:positionV relativeFrom="page">
                <wp:posOffset>361950</wp:posOffset>
              </wp:positionV>
              <wp:extent cx="6065520" cy="222250"/>
              <wp:wrapNone/>
              <wp:docPr id="763" name="Shape 763"/>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89" type="#_x0000_t202" style="position:absolute;margin-left:58.100000000000001pt;margin-top:28.5pt;width:477.60000000000002pt;height:17.5pt;z-index:-18874361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737870</wp:posOffset>
              </wp:positionH>
              <wp:positionV relativeFrom="page">
                <wp:posOffset>361950</wp:posOffset>
              </wp:positionV>
              <wp:extent cx="6065520" cy="222250"/>
              <wp:wrapNone/>
              <wp:docPr id="767" name="Shape 767"/>
              <a:graphic xmlns:a="http://schemas.openxmlformats.org/drawingml/2006/main">
                <a:graphicData uri="http://schemas.microsoft.com/office/word/2010/wordprocessingShape">
                  <wps:wsp>
                    <wps:cNvSpPr txBox="1"/>
                    <wps:spPr>
                      <a:xfrm>
                        <a:ext cx="6065520" cy="222250"/>
                      </a:xfrm>
                      <a:prstGeom prst="rect"/>
                      <a:noFill/>
                    </wps:spPr>
                    <wps:txbx>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93" type="#_x0000_t202" style="position:absolute;margin-left:58.100000000000001pt;margin-top:28.5pt;width:477.60000000000002pt;height:17.5pt;z-index:-188743615;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9552" w:val="right"/>
                      </w:tabs>
                      <w:bidi w:val="0"/>
                      <w:spacing w:before="0" w:after="0" w:line="240" w:lineRule="auto"/>
                      <w:ind w:left="0" w:right="0" w:firstLine="0"/>
                      <w:jc w:val="left"/>
                    </w:pPr>
                    <w:r>
                      <w:rPr>
                        <w:rFonts w:ascii="SimHei" w:eastAsia="SimHei" w:hAnsi="SimHei" w:cs="SimHei"/>
                        <w:color w:val="245994"/>
                        <w:spacing w:val="0"/>
                        <w:w w:val="100"/>
                        <w:position w:val="0"/>
                        <w:sz w:val="30"/>
                        <w:szCs w:val="30"/>
                      </w:rPr>
                      <w:t>■</w:t>
                    </w:r>
                    <w:r>
                      <w:rPr>
                        <w:rFonts w:ascii="Arial" w:eastAsia="Arial" w:hAnsi="Arial" w:cs="Arial"/>
                        <w:color w:val="245994"/>
                        <w:spacing w:val="0"/>
                        <w:w w:val="100"/>
                        <w:position w:val="0"/>
                        <w:sz w:val="26"/>
                        <w:szCs w:val="26"/>
                      </w:rPr>
                      <w:t>♦♦</w:t>
                    </w:r>
                    <w:r>
                      <w:rPr>
                        <w:rFonts w:ascii="SimHei" w:eastAsia="SimHei" w:hAnsi="SimHei" w:cs="SimHei"/>
                        <w:color w:val="245994"/>
                        <w:spacing w:val="0"/>
                        <w:w w:val="100"/>
                        <w:position w:val="0"/>
                        <w:sz w:val="30"/>
                        <w:szCs w:val="30"/>
                      </w:rPr>
                      <w:t>某超和技</w:t>
                      <w:tab/>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1242695</wp:posOffset>
              </wp:positionH>
              <wp:positionV relativeFrom="page">
                <wp:posOffset>534035</wp:posOffset>
              </wp:positionV>
              <wp:extent cx="5593080" cy="213360"/>
              <wp:wrapNone/>
              <wp:docPr id="771" name="Shape 771"/>
              <a:graphic xmlns:a="http://schemas.openxmlformats.org/drawingml/2006/main">
                <a:graphicData uri="http://schemas.microsoft.com/office/word/2010/wordprocessingShape">
                  <wps:wsp>
                    <wps:cNvSpPr txBox="1"/>
                    <wps:spPr>
                      <a:xfrm>
                        <a:ext cx="5593080" cy="213360"/>
                      </a:xfrm>
                      <a:prstGeom prst="rect"/>
                      <a:noFill/>
                    </wps:spPr>
                    <wps:txbx>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97" type="#_x0000_t202" style="position:absolute;margin-left:97.850000000000009pt;margin-top:42.050000000000004pt;width:440.40000000000003pt;height:16.800000000000001pt;z-index:-188743611;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8808" w:val="right"/>
                      </w:tabs>
                      <w:bidi w:val="0"/>
                      <w:spacing w:before="0" w:after="0" w:line="240" w:lineRule="auto"/>
                      <w:ind w:left="0" w:right="0" w:firstLine="0"/>
                      <w:jc w:val="left"/>
                    </w:pPr>
                    <w:r>
                      <w:rPr>
                        <w:color w:val="245994"/>
                        <w:spacing w:val="0"/>
                        <w:w w:val="100"/>
                        <w:position w:val="0"/>
                      </w:rPr>
                      <w:t>呆超科技</w:t>
                    </w:r>
                    <w:r>
                      <w:rPr>
                        <w:color w:val="000000"/>
                        <w:spacing w:val="0"/>
                        <w:w w:val="100"/>
                        <w:position w:val="0"/>
                      </w:rPr>
                      <w:tab/>
                      <w:t xml:space="preserve"> </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2068830</wp:posOffset>
              </wp:positionH>
              <wp:positionV relativeFrom="page">
                <wp:posOffset>748665</wp:posOffset>
              </wp:positionV>
              <wp:extent cx="4791710" cy="0"/>
              <wp:wrapNone/>
              <wp:docPr id="773" name="Shape 773"/>
              <a:graphic xmlns:a="http://schemas.openxmlformats.org/drawingml/2006/main">
                <a:graphicData uri="http://schemas.microsoft.com/office/word/2010/wordprocessingShape">
                  <wps:wsp>
                    <wps:cNvCnPr/>
                    <wps:spPr>
                      <a:xfrm>
                        <a:ext cx="4791710" cy="0"/>
                      </a:xfrm>
                      <a:prstGeom prst="straightConnector1"/>
                      <a:ln w="12700">
                        <a:solidFill/>
                      </a:ln>
                    </wps:spPr>
                    <wps:bodyPr/>
                  </wps:wsp>
                </a:graphicData>
              </a:graphic>
            </wp:anchor>
          </w:drawing>
        </mc:Choice>
        <mc:Fallback>
          <w:pict>
            <v:shape o:spt="32" o:oned="true" path="m,l21600,21600e" style="position:absolute;margin-left:162.90000000000001pt;margin-top:58.950000000000003pt;width:377.30000000000001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6">
    <w:multiLevelType w:val="multilevel"/>
    <w:lvl w:ilvl="0">
      <w:start w:val="2018"/>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22">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4">
    <w:multiLevelType w:val="multilevel"/>
    <w:lvl w:ilvl="0">
      <w:start w:val="1"/>
      <w:numFmt w:val="lowerLetter"/>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6">
    <w:multiLevelType w:val="multilevel"/>
    <w:lvl w:ilvl="0">
      <w:start w:val="1"/>
      <w:numFmt w:val="lowerLetter"/>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4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2">
    <w:multiLevelType w:val="multilevel"/>
    <w:lvl w:ilvl="0">
      <w:start w:val="5"/>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5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6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6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6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6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68">
    <w:multiLevelType w:val="multilevel"/>
    <w:lvl w:ilvl="0">
      <w:start w:val="2"/>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7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72">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74">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7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0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0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0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0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0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1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1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1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1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2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2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3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3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3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3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3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4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4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4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46">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rPr>
    </w:lvl>
  </w:abstractNum>
  <w:abstractNum w:abstractNumId="148">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52">
    <w:multiLevelType w:val="multilevel"/>
    <w:lvl w:ilvl="0">
      <w:start w:val="5"/>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5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6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6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16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6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70">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72">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74">
    <w:multiLevelType w:val="multilevel"/>
    <w:lvl w:ilvl="0">
      <w:start w:val="8"/>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76">
    <w:multiLevelType w:val="multilevel"/>
    <w:lvl w:ilvl="0">
      <w:start w:val="1"/>
      <w:numFmt w:val="ideographDigit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82">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84">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88">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标题 #2_"/>
    <w:basedOn w:val="DefaultParagraphFont"/>
    <w:link w:val="Style2"/>
    <w:rPr>
      <w:rFonts w:ascii="SimHei" w:eastAsia="SimHei" w:hAnsi="SimHei" w:cs="SimHei"/>
      <w:b w:val="0"/>
      <w:bCs w:val="0"/>
      <w:i w:val="0"/>
      <w:iCs w:val="0"/>
      <w:smallCaps w:val="0"/>
      <w:strike w:val="0"/>
      <w:color w:val="245994"/>
      <w:sz w:val="30"/>
      <w:szCs w:val="30"/>
      <w:u w:val="none"/>
      <w:shd w:val="clear" w:color="auto" w:fill="auto"/>
    </w:rPr>
  </w:style>
  <w:style w:type="character" w:customStyle="1" w:styleId="CharStyle6">
    <w:name w:val="正文文本 (3)_"/>
    <w:basedOn w:val="DefaultParagraphFont"/>
    <w:link w:val="Style5"/>
    <w:rPr>
      <w:rFonts w:ascii="SimHei" w:eastAsia="SimHei" w:hAnsi="SimHei" w:cs="SimHei"/>
      <w:b w:val="0"/>
      <w:bCs w:val="0"/>
      <w:i w:val="0"/>
      <w:iCs w:val="0"/>
      <w:smallCaps w:val="0"/>
      <w:strike w:val="0"/>
      <w:color w:val="4E698D"/>
      <w:sz w:val="15"/>
      <w:szCs w:val="15"/>
      <w:u w:val="none"/>
      <w:shd w:val="clear" w:color="auto" w:fill="auto"/>
    </w:rPr>
  </w:style>
  <w:style w:type="character" w:customStyle="1" w:styleId="CharStyle11">
    <w:name w:val="正文文本 (6)_"/>
    <w:basedOn w:val="DefaultParagraphFont"/>
    <w:link w:val="Style10"/>
    <w:rPr>
      <w:rFonts w:ascii="Arial" w:eastAsia="Arial" w:hAnsi="Arial" w:cs="Arial"/>
      <w:b w:val="0"/>
      <w:bCs w:val="0"/>
      <w:i w:val="0"/>
      <w:iCs w:val="0"/>
      <w:smallCaps w:val="0"/>
      <w:strike w:val="0"/>
      <w:color w:val="0302B6"/>
      <w:sz w:val="128"/>
      <w:szCs w:val="128"/>
      <w:u w:val="none"/>
      <w:shd w:val="clear" w:color="auto" w:fill="auto"/>
    </w:rPr>
  </w:style>
  <w:style w:type="character" w:customStyle="1" w:styleId="CharStyle13">
    <w:name w:val="页眉或页脚 (2)_"/>
    <w:basedOn w:val="DefaultParagraphFont"/>
    <w:link w:val="Style12"/>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17">
    <w:name w:val="正文文本 (4)_"/>
    <w:basedOn w:val="DefaultParagraphFont"/>
    <w:link w:val="Style16"/>
    <w:rPr>
      <w:rFonts w:ascii="SimSun" w:eastAsia="SimSun" w:hAnsi="SimSun" w:cs="SimSun"/>
      <w:b/>
      <w:bCs/>
      <w:i w:val="0"/>
      <w:iCs w:val="0"/>
      <w:smallCaps w:val="0"/>
      <w:strike w:val="0"/>
      <w:sz w:val="36"/>
      <w:szCs w:val="36"/>
      <w:u w:val="none"/>
      <w:shd w:val="clear" w:color="auto" w:fill="auto"/>
    </w:rPr>
  </w:style>
  <w:style w:type="character" w:customStyle="1" w:styleId="CharStyle19">
    <w:name w:val="正文文本 (2)_"/>
    <w:basedOn w:val="DefaultParagraphFont"/>
    <w:link w:val="Style18"/>
    <w:rPr>
      <w:rFonts w:ascii="SimSun" w:eastAsia="SimSun" w:hAnsi="SimSun" w:cs="SimSun"/>
      <w:b/>
      <w:bCs/>
      <w:i w:val="0"/>
      <w:iCs w:val="0"/>
      <w:smallCaps w:val="0"/>
      <w:strike w:val="0"/>
      <w:u w:val="none"/>
      <w:shd w:val="clear" w:color="auto" w:fill="auto"/>
    </w:rPr>
  </w:style>
  <w:style w:type="character" w:customStyle="1" w:styleId="CharStyle21">
    <w:name w:val="标题 #3_"/>
    <w:basedOn w:val="DefaultParagraphFont"/>
    <w:link w:val="Style20"/>
    <w:rPr>
      <w:rFonts w:ascii="SimSun" w:eastAsia="SimSun" w:hAnsi="SimSun" w:cs="SimSun"/>
      <w:b/>
      <w:bCs/>
      <w:i w:val="0"/>
      <w:iCs w:val="0"/>
      <w:smallCaps w:val="0"/>
      <w:strike w:val="0"/>
      <w:sz w:val="32"/>
      <w:szCs w:val="32"/>
      <w:u w:val="none"/>
      <w:shd w:val="clear" w:color="auto" w:fill="auto"/>
    </w:rPr>
  </w:style>
  <w:style w:type="character" w:customStyle="1" w:styleId="CharStyle24">
    <w:name w:val="正文文本 (5)_"/>
    <w:basedOn w:val="DefaultParagraphFont"/>
    <w:link w:val="Style23"/>
    <w:rPr>
      <w:rFonts w:ascii="Times New Roman" w:eastAsia="Times New Roman" w:hAnsi="Times New Roman" w:cs="Times New Roman"/>
      <w:b/>
      <w:bCs/>
      <w:i w:val="0"/>
      <w:iCs w:val="0"/>
      <w:smallCaps w:val="0"/>
      <w:strike w:val="0"/>
      <w:sz w:val="32"/>
      <w:szCs w:val="32"/>
      <w:u w:val="none"/>
      <w:shd w:val="clear" w:color="auto" w:fill="auto"/>
    </w:rPr>
  </w:style>
  <w:style w:type="character" w:customStyle="1" w:styleId="CharStyle27">
    <w:name w:val="图片标题_"/>
    <w:basedOn w:val="DefaultParagraphFont"/>
    <w:link w:val="Style26"/>
    <w:rPr>
      <w:rFonts w:ascii="SimHei" w:eastAsia="SimHei" w:hAnsi="SimHei" w:cs="SimHei"/>
      <w:b w:val="0"/>
      <w:bCs w:val="0"/>
      <w:i w:val="0"/>
      <w:iCs w:val="0"/>
      <w:smallCaps w:val="0"/>
      <w:strike w:val="0"/>
      <w:color w:val="4E698D"/>
      <w:sz w:val="15"/>
      <w:szCs w:val="15"/>
      <w:u w:val="none"/>
      <w:shd w:val="clear" w:color="auto" w:fill="auto"/>
    </w:rPr>
  </w:style>
  <w:style w:type="character" w:customStyle="1" w:styleId="CharStyle33">
    <w:name w:val="正文文本_"/>
    <w:basedOn w:val="DefaultParagraphFont"/>
    <w:link w:val="Style32"/>
    <w:rPr>
      <w:rFonts w:ascii="SimSun" w:eastAsia="SimSun" w:hAnsi="SimSun" w:cs="SimSun"/>
      <w:b w:val="0"/>
      <w:bCs w:val="0"/>
      <w:i w:val="0"/>
      <w:iCs w:val="0"/>
      <w:smallCaps w:val="0"/>
      <w:strike w:val="0"/>
      <w:sz w:val="18"/>
      <w:szCs w:val="18"/>
      <w:u w:val="none"/>
      <w:shd w:val="clear" w:color="auto" w:fill="auto"/>
    </w:rPr>
  </w:style>
  <w:style w:type="character" w:customStyle="1" w:styleId="CharStyle39">
    <w:name w:val="标题 #1_"/>
    <w:basedOn w:val="DefaultParagraphFont"/>
    <w:link w:val="Style38"/>
    <w:rPr>
      <w:rFonts w:ascii="Arial" w:eastAsia="Arial" w:hAnsi="Arial" w:cs="Arial"/>
      <w:b w:val="0"/>
      <w:bCs w:val="0"/>
      <w:i w:val="0"/>
      <w:iCs w:val="0"/>
      <w:smallCaps w:val="0"/>
      <w:strike w:val="0"/>
      <w:color w:val="245994"/>
      <w:sz w:val="38"/>
      <w:szCs w:val="38"/>
      <w:u w:val="none"/>
      <w:shd w:val="clear" w:color="auto" w:fill="auto"/>
    </w:rPr>
  </w:style>
  <w:style w:type="character" w:customStyle="1" w:styleId="CharStyle42">
    <w:name w:val="目录_"/>
    <w:basedOn w:val="DefaultParagraphFont"/>
    <w:link w:val="Style41"/>
    <w:rPr>
      <w:rFonts w:ascii="SimSun" w:eastAsia="SimSun" w:hAnsi="SimSun" w:cs="SimSun"/>
      <w:b/>
      <w:bCs/>
      <w:i w:val="0"/>
      <w:iCs w:val="0"/>
      <w:smallCaps w:val="0"/>
      <w:strike w:val="0"/>
      <w:u w:val="none"/>
      <w:shd w:val="clear" w:color="auto" w:fill="auto"/>
    </w:rPr>
  </w:style>
  <w:style w:type="character" w:customStyle="1" w:styleId="CharStyle45">
    <w:name w:val="其他_"/>
    <w:basedOn w:val="DefaultParagraphFont"/>
    <w:link w:val="Style44"/>
    <w:rPr>
      <w:rFonts w:ascii="SimSun" w:eastAsia="SimSun" w:hAnsi="SimSun" w:cs="SimSun"/>
      <w:b w:val="0"/>
      <w:bCs w:val="0"/>
      <w:i w:val="0"/>
      <w:iCs w:val="0"/>
      <w:smallCaps w:val="0"/>
      <w:strike w:val="0"/>
      <w:sz w:val="18"/>
      <w:szCs w:val="18"/>
      <w:u w:val="none"/>
      <w:shd w:val="clear" w:color="auto" w:fill="auto"/>
    </w:rPr>
  </w:style>
  <w:style w:type="character" w:customStyle="1" w:styleId="CharStyle48">
    <w:name w:val="标题 #4_"/>
    <w:basedOn w:val="DefaultParagraphFont"/>
    <w:link w:val="Style47"/>
    <w:rPr>
      <w:rFonts w:ascii="SimSun" w:eastAsia="SimSun" w:hAnsi="SimSun" w:cs="SimSun"/>
      <w:b/>
      <w:bCs/>
      <w:i w:val="0"/>
      <w:iCs w:val="0"/>
      <w:smallCaps w:val="0"/>
      <w:strike w:val="0"/>
      <w:u w:val="none"/>
      <w:shd w:val="clear" w:color="auto" w:fill="auto"/>
    </w:rPr>
  </w:style>
  <w:style w:type="character" w:customStyle="1" w:styleId="CharStyle50">
    <w:name w:val="表格标题_"/>
    <w:basedOn w:val="DefaultParagraphFont"/>
    <w:link w:val="Style49"/>
    <w:rPr>
      <w:rFonts w:ascii="SimSun" w:eastAsia="SimSun" w:hAnsi="SimSun" w:cs="SimSun"/>
      <w:b w:val="0"/>
      <w:bCs w:val="0"/>
      <w:i w:val="0"/>
      <w:iCs w:val="0"/>
      <w:smallCaps w:val="0"/>
      <w:strike w:val="0"/>
      <w:sz w:val="18"/>
      <w:szCs w:val="18"/>
      <w:u w:val="none"/>
      <w:shd w:val="clear" w:color="auto" w:fill="auto"/>
    </w:rPr>
  </w:style>
  <w:style w:type="character" w:customStyle="1" w:styleId="CharStyle56">
    <w:name w:val="标题 #5_"/>
    <w:basedOn w:val="DefaultParagraphFont"/>
    <w:link w:val="Style55"/>
    <w:rPr>
      <w:rFonts w:ascii="SimSun" w:eastAsia="SimSun" w:hAnsi="SimSun" w:cs="SimSun"/>
      <w:b/>
      <w:bCs/>
      <w:i w:val="0"/>
      <w:iCs w:val="0"/>
      <w:smallCaps w:val="0"/>
      <w:strike w:val="0"/>
      <w:sz w:val="20"/>
      <w:szCs w:val="20"/>
      <w:u w:val="none"/>
      <w:shd w:val="clear" w:color="auto" w:fill="auto"/>
    </w:rPr>
  </w:style>
  <w:style w:type="character" w:customStyle="1" w:styleId="CharStyle94">
    <w:name w:val="页眉或页脚_"/>
    <w:basedOn w:val="DefaultParagraphFont"/>
    <w:link w:val="Style93"/>
    <w:rPr>
      <w:rFonts w:ascii="SimSun" w:eastAsia="SimSun" w:hAnsi="SimSun" w:cs="SimSun"/>
      <w:b w:val="0"/>
      <w:bCs w:val="0"/>
      <w:i w:val="0"/>
      <w:iCs w:val="0"/>
      <w:smallCaps w:val="0"/>
      <w:strike w:val="0"/>
      <w:sz w:val="18"/>
      <w:szCs w:val="18"/>
      <w:u w:val="none"/>
      <w:shd w:val="clear" w:color="auto" w:fill="auto"/>
    </w:rPr>
  </w:style>
  <w:style w:type="character" w:customStyle="1" w:styleId="CharStyle104">
    <w:name w:val="正文文本 (9)_"/>
    <w:basedOn w:val="DefaultParagraphFont"/>
    <w:link w:val="Style103"/>
    <w:rPr>
      <w:rFonts w:ascii="Times New Roman" w:eastAsia="Times New Roman" w:hAnsi="Times New Roman" w:cs="Times New Roman"/>
      <w:b w:val="0"/>
      <w:bCs w:val="0"/>
      <w:i w:val="0"/>
      <w:iCs w:val="0"/>
      <w:smallCaps w:val="0"/>
      <w:strike w:val="0"/>
      <w:sz w:val="18"/>
      <w:szCs w:val="18"/>
      <w:u w:val="none"/>
      <w:shd w:val="clear" w:color="auto" w:fill="auto"/>
    </w:rPr>
  </w:style>
  <w:style w:type="character" w:customStyle="1" w:styleId="CharStyle161">
    <w:name w:val="正文文本 (10)_"/>
    <w:basedOn w:val="DefaultParagraphFont"/>
    <w:link w:val="Style160"/>
    <w:rPr>
      <w:rFonts w:ascii="SimSun" w:eastAsia="SimSun" w:hAnsi="SimSun" w:cs="SimSun"/>
      <w:b/>
      <w:bCs/>
      <w:i w:val="0"/>
      <w:iCs w:val="0"/>
      <w:smallCaps w:val="0"/>
      <w:strike w:val="0"/>
      <w:sz w:val="20"/>
      <w:szCs w:val="20"/>
      <w:u w:val="none"/>
      <w:shd w:val="clear" w:color="auto" w:fill="auto"/>
    </w:rPr>
  </w:style>
  <w:style w:type="character" w:customStyle="1" w:styleId="CharStyle170">
    <w:name w:val="标题编号 #5_"/>
    <w:basedOn w:val="DefaultParagraphFont"/>
    <w:link w:val="Style169"/>
    <w:rPr>
      <w:rFonts w:ascii="SimSun" w:eastAsia="SimSun" w:hAnsi="SimSun" w:cs="SimSun"/>
      <w:b/>
      <w:bCs/>
      <w:i w:val="0"/>
      <w:iCs w:val="0"/>
      <w:smallCaps w:val="0"/>
      <w:strike w:val="0"/>
      <w:sz w:val="20"/>
      <w:szCs w:val="20"/>
      <w:u w:val="none"/>
      <w:shd w:val="clear" w:color="auto" w:fill="auto"/>
    </w:rPr>
  </w:style>
  <w:style w:type="paragraph" w:customStyle="1" w:styleId="Style2">
    <w:name w:val="标题 #2"/>
    <w:basedOn w:val="Normal"/>
    <w:link w:val="CharStyle3"/>
    <w:pPr>
      <w:widowControl w:val="0"/>
      <w:shd w:val="clear" w:color="auto" w:fill="auto"/>
      <w:ind w:firstLine="130"/>
      <w:outlineLvl w:val="1"/>
    </w:pPr>
    <w:rPr>
      <w:rFonts w:ascii="SimHei" w:eastAsia="SimHei" w:hAnsi="SimHei" w:cs="SimHei"/>
      <w:b w:val="0"/>
      <w:bCs w:val="0"/>
      <w:i w:val="0"/>
      <w:iCs w:val="0"/>
      <w:smallCaps w:val="0"/>
      <w:strike w:val="0"/>
      <w:color w:val="245994"/>
      <w:sz w:val="30"/>
      <w:szCs w:val="30"/>
      <w:u w:val="none"/>
      <w:shd w:val="clear" w:color="auto" w:fill="auto"/>
    </w:rPr>
  </w:style>
  <w:style w:type="paragraph" w:customStyle="1" w:styleId="Style5">
    <w:name w:val="正文文本 (3)"/>
    <w:basedOn w:val="Normal"/>
    <w:link w:val="CharStyle6"/>
    <w:pPr>
      <w:widowControl w:val="0"/>
      <w:shd w:val="clear" w:color="auto" w:fill="auto"/>
      <w:spacing w:line="202" w:lineRule="exact"/>
    </w:pPr>
    <w:rPr>
      <w:rFonts w:ascii="SimHei" w:eastAsia="SimHei" w:hAnsi="SimHei" w:cs="SimHei"/>
      <w:b w:val="0"/>
      <w:bCs w:val="0"/>
      <w:i w:val="0"/>
      <w:iCs w:val="0"/>
      <w:smallCaps w:val="0"/>
      <w:strike w:val="0"/>
      <w:color w:val="4E698D"/>
      <w:sz w:val="15"/>
      <w:szCs w:val="15"/>
      <w:u w:val="none"/>
      <w:shd w:val="clear" w:color="auto" w:fill="auto"/>
    </w:rPr>
  </w:style>
  <w:style w:type="paragraph" w:customStyle="1" w:styleId="Style10">
    <w:name w:val="正文文本 (6)"/>
    <w:basedOn w:val="Normal"/>
    <w:link w:val="CharStyle11"/>
    <w:pPr>
      <w:widowControl w:val="0"/>
      <w:shd w:val="clear" w:color="auto" w:fill="auto"/>
      <w:ind w:left="-20"/>
      <w:jc w:val="center"/>
    </w:pPr>
    <w:rPr>
      <w:rFonts w:ascii="Arial" w:eastAsia="Arial" w:hAnsi="Arial" w:cs="Arial"/>
      <w:b w:val="0"/>
      <w:bCs w:val="0"/>
      <w:i w:val="0"/>
      <w:iCs w:val="0"/>
      <w:smallCaps w:val="0"/>
      <w:strike w:val="0"/>
      <w:color w:val="0302B6"/>
      <w:sz w:val="128"/>
      <w:szCs w:val="128"/>
      <w:u w:val="none"/>
      <w:shd w:val="clear" w:color="auto" w:fill="auto"/>
    </w:rPr>
  </w:style>
  <w:style w:type="paragraph" w:customStyle="1" w:styleId="Style12">
    <w:name w:val="页眉或页脚 (2)"/>
    <w:basedOn w:val="Normal"/>
    <w:link w:val="CharStyle13"/>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16">
    <w:name w:val="正文文本 (4)"/>
    <w:basedOn w:val="Normal"/>
    <w:link w:val="CharStyle17"/>
    <w:pPr>
      <w:widowControl w:val="0"/>
      <w:shd w:val="clear" w:color="auto" w:fill="auto"/>
      <w:spacing w:after="930"/>
      <w:jc w:val="center"/>
    </w:pPr>
    <w:rPr>
      <w:rFonts w:ascii="SimSun" w:eastAsia="SimSun" w:hAnsi="SimSun" w:cs="SimSun"/>
      <w:b/>
      <w:bCs/>
      <w:i w:val="0"/>
      <w:iCs w:val="0"/>
      <w:smallCaps w:val="0"/>
      <w:strike w:val="0"/>
      <w:sz w:val="36"/>
      <w:szCs w:val="36"/>
      <w:u w:val="none"/>
      <w:shd w:val="clear" w:color="auto" w:fill="auto"/>
    </w:rPr>
  </w:style>
  <w:style w:type="paragraph" w:customStyle="1" w:styleId="Style18">
    <w:name w:val="正文文本 (2)"/>
    <w:basedOn w:val="Normal"/>
    <w:link w:val="CharStyle19"/>
    <w:pPr>
      <w:widowControl w:val="0"/>
      <w:shd w:val="clear" w:color="auto" w:fill="auto"/>
      <w:spacing w:line="469" w:lineRule="exact"/>
      <w:ind w:firstLine="500"/>
    </w:pPr>
    <w:rPr>
      <w:rFonts w:ascii="SimSun" w:eastAsia="SimSun" w:hAnsi="SimSun" w:cs="SimSun"/>
      <w:b/>
      <w:bCs/>
      <w:i w:val="0"/>
      <w:iCs w:val="0"/>
      <w:smallCaps w:val="0"/>
      <w:strike w:val="0"/>
      <w:u w:val="none"/>
      <w:shd w:val="clear" w:color="auto" w:fill="auto"/>
    </w:rPr>
  </w:style>
  <w:style w:type="paragraph" w:customStyle="1" w:styleId="Style20">
    <w:name w:val="标题 #3"/>
    <w:basedOn w:val="Normal"/>
    <w:link w:val="CharStyle21"/>
    <w:pPr>
      <w:widowControl w:val="0"/>
      <w:shd w:val="clear" w:color="auto" w:fill="auto"/>
      <w:spacing w:after="550"/>
      <w:jc w:val="center"/>
      <w:outlineLvl w:val="2"/>
    </w:pPr>
    <w:rPr>
      <w:rFonts w:ascii="SimSun" w:eastAsia="SimSun" w:hAnsi="SimSun" w:cs="SimSun"/>
      <w:b/>
      <w:bCs/>
      <w:i w:val="0"/>
      <w:iCs w:val="0"/>
      <w:smallCaps w:val="0"/>
      <w:strike w:val="0"/>
      <w:sz w:val="32"/>
      <w:szCs w:val="32"/>
      <w:u w:val="none"/>
      <w:shd w:val="clear" w:color="auto" w:fill="auto"/>
    </w:rPr>
  </w:style>
  <w:style w:type="paragraph" w:customStyle="1" w:styleId="Style23">
    <w:name w:val="正文文本 (5)"/>
    <w:basedOn w:val="Normal"/>
    <w:link w:val="CharStyle24"/>
    <w:pPr>
      <w:widowControl w:val="0"/>
      <w:shd w:val="clear" w:color="auto" w:fill="auto"/>
      <w:spacing w:after="460"/>
      <w:jc w:val="center"/>
    </w:pPr>
    <w:rPr>
      <w:rFonts w:ascii="Times New Roman" w:eastAsia="Times New Roman" w:hAnsi="Times New Roman" w:cs="Times New Roman"/>
      <w:b/>
      <w:bCs/>
      <w:i w:val="0"/>
      <w:iCs w:val="0"/>
      <w:smallCaps w:val="0"/>
      <w:strike w:val="0"/>
      <w:sz w:val="32"/>
      <w:szCs w:val="32"/>
      <w:u w:val="none"/>
      <w:shd w:val="clear" w:color="auto" w:fill="auto"/>
    </w:rPr>
  </w:style>
  <w:style w:type="paragraph" w:customStyle="1" w:styleId="Style26">
    <w:name w:val="图片标题"/>
    <w:basedOn w:val="Normal"/>
    <w:link w:val="CharStyle27"/>
    <w:pPr>
      <w:widowControl w:val="0"/>
      <w:shd w:val="clear" w:color="auto" w:fill="auto"/>
      <w:spacing w:line="173" w:lineRule="exact"/>
    </w:pPr>
    <w:rPr>
      <w:rFonts w:ascii="SimHei" w:eastAsia="SimHei" w:hAnsi="SimHei" w:cs="SimHei"/>
      <w:b w:val="0"/>
      <w:bCs w:val="0"/>
      <w:i w:val="0"/>
      <w:iCs w:val="0"/>
      <w:smallCaps w:val="0"/>
      <w:strike w:val="0"/>
      <w:color w:val="4E698D"/>
      <w:sz w:val="15"/>
      <w:szCs w:val="15"/>
      <w:u w:val="none"/>
      <w:shd w:val="clear" w:color="auto" w:fill="auto"/>
    </w:rPr>
  </w:style>
  <w:style w:type="paragraph" w:customStyle="1" w:styleId="Style32">
    <w:name w:val="正文文本"/>
    <w:basedOn w:val="Normal"/>
    <w:link w:val="CharStyle33"/>
    <w:pPr>
      <w:widowControl w:val="0"/>
      <w:shd w:val="clear" w:color="auto" w:fill="auto"/>
      <w:spacing w:after="40" w:line="360" w:lineRule="auto"/>
    </w:pPr>
    <w:rPr>
      <w:rFonts w:ascii="SimSun" w:eastAsia="SimSun" w:hAnsi="SimSun" w:cs="SimSun"/>
      <w:b w:val="0"/>
      <w:bCs w:val="0"/>
      <w:i w:val="0"/>
      <w:iCs w:val="0"/>
      <w:smallCaps w:val="0"/>
      <w:strike w:val="0"/>
      <w:sz w:val="18"/>
      <w:szCs w:val="18"/>
      <w:u w:val="none"/>
      <w:shd w:val="clear" w:color="auto" w:fill="auto"/>
    </w:rPr>
  </w:style>
  <w:style w:type="paragraph" w:customStyle="1" w:styleId="Style38">
    <w:name w:val="标题 #1"/>
    <w:basedOn w:val="Normal"/>
    <w:link w:val="CharStyle39"/>
    <w:pPr>
      <w:widowControl w:val="0"/>
      <w:shd w:val="clear" w:color="auto" w:fill="auto"/>
      <w:outlineLvl w:val="0"/>
    </w:pPr>
    <w:rPr>
      <w:rFonts w:ascii="Arial" w:eastAsia="Arial" w:hAnsi="Arial" w:cs="Arial"/>
      <w:b w:val="0"/>
      <w:bCs w:val="0"/>
      <w:i w:val="0"/>
      <w:iCs w:val="0"/>
      <w:smallCaps w:val="0"/>
      <w:strike w:val="0"/>
      <w:color w:val="245994"/>
      <w:sz w:val="38"/>
      <w:szCs w:val="38"/>
      <w:u w:val="none"/>
      <w:shd w:val="clear" w:color="auto" w:fill="auto"/>
    </w:rPr>
  </w:style>
  <w:style w:type="paragraph" w:customStyle="1" w:styleId="Style41">
    <w:name w:val="目录"/>
    <w:basedOn w:val="Normal"/>
    <w:link w:val="CharStyle42"/>
    <w:pPr>
      <w:widowControl w:val="0"/>
      <w:shd w:val="clear" w:color="auto" w:fill="auto"/>
      <w:spacing w:after="180"/>
    </w:pPr>
    <w:rPr>
      <w:rFonts w:ascii="SimSun" w:eastAsia="SimSun" w:hAnsi="SimSun" w:cs="SimSun"/>
      <w:b/>
      <w:bCs/>
      <w:i w:val="0"/>
      <w:iCs w:val="0"/>
      <w:smallCaps w:val="0"/>
      <w:strike w:val="0"/>
      <w:u w:val="none"/>
      <w:shd w:val="clear" w:color="auto" w:fill="auto"/>
    </w:rPr>
  </w:style>
  <w:style w:type="paragraph" w:customStyle="1" w:styleId="Style44">
    <w:name w:val="其他"/>
    <w:basedOn w:val="Normal"/>
    <w:link w:val="CharStyle45"/>
    <w:pPr>
      <w:widowControl w:val="0"/>
      <w:shd w:val="clear" w:color="auto" w:fill="auto"/>
    </w:pPr>
    <w:rPr>
      <w:rFonts w:ascii="SimSun" w:eastAsia="SimSun" w:hAnsi="SimSun" w:cs="SimSun"/>
      <w:b w:val="0"/>
      <w:bCs w:val="0"/>
      <w:i w:val="0"/>
      <w:iCs w:val="0"/>
      <w:smallCaps w:val="0"/>
      <w:strike w:val="0"/>
      <w:sz w:val="18"/>
      <w:szCs w:val="18"/>
      <w:u w:val="none"/>
      <w:shd w:val="clear" w:color="auto" w:fill="auto"/>
    </w:rPr>
  </w:style>
  <w:style w:type="paragraph" w:customStyle="1" w:styleId="Style47">
    <w:name w:val="标题 #4"/>
    <w:basedOn w:val="Normal"/>
    <w:link w:val="CharStyle48"/>
    <w:pPr>
      <w:widowControl w:val="0"/>
      <w:shd w:val="clear" w:color="auto" w:fill="auto"/>
      <w:spacing w:after="340"/>
      <w:ind w:firstLine="10"/>
      <w:outlineLvl w:val="3"/>
    </w:pPr>
    <w:rPr>
      <w:rFonts w:ascii="SimSun" w:eastAsia="SimSun" w:hAnsi="SimSun" w:cs="SimSun"/>
      <w:b/>
      <w:bCs/>
      <w:i w:val="0"/>
      <w:iCs w:val="0"/>
      <w:smallCaps w:val="0"/>
      <w:strike w:val="0"/>
      <w:u w:val="none"/>
      <w:shd w:val="clear" w:color="auto" w:fill="auto"/>
    </w:rPr>
  </w:style>
  <w:style w:type="paragraph" w:customStyle="1" w:styleId="Style49">
    <w:name w:val="表格标题"/>
    <w:basedOn w:val="Normal"/>
    <w:link w:val="CharStyle50"/>
    <w:pPr>
      <w:widowControl w:val="0"/>
      <w:shd w:val="clear" w:color="auto" w:fill="auto"/>
    </w:pPr>
    <w:rPr>
      <w:rFonts w:ascii="SimSun" w:eastAsia="SimSun" w:hAnsi="SimSun" w:cs="SimSun"/>
      <w:b w:val="0"/>
      <w:bCs w:val="0"/>
      <w:i w:val="0"/>
      <w:iCs w:val="0"/>
      <w:smallCaps w:val="0"/>
      <w:strike w:val="0"/>
      <w:sz w:val="18"/>
      <w:szCs w:val="18"/>
      <w:u w:val="none"/>
      <w:shd w:val="clear" w:color="auto" w:fill="auto"/>
    </w:rPr>
  </w:style>
  <w:style w:type="paragraph" w:customStyle="1" w:styleId="Style55">
    <w:name w:val="标题 #5"/>
    <w:basedOn w:val="Normal"/>
    <w:link w:val="CharStyle56"/>
    <w:pPr>
      <w:widowControl w:val="0"/>
      <w:shd w:val="clear" w:color="auto" w:fill="auto"/>
      <w:spacing w:after="370"/>
      <w:ind w:firstLine="260"/>
      <w:outlineLvl w:val="4"/>
    </w:pPr>
    <w:rPr>
      <w:rFonts w:ascii="SimSun" w:eastAsia="SimSun" w:hAnsi="SimSun" w:cs="SimSun"/>
      <w:b/>
      <w:bCs/>
      <w:i w:val="0"/>
      <w:iCs w:val="0"/>
      <w:smallCaps w:val="0"/>
      <w:strike w:val="0"/>
      <w:sz w:val="20"/>
      <w:szCs w:val="20"/>
      <w:u w:val="none"/>
      <w:shd w:val="clear" w:color="auto" w:fill="auto"/>
    </w:rPr>
  </w:style>
  <w:style w:type="paragraph" w:customStyle="1" w:styleId="Style93">
    <w:name w:val="页眉或页脚"/>
    <w:basedOn w:val="Normal"/>
    <w:link w:val="CharStyle94"/>
    <w:pPr>
      <w:widowControl w:val="0"/>
      <w:shd w:val="clear" w:color="auto" w:fill="auto"/>
    </w:pPr>
    <w:rPr>
      <w:rFonts w:ascii="SimSun" w:eastAsia="SimSun" w:hAnsi="SimSun" w:cs="SimSun"/>
      <w:b w:val="0"/>
      <w:bCs w:val="0"/>
      <w:i w:val="0"/>
      <w:iCs w:val="0"/>
      <w:smallCaps w:val="0"/>
      <w:strike w:val="0"/>
      <w:sz w:val="18"/>
      <w:szCs w:val="18"/>
      <w:u w:val="none"/>
      <w:shd w:val="clear" w:color="auto" w:fill="auto"/>
    </w:rPr>
  </w:style>
  <w:style w:type="paragraph" w:customStyle="1" w:styleId="Style103">
    <w:name w:val="正文文本 (9)"/>
    <w:basedOn w:val="Normal"/>
    <w:link w:val="CharStyle104"/>
    <w:pPr>
      <w:widowControl w:val="0"/>
      <w:shd w:val="clear" w:color="auto" w:fill="auto"/>
      <w:spacing w:line="360" w:lineRule="auto"/>
      <w:ind w:left="900"/>
    </w:pPr>
    <w:rPr>
      <w:rFonts w:ascii="Times New Roman" w:eastAsia="Times New Roman" w:hAnsi="Times New Roman" w:cs="Times New Roman"/>
      <w:b w:val="0"/>
      <w:bCs w:val="0"/>
      <w:i w:val="0"/>
      <w:iCs w:val="0"/>
      <w:smallCaps w:val="0"/>
      <w:strike w:val="0"/>
      <w:sz w:val="18"/>
      <w:szCs w:val="18"/>
      <w:u w:val="none"/>
      <w:shd w:val="clear" w:color="auto" w:fill="auto"/>
    </w:rPr>
  </w:style>
  <w:style w:type="paragraph" w:customStyle="1" w:styleId="Style160">
    <w:name w:val="正文文本 (10)"/>
    <w:basedOn w:val="Normal"/>
    <w:link w:val="CharStyle161"/>
    <w:pPr>
      <w:widowControl w:val="0"/>
      <w:shd w:val="clear" w:color="auto" w:fill="auto"/>
      <w:spacing w:after="380"/>
      <w:ind w:firstLine="980"/>
    </w:pPr>
    <w:rPr>
      <w:rFonts w:ascii="SimSun" w:eastAsia="SimSun" w:hAnsi="SimSun" w:cs="SimSun"/>
      <w:b/>
      <w:bCs/>
      <w:i w:val="0"/>
      <w:iCs w:val="0"/>
      <w:smallCaps w:val="0"/>
      <w:strike w:val="0"/>
      <w:sz w:val="20"/>
      <w:szCs w:val="20"/>
      <w:u w:val="none"/>
      <w:shd w:val="clear" w:color="auto" w:fill="auto"/>
    </w:rPr>
  </w:style>
  <w:style w:type="paragraph" w:customStyle="1" w:styleId="Style169">
    <w:name w:val="标题编号 #5"/>
    <w:basedOn w:val="Normal"/>
    <w:link w:val="CharStyle170"/>
    <w:pPr>
      <w:widowControl w:val="0"/>
      <w:shd w:val="clear" w:color="auto" w:fill="auto"/>
      <w:outlineLvl w:val="4"/>
    </w:pPr>
    <w:rPr>
      <w:rFonts w:ascii="SimSun" w:eastAsia="SimSun" w:hAnsi="SimSun" w:cs="SimSun"/>
      <w:b/>
      <w:bCs/>
      <w:i w:val="0"/>
      <w:iCs w:val="0"/>
      <w:smallCaps w:val="0"/>
      <w:strike w:val="0"/>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2.jpeg"/><Relationship Id="rId14" Type="http://schemas.openxmlformats.org/officeDocument/2006/relationships/image" Target="media/image2.jpeg" TargetMode="Externa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image" Target="media/image3.jpeg"/><Relationship Id="rId22" Type="http://schemas.openxmlformats.org/officeDocument/2006/relationships/image" Target="media/image3.jpeg" TargetMode="External"/><Relationship Id="rId23" Type="http://schemas.openxmlformats.org/officeDocument/2006/relationships/image" Target="media/image4.jpeg"/><Relationship Id="rId24" Type="http://schemas.openxmlformats.org/officeDocument/2006/relationships/image" Target="media/image4.jpeg" TargetMode="Externa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header" Target="header8.xml"/><Relationship Id="rId28" Type="http://schemas.openxmlformats.org/officeDocument/2006/relationships/footer" Target="footer8.xml"/><Relationship Id="rId29" Type="http://schemas.openxmlformats.org/officeDocument/2006/relationships/header" Target="header9.xml"/><Relationship Id="rId30" Type="http://schemas.openxmlformats.org/officeDocument/2006/relationships/footer" Target="footer9.xml"/><Relationship Id="rId31" Type="http://schemas.openxmlformats.org/officeDocument/2006/relationships/image" Target="media/image5.jpeg"/><Relationship Id="rId32" Type="http://schemas.openxmlformats.org/officeDocument/2006/relationships/image" Target="media/image5.jpeg" TargetMode="External"/><Relationship Id="rId33" Type="http://schemas.openxmlformats.org/officeDocument/2006/relationships/header" Target="header10.xml"/><Relationship Id="rId34" Type="http://schemas.openxmlformats.org/officeDocument/2006/relationships/footer" Target="footer10.xml"/><Relationship Id="rId35" Type="http://schemas.openxmlformats.org/officeDocument/2006/relationships/header" Target="header11.xml"/><Relationship Id="rId36" Type="http://schemas.openxmlformats.org/officeDocument/2006/relationships/footer" Target="footer11.xml"/><Relationship Id="rId37" Type="http://schemas.openxmlformats.org/officeDocument/2006/relationships/image" Target="media/image6.jpeg"/><Relationship Id="rId38" Type="http://schemas.openxmlformats.org/officeDocument/2006/relationships/image" Target="media/image6.jpeg" TargetMode="External"/><Relationship Id="rId39" Type="http://schemas.openxmlformats.org/officeDocument/2006/relationships/header" Target="header12.xml"/><Relationship Id="rId40" Type="http://schemas.openxmlformats.org/officeDocument/2006/relationships/footer" Target="footer12.xml"/><Relationship Id="rId41" Type="http://schemas.openxmlformats.org/officeDocument/2006/relationships/header" Target="header13.xml"/><Relationship Id="rId42" Type="http://schemas.openxmlformats.org/officeDocument/2006/relationships/footer" Target="footer13.xml"/><Relationship Id="rId43" Type="http://schemas.openxmlformats.org/officeDocument/2006/relationships/image" Target="media/image7.jpeg"/><Relationship Id="rId44" Type="http://schemas.openxmlformats.org/officeDocument/2006/relationships/image" Target="media/image7.jpeg" TargetMode="External"/><Relationship Id="rId45" Type="http://schemas.openxmlformats.org/officeDocument/2006/relationships/header" Target="header14.xml"/><Relationship Id="rId46" Type="http://schemas.openxmlformats.org/officeDocument/2006/relationships/footer" Target="footer14.xml"/><Relationship Id="rId47" Type="http://schemas.openxmlformats.org/officeDocument/2006/relationships/header" Target="header15.xml"/><Relationship Id="rId48" Type="http://schemas.openxmlformats.org/officeDocument/2006/relationships/footer" Target="footer15.xml"/><Relationship Id="rId49" Type="http://schemas.openxmlformats.org/officeDocument/2006/relationships/image" Target="media/image8.jpeg"/><Relationship Id="rId50" Type="http://schemas.openxmlformats.org/officeDocument/2006/relationships/image" Target="media/image8.jpeg" TargetMode="External"/><Relationship Id="rId51" Type="http://schemas.openxmlformats.org/officeDocument/2006/relationships/header" Target="header16.xml"/><Relationship Id="rId52" Type="http://schemas.openxmlformats.org/officeDocument/2006/relationships/footer" Target="footer16.xml"/><Relationship Id="rId53" Type="http://schemas.openxmlformats.org/officeDocument/2006/relationships/header" Target="header17.xml"/><Relationship Id="rId54" Type="http://schemas.openxmlformats.org/officeDocument/2006/relationships/footer" Target="footer17.xml"/><Relationship Id="rId55" Type="http://schemas.openxmlformats.org/officeDocument/2006/relationships/image" Target="media/image9.png"/><Relationship Id="rId56" Type="http://schemas.openxmlformats.org/officeDocument/2006/relationships/image" Target="media/image9.png" TargetMode="External"/><Relationship Id="rId57" Type="http://schemas.openxmlformats.org/officeDocument/2006/relationships/image" Target="media/image10.png"/><Relationship Id="rId58" Type="http://schemas.openxmlformats.org/officeDocument/2006/relationships/image" Target="media/image10.png" TargetMode="External"/><Relationship Id="rId59" Type="http://schemas.openxmlformats.org/officeDocument/2006/relationships/image" Target="media/image11.png"/><Relationship Id="rId60" Type="http://schemas.openxmlformats.org/officeDocument/2006/relationships/image" Target="media/image11.png" TargetMode="External"/><Relationship Id="rId61" Type="http://schemas.openxmlformats.org/officeDocument/2006/relationships/header" Target="header18.xml"/><Relationship Id="rId62" Type="http://schemas.openxmlformats.org/officeDocument/2006/relationships/footer" Target="footer18.xml"/><Relationship Id="rId63" Type="http://schemas.openxmlformats.org/officeDocument/2006/relationships/header" Target="header19.xml"/><Relationship Id="rId64" Type="http://schemas.openxmlformats.org/officeDocument/2006/relationships/footer" Target="footer19.xml"/><Relationship Id="rId65" Type="http://schemas.openxmlformats.org/officeDocument/2006/relationships/image" Target="media/image12.png"/><Relationship Id="rId66" Type="http://schemas.openxmlformats.org/officeDocument/2006/relationships/image" Target="media/image12.png" TargetMode="External"/><Relationship Id="rId67" Type="http://schemas.openxmlformats.org/officeDocument/2006/relationships/image" Target="media/image13.jpeg"/><Relationship Id="rId68" Type="http://schemas.openxmlformats.org/officeDocument/2006/relationships/image" Target="media/image13.jpeg" TargetMode="External"/><Relationship Id="rId69" Type="http://schemas.openxmlformats.org/officeDocument/2006/relationships/header" Target="header20.xml"/><Relationship Id="rId70" Type="http://schemas.openxmlformats.org/officeDocument/2006/relationships/footer" Target="footer20.xml"/><Relationship Id="rId71" Type="http://schemas.openxmlformats.org/officeDocument/2006/relationships/header" Target="header21.xml"/><Relationship Id="rId72" Type="http://schemas.openxmlformats.org/officeDocument/2006/relationships/footer" Target="footer21.xml"/><Relationship Id="rId73" Type="http://schemas.openxmlformats.org/officeDocument/2006/relationships/header" Target="header22.xml"/><Relationship Id="rId74" Type="http://schemas.openxmlformats.org/officeDocument/2006/relationships/footer" Target="footer22.xml"/><Relationship Id="rId75" Type="http://schemas.openxmlformats.org/officeDocument/2006/relationships/image" Target="media/image14.jpeg"/><Relationship Id="rId76" Type="http://schemas.openxmlformats.org/officeDocument/2006/relationships/image" Target="media/image14.jpeg" TargetMode="External"/><Relationship Id="rId77" Type="http://schemas.openxmlformats.org/officeDocument/2006/relationships/header" Target="header23.xml"/><Relationship Id="rId78" Type="http://schemas.openxmlformats.org/officeDocument/2006/relationships/footer" Target="footer23.xml"/><Relationship Id="rId79" Type="http://schemas.openxmlformats.org/officeDocument/2006/relationships/header" Target="header24.xml"/><Relationship Id="rId80" Type="http://schemas.openxmlformats.org/officeDocument/2006/relationships/footer" Target="footer24.xml"/><Relationship Id="rId81" Type="http://schemas.openxmlformats.org/officeDocument/2006/relationships/image" Target="media/image15.png"/><Relationship Id="rId82" Type="http://schemas.openxmlformats.org/officeDocument/2006/relationships/image" Target="media/image15.png" TargetMode="External"/><Relationship Id="rId83" Type="http://schemas.openxmlformats.org/officeDocument/2006/relationships/header" Target="header25.xml"/><Relationship Id="rId84" Type="http://schemas.openxmlformats.org/officeDocument/2006/relationships/footer" Target="footer25.xml"/><Relationship Id="rId85" Type="http://schemas.openxmlformats.org/officeDocument/2006/relationships/header" Target="header26.xml"/><Relationship Id="rId86" Type="http://schemas.openxmlformats.org/officeDocument/2006/relationships/footer" Target="footer26.xml"/><Relationship Id="rId87" Type="http://schemas.openxmlformats.org/officeDocument/2006/relationships/header" Target="header27.xml"/><Relationship Id="rId88" Type="http://schemas.openxmlformats.org/officeDocument/2006/relationships/footer" Target="footer27.xml"/><Relationship Id="rId89" Type="http://schemas.openxmlformats.org/officeDocument/2006/relationships/image" Target="media/image16.jpeg"/><Relationship Id="rId90" Type="http://schemas.openxmlformats.org/officeDocument/2006/relationships/image" Target="media/image16.jpeg" TargetMode="External"/><Relationship Id="rId91" Type="http://schemas.openxmlformats.org/officeDocument/2006/relationships/header" Target="header28.xml"/><Relationship Id="rId92" Type="http://schemas.openxmlformats.org/officeDocument/2006/relationships/footer" Target="footer28.xml"/><Relationship Id="rId93" Type="http://schemas.openxmlformats.org/officeDocument/2006/relationships/header" Target="header29.xml"/><Relationship Id="rId94" Type="http://schemas.openxmlformats.org/officeDocument/2006/relationships/footer" Target="footer29.xml"/><Relationship Id="rId95" Type="http://schemas.openxmlformats.org/officeDocument/2006/relationships/image" Target="media/image17.jpeg"/><Relationship Id="rId96" Type="http://schemas.openxmlformats.org/officeDocument/2006/relationships/image" Target="media/image17.jpeg" TargetMode="External"/><Relationship Id="rId97" Type="http://schemas.openxmlformats.org/officeDocument/2006/relationships/image" Target="media/image18.jpeg"/><Relationship Id="rId98" Type="http://schemas.openxmlformats.org/officeDocument/2006/relationships/image" Target="media/image18.jpeg" TargetMode="External"/><Relationship Id="rId99" Type="http://schemas.openxmlformats.org/officeDocument/2006/relationships/image" Target="media/image19.jpeg"/><Relationship Id="rId100" Type="http://schemas.openxmlformats.org/officeDocument/2006/relationships/image" Target="media/image19.jpeg" TargetMode="External"/><Relationship Id="rId101" Type="http://schemas.openxmlformats.org/officeDocument/2006/relationships/header" Target="header30.xml"/><Relationship Id="rId102" Type="http://schemas.openxmlformats.org/officeDocument/2006/relationships/footer" Target="footer30.xml"/><Relationship Id="rId103" Type="http://schemas.openxmlformats.org/officeDocument/2006/relationships/header" Target="header31.xml"/><Relationship Id="rId104" Type="http://schemas.openxmlformats.org/officeDocument/2006/relationships/footer" Target="footer31.xml"/><Relationship Id="rId105" Type="http://schemas.openxmlformats.org/officeDocument/2006/relationships/header" Target="header32.xml"/><Relationship Id="rId106" Type="http://schemas.openxmlformats.org/officeDocument/2006/relationships/footer" Target="footer32.xml"/><Relationship Id="rId107" Type="http://schemas.openxmlformats.org/officeDocument/2006/relationships/image" Target="media/image20.jpeg"/><Relationship Id="rId108" Type="http://schemas.openxmlformats.org/officeDocument/2006/relationships/image" Target="media/image20.jpeg" TargetMode="External"/><Relationship Id="rId109" Type="http://schemas.openxmlformats.org/officeDocument/2006/relationships/header" Target="header33.xml"/><Relationship Id="rId110" Type="http://schemas.openxmlformats.org/officeDocument/2006/relationships/footer" Target="footer33.xml"/><Relationship Id="rId111" Type="http://schemas.openxmlformats.org/officeDocument/2006/relationships/header" Target="header34.xml"/><Relationship Id="rId112" Type="http://schemas.openxmlformats.org/officeDocument/2006/relationships/footer" Target="footer34.xml"/><Relationship Id="rId113" Type="http://schemas.openxmlformats.org/officeDocument/2006/relationships/image" Target="media/image21.jpeg"/><Relationship Id="rId114" Type="http://schemas.openxmlformats.org/officeDocument/2006/relationships/image" Target="media/image21.jpeg" TargetMode="External"/><Relationship Id="rId115" Type="http://schemas.openxmlformats.org/officeDocument/2006/relationships/header" Target="header35.xml"/><Relationship Id="rId116" Type="http://schemas.openxmlformats.org/officeDocument/2006/relationships/footer" Target="footer35.xml"/><Relationship Id="rId117" Type="http://schemas.openxmlformats.org/officeDocument/2006/relationships/header" Target="header36.xml"/><Relationship Id="rId118" Type="http://schemas.openxmlformats.org/officeDocument/2006/relationships/footer" Target="footer36.xml"/><Relationship Id="rId119" Type="http://schemas.openxmlformats.org/officeDocument/2006/relationships/header" Target="header37.xml"/><Relationship Id="rId120" Type="http://schemas.openxmlformats.org/officeDocument/2006/relationships/footer" Target="footer37.xml"/><Relationship Id="rId121" Type="http://schemas.openxmlformats.org/officeDocument/2006/relationships/header" Target="header38.xml"/><Relationship Id="rId122" Type="http://schemas.openxmlformats.org/officeDocument/2006/relationships/footer" Target="footer38.xml"/><Relationship Id="rId123" Type="http://schemas.openxmlformats.org/officeDocument/2006/relationships/header" Target="header39.xml"/><Relationship Id="rId124" Type="http://schemas.openxmlformats.org/officeDocument/2006/relationships/footer" Target="footer39.xml"/><Relationship Id="rId125" Type="http://schemas.openxmlformats.org/officeDocument/2006/relationships/header" Target="header40.xml"/><Relationship Id="rId126" Type="http://schemas.openxmlformats.org/officeDocument/2006/relationships/footer" Target="footer40.xml"/><Relationship Id="rId127" Type="http://schemas.openxmlformats.org/officeDocument/2006/relationships/image" Target="media/image22.jpeg"/><Relationship Id="rId128" Type="http://schemas.openxmlformats.org/officeDocument/2006/relationships/image" Target="media/image22.jpeg" TargetMode="External"/><Relationship Id="rId129" Type="http://schemas.openxmlformats.org/officeDocument/2006/relationships/image" Target="media/image23.png"/><Relationship Id="rId130" Type="http://schemas.openxmlformats.org/officeDocument/2006/relationships/image" Target="media/image23.png" TargetMode="External"/><Relationship Id="rId131" Type="http://schemas.openxmlformats.org/officeDocument/2006/relationships/header" Target="header41.xml"/><Relationship Id="rId132" Type="http://schemas.openxmlformats.org/officeDocument/2006/relationships/footer" Target="footer41.xml"/><Relationship Id="rId133" Type="http://schemas.openxmlformats.org/officeDocument/2006/relationships/header" Target="header42.xml"/><Relationship Id="rId134" Type="http://schemas.openxmlformats.org/officeDocument/2006/relationships/footer" Target="footer42.xml"/><Relationship Id="rId135" Type="http://schemas.openxmlformats.org/officeDocument/2006/relationships/header" Target="header43.xml"/><Relationship Id="rId136" Type="http://schemas.openxmlformats.org/officeDocument/2006/relationships/footer" Target="footer43.xml"/><Relationship Id="rId137" Type="http://schemas.openxmlformats.org/officeDocument/2006/relationships/header" Target="header44.xml"/><Relationship Id="rId138" Type="http://schemas.openxmlformats.org/officeDocument/2006/relationships/footer" Target="footer44.xml"/><Relationship Id="rId139" Type="http://schemas.openxmlformats.org/officeDocument/2006/relationships/header" Target="header45.xml"/><Relationship Id="rId140" Type="http://schemas.openxmlformats.org/officeDocument/2006/relationships/footer" Target="footer45.xml"/><Relationship Id="rId141" Type="http://schemas.openxmlformats.org/officeDocument/2006/relationships/header" Target="header46.xml"/><Relationship Id="rId142" Type="http://schemas.openxmlformats.org/officeDocument/2006/relationships/footer" Target="footer46.xml"/><Relationship Id="rId143" Type="http://schemas.openxmlformats.org/officeDocument/2006/relationships/header" Target="header47.xml"/><Relationship Id="rId144" Type="http://schemas.openxmlformats.org/officeDocument/2006/relationships/footer" Target="footer47.xml"/><Relationship Id="rId145" Type="http://schemas.openxmlformats.org/officeDocument/2006/relationships/header" Target="header48.xml"/><Relationship Id="rId146" Type="http://schemas.openxmlformats.org/officeDocument/2006/relationships/footer" Target="footer48.xml"/><Relationship Id="rId147" Type="http://schemas.openxmlformats.org/officeDocument/2006/relationships/header" Target="header49.xml"/><Relationship Id="rId148" Type="http://schemas.openxmlformats.org/officeDocument/2006/relationships/footer" Target="footer49.xml"/><Relationship Id="rId149" Type="http://schemas.openxmlformats.org/officeDocument/2006/relationships/header" Target="header50.xml"/><Relationship Id="rId150" Type="http://schemas.openxmlformats.org/officeDocument/2006/relationships/footer" Target="footer50.xml"/><Relationship Id="rId151" Type="http://schemas.openxmlformats.org/officeDocument/2006/relationships/image" Target="media/image24.jpeg"/><Relationship Id="rId152" Type="http://schemas.openxmlformats.org/officeDocument/2006/relationships/image" Target="media/image24.jpeg" TargetMode="External"/><Relationship Id="rId153" Type="http://schemas.openxmlformats.org/officeDocument/2006/relationships/image" Target="media/image25.jpeg"/><Relationship Id="rId154" Type="http://schemas.openxmlformats.org/officeDocument/2006/relationships/image" Target="media/image25.jpeg" TargetMode="External"/><Relationship Id="rId155" Type="http://schemas.openxmlformats.org/officeDocument/2006/relationships/image" Target="media/image26.jpeg"/><Relationship Id="rId156" Type="http://schemas.openxmlformats.org/officeDocument/2006/relationships/image" Target="media/image26.jpeg" TargetMode="External"/><Relationship Id="rId157" Type="http://schemas.openxmlformats.org/officeDocument/2006/relationships/header" Target="header51.xml"/><Relationship Id="rId158" Type="http://schemas.openxmlformats.org/officeDocument/2006/relationships/footer" Target="footer51.xml"/><Relationship Id="rId159" Type="http://schemas.openxmlformats.org/officeDocument/2006/relationships/header" Target="header52.xml"/><Relationship Id="rId160" Type="http://schemas.openxmlformats.org/officeDocument/2006/relationships/footer" Target="footer52.xml"/><Relationship Id="rId161" Type="http://schemas.openxmlformats.org/officeDocument/2006/relationships/image" Target="media/image27.jpeg"/><Relationship Id="rId162" Type="http://schemas.openxmlformats.org/officeDocument/2006/relationships/image" Target="media/image27.jpeg" TargetMode="External"/><Relationship Id="rId163" Type="http://schemas.openxmlformats.org/officeDocument/2006/relationships/header" Target="header53.xml"/><Relationship Id="rId164" Type="http://schemas.openxmlformats.org/officeDocument/2006/relationships/footer" Target="footer53.xml"/><Relationship Id="rId165" Type="http://schemas.openxmlformats.org/officeDocument/2006/relationships/header" Target="header54.xml"/><Relationship Id="rId166" Type="http://schemas.openxmlformats.org/officeDocument/2006/relationships/footer" Target="footer54.xml"/><Relationship Id="rId167" Type="http://schemas.openxmlformats.org/officeDocument/2006/relationships/image" Target="media/image28.jpeg"/><Relationship Id="rId168" Type="http://schemas.openxmlformats.org/officeDocument/2006/relationships/image" Target="media/image28.jpeg" TargetMode="External"/><Relationship Id="rId169" Type="http://schemas.openxmlformats.org/officeDocument/2006/relationships/header" Target="header55.xml"/><Relationship Id="rId170" Type="http://schemas.openxmlformats.org/officeDocument/2006/relationships/footer" Target="footer55.xml"/><Relationship Id="rId171" Type="http://schemas.openxmlformats.org/officeDocument/2006/relationships/header" Target="header56.xml"/><Relationship Id="rId172" Type="http://schemas.openxmlformats.org/officeDocument/2006/relationships/footer" Target="footer56.xml"/><Relationship Id="rId173" Type="http://schemas.openxmlformats.org/officeDocument/2006/relationships/image" Target="media/image29.png"/><Relationship Id="rId174" Type="http://schemas.openxmlformats.org/officeDocument/2006/relationships/image" Target="media/image29.png" TargetMode="External"/><Relationship Id="rId175" Type="http://schemas.openxmlformats.org/officeDocument/2006/relationships/image" Target="media/image30.jpeg"/><Relationship Id="rId176" Type="http://schemas.openxmlformats.org/officeDocument/2006/relationships/image" Target="media/image30.jpeg" TargetMode="External"/><Relationship Id="rId177" Type="http://schemas.openxmlformats.org/officeDocument/2006/relationships/image" Target="media/image31.jpeg"/><Relationship Id="rId178" Type="http://schemas.openxmlformats.org/officeDocument/2006/relationships/image" Target="media/image31.jpeg" TargetMode="External"/><Relationship Id="rId179" Type="http://schemas.openxmlformats.org/officeDocument/2006/relationships/header" Target="header57.xml"/><Relationship Id="rId180" Type="http://schemas.openxmlformats.org/officeDocument/2006/relationships/footer" Target="footer57.xml"/><Relationship Id="rId181" Type="http://schemas.openxmlformats.org/officeDocument/2006/relationships/header" Target="header58.xml"/><Relationship Id="rId182" Type="http://schemas.openxmlformats.org/officeDocument/2006/relationships/footer" Target="footer58.xml"/><Relationship Id="rId183" Type="http://schemas.openxmlformats.org/officeDocument/2006/relationships/image" Target="media/image32.jpeg"/><Relationship Id="rId184" Type="http://schemas.openxmlformats.org/officeDocument/2006/relationships/image" Target="media/image32.jpeg" TargetMode="External"/><Relationship Id="rId185" Type="http://schemas.openxmlformats.org/officeDocument/2006/relationships/image" Target="media/image33.jpeg"/><Relationship Id="rId186" Type="http://schemas.openxmlformats.org/officeDocument/2006/relationships/image" Target="media/image33.jpeg" TargetMode="External"/><Relationship Id="rId187" Type="http://schemas.openxmlformats.org/officeDocument/2006/relationships/image" Target="media/image34.jpeg"/><Relationship Id="rId188" Type="http://schemas.openxmlformats.org/officeDocument/2006/relationships/image" Target="media/image34.jpeg" TargetMode="External"/><Relationship Id="rId189" Type="http://schemas.openxmlformats.org/officeDocument/2006/relationships/header" Target="header59.xml"/><Relationship Id="rId190" Type="http://schemas.openxmlformats.org/officeDocument/2006/relationships/footer" Target="footer59.xml"/><Relationship Id="rId191" Type="http://schemas.openxmlformats.org/officeDocument/2006/relationships/header" Target="header60.xml"/><Relationship Id="rId192" Type="http://schemas.openxmlformats.org/officeDocument/2006/relationships/footer" Target="footer60.xml"/><Relationship Id="rId193" Type="http://schemas.openxmlformats.org/officeDocument/2006/relationships/image" Target="media/image35.jpeg"/><Relationship Id="rId194" Type="http://schemas.openxmlformats.org/officeDocument/2006/relationships/image" Target="media/image35.jpeg" TargetMode="External"/><Relationship Id="rId195" Type="http://schemas.openxmlformats.org/officeDocument/2006/relationships/header" Target="header61.xml"/><Relationship Id="rId196" Type="http://schemas.openxmlformats.org/officeDocument/2006/relationships/footer" Target="footer61.xml"/><Relationship Id="rId197" Type="http://schemas.openxmlformats.org/officeDocument/2006/relationships/header" Target="header62.xml"/><Relationship Id="rId198" Type="http://schemas.openxmlformats.org/officeDocument/2006/relationships/footer" Target="footer62.xml"/><Relationship Id="rId199" Type="http://schemas.openxmlformats.org/officeDocument/2006/relationships/image" Target="media/image36.jpeg"/><Relationship Id="rId200" Type="http://schemas.openxmlformats.org/officeDocument/2006/relationships/image" Target="media/image36.jpeg" TargetMode="External"/><Relationship Id="rId201" Type="http://schemas.openxmlformats.org/officeDocument/2006/relationships/header" Target="header63.xml"/><Relationship Id="rId202" Type="http://schemas.openxmlformats.org/officeDocument/2006/relationships/footer" Target="footer63.xml"/><Relationship Id="rId203" Type="http://schemas.openxmlformats.org/officeDocument/2006/relationships/header" Target="header64.xml"/><Relationship Id="rId204" Type="http://schemas.openxmlformats.org/officeDocument/2006/relationships/footer" Target="footer64.xml"/><Relationship Id="rId205" Type="http://schemas.openxmlformats.org/officeDocument/2006/relationships/image" Target="media/image37.jpeg"/><Relationship Id="rId206" Type="http://schemas.openxmlformats.org/officeDocument/2006/relationships/image" Target="media/image37.jpeg" TargetMode="External"/><Relationship Id="rId207" Type="http://schemas.openxmlformats.org/officeDocument/2006/relationships/header" Target="header65.xml"/><Relationship Id="rId208" Type="http://schemas.openxmlformats.org/officeDocument/2006/relationships/footer" Target="footer65.xml"/><Relationship Id="rId209" Type="http://schemas.openxmlformats.org/officeDocument/2006/relationships/header" Target="header66.xml"/><Relationship Id="rId210" Type="http://schemas.openxmlformats.org/officeDocument/2006/relationships/footer" Target="footer66.xml"/><Relationship Id="rId211" Type="http://schemas.openxmlformats.org/officeDocument/2006/relationships/header" Target="header67.xml"/><Relationship Id="rId212" Type="http://schemas.openxmlformats.org/officeDocument/2006/relationships/footer" Target="footer67.xml"/><Relationship Id="rId213" Type="http://schemas.openxmlformats.org/officeDocument/2006/relationships/header" Target="header68.xml"/><Relationship Id="rId214" Type="http://schemas.openxmlformats.org/officeDocument/2006/relationships/footer" Target="footer68.xml"/><Relationship Id="rId215" Type="http://schemas.openxmlformats.org/officeDocument/2006/relationships/image" Target="media/image38.jpeg"/><Relationship Id="rId216" Type="http://schemas.openxmlformats.org/officeDocument/2006/relationships/image" Target="media/image38.jpeg" TargetMode="External"/><Relationship Id="rId217" Type="http://schemas.openxmlformats.org/officeDocument/2006/relationships/header" Target="header69.xml"/><Relationship Id="rId218" Type="http://schemas.openxmlformats.org/officeDocument/2006/relationships/footer" Target="footer69.xml"/><Relationship Id="rId219" Type="http://schemas.openxmlformats.org/officeDocument/2006/relationships/header" Target="header70.xml"/><Relationship Id="rId220" Type="http://schemas.openxmlformats.org/officeDocument/2006/relationships/footer" Target="footer70.xml"/><Relationship Id="rId221" Type="http://schemas.openxmlformats.org/officeDocument/2006/relationships/header" Target="header71.xml"/><Relationship Id="rId222" Type="http://schemas.openxmlformats.org/officeDocument/2006/relationships/footer" Target="footer71.xml"/><Relationship Id="rId223" Type="http://schemas.openxmlformats.org/officeDocument/2006/relationships/header" Target="header72.xml"/><Relationship Id="rId224" Type="http://schemas.openxmlformats.org/officeDocument/2006/relationships/footer" Target="footer72.xml"/><Relationship Id="rId225" Type="http://schemas.openxmlformats.org/officeDocument/2006/relationships/header" Target="header73.xml"/><Relationship Id="rId226" Type="http://schemas.openxmlformats.org/officeDocument/2006/relationships/footer" Target="footer73.xml"/><Relationship Id="rId227" Type="http://schemas.openxmlformats.org/officeDocument/2006/relationships/image" Target="media/image39.png"/><Relationship Id="rId228" Type="http://schemas.openxmlformats.org/officeDocument/2006/relationships/image" Target="media/image39.png" TargetMode="External"/><Relationship Id="rId229" Type="http://schemas.openxmlformats.org/officeDocument/2006/relationships/image" Target="media/image40.jpeg"/><Relationship Id="rId230" Type="http://schemas.openxmlformats.org/officeDocument/2006/relationships/image" Target="media/image40.jpeg" TargetMode="External"/><Relationship Id="rId231" Type="http://schemas.openxmlformats.org/officeDocument/2006/relationships/image" Target="media/image41.png"/><Relationship Id="rId232" Type="http://schemas.openxmlformats.org/officeDocument/2006/relationships/image" Target="media/image41.png" TargetMode="External"/><Relationship Id="rId233" Type="http://schemas.openxmlformats.org/officeDocument/2006/relationships/header" Target="header74.xml"/><Relationship Id="rId234" Type="http://schemas.openxmlformats.org/officeDocument/2006/relationships/footer" Target="footer74.xml"/><Relationship Id="rId235" Type="http://schemas.openxmlformats.org/officeDocument/2006/relationships/header" Target="header75.xml"/><Relationship Id="rId236" Type="http://schemas.openxmlformats.org/officeDocument/2006/relationships/footer" Target="footer75.xml"/><Relationship Id="rId237" Type="http://schemas.openxmlformats.org/officeDocument/2006/relationships/header" Target="header76.xml"/><Relationship Id="rId238" Type="http://schemas.openxmlformats.org/officeDocument/2006/relationships/footer" Target="footer76.xml"/><Relationship Id="rId239" Type="http://schemas.openxmlformats.org/officeDocument/2006/relationships/image" Target="media/image42.png"/><Relationship Id="rId240" Type="http://schemas.openxmlformats.org/officeDocument/2006/relationships/image" Target="media/image42.png" TargetMode="External"/><Relationship Id="rId241" Type="http://schemas.openxmlformats.org/officeDocument/2006/relationships/image" Target="media/image43.jpeg"/><Relationship Id="rId242" Type="http://schemas.openxmlformats.org/officeDocument/2006/relationships/image" Target="media/image43.jpeg" TargetMode="External"/><Relationship Id="rId243" Type="http://schemas.openxmlformats.org/officeDocument/2006/relationships/image" Target="media/image44.png"/><Relationship Id="rId244" Type="http://schemas.openxmlformats.org/officeDocument/2006/relationships/image" Target="media/image44.png" TargetMode="External"/><Relationship Id="rId245" Type="http://schemas.openxmlformats.org/officeDocument/2006/relationships/image" Target="media/image45.png"/><Relationship Id="rId246" Type="http://schemas.openxmlformats.org/officeDocument/2006/relationships/image" Target="media/image45.png" TargetMode="External"/><Relationship Id="rId247" Type="http://schemas.openxmlformats.org/officeDocument/2006/relationships/image" Target="media/image46.png"/><Relationship Id="rId248" Type="http://schemas.openxmlformats.org/officeDocument/2006/relationships/image" Target="media/image46.png" TargetMode="External"/><Relationship Id="rId249" Type="http://schemas.openxmlformats.org/officeDocument/2006/relationships/image" Target="media/image47.png"/><Relationship Id="rId250" Type="http://schemas.openxmlformats.org/officeDocument/2006/relationships/image" Target="media/image47.png" TargetMode="External"/><Relationship Id="rId251" Type="http://schemas.openxmlformats.org/officeDocument/2006/relationships/image" Target="media/image48.png"/><Relationship Id="rId252" Type="http://schemas.openxmlformats.org/officeDocument/2006/relationships/image" Target="media/image48.png" TargetMode="External"/><Relationship Id="rId253" Type="http://schemas.openxmlformats.org/officeDocument/2006/relationships/image" Target="media/image49.png"/><Relationship Id="rId254" Type="http://schemas.openxmlformats.org/officeDocument/2006/relationships/image" Target="media/image49.png" TargetMode="External"/><Relationship Id="rId255" Type="http://schemas.openxmlformats.org/officeDocument/2006/relationships/image" Target="media/image50.png"/><Relationship Id="rId256" Type="http://schemas.openxmlformats.org/officeDocument/2006/relationships/image" Target="media/image50.png" TargetMode="External"/><Relationship Id="rId257" Type="http://schemas.openxmlformats.org/officeDocument/2006/relationships/header" Target="header77.xml"/><Relationship Id="rId258" Type="http://schemas.openxmlformats.org/officeDocument/2006/relationships/footer" Target="footer77.xml"/><Relationship Id="rId259" Type="http://schemas.openxmlformats.org/officeDocument/2006/relationships/header" Target="header78.xml"/><Relationship Id="rId260" Type="http://schemas.openxmlformats.org/officeDocument/2006/relationships/footer" Target="footer78.xml"/><Relationship Id="rId261" Type="http://schemas.openxmlformats.org/officeDocument/2006/relationships/header" Target="header79.xml"/><Relationship Id="rId262" Type="http://schemas.openxmlformats.org/officeDocument/2006/relationships/footer" Target="footer79.xml"/><Relationship Id="rId263" Type="http://schemas.openxmlformats.org/officeDocument/2006/relationships/image" Target="media/image51.jpeg"/><Relationship Id="rId264" Type="http://schemas.openxmlformats.org/officeDocument/2006/relationships/image" Target="media/image51.jpeg" TargetMode="External"/><Relationship Id="rId265" Type="http://schemas.openxmlformats.org/officeDocument/2006/relationships/header" Target="header80.xml"/><Relationship Id="rId266" Type="http://schemas.openxmlformats.org/officeDocument/2006/relationships/footer" Target="footer80.xml"/><Relationship Id="rId267" Type="http://schemas.openxmlformats.org/officeDocument/2006/relationships/header" Target="header81.xml"/><Relationship Id="rId268" Type="http://schemas.openxmlformats.org/officeDocument/2006/relationships/footer" Target="footer81.xml"/><Relationship Id="rId269" Type="http://schemas.openxmlformats.org/officeDocument/2006/relationships/image" Target="media/image52.jpeg"/><Relationship Id="rId270" Type="http://schemas.openxmlformats.org/officeDocument/2006/relationships/image" Target="media/image52.jpeg" TargetMode="External"/><Relationship Id="rId271" Type="http://schemas.openxmlformats.org/officeDocument/2006/relationships/image" Target="media/image53.png"/><Relationship Id="rId272" Type="http://schemas.openxmlformats.org/officeDocument/2006/relationships/image" Target="media/image53.png" TargetMode="External"/><Relationship Id="rId273" Type="http://schemas.openxmlformats.org/officeDocument/2006/relationships/header" Target="header82.xml"/><Relationship Id="rId274" Type="http://schemas.openxmlformats.org/officeDocument/2006/relationships/footer" Target="footer82.xml"/><Relationship Id="rId275" Type="http://schemas.openxmlformats.org/officeDocument/2006/relationships/header" Target="header83.xml"/><Relationship Id="rId276" Type="http://schemas.openxmlformats.org/officeDocument/2006/relationships/footer" Target="footer83.xml"/><Relationship Id="rId277" Type="http://schemas.openxmlformats.org/officeDocument/2006/relationships/header" Target="header84.xml"/><Relationship Id="rId278" Type="http://schemas.openxmlformats.org/officeDocument/2006/relationships/footer" Target="footer84.xml"/><Relationship Id="rId279" Type="http://schemas.openxmlformats.org/officeDocument/2006/relationships/header" Target="header85.xml"/><Relationship Id="rId280" Type="http://schemas.openxmlformats.org/officeDocument/2006/relationships/footer" Target="footer85.xml"/><Relationship Id="rId281" Type="http://schemas.openxmlformats.org/officeDocument/2006/relationships/header" Target="header86.xml"/><Relationship Id="rId282" Type="http://schemas.openxmlformats.org/officeDocument/2006/relationships/footer" Target="footer86.xml"/><Relationship Id="rId283" Type="http://schemas.openxmlformats.org/officeDocument/2006/relationships/header" Target="header87.xml"/><Relationship Id="rId284" Type="http://schemas.openxmlformats.org/officeDocument/2006/relationships/footer" Target="footer87.xml"/><Relationship Id="rId285" Type="http://schemas.openxmlformats.org/officeDocument/2006/relationships/image" Target="media/image54.jpeg"/><Relationship Id="rId286" Type="http://schemas.openxmlformats.org/officeDocument/2006/relationships/image" Target="media/image54.jpeg" TargetMode="External"/><Relationship Id="rId287" Type="http://schemas.openxmlformats.org/officeDocument/2006/relationships/image" Target="media/image55.jpeg"/><Relationship Id="rId288" Type="http://schemas.openxmlformats.org/officeDocument/2006/relationships/image" Target="media/image55.jpeg" TargetMode="External"/><Relationship Id="rId289" Type="http://schemas.openxmlformats.org/officeDocument/2006/relationships/header" Target="header88.xml"/><Relationship Id="rId290" Type="http://schemas.openxmlformats.org/officeDocument/2006/relationships/footer" Target="footer88.xml"/><Relationship Id="rId291" Type="http://schemas.openxmlformats.org/officeDocument/2006/relationships/header" Target="header89.xml"/><Relationship Id="rId292" Type="http://schemas.openxmlformats.org/officeDocument/2006/relationships/footer" Target="footer89.xml"/><Relationship Id="rId293" Type="http://schemas.openxmlformats.org/officeDocument/2006/relationships/header" Target="header90.xml"/><Relationship Id="rId294" Type="http://schemas.openxmlformats.org/officeDocument/2006/relationships/footer" Target="footer90.xml"/><Relationship Id="rId295" Type="http://schemas.openxmlformats.org/officeDocument/2006/relationships/header" Target="header91.xml"/><Relationship Id="rId296" Type="http://schemas.openxmlformats.org/officeDocument/2006/relationships/footer" Target="footer91.xml"/><Relationship Id="rId297" Type="http://schemas.openxmlformats.org/officeDocument/2006/relationships/header" Target="header92.xml"/><Relationship Id="rId298" Type="http://schemas.openxmlformats.org/officeDocument/2006/relationships/footer" Target="footer92.xml"/><Relationship Id="rId299" Type="http://schemas.openxmlformats.org/officeDocument/2006/relationships/image" Target="media/image56.jpeg"/><Relationship Id="rId300" Type="http://schemas.openxmlformats.org/officeDocument/2006/relationships/image" Target="media/image56.jpeg" TargetMode="External"/><Relationship Id="rId301" Type="http://schemas.openxmlformats.org/officeDocument/2006/relationships/image" Target="media/image57.jpeg"/><Relationship Id="rId302" Type="http://schemas.openxmlformats.org/officeDocument/2006/relationships/image" Target="media/image57.jpeg" TargetMode="External"/><Relationship Id="rId303" Type="http://schemas.openxmlformats.org/officeDocument/2006/relationships/header" Target="header93.xml"/><Relationship Id="rId304" Type="http://schemas.openxmlformats.org/officeDocument/2006/relationships/footer" Target="footer93.xml"/><Relationship Id="rId305" Type="http://schemas.openxmlformats.org/officeDocument/2006/relationships/header" Target="header94.xml"/><Relationship Id="rId306" Type="http://schemas.openxmlformats.org/officeDocument/2006/relationships/footer" Target="footer94.xml"/><Relationship Id="rId307" Type="http://schemas.openxmlformats.org/officeDocument/2006/relationships/header" Target="header95.xml"/><Relationship Id="rId308" Type="http://schemas.openxmlformats.org/officeDocument/2006/relationships/footer" Target="footer95.xml"/><Relationship Id="rId309" Type="http://schemas.openxmlformats.org/officeDocument/2006/relationships/header" Target="header96.xml"/><Relationship Id="rId310" Type="http://schemas.openxmlformats.org/officeDocument/2006/relationships/footer" Target="footer96.xml"/><Relationship Id="rId311" Type="http://schemas.openxmlformats.org/officeDocument/2006/relationships/image" Target="media/image58.png"/><Relationship Id="rId312" Type="http://schemas.openxmlformats.org/officeDocument/2006/relationships/image" Target="media/image58.png" TargetMode="External"/><Relationship Id="rId313" Type="http://schemas.openxmlformats.org/officeDocument/2006/relationships/header" Target="header97.xml"/><Relationship Id="rId314" Type="http://schemas.openxmlformats.org/officeDocument/2006/relationships/footer" Target="footer97.xml"/><Relationship Id="rId315" Type="http://schemas.openxmlformats.org/officeDocument/2006/relationships/header" Target="header98.xml"/><Relationship Id="rId316" Type="http://schemas.openxmlformats.org/officeDocument/2006/relationships/footer" Target="footer98.xml"/><Relationship Id="rId317" Type="http://schemas.openxmlformats.org/officeDocument/2006/relationships/header" Target="header99.xml"/><Relationship Id="rId318" Type="http://schemas.openxmlformats.org/officeDocument/2006/relationships/footer" Target="footer99.xml"/><Relationship Id="rId319" Type="http://schemas.openxmlformats.org/officeDocument/2006/relationships/header" Target="header100.xml"/><Relationship Id="rId320" Type="http://schemas.openxmlformats.org/officeDocument/2006/relationships/footer" Target="footer100.xml"/><Relationship Id="rId321" Type="http://schemas.openxmlformats.org/officeDocument/2006/relationships/header" Target="header101.xml"/><Relationship Id="rId322" Type="http://schemas.openxmlformats.org/officeDocument/2006/relationships/footer" Target="footer101.xml"/><Relationship Id="rId323" Type="http://schemas.openxmlformats.org/officeDocument/2006/relationships/header" Target="header102.xml"/><Relationship Id="rId324" Type="http://schemas.openxmlformats.org/officeDocument/2006/relationships/footer" Target="footer102.xml"/><Relationship Id="rId325" Type="http://schemas.openxmlformats.org/officeDocument/2006/relationships/image" Target="media/image59.png"/><Relationship Id="rId326" Type="http://schemas.openxmlformats.org/officeDocument/2006/relationships/image" Target="media/image59.png" TargetMode="External"/><Relationship Id="rId327" Type="http://schemas.openxmlformats.org/officeDocument/2006/relationships/image" Target="media/image60.png"/><Relationship Id="rId328" Type="http://schemas.openxmlformats.org/officeDocument/2006/relationships/image" Target="media/image60.png" TargetMode="External"/><Relationship Id="rId329" Type="http://schemas.openxmlformats.org/officeDocument/2006/relationships/image" Target="media/image61.png"/><Relationship Id="rId330" Type="http://schemas.openxmlformats.org/officeDocument/2006/relationships/image" Target="media/image61.png" TargetMode="External"/><Relationship Id="rId331" Type="http://schemas.openxmlformats.org/officeDocument/2006/relationships/header" Target="header103.xml"/><Relationship Id="rId332" Type="http://schemas.openxmlformats.org/officeDocument/2006/relationships/footer" Target="footer103.xml"/><Relationship Id="rId333" Type="http://schemas.openxmlformats.org/officeDocument/2006/relationships/header" Target="header104.xml"/><Relationship Id="rId334" Type="http://schemas.openxmlformats.org/officeDocument/2006/relationships/footer" Target="footer104.xml"/><Relationship Id="rId335" Type="http://schemas.openxmlformats.org/officeDocument/2006/relationships/header" Target="header105.xml"/><Relationship Id="rId336" Type="http://schemas.openxmlformats.org/officeDocument/2006/relationships/footer" Target="footer105.xml"/><Relationship Id="rId337" Type="http://schemas.openxmlformats.org/officeDocument/2006/relationships/header" Target="header106.xml"/><Relationship Id="rId338" Type="http://schemas.openxmlformats.org/officeDocument/2006/relationships/footer" Target="footer106.xml"/><Relationship Id="rId339" Type="http://schemas.openxmlformats.org/officeDocument/2006/relationships/image" Target="media/image62.png"/><Relationship Id="rId340" Type="http://schemas.openxmlformats.org/officeDocument/2006/relationships/image" Target="media/image62.png" TargetMode="External"/><Relationship Id="rId341" Type="http://schemas.openxmlformats.org/officeDocument/2006/relationships/header" Target="header107.xml"/><Relationship Id="rId342" Type="http://schemas.openxmlformats.org/officeDocument/2006/relationships/footer" Target="footer107.xml"/><Relationship Id="rId343" Type="http://schemas.openxmlformats.org/officeDocument/2006/relationships/header" Target="header108.xml"/><Relationship Id="rId344" Type="http://schemas.openxmlformats.org/officeDocument/2006/relationships/footer" Target="footer108.xml"/><Relationship Id="rId345" Type="http://schemas.openxmlformats.org/officeDocument/2006/relationships/header" Target="header109.xml"/><Relationship Id="rId346" Type="http://schemas.openxmlformats.org/officeDocument/2006/relationships/footer" Target="footer109.xml"/><Relationship Id="rId347" Type="http://schemas.openxmlformats.org/officeDocument/2006/relationships/image" Target="media/image63.png"/><Relationship Id="rId348" Type="http://schemas.openxmlformats.org/officeDocument/2006/relationships/image" Target="media/image63.png" TargetMode="External"/><Relationship Id="rId349" Type="http://schemas.openxmlformats.org/officeDocument/2006/relationships/image" Target="media/image64.jpeg"/><Relationship Id="rId350" Type="http://schemas.openxmlformats.org/officeDocument/2006/relationships/image" Target="media/image64.jpeg" TargetMode="External"/><Relationship Id="rId351" Type="http://schemas.openxmlformats.org/officeDocument/2006/relationships/header" Target="header110.xml"/><Relationship Id="rId352" Type="http://schemas.openxmlformats.org/officeDocument/2006/relationships/footer" Target="footer110.xml"/><Relationship Id="rId353" Type="http://schemas.openxmlformats.org/officeDocument/2006/relationships/header" Target="header111.xml"/><Relationship Id="rId354" Type="http://schemas.openxmlformats.org/officeDocument/2006/relationships/footer" Target="footer111.xml"/><Relationship Id="rId355" Type="http://schemas.openxmlformats.org/officeDocument/2006/relationships/image" Target="media/image65.jpeg"/><Relationship Id="rId356" Type="http://schemas.openxmlformats.org/officeDocument/2006/relationships/image" Target="media/image65.jpeg" TargetMode="External"/><Relationship Id="rId357" Type="http://schemas.openxmlformats.org/officeDocument/2006/relationships/header" Target="header112.xml"/><Relationship Id="rId358" Type="http://schemas.openxmlformats.org/officeDocument/2006/relationships/footer" Target="footer112.xml"/><Relationship Id="rId359" Type="http://schemas.openxmlformats.org/officeDocument/2006/relationships/header" Target="header113.xml"/><Relationship Id="rId360" Type="http://schemas.openxmlformats.org/officeDocument/2006/relationships/footer" Target="footer113.xml"/><Relationship Id="rId361" Type="http://schemas.openxmlformats.org/officeDocument/2006/relationships/image" Target="media/image66.png"/><Relationship Id="rId362" Type="http://schemas.openxmlformats.org/officeDocument/2006/relationships/image" Target="media/image66.png" TargetMode="External"/><Relationship Id="rId363" Type="http://schemas.openxmlformats.org/officeDocument/2006/relationships/image" Target="media/image67.jpeg"/><Relationship Id="rId364" Type="http://schemas.openxmlformats.org/officeDocument/2006/relationships/image" Target="media/image67.jpeg" TargetMode="External"/><Relationship Id="rId365" Type="http://schemas.openxmlformats.org/officeDocument/2006/relationships/image" Target="media/image68.jpeg"/><Relationship Id="rId366" Type="http://schemas.openxmlformats.org/officeDocument/2006/relationships/image" Target="media/image68.jpeg" TargetMode="External"/><Relationship Id="rId367" Type="http://schemas.openxmlformats.org/officeDocument/2006/relationships/header" Target="header114.xml"/><Relationship Id="rId368" Type="http://schemas.openxmlformats.org/officeDocument/2006/relationships/footer" Target="footer114.xml"/><Relationship Id="rId369" Type="http://schemas.openxmlformats.org/officeDocument/2006/relationships/header" Target="header115.xml"/><Relationship Id="rId370" Type="http://schemas.openxmlformats.org/officeDocument/2006/relationships/footer" Target="footer115.xml"/><Relationship Id="rId371" Type="http://schemas.openxmlformats.org/officeDocument/2006/relationships/image" Target="media/image69.jpeg"/><Relationship Id="rId372" Type="http://schemas.openxmlformats.org/officeDocument/2006/relationships/image" Target="media/image69.jpeg" TargetMode="External"/><Relationship Id="rId373" Type="http://schemas.openxmlformats.org/officeDocument/2006/relationships/image" Target="media/image70.jpeg"/><Relationship Id="rId374" Type="http://schemas.openxmlformats.org/officeDocument/2006/relationships/image" Target="media/image70.jpeg" TargetMode="External"/><Relationship Id="rId375" Type="http://schemas.openxmlformats.org/officeDocument/2006/relationships/image" Target="media/image71.png"/><Relationship Id="rId376" Type="http://schemas.openxmlformats.org/officeDocument/2006/relationships/image" Target="media/image71.png" TargetMode="External"/><Relationship Id="rId377" Type="http://schemas.openxmlformats.org/officeDocument/2006/relationships/header" Target="header116.xml"/><Relationship Id="rId378" Type="http://schemas.openxmlformats.org/officeDocument/2006/relationships/footer" Target="footer116.xml"/><Relationship Id="rId379" Type="http://schemas.openxmlformats.org/officeDocument/2006/relationships/header" Target="header117.xml"/><Relationship Id="rId380" Type="http://schemas.openxmlformats.org/officeDocument/2006/relationships/footer" Target="footer117.xml"/><Relationship Id="rId381" Type="http://schemas.openxmlformats.org/officeDocument/2006/relationships/header" Target="header118.xml"/><Relationship Id="rId382" Type="http://schemas.openxmlformats.org/officeDocument/2006/relationships/footer" Target="footer118.xml"/><Relationship Id="rId383" Type="http://schemas.openxmlformats.org/officeDocument/2006/relationships/header" Target="header119.xml"/><Relationship Id="rId384" Type="http://schemas.openxmlformats.org/officeDocument/2006/relationships/footer" Target="footer119.xml"/><Relationship Id="rId385" Type="http://schemas.openxmlformats.org/officeDocument/2006/relationships/image" Target="media/image72.jpeg"/><Relationship Id="rId386" Type="http://schemas.openxmlformats.org/officeDocument/2006/relationships/image" Target="media/image72.jpeg" TargetMode="External"/><Relationship Id="rId387" Type="http://schemas.openxmlformats.org/officeDocument/2006/relationships/image" Target="media/image73.jpeg"/><Relationship Id="rId388" Type="http://schemas.openxmlformats.org/officeDocument/2006/relationships/image" Target="media/image73.jpeg" TargetMode="External"/><Relationship Id="rId389" Type="http://schemas.openxmlformats.org/officeDocument/2006/relationships/image" Target="media/image74.jpeg"/><Relationship Id="rId390" Type="http://schemas.openxmlformats.org/officeDocument/2006/relationships/image" Target="media/image74.jpeg" TargetMode="External"/><Relationship Id="rId391" Type="http://schemas.openxmlformats.org/officeDocument/2006/relationships/header" Target="header120.xml"/><Relationship Id="rId392" Type="http://schemas.openxmlformats.org/officeDocument/2006/relationships/footer" Target="footer120.xml"/><Relationship Id="rId393" Type="http://schemas.openxmlformats.org/officeDocument/2006/relationships/header" Target="header121.xml"/><Relationship Id="rId394" Type="http://schemas.openxmlformats.org/officeDocument/2006/relationships/footer" Target="footer121.xml"/><Relationship Id="rId395" Type="http://schemas.openxmlformats.org/officeDocument/2006/relationships/image" Target="media/image75.jpeg"/><Relationship Id="rId396" Type="http://schemas.openxmlformats.org/officeDocument/2006/relationships/image" Target="media/image75.jpeg" TargetMode="External"/><Relationship Id="rId397" Type="http://schemas.openxmlformats.org/officeDocument/2006/relationships/image" Target="media/image76.png"/><Relationship Id="rId398" Type="http://schemas.openxmlformats.org/officeDocument/2006/relationships/image" Target="media/image76.png" TargetMode="External"/><Relationship Id="rId399" Type="http://schemas.openxmlformats.org/officeDocument/2006/relationships/header" Target="header122.xml"/><Relationship Id="rId400" Type="http://schemas.openxmlformats.org/officeDocument/2006/relationships/footer" Target="footer122.xml"/><Relationship Id="rId401" Type="http://schemas.openxmlformats.org/officeDocument/2006/relationships/header" Target="header123.xml"/><Relationship Id="rId402" Type="http://schemas.openxmlformats.org/officeDocument/2006/relationships/footer" Target="footer123.xml"/><Relationship Id="rId403" Type="http://schemas.openxmlformats.org/officeDocument/2006/relationships/header" Target="header124.xml"/><Relationship Id="rId404" Type="http://schemas.openxmlformats.org/officeDocument/2006/relationships/footer" Target="footer124.xml"/><Relationship Id="rId405" Type="http://schemas.openxmlformats.org/officeDocument/2006/relationships/header" Target="header125.xml"/><Relationship Id="rId406" Type="http://schemas.openxmlformats.org/officeDocument/2006/relationships/footer" Target="footer125.xml"/><Relationship Id="rId407" Type="http://schemas.openxmlformats.org/officeDocument/2006/relationships/image" Target="media/image77.jpeg"/><Relationship Id="rId408" Type="http://schemas.openxmlformats.org/officeDocument/2006/relationships/image" Target="media/image77.jpeg" TargetMode="External"/><Relationship Id="rId409" Type="http://schemas.openxmlformats.org/officeDocument/2006/relationships/image" Target="media/image78.png"/><Relationship Id="rId410" Type="http://schemas.openxmlformats.org/officeDocument/2006/relationships/image" Target="media/image78.png" TargetMode="External"/><Relationship Id="rId411" Type="http://schemas.openxmlformats.org/officeDocument/2006/relationships/image" Target="media/image79.jpeg"/><Relationship Id="rId412" Type="http://schemas.openxmlformats.org/officeDocument/2006/relationships/image" Target="media/image79.jpeg" TargetMode="External"/><Relationship Id="rId413" Type="http://schemas.openxmlformats.org/officeDocument/2006/relationships/image" Target="media/image80.png"/><Relationship Id="rId414" Type="http://schemas.openxmlformats.org/officeDocument/2006/relationships/image" Target="media/image80.png" TargetMode="External"/><Relationship Id="rId415" Type="http://schemas.openxmlformats.org/officeDocument/2006/relationships/header" Target="header126.xml"/><Relationship Id="rId416" Type="http://schemas.openxmlformats.org/officeDocument/2006/relationships/footer" Target="footer126.xml"/><Relationship Id="rId417" Type="http://schemas.openxmlformats.org/officeDocument/2006/relationships/header" Target="header127.xml"/><Relationship Id="rId418" Type="http://schemas.openxmlformats.org/officeDocument/2006/relationships/footer" Target="footer127.xml"/><Relationship Id="rId419" Type="http://schemas.openxmlformats.org/officeDocument/2006/relationships/image" Target="media/image81.jpeg"/><Relationship Id="rId420" Type="http://schemas.openxmlformats.org/officeDocument/2006/relationships/image" Target="media/image81.jpeg" TargetMode="External"/><Relationship Id="rId421" Type="http://schemas.openxmlformats.org/officeDocument/2006/relationships/image" Target="media/image82.jpeg"/><Relationship Id="rId422" Type="http://schemas.openxmlformats.org/officeDocument/2006/relationships/image" Target="media/image82.jpeg" TargetMode="External"/><Relationship Id="rId423" Type="http://schemas.openxmlformats.org/officeDocument/2006/relationships/image" Target="media/image83.png"/><Relationship Id="rId424" Type="http://schemas.openxmlformats.org/officeDocument/2006/relationships/image" Target="media/image83.png" TargetMode="External"/><Relationship Id="rId425" Type="http://schemas.openxmlformats.org/officeDocument/2006/relationships/image" Target="media/image84.png"/><Relationship Id="rId426" Type="http://schemas.openxmlformats.org/officeDocument/2006/relationships/image" Target="media/image84.png" TargetMode="External"/><Relationship Id="rId427" Type="http://schemas.openxmlformats.org/officeDocument/2006/relationships/header" Target="header128.xml"/><Relationship Id="rId428" Type="http://schemas.openxmlformats.org/officeDocument/2006/relationships/footer" Target="footer128.xml"/><Relationship Id="rId429" Type="http://schemas.openxmlformats.org/officeDocument/2006/relationships/header" Target="header129.xml"/><Relationship Id="rId430" Type="http://schemas.openxmlformats.org/officeDocument/2006/relationships/footer" Target="footer129.xml"/><Relationship Id="rId431" Type="http://schemas.openxmlformats.org/officeDocument/2006/relationships/image" Target="media/image85.jpeg"/><Relationship Id="rId432" Type="http://schemas.openxmlformats.org/officeDocument/2006/relationships/image" Target="media/image85.jpeg" TargetMode="External"/><Relationship Id="rId433" Type="http://schemas.openxmlformats.org/officeDocument/2006/relationships/header" Target="header130.xml"/><Relationship Id="rId434" Type="http://schemas.openxmlformats.org/officeDocument/2006/relationships/footer" Target="footer130.xml"/><Relationship Id="rId435" Type="http://schemas.openxmlformats.org/officeDocument/2006/relationships/header" Target="header131.xml"/><Relationship Id="rId436" Type="http://schemas.openxmlformats.org/officeDocument/2006/relationships/footer" Target="footer131.xml"/><Relationship Id="rId437" Type="http://schemas.openxmlformats.org/officeDocument/2006/relationships/header" Target="header132.xml"/><Relationship Id="rId438" Type="http://schemas.openxmlformats.org/officeDocument/2006/relationships/footer" Target="footer132.xml"/><Relationship Id="rId439" Type="http://schemas.openxmlformats.org/officeDocument/2006/relationships/header" Target="header133.xml"/><Relationship Id="rId440" Type="http://schemas.openxmlformats.org/officeDocument/2006/relationships/footer" Target="footer133.xml"/><Relationship Id="rId441" Type="http://schemas.openxmlformats.org/officeDocument/2006/relationships/image" Target="media/image86.jpeg"/><Relationship Id="rId442" Type="http://schemas.openxmlformats.org/officeDocument/2006/relationships/image" Target="media/image86.jpeg" TargetMode="External"/><Relationship Id="rId443" Type="http://schemas.openxmlformats.org/officeDocument/2006/relationships/image" Target="media/image87.jpeg"/><Relationship Id="rId444" Type="http://schemas.openxmlformats.org/officeDocument/2006/relationships/image" Target="media/image87.jpeg" TargetMode="External"/><Relationship Id="rId445" Type="http://schemas.openxmlformats.org/officeDocument/2006/relationships/header" Target="header134.xml"/><Relationship Id="rId446" Type="http://schemas.openxmlformats.org/officeDocument/2006/relationships/footer" Target="footer134.xml"/><Relationship Id="rId447" Type="http://schemas.openxmlformats.org/officeDocument/2006/relationships/header" Target="header135.xml"/><Relationship Id="rId448" Type="http://schemas.openxmlformats.org/officeDocument/2006/relationships/footer" Target="footer135.xml"/><Relationship Id="rId449" Type="http://schemas.openxmlformats.org/officeDocument/2006/relationships/header" Target="header136.xml"/><Relationship Id="rId450" Type="http://schemas.openxmlformats.org/officeDocument/2006/relationships/footer" Target="footer136.xml"/><Relationship Id="rId451" Type="http://schemas.openxmlformats.org/officeDocument/2006/relationships/image" Target="media/image88.jpeg"/><Relationship Id="rId452" Type="http://schemas.openxmlformats.org/officeDocument/2006/relationships/image" Target="media/image88.jpeg" TargetMode="External"/><Relationship Id="rId453" Type="http://schemas.openxmlformats.org/officeDocument/2006/relationships/header" Target="header137.xml"/><Relationship Id="rId454" Type="http://schemas.openxmlformats.org/officeDocument/2006/relationships/footer" Target="footer137.xml"/><Relationship Id="rId455" Type="http://schemas.openxmlformats.org/officeDocument/2006/relationships/header" Target="header138.xml"/><Relationship Id="rId456" Type="http://schemas.openxmlformats.org/officeDocument/2006/relationships/footer" Target="footer138.xml"/><Relationship Id="rId457" Type="http://schemas.openxmlformats.org/officeDocument/2006/relationships/image" Target="media/image89.jpeg"/><Relationship Id="rId458" Type="http://schemas.openxmlformats.org/officeDocument/2006/relationships/image" Target="media/image89.jpeg" TargetMode="External"/><Relationship Id="rId459" Type="http://schemas.openxmlformats.org/officeDocument/2006/relationships/image" Target="media/image90.png"/><Relationship Id="rId460" Type="http://schemas.openxmlformats.org/officeDocument/2006/relationships/image" Target="media/image90.png" TargetMode="External"/><Relationship Id="rId461" Type="http://schemas.openxmlformats.org/officeDocument/2006/relationships/image" Target="media/image91.png"/><Relationship Id="rId462" Type="http://schemas.openxmlformats.org/officeDocument/2006/relationships/image" Target="media/image91.png" TargetMode="External"/><Relationship Id="rId463" Type="http://schemas.openxmlformats.org/officeDocument/2006/relationships/header" Target="header139.xml"/><Relationship Id="rId464" Type="http://schemas.openxmlformats.org/officeDocument/2006/relationships/footer" Target="footer139.xml"/><Relationship Id="rId465" Type="http://schemas.openxmlformats.org/officeDocument/2006/relationships/header" Target="header140.xml"/><Relationship Id="rId466" Type="http://schemas.openxmlformats.org/officeDocument/2006/relationships/footer" Target="footer140.xml"/><Relationship Id="rId467" Type="http://schemas.openxmlformats.org/officeDocument/2006/relationships/header" Target="header141.xml"/><Relationship Id="rId468" Type="http://schemas.openxmlformats.org/officeDocument/2006/relationships/footer" Target="footer141.xml"/><Relationship Id="rId469" Type="http://schemas.openxmlformats.org/officeDocument/2006/relationships/header" Target="header142.xml"/><Relationship Id="rId470" Type="http://schemas.openxmlformats.org/officeDocument/2006/relationships/footer" Target="footer142.xml"/><Relationship Id="rId471" Type="http://schemas.openxmlformats.org/officeDocument/2006/relationships/header" Target="header143.xml"/><Relationship Id="rId472" Type="http://schemas.openxmlformats.org/officeDocument/2006/relationships/footer" Target="footer143.xml"/><Relationship Id="rId473" Type="http://schemas.openxmlformats.org/officeDocument/2006/relationships/image" Target="media/image92.png"/><Relationship Id="rId474" Type="http://schemas.openxmlformats.org/officeDocument/2006/relationships/image" Target="media/image92.png" TargetMode="External"/><Relationship Id="rId475" Type="http://schemas.openxmlformats.org/officeDocument/2006/relationships/image" Target="media/image93.png"/><Relationship Id="rId476" Type="http://schemas.openxmlformats.org/officeDocument/2006/relationships/image" Target="media/image93.png" TargetMode="External"/><Relationship Id="rId477" Type="http://schemas.openxmlformats.org/officeDocument/2006/relationships/header" Target="header144.xml"/><Relationship Id="rId478" Type="http://schemas.openxmlformats.org/officeDocument/2006/relationships/footer" Target="footer144.xml"/><Relationship Id="rId479" Type="http://schemas.openxmlformats.org/officeDocument/2006/relationships/header" Target="header145.xml"/><Relationship Id="rId480" Type="http://schemas.openxmlformats.org/officeDocument/2006/relationships/footer" Target="footer145.xml"/><Relationship Id="rId481" Type="http://schemas.openxmlformats.org/officeDocument/2006/relationships/header" Target="header146.xml"/><Relationship Id="rId482" Type="http://schemas.openxmlformats.org/officeDocument/2006/relationships/footer" Target="footer146.xml"/><Relationship Id="rId483" Type="http://schemas.openxmlformats.org/officeDocument/2006/relationships/header" Target="header147.xml"/><Relationship Id="rId484" Type="http://schemas.openxmlformats.org/officeDocument/2006/relationships/footer" Target="footer147.xml"/><Relationship Id="rId485" Type="http://schemas.openxmlformats.org/officeDocument/2006/relationships/header" Target="header148.xml"/><Relationship Id="rId486" Type="http://schemas.openxmlformats.org/officeDocument/2006/relationships/footer" Target="footer148.xml"/><Relationship Id="rId487" Type="http://schemas.openxmlformats.org/officeDocument/2006/relationships/image" Target="media/image94.jpeg"/><Relationship Id="rId488" Type="http://schemas.openxmlformats.org/officeDocument/2006/relationships/image" Target="media/image94.jpeg" TargetMode="External"/><Relationship Id="rId489" Type="http://schemas.openxmlformats.org/officeDocument/2006/relationships/header" Target="header149.xml"/><Relationship Id="rId490" Type="http://schemas.openxmlformats.org/officeDocument/2006/relationships/footer" Target="footer149.xml"/><Relationship Id="rId491" Type="http://schemas.openxmlformats.org/officeDocument/2006/relationships/header" Target="header150.xml"/><Relationship Id="rId492" Type="http://schemas.openxmlformats.org/officeDocument/2006/relationships/footer" Target="footer150.xml"/><Relationship Id="rId493" Type="http://schemas.openxmlformats.org/officeDocument/2006/relationships/header" Target="header151.xml"/><Relationship Id="rId494" Type="http://schemas.openxmlformats.org/officeDocument/2006/relationships/footer" Target="footer151.xml"/><Relationship Id="rId495" Type="http://schemas.openxmlformats.org/officeDocument/2006/relationships/header" Target="header152.xml"/><Relationship Id="rId496" Type="http://schemas.openxmlformats.org/officeDocument/2006/relationships/footer" Target="footer152.xml"/><Relationship Id="rId497" Type="http://schemas.openxmlformats.org/officeDocument/2006/relationships/image" Target="media/image95.jpeg"/><Relationship Id="rId498" Type="http://schemas.openxmlformats.org/officeDocument/2006/relationships/image" Target="media/image95.jpeg" TargetMode="External"/><Relationship Id="rId499" Type="http://schemas.openxmlformats.org/officeDocument/2006/relationships/header" Target="header153.xml"/><Relationship Id="rId500" Type="http://schemas.openxmlformats.org/officeDocument/2006/relationships/footer" Target="footer153.xml"/><Relationship Id="rId501" Type="http://schemas.openxmlformats.org/officeDocument/2006/relationships/header" Target="header154.xml"/><Relationship Id="rId502" Type="http://schemas.openxmlformats.org/officeDocument/2006/relationships/footer" Target="footer154.xml"/><Relationship Id="rId503" Type="http://schemas.openxmlformats.org/officeDocument/2006/relationships/header" Target="header155.xml"/><Relationship Id="rId504" Type="http://schemas.openxmlformats.org/officeDocument/2006/relationships/footer" Target="footer155.xml"/><Relationship Id="rId505" Type="http://schemas.openxmlformats.org/officeDocument/2006/relationships/header" Target="header156.xml"/><Relationship Id="rId506" Type="http://schemas.openxmlformats.org/officeDocument/2006/relationships/footer" Target="footer156.xml"/><Relationship Id="rId507" Type="http://schemas.openxmlformats.org/officeDocument/2006/relationships/header" Target="header157.xml"/><Relationship Id="rId508" Type="http://schemas.openxmlformats.org/officeDocument/2006/relationships/footer" Target="footer157.xml"/><Relationship Id="rId509" Type="http://schemas.openxmlformats.org/officeDocument/2006/relationships/header" Target="header158.xml"/><Relationship Id="rId510" Type="http://schemas.openxmlformats.org/officeDocument/2006/relationships/footer" Target="footer158.xml"/><Relationship Id="rId511" Type="http://schemas.openxmlformats.org/officeDocument/2006/relationships/header" Target="header159.xml"/><Relationship Id="rId512" Type="http://schemas.openxmlformats.org/officeDocument/2006/relationships/footer" Target="footer159.xml"/><Relationship Id="rId513" Type="http://schemas.openxmlformats.org/officeDocument/2006/relationships/image" Target="media/image96.png"/><Relationship Id="rId514" Type="http://schemas.openxmlformats.org/officeDocument/2006/relationships/image" Target="media/image96.png" TargetMode="External"/><Relationship Id="rId515" Type="http://schemas.openxmlformats.org/officeDocument/2006/relationships/header" Target="header160.xml"/><Relationship Id="rId516" Type="http://schemas.openxmlformats.org/officeDocument/2006/relationships/footer" Target="footer160.xml"/><Relationship Id="rId517" Type="http://schemas.openxmlformats.org/officeDocument/2006/relationships/header" Target="header161.xml"/><Relationship Id="rId518" Type="http://schemas.openxmlformats.org/officeDocument/2006/relationships/footer" Target="footer161.xml"/><Relationship Id="rId519" Type="http://schemas.openxmlformats.org/officeDocument/2006/relationships/header" Target="header162.xml"/><Relationship Id="rId520" Type="http://schemas.openxmlformats.org/officeDocument/2006/relationships/footer" Target="footer162.xml"/><Relationship Id="rId521" Type="http://schemas.openxmlformats.org/officeDocument/2006/relationships/header" Target="header163.xml"/><Relationship Id="rId522" Type="http://schemas.openxmlformats.org/officeDocument/2006/relationships/footer" Target="footer163.xml"/><Relationship Id="rId523" Type="http://schemas.openxmlformats.org/officeDocument/2006/relationships/header" Target="header164.xml"/><Relationship Id="rId524" Type="http://schemas.openxmlformats.org/officeDocument/2006/relationships/footer" Target="footer164.xml"/><Relationship Id="rId525" Type="http://schemas.openxmlformats.org/officeDocument/2006/relationships/header" Target="header165.xml"/><Relationship Id="rId526" Type="http://schemas.openxmlformats.org/officeDocument/2006/relationships/footer" Target="footer165.xml"/><Relationship Id="rId527" Type="http://schemas.openxmlformats.org/officeDocument/2006/relationships/image" Target="media/image97.jpeg"/><Relationship Id="rId528" Type="http://schemas.openxmlformats.org/officeDocument/2006/relationships/image" Target="media/image97.jpeg" TargetMode="External"/><Relationship Id="rId529" Type="http://schemas.openxmlformats.org/officeDocument/2006/relationships/header" Target="header166.xml"/><Relationship Id="rId530" Type="http://schemas.openxmlformats.org/officeDocument/2006/relationships/footer" Target="footer166.xml"/><Relationship Id="rId531" Type="http://schemas.openxmlformats.org/officeDocument/2006/relationships/header" Target="header167.xml"/><Relationship Id="rId532" Type="http://schemas.openxmlformats.org/officeDocument/2006/relationships/footer" Target="footer167.xml"/><Relationship Id="rId533" Type="http://schemas.openxmlformats.org/officeDocument/2006/relationships/image" Target="media/image98.jpeg"/><Relationship Id="rId534" Type="http://schemas.openxmlformats.org/officeDocument/2006/relationships/image" Target="media/image98.jpeg" TargetMode="External"/><Relationship Id="rId535" Type="http://schemas.openxmlformats.org/officeDocument/2006/relationships/image" Target="media/image99.jpeg"/><Relationship Id="rId536" Type="http://schemas.openxmlformats.org/officeDocument/2006/relationships/image" Target="media/image99.jpeg" TargetMode="External"/><Relationship Id="rId537" Type="http://schemas.openxmlformats.org/officeDocument/2006/relationships/header" Target="header168.xml"/><Relationship Id="rId538" Type="http://schemas.openxmlformats.org/officeDocument/2006/relationships/footer" Target="footer168.xml"/><Relationship Id="rId539" Type="http://schemas.openxmlformats.org/officeDocument/2006/relationships/header" Target="header169.xml"/><Relationship Id="rId540" Type="http://schemas.openxmlformats.org/officeDocument/2006/relationships/footer" Target="footer169.xml"/><Relationship Id="rId541" Type="http://schemas.openxmlformats.org/officeDocument/2006/relationships/header" Target="header170.xml"/><Relationship Id="rId542" Type="http://schemas.openxmlformats.org/officeDocument/2006/relationships/footer" Target="footer170.xml"/><Relationship Id="rId543" Type="http://schemas.openxmlformats.org/officeDocument/2006/relationships/header" Target="header171.xml"/><Relationship Id="rId544" Type="http://schemas.openxmlformats.org/officeDocument/2006/relationships/footer" Target="footer171.xml"/><Relationship Id="rId545" Type="http://schemas.openxmlformats.org/officeDocument/2006/relationships/image" Target="media/image100.jpeg"/><Relationship Id="rId546" Type="http://schemas.openxmlformats.org/officeDocument/2006/relationships/image" Target="media/image100.jpeg" TargetMode="External"/><Relationship Id="rId547" Type="http://schemas.openxmlformats.org/officeDocument/2006/relationships/header" Target="header172.xml"/><Relationship Id="rId548" Type="http://schemas.openxmlformats.org/officeDocument/2006/relationships/footer" Target="footer172.xml"/><Relationship Id="rId549" Type="http://schemas.openxmlformats.org/officeDocument/2006/relationships/header" Target="header173.xml"/><Relationship Id="rId550" Type="http://schemas.openxmlformats.org/officeDocument/2006/relationships/footer" Target="footer173.xml"/><Relationship Id="rId551" Type="http://schemas.openxmlformats.org/officeDocument/2006/relationships/image" Target="media/image101.jpeg"/><Relationship Id="rId552" Type="http://schemas.openxmlformats.org/officeDocument/2006/relationships/image" Target="media/image101.jpeg" TargetMode="External"/><Relationship Id="rId553" Type="http://schemas.openxmlformats.org/officeDocument/2006/relationships/image" Target="media/image102.png"/><Relationship Id="rId554" Type="http://schemas.openxmlformats.org/officeDocument/2006/relationships/image" Target="media/image102.png" TargetMode="External"/><Relationship Id="rId555" Type="http://schemas.openxmlformats.org/officeDocument/2006/relationships/image" Target="media/image103.png"/><Relationship Id="rId556" Type="http://schemas.openxmlformats.org/officeDocument/2006/relationships/image" Target="media/image103.png" TargetMode="External"/><Relationship Id="rId557" Type="http://schemas.openxmlformats.org/officeDocument/2006/relationships/header" Target="header174.xml"/><Relationship Id="rId558" Type="http://schemas.openxmlformats.org/officeDocument/2006/relationships/footer" Target="footer174.xml"/><Relationship Id="rId559" Type="http://schemas.openxmlformats.org/officeDocument/2006/relationships/header" Target="header175.xml"/><Relationship Id="rId560" Type="http://schemas.openxmlformats.org/officeDocument/2006/relationships/footer" Target="footer175.xml"/><Relationship Id="rId561" Type="http://schemas.openxmlformats.org/officeDocument/2006/relationships/header" Target="header176.xml"/><Relationship Id="rId562" Type="http://schemas.openxmlformats.org/officeDocument/2006/relationships/footer" Target="footer176.xml"/><Relationship Id="rId563" Type="http://schemas.openxmlformats.org/officeDocument/2006/relationships/header" Target="header177.xml"/><Relationship Id="rId564" Type="http://schemas.openxmlformats.org/officeDocument/2006/relationships/footer" Target="footer177.xml"/><Relationship Id="rId565" Type="http://schemas.openxmlformats.org/officeDocument/2006/relationships/header" Target="header178.xml"/><Relationship Id="rId566" Type="http://schemas.openxmlformats.org/officeDocument/2006/relationships/footer" Target="footer178.xml"/><Relationship Id="rId567" Type="http://schemas.openxmlformats.org/officeDocument/2006/relationships/image" Target="media/image104.jpeg"/><Relationship Id="rId568" Type="http://schemas.openxmlformats.org/officeDocument/2006/relationships/image" Target="media/image104.jpeg" TargetMode="External"/><Relationship Id="rId569" Type="http://schemas.openxmlformats.org/officeDocument/2006/relationships/image" Target="media/image105.jpeg"/><Relationship Id="rId570" Type="http://schemas.openxmlformats.org/officeDocument/2006/relationships/image" Target="media/image105.jpeg" TargetMode="External"/><Relationship Id="rId571" Type="http://schemas.openxmlformats.org/officeDocument/2006/relationships/header" Target="header179.xml"/><Relationship Id="rId572" Type="http://schemas.openxmlformats.org/officeDocument/2006/relationships/footer" Target="footer179.xml"/><Relationship Id="rId573" Type="http://schemas.openxmlformats.org/officeDocument/2006/relationships/header" Target="header180.xml"/><Relationship Id="rId574" Type="http://schemas.openxmlformats.org/officeDocument/2006/relationships/footer" Target="footer180.xml"/></Relationships>
</file>

<file path=docProps/core.xml><?xml version="1.0" encoding="utf-8"?>
<cp:coreProperties xmlns:cp="http://schemas.openxmlformats.org/package/2006/metadata/core-properties" xmlns:dc="http://purl.org/dc/elements/1.1/">
  <dc:title>荣科科技股份有限公司2020年年度报告全文</dc:title>
  <dc:subject/>
  <dc:creator>荣科科技股份有限公司</dc:creator>
  <cp:keywords/>
</cp:coreProperties>
</file>