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422" w:right="2421"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蓝盾信息安全技术股份有限公司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line="2812" w:lineRule="exact"/>
        <w:ind w:left="2261"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445710" cy="17861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445710" cy="1786127"/>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1"/>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8" w:lineRule="auto" w:before="16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公司负责人柯宗贵、主管会计工作负责人魏树华及会计机构负责人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景丽声明：保证年度报告中财务报告的真实、准确、完整。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08" w:lineRule="auto" w:before="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本报告中如有涉及未来的计划、业绩预测等方面的内容，均不构成公司对</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任何投资者及相关人士的承诺，投资者及相关人士均应对此保持足够的风险认</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t>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t>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4"/>
              </w:rPr>
              <w:t>11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40</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t>47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t>53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t>59</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t>62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140</w:t>
            </w:r>
          </w:hyperlink>
        </w:p>
        <w:p>
          <w:pPr/>
          <w:r>
            <w:fldChar w:fldCharType="end"/>
          </w:r>
        </w:p>
      </w:sdtContent>
    </w:sdt>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8"/>
        <w:gridCol w:w="626"/>
        <w:gridCol w:w="5424"/>
      </w:tblGrid>
      <w:tr>
        <w:trPr>
          <w:trHeight w:val="402" w:hRule="exact"/>
        </w:trPr>
        <w:tc>
          <w:tcPr>
            <w:tcW w:w="3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公司、本公司、股份公司、蓝盾股份</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柯宗庆、柯宗贵兄弟二人</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蓝盾信息安全技术股份有限公司股东大会</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蓝盾信息安全技术股份有限公司董事会</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蓝盾信息安全技术股份有限公司监事会</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用于保证信息安全的各种软件产品和相关的软硬一体化产品。</w:t>
            </w:r>
          </w:p>
        </w:tc>
      </w:tr>
      <w:tr>
        <w:trPr>
          <w:trHeight w:val="162" w:hRule="exact"/>
        </w:trPr>
        <w:tc>
          <w:tcPr>
            <w:tcW w:w="3518"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16" w:lineRule="auto" w:before="52"/>
              <w:ind w:left="16" w:right="20"/>
              <w:jc w:val="left"/>
              <w:rPr>
                <w:rFonts w:ascii="宋体" w:hAnsi="宋体" w:cs="宋体" w:eastAsia="宋体" w:hint="default"/>
                <w:sz w:val="18"/>
                <w:szCs w:val="18"/>
              </w:rPr>
            </w:pPr>
            <w:r>
              <w:rPr>
                <w:rFonts w:ascii="宋体" w:hAnsi="宋体" w:cs="宋体" w:eastAsia="宋体" w:hint="default"/>
                <w:spacing w:val="-2"/>
                <w:sz w:val="18"/>
                <w:szCs w:val="18"/>
              </w:rPr>
              <w:t>根据客户需求提供与信息安全相关的安全测评、技术支持、安全管理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咨询、系统维护、运营管理、安全培训、安全托管等内容。</w:t>
            </w:r>
          </w:p>
        </w:tc>
      </w:tr>
      <w:tr>
        <w:trPr>
          <w:trHeight w:val="392" w:hRule="exact"/>
        </w:trPr>
        <w:tc>
          <w:tcPr>
            <w:tcW w:w="3518" w:type="dxa"/>
            <w:vMerge/>
            <w:tcBorders>
              <w:left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161" w:hRule="exact"/>
        </w:trPr>
        <w:tc>
          <w:tcPr>
            <w:tcW w:w="3518" w:type="dxa"/>
            <w:vMerge/>
            <w:tcBorders>
              <w:left w:val="single" w:sz="4" w:space="0" w:color="000000"/>
              <w:bottom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r>
        <w:trPr>
          <w:trHeight w:val="317" w:hRule="exact"/>
        </w:trPr>
        <w:tc>
          <w:tcPr>
            <w:tcW w:w="3518"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16" w:lineRule="auto" w:before="52"/>
              <w:ind w:left="16" w:right="-9"/>
              <w:jc w:val="both"/>
              <w:rPr>
                <w:rFonts w:ascii="宋体" w:hAnsi="宋体" w:cs="宋体" w:eastAsia="宋体" w:hint="default"/>
                <w:sz w:val="18"/>
                <w:szCs w:val="18"/>
              </w:rPr>
            </w:pPr>
            <w:r>
              <w:rPr>
                <w:rFonts w:ascii="宋体" w:hAnsi="宋体" w:cs="宋体" w:eastAsia="宋体" w:hint="default"/>
                <w:sz w:val="18"/>
                <w:szCs w:val="18"/>
              </w:rPr>
              <w:t>根据客户要求，为客户设置或组建能满足其个性化需求的信息安全系 统，提供从安全方案设计、方案实施、系统测试到系统验收的信息安 全整体解决方案，满足客户在系统集成中对信息安全的全方位需求。</w:t>
            </w:r>
          </w:p>
        </w:tc>
      </w:tr>
      <w:tr>
        <w:trPr>
          <w:trHeight w:val="392" w:hRule="exact"/>
        </w:trPr>
        <w:tc>
          <w:tcPr>
            <w:tcW w:w="3518" w:type="dxa"/>
            <w:vMerge/>
            <w:tcBorders>
              <w:left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317" w:hRule="exact"/>
        </w:trPr>
        <w:tc>
          <w:tcPr>
            <w:tcW w:w="3518" w:type="dxa"/>
            <w:vMerge/>
            <w:tcBorders>
              <w:left w:val="single" w:sz="4" w:space="0" w:color="000000"/>
              <w:bottom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《章程》</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《蓝盾信息安全技术股份有限公司章程》</w:t>
            </w:r>
          </w:p>
        </w:tc>
      </w:tr>
      <w:tr>
        <w:trPr>
          <w:trHeight w:val="162" w:hRule="exact"/>
        </w:trPr>
        <w:tc>
          <w:tcPr>
            <w:tcW w:w="3518"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00" w:lineRule="auto" w:before="52"/>
              <w:ind w:left="16" w:right="83"/>
              <w:jc w:val="left"/>
              <w:rPr>
                <w:rFonts w:ascii="宋体" w:hAnsi="宋体" w:cs="宋体" w:eastAsia="宋体" w:hint="default"/>
                <w:sz w:val="18"/>
                <w:szCs w:val="18"/>
              </w:rPr>
            </w:pPr>
            <w:r>
              <w:rPr>
                <w:rFonts w:ascii="宋体" w:hAnsi="宋体" w:cs="宋体" w:eastAsia="宋体" w:hint="default"/>
                <w:sz w:val="18"/>
                <w:szCs w:val="18"/>
              </w:rPr>
              <w:t>对信息系统、信息与信息的利用的固有属性</w:t>
            </w:r>
            <w:r>
              <w:rPr>
                <w:rFonts w:ascii="Times New Roman" w:hAnsi="Times New Roman" w:cs="Times New Roman" w:eastAsia="Times New Roman" w:hint="default"/>
                <w:sz w:val="18"/>
                <w:szCs w:val="18"/>
              </w:rPr>
              <w:t>(</w:t>
            </w:r>
            <w:r>
              <w:rPr>
                <w:rFonts w:ascii="宋体" w:hAnsi="宋体" w:cs="宋体" w:eastAsia="宋体" w:hint="default"/>
                <w:sz w:val="18"/>
                <w:szCs w:val="18"/>
              </w:rPr>
              <w:t>即</w:t>
            </w:r>
            <w:r>
              <w:rPr>
                <w:rFonts w:ascii="Times New Roman" w:hAnsi="Times New Roman" w:cs="Times New Roman" w:eastAsia="Times New Roman" w:hint="default"/>
                <w:sz w:val="18"/>
                <w:szCs w:val="18"/>
              </w:rPr>
              <w:t>"</w:t>
            </w:r>
            <w:r>
              <w:rPr>
                <w:rFonts w:ascii="宋体" w:hAnsi="宋体" w:cs="宋体" w:eastAsia="宋体" w:hint="default"/>
                <w:sz w:val="18"/>
                <w:szCs w:val="18"/>
              </w:rPr>
              <w:t>序</w:t>
            </w:r>
            <w:r>
              <w:rPr>
                <w:rFonts w:ascii="Times New Roman" w:hAnsi="Times New Roman" w:cs="Times New Roman" w:eastAsia="Times New Roman" w:hint="default"/>
                <w:sz w:val="18"/>
                <w:szCs w:val="18"/>
              </w:rPr>
              <w:t>")</w:t>
            </w:r>
            <w:r>
              <w:rPr>
                <w:rFonts w:ascii="宋体" w:hAnsi="宋体" w:cs="宋体" w:eastAsia="宋体" w:hint="default"/>
                <w:sz w:val="18"/>
                <w:szCs w:val="18"/>
              </w:rPr>
              <w:t>攻击与保护的过 程。</w:t>
            </w:r>
          </w:p>
        </w:tc>
      </w:tr>
      <w:tr>
        <w:trPr>
          <w:trHeight w:val="392" w:hRule="exact"/>
        </w:trPr>
        <w:tc>
          <w:tcPr>
            <w:tcW w:w="3518" w:type="dxa"/>
            <w:vMerge/>
            <w:tcBorders>
              <w:left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161" w:hRule="exact"/>
        </w:trPr>
        <w:tc>
          <w:tcPr>
            <w:tcW w:w="3518" w:type="dxa"/>
            <w:vMerge/>
            <w:tcBorders>
              <w:left w:val="single" w:sz="4" w:space="0" w:color="000000"/>
              <w:bottom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r>
        <w:trPr>
          <w:trHeight w:val="473" w:hRule="exact"/>
        </w:trPr>
        <w:tc>
          <w:tcPr>
            <w:tcW w:w="3518"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防火墙</w:t>
            </w: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16" w:lineRule="auto" w:before="52"/>
              <w:ind w:left="16" w:right="20"/>
              <w:jc w:val="both"/>
              <w:rPr>
                <w:rFonts w:ascii="宋体" w:hAnsi="宋体" w:cs="宋体" w:eastAsia="宋体" w:hint="default"/>
                <w:sz w:val="18"/>
                <w:szCs w:val="18"/>
              </w:rPr>
            </w:pPr>
            <w:r>
              <w:rPr>
                <w:rFonts w:ascii="宋体" w:hAnsi="宋体" w:cs="宋体" w:eastAsia="宋体" w:hint="default"/>
                <w:spacing w:val="-2"/>
                <w:sz w:val="18"/>
                <w:szCs w:val="18"/>
              </w:rPr>
              <w:t>是一种访问控制产品，它在内部网络与不安全的外部网络之间设置障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碍，阻止外界对内部资源的非法访问和内部对外部的不安全访问，能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有效防止对内部网络的攻击，并实现数据流的监控、过滤、记录和报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告功能，隔断内部网络与外部网络的连接。</w:t>
            </w:r>
          </w:p>
        </w:tc>
      </w:tr>
      <w:tr>
        <w:trPr>
          <w:trHeight w:val="392" w:hRule="exact"/>
        </w:trPr>
        <w:tc>
          <w:tcPr>
            <w:tcW w:w="3518" w:type="dxa"/>
            <w:vMerge/>
            <w:tcBorders>
              <w:left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473" w:hRule="exact"/>
        </w:trPr>
        <w:tc>
          <w:tcPr>
            <w:tcW w:w="3518" w:type="dxa"/>
            <w:vMerge/>
            <w:tcBorders>
              <w:left w:val="single" w:sz="4" w:space="0" w:color="000000"/>
              <w:bottom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r>
        <w:trPr>
          <w:trHeight w:val="317" w:hRule="exact"/>
        </w:trPr>
        <w:tc>
          <w:tcPr>
            <w:tcW w:w="3518"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入侵检测系统</w:t>
            </w: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16" w:lineRule="auto" w:before="52"/>
              <w:ind w:left="16" w:right="20"/>
              <w:jc w:val="both"/>
              <w:rPr>
                <w:rFonts w:ascii="宋体" w:hAnsi="宋体" w:cs="宋体" w:eastAsia="宋体" w:hint="default"/>
                <w:sz w:val="18"/>
                <w:szCs w:val="18"/>
              </w:rPr>
            </w:pPr>
            <w:r>
              <w:rPr>
                <w:rFonts w:ascii="宋体" w:hAnsi="宋体" w:cs="宋体" w:eastAsia="宋体" w:hint="default"/>
                <w:spacing w:val="-2"/>
                <w:sz w:val="18"/>
                <w:szCs w:val="18"/>
              </w:rPr>
              <w:t>依照一定的安全策略，对网络、系统的运行状况进行监视，尽可能发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现各种攻击企图、攻击行为或者攻击结果，以保证网络系统资源的机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密性、完整性和可用性。</w:t>
            </w:r>
          </w:p>
        </w:tc>
      </w:tr>
      <w:tr>
        <w:trPr>
          <w:trHeight w:val="392" w:hRule="exact"/>
        </w:trPr>
        <w:tc>
          <w:tcPr>
            <w:tcW w:w="3518" w:type="dxa"/>
            <w:vMerge/>
            <w:tcBorders>
              <w:left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317" w:hRule="exact"/>
        </w:trPr>
        <w:tc>
          <w:tcPr>
            <w:tcW w:w="3518" w:type="dxa"/>
            <w:vMerge/>
            <w:tcBorders>
              <w:left w:val="single" w:sz="4" w:space="0" w:color="000000"/>
              <w:bottom w:val="single" w:sz="4" w:space="0" w:color="000000"/>
              <w:right w:val="single" w:sz="9" w:space="0" w:color="D3D3D3"/>
            </w:tcBorders>
            <w:shd w:val="clear" w:color="auto" w:fill="CCE8CF"/>
          </w:tcPr>
          <w:p>
            <w:pP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广州欣晟</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广州欣晟投资咨询有限公司，公司股东之一</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深圳博益</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深圳市博益投资发展有限公司，公司股东之一</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宝德投资</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深圳市宝德投资控股有限公司，公司股东之一</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华软投资</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华软创业投资无锡合伙企业（有限合伙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，公司股东之一</w:t>
            </w:r>
          </w:p>
        </w:tc>
      </w:tr>
      <w:tr>
        <w:trPr>
          <w:trHeight w:val="402"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瑞华信投资</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深圳瑞华信投资有限责任公司，公司股东之一</w:t>
            </w:r>
          </w:p>
        </w:tc>
      </w:tr>
      <w:tr>
        <w:trPr>
          <w:trHeight w:val="403" w:hRule="exact"/>
        </w:trPr>
        <w:tc>
          <w:tcPr>
            <w:tcW w:w="3518"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18"/>
        <w:gridCol w:w="2317"/>
        <w:gridCol w:w="2146"/>
        <w:gridCol w:w="2188"/>
      </w:tblGrid>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17" w:type="dxa"/>
            <w:tcBorders>
              <w:top w:val="single" w:sz="4" w:space="0" w:color="000000"/>
              <w:left w:val="single" w:sz="13" w:space="0" w:color="D3D3D3"/>
              <w:bottom w:val="single" w:sz="4" w:space="0" w:color="000000"/>
              <w:right w:val="single" w:sz="13" w:space="0" w:color="D3D3D3"/>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2146" w:type="dxa"/>
            <w:tcBorders>
              <w:top w:val="single" w:sz="4" w:space="0" w:color="000000"/>
              <w:left w:val="single" w:sz="13" w:space="0" w:color="CCE8CF"/>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300297</w:t>
            </w:r>
          </w:p>
        </w:tc>
      </w:tr>
      <w:tr>
        <w:trPr>
          <w:trHeight w:val="401"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蓝盾股份</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Bluedon Information Security Technologies</w:t>
            </w:r>
            <w:r>
              <w:rPr>
                <w:rFonts w:ascii="Times New Roman"/>
                <w:spacing w:val="-19"/>
                <w:sz w:val="18"/>
              </w:rPr>
              <w:t> </w:t>
            </w:r>
            <w:r>
              <w:rPr>
                <w:rFonts w:ascii="Times New Roman"/>
                <w:sz w:val="18"/>
              </w:rPr>
              <w:t>Co.,Ltd</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BLUEDON</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510665</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510665</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www.bluedon.com</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stock@chinabluedon.cn</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肖泽燕</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lee_bluedon@163.com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zeyan_xiao@163.com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19"/>
      </w:tblGrid>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9"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9"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9"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4400002004846</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440106707689817</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shd w:val="clear" w:color="auto" w:fill="CCE8CF"/>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股份公司成立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440000000030094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440106707689817</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公开发行股票上市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440000000030094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440106707689817</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70768981-7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4" w:right="8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主要会计数据</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345,203,862.94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278,770,826.35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207,340,430.04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50,935,148.86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46,865,750.07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35,412,405.21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67,789,424.88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60,345,035.54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39,896,909.43</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58,090,774.13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52,320,390.32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34,409,243.74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48,848,198.87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47,997,639.64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32,433,992.48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35,472,526.83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70,552,369.44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43,404,084.63</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942,800,517.78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399,396,170.59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266,874,289.04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286,018,100.15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150,561,190.59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55,659,699.36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654,782,417.63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248,834,980.00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211,214,589.68</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01"/>
        <w:gridCol w:w="1748"/>
        <w:gridCol w:w="1736"/>
        <w:gridCol w:w="1736"/>
        <w:gridCol w:w="1735"/>
      </w:tblGrid>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714"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16.29%</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23.11%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17.74%</w:t>
            </w:r>
          </w:p>
        </w:tc>
      </w:tr>
      <w:tr>
        <w:trPr>
          <w:trHeight w:val="714"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15.36%</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12"/>
        <w:gridCol w:w="1748"/>
        <w:gridCol w:w="1748"/>
        <w:gridCol w:w="1713"/>
        <w:gridCol w:w="1747"/>
      </w:tblGrid>
      <w:tr>
        <w:trPr>
          <w:trHeight w:val="36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1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0.9599</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-62.29%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0.5905</w:t>
            </w:r>
          </w:p>
        </w:tc>
      </w:tr>
      <w:tr>
        <w:trPr>
          <w:trHeight w:val="161" w:hRule="exact"/>
        </w:trPr>
        <w:tc>
          <w:tcPr>
            <w:tcW w:w="26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13" w:type="dxa"/>
            <w:vMerge/>
            <w:tcBorders>
              <w:left w:val="single" w:sz="4" w:space="0" w:color="000000"/>
              <w:right w:val="single" w:sz="4" w:space="0" w:color="000000"/>
            </w:tcBorders>
            <w:shd w:val="clear" w:color="auto" w:fill="D3D3D3"/>
          </w:tcPr>
          <w:p>
            <w:pPr/>
          </w:p>
        </w:tc>
        <w:tc>
          <w:tcPr>
            <w:tcW w:w="17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3" w:type="dxa"/>
            <w:vMerge/>
            <w:tcBorders>
              <w:left w:val="single" w:sz="4" w:space="0" w:color="000000"/>
              <w:bottom w:val="single" w:sz="4" w:space="0" w:color="000000"/>
              <w:right w:val="single" w:sz="4" w:space="0" w:color="000000"/>
            </w:tcBorders>
            <w:shd w:val="clear" w:color="auto" w:fill="D3D3D3"/>
          </w:tcPr>
          <w:p>
            <w:pPr/>
          </w:p>
        </w:tc>
        <w:tc>
          <w:tcPr>
            <w:tcW w:w="174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3.3855</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97.35%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2.8737</w:t>
            </w: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37.7%</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-7.36%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41"/>
        <w:gridCol w:w="1992"/>
        <w:gridCol w:w="1758"/>
        <w:gridCol w:w="1770"/>
      </w:tblGrid>
      <w:tr>
        <w:trPr>
          <w:trHeight w:val="207"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5"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651" w:right="0"/>
              <w:jc w:val="left"/>
              <w:rPr>
                <w:rFonts w:ascii="Times New Roman" w:hAnsi="Times New Roman" w:cs="Times New Roman" w:eastAsia="Times New Roman" w:hint="default"/>
                <w:sz w:val="18"/>
                <w:szCs w:val="18"/>
              </w:rPr>
            </w:pPr>
            <w:r>
              <w:rPr>
                <w:rFonts w:ascii="Times New Roman"/>
                <w:sz w:val="18"/>
              </w:rPr>
              <w:t>58,090,774.13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4" w:right="0"/>
              <w:jc w:val="left"/>
              <w:rPr>
                <w:rFonts w:ascii="Times New Roman" w:hAnsi="Times New Roman" w:cs="Times New Roman" w:eastAsia="Times New Roman" w:hint="default"/>
                <w:sz w:val="18"/>
                <w:szCs w:val="18"/>
              </w:rPr>
            </w:pPr>
            <w:r>
              <w:rPr>
                <w:rFonts w:ascii="Times New Roman"/>
                <w:sz w:val="18"/>
              </w:rPr>
              <w:t>52,320,390.32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654,782,417.63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4" w:right="0"/>
              <w:jc w:val="left"/>
              <w:rPr>
                <w:rFonts w:ascii="Times New Roman" w:hAnsi="Times New Roman" w:cs="Times New Roman" w:eastAsia="Times New Roman" w:hint="default"/>
                <w:sz w:val="18"/>
                <w:szCs w:val="18"/>
              </w:rPr>
            </w:pPr>
            <w:r>
              <w:rPr>
                <w:rFonts w:ascii="Times New Roman"/>
                <w:sz w:val="18"/>
              </w:rPr>
              <w:t>248,834,980.00</w:t>
            </w:r>
          </w:p>
        </w:tc>
      </w:tr>
      <w:tr>
        <w:trPr>
          <w:trHeight w:val="402"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41"/>
        <w:gridCol w:w="1992"/>
        <w:gridCol w:w="1758"/>
        <w:gridCol w:w="1770"/>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651" w:right="0"/>
              <w:jc w:val="left"/>
              <w:rPr>
                <w:rFonts w:ascii="Times New Roman" w:hAnsi="Times New Roman" w:cs="Times New Roman" w:eastAsia="Times New Roman" w:hint="default"/>
                <w:sz w:val="18"/>
                <w:szCs w:val="18"/>
              </w:rPr>
            </w:pPr>
            <w:r>
              <w:rPr>
                <w:rFonts w:ascii="Times New Roman"/>
                <w:sz w:val="18"/>
              </w:rPr>
              <w:t>58,090,774.13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4" w:right="0"/>
              <w:jc w:val="left"/>
              <w:rPr>
                <w:rFonts w:ascii="Times New Roman" w:hAnsi="Times New Roman" w:cs="Times New Roman" w:eastAsia="Times New Roman" w:hint="default"/>
                <w:sz w:val="18"/>
                <w:szCs w:val="18"/>
              </w:rPr>
            </w:pPr>
            <w:r>
              <w:rPr>
                <w:rFonts w:ascii="Times New Roman"/>
                <w:sz w:val="18"/>
              </w:rPr>
              <w:t>52,320,390.32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654,782,417.63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4" w:right="0"/>
              <w:jc w:val="left"/>
              <w:rPr>
                <w:rFonts w:ascii="Times New Roman" w:hAnsi="Times New Roman" w:cs="Times New Roman" w:eastAsia="Times New Roman" w:hint="default"/>
                <w:sz w:val="18"/>
                <w:szCs w:val="18"/>
              </w:rPr>
            </w:pPr>
            <w:r>
              <w:rPr>
                <w:rFonts w:ascii="Times New Roman"/>
                <w:sz w:val="18"/>
              </w:rPr>
              <w:t>248,834,980.00</w:t>
            </w:r>
          </w:p>
        </w:tc>
      </w:tr>
      <w:tr>
        <w:trPr>
          <w:trHeight w:val="402"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-2,320.55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10,915,200.00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2,840,000.00</w:t>
            </w:r>
          </w:p>
        </w:tc>
        <w:tc>
          <w:tcPr>
            <w:tcW w:w="171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-39,261.50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-484,410.96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-516,174.99</w:t>
            </w:r>
          </w:p>
        </w:tc>
        <w:tc>
          <w:tcPr>
            <w:tcW w:w="171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1,631,042.69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762,838.36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348,573.75</w:t>
            </w:r>
          </w:p>
        </w:tc>
        <w:tc>
          <w:tcPr>
            <w:tcW w:w="171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9,242,575.26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4,322,750.68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1,975,251.26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9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3"/>
        <w:gridCol w:w="2126"/>
        <w:gridCol w:w="5178"/>
      </w:tblGrid>
      <w:tr>
        <w:trPr>
          <w:trHeight w:val="401" w:hRule="exact"/>
        </w:trPr>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68"/>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5,980,658.07</w:t>
            </w:r>
          </w:p>
        </w:tc>
        <w:tc>
          <w:tcPr>
            <w:tcW w:w="5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102"/>
              <w:jc w:val="left"/>
              <w:rPr>
                <w:rFonts w:ascii="宋体" w:hAnsi="宋体" w:cs="宋体" w:eastAsia="宋体" w:hint="default"/>
                <w:sz w:val="18"/>
                <w:szCs w:val="18"/>
              </w:rPr>
            </w:pPr>
            <w:r>
              <w:rPr>
                <w:rFonts w:ascii="宋体" w:hAnsi="宋体" w:cs="宋体" w:eastAsia="宋体" w:hint="default"/>
                <w:sz w:val="18"/>
                <w:szCs w:val="18"/>
              </w:rPr>
              <w:t>依据国家对软件行业的总体政策导向，预期软件增值税退税的税 收优惠政策将在较长时期内保持稳定，故定义为经常性损益。</w:t>
            </w:r>
          </w:p>
        </w:tc>
      </w:tr>
    </w:tbl>
    <w:p>
      <w:pPr>
        <w:spacing w:line="240" w:lineRule="auto" w:before="2"/>
        <w:rPr>
          <w:rFonts w:ascii="宋体" w:hAnsi="宋体" w:cs="宋体" w:eastAsia="宋体" w:hint="default"/>
          <w:sz w:val="18"/>
          <w:szCs w:val="18"/>
        </w:rPr>
      </w:pPr>
    </w:p>
    <w:p>
      <w:pPr>
        <w:pStyle w:val="Heading2"/>
        <w:spacing w:line="240" w:lineRule="auto" w:before="26"/>
        <w:ind w:right="102"/>
        <w:jc w:val="left"/>
        <w:rPr>
          <w:b w:val="0"/>
          <w:bCs w:val="0"/>
        </w:rPr>
      </w:pPr>
      <w:r>
        <w:rPr/>
        <w:t>四、重大风险提示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454" w:right="102" w:hanging="300"/>
        <w:jc w:val="left"/>
      </w:pPr>
      <w:r>
        <w:rPr>
          <w:rFonts w:ascii="Times New Roman" w:hAnsi="Times New Roman" w:cs="Times New Roman" w:eastAsia="Times New Roman" w:hint="default"/>
        </w:rPr>
        <w:t>1</w:t>
      </w:r>
      <w:r>
        <w:rPr/>
        <w:t>、销售区域集中风险 报告期内公司业务收入主要集中在华南区域市场，报告期内华南区域市场实现的销售收入占总销售收</w:t>
      </w:r>
    </w:p>
    <w:p>
      <w:pPr>
        <w:pStyle w:val="BodyText"/>
        <w:spacing w:line="264" w:lineRule="auto" w:before="22"/>
        <w:ind w:right="209" w:hanging="1"/>
        <w:jc w:val="both"/>
      </w:pPr>
      <w:r>
        <w:rPr>
          <w:spacing w:val="-2"/>
        </w:rPr>
        <w:t>入的比例为90.34</w:t>
      </w:r>
      <w:r>
        <w:rPr>
          <w:rFonts w:ascii="Times New Roman" w:hAnsi="Times New Roman" w:cs="Times New Roman" w:eastAsia="Times New Roman" w:hint="default"/>
          <w:spacing w:val="-2"/>
        </w:rPr>
        <w:t>%</w:t>
      </w:r>
      <w:r>
        <w:rPr>
          <w:spacing w:val="-2"/>
        </w:rPr>
        <w:t>，存在业务区域过于集中的风险。随着公司产销规模的扩大及综合竞争实力的提升，公</w:t>
      </w:r>
      <w:r>
        <w:rPr>
          <w:spacing w:val="-103"/>
        </w:rPr>
        <w:t> </w:t>
      </w:r>
      <w:r>
        <w:rPr>
          <w:spacing w:val="-103"/>
        </w:rPr>
      </w:r>
      <w:r>
        <w:rPr>
          <w:spacing w:val="-1"/>
        </w:rPr>
        <w:t>司已着手开拓华中、华北、华东、西南、西北、东北等其他区域市场，如果其他区域市场的开拓无法到达</w:t>
      </w:r>
      <w:r>
        <w:rPr>
          <w:spacing w:val="-84"/>
        </w:rPr>
        <w:t> </w:t>
      </w:r>
      <w:r>
        <w:rPr>
          <w:spacing w:val="-84"/>
        </w:rPr>
      </w:r>
      <w:r>
        <w:rPr/>
        <w:t>预期目标，则可能存在过度依赖华南区域市场的风险。</w:t>
      </w:r>
    </w:p>
    <w:p>
      <w:pPr>
        <w:pStyle w:val="BodyText"/>
        <w:spacing w:line="256" w:lineRule="auto" w:before="16"/>
        <w:ind w:left="454" w:right="102" w:hanging="300"/>
        <w:jc w:val="left"/>
      </w:pPr>
      <w:r>
        <w:rPr>
          <w:rFonts w:ascii="Times New Roman" w:hAnsi="Times New Roman" w:cs="Times New Roman" w:eastAsia="Times New Roman" w:hint="default"/>
        </w:rPr>
        <w:t>2</w:t>
      </w:r>
      <w:r>
        <w:rPr/>
        <w:t>、技术失密和核心技术人员流失的风险 信息安全行业属知识密集型行业，行业内的市场竞争主要体现为产品科技含量和研发技术人员技术水</w:t>
      </w:r>
    </w:p>
    <w:p>
      <w:pPr>
        <w:pStyle w:val="BodyText"/>
        <w:spacing w:line="273" w:lineRule="auto" w:before="22"/>
        <w:ind w:right="102"/>
        <w:jc w:val="left"/>
      </w:pPr>
      <w:r>
        <w:rPr>
          <w:spacing w:val="-1"/>
        </w:rPr>
        <w:t>平的竞争。为了保持技术优势，防止技术失密和核心技术人员流失，公司一方面加大研发投入，加快产品</w:t>
      </w:r>
      <w:r>
        <w:rPr>
          <w:spacing w:val="-82"/>
        </w:rPr>
        <w:t> </w:t>
      </w:r>
      <w:r>
        <w:rPr>
          <w:spacing w:val="-82"/>
        </w:rPr>
      </w:r>
      <w:r>
        <w:rPr>
          <w:spacing w:val="-1"/>
        </w:rPr>
        <w:t>和技术的更新换代，降低了个别的、静态的技术失密给公司带来的风险；另一方面通过合理的薪酬体系及</w:t>
      </w:r>
      <w:r>
        <w:rPr>
          <w:spacing w:val="-83"/>
        </w:rPr>
        <w:t> </w:t>
      </w:r>
      <w:r>
        <w:rPr>
          <w:spacing w:val="-83"/>
        </w:rPr>
      </w:r>
      <w:r>
        <w:rPr>
          <w:spacing w:val="-1"/>
        </w:rPr>
        <w:t>核心技术骨干持股等措施增强核心技术团队的稳定性；此外，公司还通过建立健全内部保密制度、与核心</w:t>
      </w:r>
      <w:r>
        <w:rPr>
          <w:spacing w:val="-83"/>
        </w:rPr>
        <w:t> </w:t>
      </w:r>
      <w:r>
        <w:rPr>
          <w:spacing w:val="-83"/>
        </w:rPr>
      </w:r>
      <w:r>
        <w:rPr>
          <w:spacing w:val="-1"/>
        </w:rPr>
        <w:t>技术人员签订保密协议等措施防止技术失密。但是，由于公司的技术水平处于行业领先地位，不排除出现</w:t>
      </w:r>
      <w:r>
        <w:rPr>
          <w:spacing w:val="-83"/>
        </w:rPr>
        <w:t> </w:t>
      </w:r>
      <w:r>
        <w:rPr>
          <w:spacing w:val="-83"/>
        </w:rPr>
      </w:r>
      <w:r>
        <w:rPr/>
        <w:t>竞争对手通过各种不正当手段窃取公司技术机密或争夺公司核心技术人员的情形。 </w:t>
      </w:r>
      <w:r>
        <w:rPr>
          <w:rFonts w:ascii="Times New Roman" w:hAnsi="Times New Roman" w:cs="Times New Roman" w:eastAsia="Times New Roman" w:hint="default"/>
        </w:rPr>
        <w:t>3</w:t>
      </w:r>
      <w:r>
        <w:rPr/>
        <w:t>、技术开发和升级滞后的风险</w:t>
      </w:r>
    </w:p>
    <w:p>
      <w:pPr>
        <w:pStyle w:val="BodyText"/>
        <w:spacing w:line="273" w:lineRule="auto"/>
        <w:ind w:right="102" w:firstLine="300"/>
        <w:jc w:val="left"/>
      </w:pPr>
      <w:r>
        <w:rPr>
          <w:spacing w:val="-1"/>
        </w:rPr>
        <w:t>信息安全领域涉及的专业技术门类较多，涉及到公司业务的技术主要包括计算机病毒检测与清除技术、</w:t>
      </w:r>
      <w:r>
        <w:rPr/>
        <w:t> 安全防护技术、安全审计技术、安全检测与监控技术、身份认证技术等，上述信息安全技术更新速度快、 生命周期短。为了保持竞争优势，公司必须准确预测业内技术发展趋势，及时将成熟、实用、先进的技术 用于自身产品的设计开发和技术升级。如果不能准确地把握行业技术的发展趋势，在技术开发方向的决策 上发生失误，或不能及时将新技术运用于业务的开发和升级，公司将可能丧失在技术研发和市场的领先地 位。</w:t>
      </w:r>
    </w:p>
    <w:p>
      <w:pPr>
        <w:pStyle w:val="BodyText"/>
        <w:spacing w:line="290" w:lineRule="auto" w:before="7"/>
        <w:ind w:left="406" w:right="102" w:hanging="253"/>
        <w:jc w:val="left"/>
      </w:pPr>
      <w:r>
        <w:rPr>
          <w:rFonts w:ascii="Times New Roman" w:hAnsi="Times New Roman" w:cs="Times New Roman" w:eastAsia="Times New Roman" w:hint="default"/>
        </w:rPr>
        <w:t>4</w:t>
      </w:r>
      <w:r>
        <w:rPr/>
        <w:t>、知识产权被侵害的风险 </w:t>
      </w:r>
      <w:r>
        <w:rPr>
          <w:spacing w:val="-2"/>
        </w:rPr>
        <w:t>信息安全企业核心竞争力在于其掌握的技术与研发实力，具体体现在各项业务中的软件技术水平。我国</w:t>
      </w:r>
    </w:p>
    <w:p>
      <w:pPr>
        <w:pStyle w:val="BodyText"/>
        <w:spacing w:line="273" w:lineRule="auto"/>
        <w:ind w:right="188"/>
        <w:jc w:val="both"/>
      </w:pPr>
      <w:r>
        <w:rPr/>
        <w:t>当前在对知识产权的保护上存在一定的不足，特别是在软件知识产权保护方面与发达国家存在较大差距， </w:t>
      </w:r>
      <w:r>
        <w:rPr>
          <w:spacing w:val="-1"/>
        </w:rPr>
        <w:t>软件产品被盗版、技术流失和被窃取的情况屡屡发生。公司面临的知识产权被侵害的风险主要体现在公司</w:t>
      </w:r>
      <w:r>
        <w:rPr>
          <w:spacing w:val="-81"/>
        </w:rPr>
        <w:t> </w:t>
      </w:r>
      <w:r>
        <w:rPr>
          <w:spacing w:val="-81"/>
        </w:rPr>
      </w:r>
      <w:r>
        <w:rPr>
          <w:spacing w:val="-1"/>
        </w:rPr>
        <w:t>掌握的核心关键技术可能被窃取、公司安全产品中的软件可能被抄袭、盗版以及公司重要技术可能被模仿</w:t>
      </w:r>
      <w:r>
        <w:rPr>
          <w:spacing w:val="-81"/>
        </w:rPr>
        <w:t> </w:t>
      </w:r>
      <w:r>
        <w:rPr>
          <w:spacing w:val="-81"/>
        </w:rPr>
      </w:r>
      <w:r>
        <w:rPr/>
        <w:t>后使得安全集成与安全服务业务可能不具备技术竞争优势。</w:t>
      </w:r>
    </w:p>
    <w:p>
      <w:pPr>
        <w:pStyle w:val="BodyText"/>
        <w:spacing w:line="264" w:lineRule="auto" w:before="126"/>
        <w:ind w:right="102"/>
        <w:jc w:val="left"/>
      </w:pPr>
      <w:r>
        <w:rPr/>
        <w:t>应对措施： </w:t>
      </w:r>
      <w:r>
        <w:rPr>
          <w:rFonts w:ascii="Times New Roman" w:hAnsi="Times New Roman" w:cs="Times New Roman" w:eastAsia="Times New Roman" w:hint="default"/>
          <w:spacing w:val="-1"/>
        </w:rPr>
        <w:t>1</w:t>
      </w:r>
      <w:r>
        <w:rPr>
          <w:spacing w:val="-1"/>
        </w:rPr>
        <w:t>、公司正在积极拓展华南区域之外的营销渠道，同时公司通过在西南、华中、西北等地区加大营销力度，</w:t>
      </w:r>
      <w:r>
        <w:rPr>
          <w:spacing w:val="-81"/>
        </w:rPr>
        <w:t> </w:t>
      </w:r>
      <w:r>
        <w:rPr>
          <w:spacing w:val="-81"/>
        </w:rPr>
      </w:r>
      <w:r>
        <w:rPr/>
        <w:t>增加了人员的投入，力求构建一个覆盖全国大部分核心区域市场的营销网络。 </w:t>
      </w:r>
      <w:r>
        <w:rPr>
          <w:rFonts w:ascii="Times New Roman" w:hAnsi="Times New Roman" w:cs="Times New Roman" w:eastAsia="Times New Roman" w:hint="default"/>
        </w:rPr>
        <w:t>2</w:t>
      </w:r>
      <w:r>
        <w:rPr/>
        <w:t>、报告期内，公司加强了人力资源体系建设，制定了富有竞争力的薪酬体系，并努力创建良好的工作环 境和工作氛围，防止人才流失。目前，公司通过内部培养和外部聘请，努力打造一批高端的管理、研发及</w:t>
      </w:r>
    </w:p>
    <w:p>
      <w:pPr>
        <w:spacing w:after="0" w:line="264"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66" w:lineRule="auto" w:before="35"/>
        <w:ind w:left="153" w:right="102"/>
        <w:jc w:val="left"/>
      </w:pPr>
      <w:r>
        <w:rPr/>
        <w:t>营销人才，以适应公司快速发展需要。 </w:t>
      </w:r>
      <w:r>
        <w:rPr>
          <w:rFonts w:ascii="Times New Roman" w:hAnsi="Times New Roman" w:cs="Times New Roman" w:eastAsia="Times New Roman" w:hint="default"/>
          <w:spacing w:val="-1"/>
        </w:rPr>
        <w:t>3</w:t>
      </w:r>
      <w:r>
        <w:rPr>
          <w:spacing w:val="-1"/>
        </w:rPr>
        <w:t>、公司将持续加大技术研发投入，进一步完善研发激励机制。同时，加快技术软硬件建设、实验室建设。</w:t>
      </w:r>
      <w:r>
        <w:rPr>
          <w:spacing w:val="-82"/>
        </w:rPr>
        <w:t> </w:t>
      </w:r>
      <w:r>
        <w:rPr>
          <w:spacing w:val="-82"/>
        </w:rPr>
      </w:r>
      <w:r>
        <w:rPr/>
        <w:t>另外，公司研发部将持续关注行业技术发展情况，积极参与行业技术研讨会议，探索适合公司发展情况的</w:t>
      </w:r>
      <w:r>
        <w:rPr/>
        <w:t> 开发模式。</w:t>
      </w:r>
    </w:p>
    <w:p>
      <w:pPr>
        <w:pStyle w:val="BodyText"/>
        <w:spacing w:line="261" w:lineRule="auto" w:before="55"/>
        <w:ind w:left="153" w:right="206"/>
        <w:jc w:val="both"/>
      </w:pPr>
      <w:r>
        <w:rPr>
          <w:rFonts w:ascii="Times New Roman" w:hAnsi="Times New Roman" w:cs="Times New Roman" w:eastAsia="Times New Roman" w:hint="default"/>
        </w:rPr>
        <w:t>4</w:t>
      </w:r>
      <w:r>
        <w:rPr/>
        <w:t>、公司已经采取多项应对措施防范知识产权可能被侵害的风险：公司一直注重核心技术的保密工作，核</w:t>
      </w:r>
      <w:r>
        <w:rPr>
          <w:spacing w:val="-34"/>
        </w:rPr>
        <w:t> </w:t>
      </w:r>
      <w:r>
        <w:rPr>
          <w:spacing w:val="-34"/>
        </w:rPr>
      </w:r>
      <w:r>
        <w:rPr>
          <w:spacing w:val="-1"/>
        </w:rPr>
        <w:t>心技术只被少数核心人员保存，并且公司所有董事、监事、高级管理人员及核心技术人员已经和公司签署</w:t>
      </w:r>
      <w:r>
        <w:rPr>
          <w:spacing w:val="-83"/>
        </w:rPr>
        <w:t> </w:t>
      </w:r>
      <w:r>
        <w:rPr>
          <w:spacing w:val="-83"/>
        </w:rPr>
      </w:r>
      <w:r>
        <w:rPr/>
        <w:t>了保密协议；公司在软件开发成功后会及时申请软件著作权加以保护，目前公司已经拥有</w:t>
      </w:r>
      <w:r>
        <w:rPr>
          <w:rFonts w:ascii="Times New Roman" w:hAnsi="Times New Roman" w:cs="Times New Roman" w:eastAsia="Times New Roman" w:hint="default"/>
        </w:rPr>
        <w:t>110</w:t>
      </w:r>
      <w:r>
        <w:rPr/>
        <w:t>项软件著作</w:t>
      </w:r>
      <w:r>
        <w:rPr>
          <w:spacing w:val="-35"/>
        </w:rPr>
        <w:t> </w:t>
      </w:r>
      <w:r>
        <w:rPr>
          <w:spacing w:val="-35"/>
        </w:rPr>
      </w:r>
      <w:r>
        <w:rPr>
          <w:spacing w:val="-1"/>
        </w:rPr>
        <w:t>权和</w:t>
      </w:r>
      <w:r>
        <w:rPr>
          <w:rFonts w:ascii="Times New Roman" w:hAnsi="Times New Roman" w:cs="Times New Roman" w:eastAsia="Times New Roman" w:hint="default"/>
          <w:spacing w:val="-1"/>
        </w:rPr>
        <w:t>12</w:t>
      </w:r>
      <w:r>
        <w:rPr>
          <w:spacing w:val="-1"/>
        </w:rPr>
        <w:t>项专利权；公司另有</w:t>
      </w:r>
      <w:r>
        <w:rPr>
          <w:rFonts w:ascii="Times New Roman" w:hAnsi="Times New Roman" w:cs="Times New Roman" w:eastAsia="Times New Roman" w:hint="default"/>
          <w:spacing w:val="-1"/>
        </w:rPr>
        <w:t>44</w:t>
      </w:r>
      <w:r>
        <w:rPr>
          <w:spacing w:val="-1"/>
        </w:rPr>
        <w:t>项实用新型与发明专利的申请已经被受理；此外，公司会不断加强技术研发</w:t>
      </w:r>
      <w:r>
        <w:rPr>
          <w:spacing w:val="-85"/>
        </w:rPr>
        <w:t> </w:t>
      </w:r>
      <w:r>
        <w:rPr>
          <w:spacing w:val="-85"/>
        </w:rPr>
      </w:r>
      <w:r>
        <w:rPr/>
        <w:t>的更新换代工作，也会在一定程度上降低知识产权被侵害的风险。</w:t>
      </w:r>
    </w:p>
    <w:p>
      <w:pPr>
        <w:spacing w:after="0" w:line="261"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7"/>
        <w:rPr>
          <w:rFonts w:ascii="宋体" w:hAnsi="宋体" w:cs="宋体" w:eastAsia="宋体" w:hint="default"/>
          <w:b/>
          <w:bCs/>
          <w:sz w:val="31"/>
          <w:szCs w:val="31"/>
        </w:rPr>
      </w:pPr>
    </w:p>
    <w:p>
      <w:pPr>
        <w:pStyle w:val="BodyText"/>
        <w:spacing w:line="338" w:lineRule="auto"/>
        <w:ind w:right="191" w:firstLine="480"/>
        <w:jc w:val="both"/>
      </w:pPr>
      <w:r>
        <w:rPr>
          <w:rFonts w:ascii="Times New Roman" w:hAnsi="Times New Roman" w:cs="Times New Roman" w:eastAsia="Times New Roman" w:hint="default"/>
        </w:rPr>
        <w:t>2012</w:t>
      </w:r>
      <w:r>
        <w:rPr/>
        <w:t>年是公司发展历程中具有重要里程碑意义的一年，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日公司股票在深圳证券交易所创 </w:t>
      </w:r>
      <w:r>
        <w:rPr>
          <w:spacing w:val="-1"/>
        </w:rPr>
        <w:t>业板成功挂牌上市，成为资本市场的新力军，资本市场的融资平台为公司向更高层次的发展提供了资源和</w:t>
      </w:r>
      <w:r>
        <w:rPr>
          <w:spacing w:val="-81"/>
        </w:rPr>
        <w:t> </w:t>
      </w:r>
      <w:r>
        <w:rPr>
          <w:spacing w:val="-81"/>
        </w:rPr>
      </w:r>
      <w:r>
        <w:rPr/>
        <w:t>条件，同时全方位提升了公司的整体形象、品牌知名度、市场影响力。</w:t>
      </w:r>
    </w:p>
    <w:p>
      <w:pPr>
        <w:pStyle w:val="BodyText"/>
        <w:spacing w:line="345" w:lineRule="auto" w:before="40"/>
        <w:ind w:right="191" w:firstLine="480"/>
        <w:jc w:val="both"/>
      </w:pPr>
      <w:r>
        <w:rPr>
          <w:spacing w:val="-2"/>
        </w:rPr>
        <w:t>面对</w:t>
      </w:r>
      <w:r>
        <w:rPr>
          <w:rFonts w:ascii="Times New Roman" w:hAnsi="Times New Roman" w:cs="Times New Roman" w:eastAsia="Times New Roman" w:hint="default"/>
          <w:spacing w:val="-2"/>
        </w:rPr>
        <w:t>2012</w:t>
      </w:r>
      <w:r>
        <w:rPr>
          <w:spacing w:val="-2"/>
        </w:rPr>
        <w:t>年复杂的经济形势，公司董事会根据外部市场的变化，结合公司实际情况，稳健扩大经营规</w:t>
      </w:r>
      <w:r>
        <w:rPr/>
        <w:t> </w:t>
      </w:r>
      <w:r>
        <w:rPr>
          <w:spacing w:val="-1"/>
        </w:rPr>
        <w:t>模，加强品牌建设，推进制度建设及组织建设，通过继续加大对重点行业客户的渗透，拓展市场；随着募</w:t>
      </w:r>
      <w:r>
        <w:rPr>
          <w:spacing w:val="-83"/>
        </w:rPr>
        <w:t> </w:t>
      </w:r>
      <w:r>
        <w:rPr>
          <w:spacing w:val="-83"/>
        </w:rPr>
      </w:r>
      <w:r>
        <w:rPr>
          <w:spacing w:val="-1"/>
        </w:rPr>
        <w:t>集资金的到位，公司迅速加大了人才储备和市场拓展力度，以保障募集资金投资项目建设和公司快速发展</w:t>
      </w:r>
      <w:r>
        <w:rPr>
          <w:spacing w:val="-81"/>
        </w:rPr>
        <w:t> </w:t>
      </w:r>
      <w:r>
        <w:rPr>
          <w:spacing w:val="-81"/>
        </w:rPr>
      </w:r>
      <w:r>
        <w:rPr>
          <w:spacing w:val="-1"/>
        </w:rPr>
        <w:t>的需要。公司进一步加大了研发力度，积极进行技术创新，提高产品质量和稳定性，优化产品结构，进一</w:t>
      </w:r>
      <w:r>
        <w:rPr>
          <w:spacing w:val="-83"/>
        </w:rPr>
        <w:t> </w:t>
      </w:r>
      <w:r>
        <w:rPr>
          <w:spacing w:val="-83"/>
        </w:rPr>
      </w:r>
      <w:r>
        <w:rPr>
          <w:spacing w:val="-1"/>
        </w:rPr>
        <w:t>步巩固了市场地位；完善公司组织结构，健全管理制度，提高公司整体管控水平，提升了公司整体经济运</w:t>
      </w:r>
      <w:r>
        <w:rPr>
          <w:spacing w:val="-82"/>
        </w:rPr>
        <w:t> </w:t>
      </w:r>
      <w:r>
        <w:rPr>
          <w:spacing w:val="-82"/>
        </w:rPr>
      </w:r>
      <w:r>
        <w:rPr/>
        <w:t>行成效。</w:t>
      </w:r>
    </w:p>
    <w:p>
      <w:pPr>
        <w:pStyle w:val="BodyText"/>
        <w:spacing w:line="240" w:lineRule="auto" w:before="33"/>
        <w:ind w:left="633" w:right="91"/>
        <w:jc w:val="left"/>
      </w:pPr>
      <w:r>
        <w:rPr/>
        <w:t>公司主要业务回顾:</w:t>
      </w:r>
    </w:p>
    <w:p>
      <w:pPr>
        <w:pStyle w:val="BodyText"/>
        <w:spacing w:line="348" w:lineRule="auto" w:before="125"/>
        <w:ind w:left="633" w:right="91"/>
        <w:jc w:val="left"/>
      </w:pPr>
      <w:r>
        <w:rPr/>
        <w:t>（一）公司主营业务及主要产品 公司以“让你的安全更智慧”为理念，专注于企业级信息安全领域，构建了以信息安全产品为基础、</w:t>
      </w:r>
    </w:p>
    <w:p>
      <w:pPr>
        <w:pStyle w:val="BodyText"/>
        <w:spacing w:line="348" w:lineRule="auto" w:before="31"/>
        <w:ind w:right="190"/>
        <w:jc w:val="both"/>
      </w:pPr>
      <w:r>
        <w:rPr>
          <w:spacing w:val="-1"/>
        </w:rPr>
        <w:t>覆盖信息安全集成和信息安全服务的完整业务体系，随着公司CloudFence云防线产品的成功研发，公司迈</w:t>
      </w:r>
      <w:r>
        <w:rPr>
          <w:spacing w:val="-78"/>
        </w:rPr>
        <w:t> </w:t>
      </w:r>
      <w:r>
        <w:rPr>
          <w:spacing w:val="-78"/>
        </w:rPr>
      </w:r>
      <w:r>
        <w:rPr>
          <w:spacing w:val="-1"/>
        </w:rPr>
        <w:t>出了云安全运营的第一步，未来，公司将力争成为新网络时代全方位的综合服务和运营提供商。公司主要</w:t>
      </w:r>
      <w:r>
        <w:rPr>
          <w:spacing w:val="-83"/>
        </w:rPr>
        <w:t> </w:t>
      </w:r>
      <w:r>
        <w:rPr>
          <w:spacing w:val="-83"/>
        </w:rPr>
      </w:r>
      <w:r>
        <w:rPr/>
        <w:t>业务及产品概况如下：</w:t>
      </w:r>
    </w:p>
    <w:p>
      <w:pPr>
        <w:pStyle w:val="BodyText"/>
        <w:spacing w:line="328" w:lineRule="auto" w:before="31"/>
        <w:ind w:left="633" w:right="91"/>
        <w:jc w:val="left"/>
      </w:pPr>
      <w:r>
        <w:rPr>
          <w:rFonts w:ascii="Times New Roman" w:hAnsi="Times New Roman" w:cs="Times New Roman" w:eastAsia="Times New Roman" w:hint="default"/>
          <w:b/>
          <w:bCs/>
        </w:rPr>
        <w:t>1</w:t>
      </w:r>
      <w:r>
        <w:rPr>
          <w:rFonts w:ascii="宋体" w:hAnsi="宋体" w:cs="宋体" w:eastAsia="宋体" w:hint="default"/>
          <w:b/>
          <w:bCs/>
        </w:rPr>
        <w:t>、安全产品</w:t>
      </w:r>
      <w:r>
        <w:rPr>
          <w:rFonts w:ascii="宋体" w:hAnsi="宋体" w:cs="宋体" w:eastAsia="宋体" w:hint="default"/>
          <w:b/>
          <w:bCs/>
          <w:spacing w:val="1"/>
          <w:w w:val="99"/>
        </w:rPr>
        <w:t> </w:t>
      </w:r>
      <w:r>
        <w:rPr/>
        <w:t>公司的信息安全产品涉及安全网关、安全审计、应用安全、管理安全、终端安全等5个方面，构建了</w:t>
      </w:r>
    </w:p>
    <w:p>
      <w:pPr>
        <w:pStyle w:val="BodyText"/>
        <w:spacing w:line="350" w:lineRule="auto" w:before="47"/>
        <w:ind w:right="190"/>
        <w:jc w:val="both"/>
      </w:pPr>
      <w:r>
        <w:rPr>
          <w:spacing w:val="-1"/>
        </w:rPr>
        <w:t>“防御—内控—应用安全—安全管理”四个维度的安全产品线，自主研发出5大类别60大系列100多个品种</w:t>
      </w:r>
      <w:r>
        <w:rPr>
          <w:spacing w:val="-82"/>
        </w:rPr>
        <w:t> </w:t>
      </w:r>
      <w:r>
        <w:rPr>
          <w:spacing w:val="-82"/>
        </w:rPr>
      </w:r>
      <w:r>
        <w:rPr/>
        <w:t>的产品，可分别满足客户在网络边界安全、安全审计与合规、应用安全等方面的信息安全需求。</w:t>
      </w:r>
    </w:p>
    <w:p>
      <w:pPr>
        <w:pStyle w:val="BodyText"/>
        <w:spacing w:line="348" w:lineRule="auto" w:before="28"/>
        <w:ind w:left="633" w:right="179"/>
        <w:jc w:val="left"/>
      </w:pPr>
      <w:r>
        <w:rPr>
          <w:rFonts w:ascii="宋体" w:hAnsi="宋体" w:cs="宋体" w:eastAsia="宋体" w:hint="default"/>
          <w:b/>
          <w:bCs/>
        </w:rPr>
        <w:t>2、安全集成</w:t>
      </w:r>
      <w:r>
        <w:rPr>
          <w:rFonts w:ascii="宋体" w:hAnsi="宋体" w:cs="宋体" w:eastAsia="宋体" w:hint="default"/>
          <w:b/>
          <w:bCs/>
          <w:spacing w:val="1"/>
          <w:w w:val="99"/>
        </w:rPr>
        <w:t> </w:t>
      </w:r>
      <w:r>
        <w:rPr>
          <w:spacing w:val="-2"/>
        </w:rPr>
        <w:t>公司的安全集成业务是以公司自有信息安全产品和业务整合为基础，以管理和服务提升为目标的“信</w:t>
      </w:r>
    </w:p>
    <w:p>
      <w:pPr>
        <w:pStyle w:val="BodyText"/>
        <w:spacing w:line="348" w:lineRule="auto" w:before="31"/>
        <w:ind w:right="190"/>
        <w:jc w:val="both"/>
      </w:pPr>
      <w:r>
        <w:rPr>
          <w:spacing w:val="-1"/>
        </w:rPr>
        <w:t>息系统安全运营服务平台”为架构，根据客户要求，为客户设置或组建能满足其个性化需求的信息安全系</w:t>
      </w:r>
      <w:r>
        <w:rPr>
          <w:spacing w:val="-83"/>
        </w:rPr>
        <w:t> </w:t>
      </w:r>
      <w:r>
        <w:rPr>
          <w:spacing w:val="-83"/>
        </w:rPr>
      </w:r>
      <w:r>
        <w:rPr>
          <w:spacing w:val="-1"/>
        </w:rPr>
        <w:t>统，提供从产品研发、方案设计、销售和集成、工程实施、管网建设和运营服务一整套信息系统安全运营</w:t>
      </w:r>
      <w:r>
        <w:rPr>
          <w:spacing w:val="-83"/>
        </w:rPr>
        <w:t> </w:t>
      </w:r>
      <w:r>
        <w:rPr>
          <w:spacing w:val="-83"/>
        </w:rPr>
      </w:r>
      <w:r>
        <w:rPr/>
        <w:t>业务支持体系。</w:t>
      </w:r>
    </w:p>
    <w:p>
      <w:pPr>
        <w:pStyle w:val="BodyText"/>
        <w:spacing w:line="350" w:lineRule="auto" w:before="31"/>
        <w:ind w:right="191" w:firstLine="480"/>
        <w:jc w:val="both"/>
      </w:pPr>
      <w:r>
        <w:rPr>
          <w:spacing w:val="-2"/>
        </w:rPr>
        <w:t>公司重视对客户全方位服务的需求，为企业提供整体解决方案，并整合第三方和自有安全产品、为客</w:t>
      </w:r>
      <w:r>
        <w:rPr/>
        <w:t> </w:t>
      </w:r>
      <w:r>
        <w:rPr>
          <w:spacing w:val="-1"/>
        </w:rPr>
        <w:t>户搭建整体信息安全架构。客户在信息安全系统建设及升级过程中会形成信息安全领域的持续性投入，与</w:t>
      </w:r>
      <w:r>
        <w:rPr>
          <w:spacing w:val="-81"/>
        </w:rPr>
        <w:t> </w:t>
      </w:r>
      <w:r>
        <w:rPr>
          <w:spacing w:val="-81"/>
        </w:rPr>
      </w:r>
      <w:r>
        <w:rPr>
          <w:spacing w:val="-1"/>
        </w:rPr>
        <w:t>此同时通过深挖客户需求不断为新的细分领域行业客户提供系统的行业化解决方案，保证公司业务收入的</w:t>
      </w:r>
      <w:r>
        <w:rPr>
          <w:spacing w:val="-81"/>
        </w:rPr>
        <w:t> </w:t>
      </w:r>
      <w:r>
        <w:rPr>
          <w:spacing w:val="-81"/>
        </w:rPr>
      </w:r>
      <w:r>
        <w:rPr/>
        <w:t>快速增长。</w:t>
      </w:r>
    </w:p>
    <w:p>
      <w:pPr>
        <w:pStyle w:val="BodyText"/>
        <w:spacing w:line="240" w:lineRule="auto" w:before="28"/>
        <w:ind w:left="633" w:right="0"/>
        <w:jc w:val="left"/>
      </w:pPr>
      <w:r>
        <w:rPr/>
        <w:t>凭借多年的综合服务能力，公司总结出包括公安、教育、社保、计生、金融、电力、电信、保密、医</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right="150"/>
        <w:jc w:val="both"/>
      </w:pPr>
      <w:r>
        <w:rPr>
          <w:spacing w:val="-1"/>
        </w:rPr>
        <w:t>疗等多个行业的综合解决方案。以直接面对客户为主导，帮助客户发现和挖掘深层次的信息安全需求，为</w:t>
      </w:r>
      <w:r>
        <w:rPr>
          <w:spacing w:val="-83"/>
        </w:rPr>
        <w:t> </w:t>
      </w:r>
      <w:r>
        <w:rPr>
          <w:spacing w:val="-83"/>
        </w:rPr>
      </w:r>
      <w:r>
        <w:rPr>
          <w:spacing w:val="-1"/>
        </w:rPr>
        <w:t>客户提供行业化的定制解决方案，与客户携手相伴，共同成长。确立了在信息安全市场中整体解决方案的</w:t>
      </w:r>
      <w:r>
        <w:rPr>
          <w:spacing w:val="-83"/>
        </w:rPr>
        <w:t> </w:t>
      </w:r>
      <w:r>
        <w:rPr>
          <w:spacing w:val="-83"/>
        </w:rPr>
      </w:r>
      <w:r>
        <w:rPr/>
        <w:t>领先地位。</w:t>
      </w:r>
    </w:p>
    <w:p>
      <w:pPr>
        <w:pStyle w:val="BodyText"/>
        <w:spacing w:line="348" w:lineRule="auto" w:before="28"/>
        <w:ind w:left="633" w:right="139"/>
        <w:jc w:val="left"/>
      </w:pPr>
      <w:r>
        <w:rPr>
          <w:rFonts w:ascii="宋体" w:hAnsi="宋体" w:cs="宋体" w:eastAsia="宋体" w:hint="default"/>
          <w:b/>
          <w:bCs/>
        </w:rPr>
        <w:t>3、安全服务</w:t>
      </w:r>
      <w:r>
        <w:rPr>
          <w:rFonts w:ascii="宋体" w:hAnsi="宋体" w:cs="宋体" w:eastAsia="宋体" w:hint="default"/>
          <w:b/>
          <w:bCs/>
          <w:spacing w:val="1"/>
          <w:w w:val="99"/>
        </w:rPr>
        <w:t> </w:t>
      </w:r>
      <w:r>
        <w:rPr>
          <w:spacing w:val="-2"/>
        </w:rPr>
        <w:t>公司提供的安全服务主要包括安全咨询与评估、专业化安全检测与防护、安全认证培训服务、安全运</w:t>
      </w:r>
    </w:p>
    <w:p>
      <w:pPr>
        <w:pStyle w:val="BodyText"/>
        <w:spacing w:line="348" w:lineRule="auto" w:before="31"/>
        <w:ind w:right="151"/>
        <w:jc w:val="both"/>
      </w:pPr>
      <w:r>
        <w:rPr>
          <w:spacing w:val="-1"/>
        </w:rPr>
        <w:t>维、安全技术支持等。经过多年的积累，公司已成功为上百家客户提供了专业化的服务，构建了覆盖不同</w:t>
      </w:r>
      <w:r>
        <w:rPr>
          <w:spacing w:val="-82"/>
        </w:rPr>
        <w:t> </w:t>
      </w:r>
      <w:r>
        <w:rPr>
          <w:spacing w:val="-82"/>
        </w:rPr>
      </w:r>
      <w:r>
        <w:rPr/>
        <w:t>行业客户及客户不同发展阶段的信息安全服务体系。</w:t>
      </w:r>
    </w:p>
    <w:p>
      <w:pPr>
        <w:pStyle w:val="BodyText"/>
        <w:spacing w:line="350" w:lineRule="auto" w:before="30"/>
        <w:ind w:left="153" w:right="150" w:firstLine="480"/>
        <w:jc w:val="both"/>
      </w:pPr>
      <w:r>
        <w:rPr>
          <w:spacing w:val="-2"/>
        </w:rPr>
        <w:t>公司的安全服务业务一方面为老客户提供持续的安全保障和后续服务，另一方面为新客户提供前瞻性</w:t>
      </w:r>
      <w:r>
        <w:rPr/>
        <w:t> 的技术、方案咨询等服务。这些服务为向客户提供后续的安全产品和安全集成业务打下了坚实的基础。</w:t>
      </w:r>
    </w:p>
    <w:p>
      <w:pPr>
        <w:pStyle w:val="BodyText"/>
        <w:spacing w:line="348" w:lineRule="auto" w:before="28"/>
        <w:ind w:left="153" w:right="128" w:firstLine="480"/>
        <w:jc w:val="both"/>
      </w:pPr>
      <w:r>
        <w:rPr>
          <w:spacing w:val="-2"/>
        </w:rPr>
        <w:t>公司的三大基础业务紧紧围绕着客户的信息安全需求，从不同的方面以不同的方式为客户解决信息安</w:t>
      </w:r>
      <w:r>
        <w:rPr/>
        <w:t> 全问题。三大基础业务联动，不仅提高了公司的综合竞争能力，也为公司的业绩增长提供了有力的保证。</w:t>
      </w:r>
    </w:p>
    <w:p>
      <w:pPr>
        <w:pStyle w:val="BodyText"/>
        <w:spacing w:line="348" w:lineRule="auto" w:before="31"/>
        <w:ind w:left="633" w:right="149"/>
        <w:jc w:val="left"/>
      </w:pPr>
      <w:r>
        <w:rPr>
          <w:rFonts w:ascii="宋体" w:hAnsi="宋体" w:cs="宋体" w:eastAsia="宋体" w:hint="default"/>
          <w:b/>
          <w:bCs/>
        </w:rPr>
        <w:t>4、安全运营</w:t>
      </w:r>
      <w:r>
        <w:rPr>
          <w:rFonts w:ascii="宋体" w:hAnsi="宋体" w:cs="宋体" w:eastAsia="宋体" w:hint="default"/>
          <w:b/>
          <w:bCs/>
          <w:spacing w:val="1"/>
          <w:w w:val="99"/>
        </w:rPr>
        <w:t> </w:t>
      </w:r>
      <w:r>
        <w:rPr>
          <w:spacing w:val="-2"/>
        </w:rPr>
        <w:t>报告期内，公司率先开发了CloudFence云防线产品并开始实现销售。云防线主要通过先进的云计算技</w:t>
      </w:r>
    </w:p>
    <w:p>
      <w:pPr>
        <w:pStyle w:val="BodyText"/>
        <w:spacing w:line="350" w:lineRule="auto" w:before="30"/>
        <w:ind w:left="153" w:right="128"/>
        <w:jc w:val="both"/>
      </w:pPr>
      <w:r>
        <w:rPr>
          <w:spacing w:val="1"/>
        </w:rPr>
        <w:t>术，为用户提供一站式的安全解决方案，网站在</w:t>
      </w:r>
      <w:r>
        <w:rPr>
          <w:spacing w:val="25"/>
        </w:rPr>
        <w:t> </w:t>
      </w:r>
      <w:r>
        <w:rPr>
          <w:spacing w:val="-7"/>
        </w:rPr>
        <w:t>“零部署”、“零维护”的情况下，防止诸如XSS、SQL注</w:t>
      </w:r>
      <w:r>
        <w:rPr>
          <w:spacing w:val="-97"/>
        </w:rPr>
        <w:t> </w:t>
      </w:r>
      <w:r>
        <w:rPr>
          <w:spacing w:val="-97"/>
        </w:rPr>
      </w:r>
      <w:r>
        <w:rPr>
          <w:spacing w:val="-1"/>
        </w:rPr>
        <w:t>入、木马、零日攻击、僵尸网络等各种网站安全问题。同时，CloudFence综合采用跨运营商智能调度、页</w:t>
      </w:r>
      <w:r>
        <w:rPr>
          <w:spacing w:val="-80"/>
        </w:rPr>
        <w:t> </w:t>
      </w:r>
      <w:r>
        <w:rPr>
          <w:spacing w:val="-80"/>
        </w:rPr>
      </w:r>
      <w:r>
        <w:rPr/>
        <w:t>面优化、页面缓存等技术，进一步提升访问速度，降低故障率，从而整体提升网站的用户体验。在将来， </w:t>
      </w:r>
      <w:r>
        <w:rPr>
          <w:spacing w:val="-1"/>
        </w:rPr>
        <w:t>CloudFence将进一步以云计算为基础，专注于“后PC”时代基于Web的各种应用的安全问题，让Web应用因</w:t>
      </w:r>
      <w:r>
        <w:rPr>
          <w:spacing w:val="-75"/>
        </w:rPr>
        <w:t> </w:t>
      </w:r>
      <w:r>
        <w:rPr>
          <w:spacing w:val="-75"/>
        </w:rPr>
      </w:r>
      <w:r>
        <w:rPr/>
        <w:t>云计算而大放异彩，因CloudFence而更加专注。</w:t>
      </w:r>
    </w:p>
    <w:p>
      <w:pPr>
        <w:pStyle w:val="BodyText"/>
        <w:spacing w:line="350" w:lineRule="auto" w:before="28"/>
        <w:ind w:left="153" w:right="151" w:firstLine="480"/>
        <w:jc w:val="both"/>
      </w:pPr>
      <w:r>
        <w:rPr>
          <w:spacing w:val="-2"/>
        </w:rPr>
        <w:t>云防线的正式登场，将网站安全防护带入了一个全新的云防护时代，为云安全运营服务市场带来强有</w:t>
      </w:r>
      <w:r>
        <w:rPr/>
        <w:t> </w:t>
      </w:r>
      <w:r>
        <w:rPr>
          <w:spacing w:val="-1"/>
        </w:rPr>
        <w:t>力的冲击，一方面可以对公司现有产品形成良好的补充，进一步丰富公司的产品系列；另一方面也可以提</w:t>
      </w:r>
      <w:r>
        <w:rPr>
          <w:spacing w:val="-83"/>
        </w:rPr>
        <w:t> </w:t>
      </w:r>
      <w:r>
        <w:rPr>
          <w:spacing w:val="-83"/>
        </w:rPr>
      </w:r>
      <w:r>
        <w:rPr>
          <w:spacing w:val="-1"/>
        </w:rPr>
        <w:t>高公司在信息安全集成及服务实施方面的能力，提升公司的业务竞争力，从而进一步确立公司在华南地区</w:t>
      </w:r>
      <w:r>
        <w:rPr>
          <w:spacing w:val="-81"/>
        </w:rPr>
        <w:t> </w:t>
      </w:r>
      <w:r>
        <w:rPr>
          <w:spacing w:val="-81"/>
        </w:rPr>
      </w:r>
      <w:r>
        <w:rPr/>
        <w:t>乃至全国市场的竞争优势。</w:t>
      </w:r>
    </w:p>
    <w:p>
      <w:pPr>
        <w:spacing w:line="240" w:lineRule="auto" w:before="0"/>
        <w:rPr>
          <w:rFonts w:ascii="宋体" w:hAnsi="宋体" w:cs="宋体" w:eastAsia="宋体" w:hint="default"/>
          <w:sz w:val="20"/>
          <w:szCs w:val="20"/>
        </w:rPr>
      </w:pPr>
    </w:p>
    <w:p>
      <w:pPr>
        <w:pStyle w:val="BodyText"/>
        <w:spacing w:line="328" w:lineRule="auto" w:before="167"/>
        <w:ind w:left="573" w:right="0" w:firstLine="60"/>
        <w:jc w:val="left"/>
      </w:pPr>
      <w:r>
        <w:rPr/>
        <w:t>（二）公司</w:t>
      </w:r>
      <w:r>
        <w:rPr>
          <w:rFonts w:ascii="Times New Roman" w:hAnsi="Times New Roman" w:cs="Times New Roman" w:eastAsia="Times New Roman" w:hint="default"/>
        </w:rPr>
        <w:t>2012</w:t>
      </w:r>
      <w:r>
        <w:rPr/>
        <w:t>年主要工作概述 </w:t>
      </w:r>
      <w:r>
        <w:rPr>
          <w:spacing w:val="-1"/>
        </w:rPr>
        <w:t>2012年公司坚持以安全产品、安全集成、安全服务、安全运营四位一体联动发展的模式，一方面继续</w:t>
      </w:r>
    </w:p>
    <w:p>
      <w:pPr>
        <w:pStyle w:val="BodyText"/>
        <w:spacing w:line="343" w:lineRule="auto" w:before="47"/>
        <w:ind w:left="153" w:right="150"/>
        <w:jc w:val="both"/>
      </w:pPr>
      <w:r>
        <w:rPr>
          <w:spacing w:val="-1"/>
        </w:rPr>
        <w:t>以安全产品为基石，不断加强安全产品的深入研发、推广，另一方面保持安全集成对公司的支撑作用及领</w:t>
      </w:r>
      <w:r>
        <w:rPr>
          <w:spacing w:val="-83"/>
        </w:rPr>
        <w:t> </w:t>
      </w:r>
      <w:r>
        <w:rPr>
          <w:spacing w:val="-83"/>
        </w:rPr>
      </w:r>
      <w:r>
        <w:rPr>
          <w:spacing w:val="-1"/>
        </w:rPr>
        <w:t>先优势，同时在安全服务及运营方面加大力度，探索出更稳定更可持续的利润增长模式。2012年公司实现</w:t>
      </w:r>
      <w:r>
        <w:rPr>
          <w:spacing w:val="-81"/>
        </w:rPr>
        <w:t> </w:t>
      </w:r>
      <w:r>
        <w:rPr>
          <w:spacing w:val="-81"/>
        </w:rPr>
      </w:r>
      <w:r>
        <w:rPr/>
        <w:t>营业收入</w:t>
      </w:r>
      <w:r>
        <w:rPr>
          <w:rFonts w:ascii="Times New Roman" w:hAnsi="Times New Roman" w:cs="Times New Roman" w:eastAsia="Times New Roman" w:hint="default"/>
        </w:rPr>
        <w:t>34,520.39</w:t>
      </w:r>
      <w:r>
        <w:rPr/>
        <w:t>万元，同比增长</w:t>
      </w:r>
      <w:r>
        <w:rPr>
          <w:rFonts w:ascii="Times New Roman" w:hAnsi="Times New Roman" w:cs="Times New Roman" w:eastAsia="Times New Roman" w:hint="default"/>
        </w:rPr>
        <w:t>23.83%</w:t>
      </w:r>
      <w:r>
        <w:rPr/>
        <w:t>；利润总额</w:t>
      </w:r>
      <w:r>
        <w:rPr>
          <w:rFonts w:ascii="Times New Roman" w:hAnsi="Times New Roman" w:cs="Times New Roman" w:eastAsia="Times New Roman" w:hint="default"/>
        </w:rPr>
        <w:t>6,778.94</w:t>
      </w:r>
      <w:r>
        <w:rPr/>
        <w:t>万元，同比增长</w:t>
      </w:r>
      <w:r>
        <w:rPr>
          <w:rFonts w:ascii="Times New Roman" w:hAnsi="Times New Roman" w:cs="Times New Roman" w:eastAsia="Times New Roman" w:hint="default"/>
        </w:rPr>
        <w:t>12.34%</w:t>
      </w:r>
      <w:r>
        <w:rPr/>
        <w:t>；归属母公司所有者 的净利润</w:t>
      </w:r>
      <w:r>
        <w:rPr>
          <w:rFonts w:ascii="Times New Roman" w:hAnsi="Times New Roman" w:cs="Times New Roman" w:eastAsia="Times New Roman" w:hint="default"/>
        </w:rPr>
        <w:t>5,809.08</w:t>
      </w:r>
      <w:r>
        <w:rPr/>
        <w:t>万元，同比增长</w:t>
      </w:r>
      <w:r>
        <w:rPr>
          <w:rFonts w:ascii="Times New Roman" w:hAnsi="Times New Roman" w:cs="Times New Roman" w:eastAsia="Times New Roman" w:hint="default"/>
        </w:rPr>
        <w:t>11.03%</w:t>
      </w:r>
      <w:r>
        <w:rPr/>
        <w:t>，公司总体上保持持续稳定的增长。</w:t>
      </w:r>
    </w:p>
    <w:p>
      <w:pPr>
        <w:pStyle w:val="BodyText"/>
        <w:spacing w:line="328" w:lineRule="auto" w:before="10"/>
        <w:ind w:left="153" w:right="150" w:firstLine="420"/>
        <w:jc w:val="both"/>
      </w:pPr>
      <w:r>
        <w:rPr>
          <w:rFonts w:ascii="Times New Roman" w:hAnsi="Times New Roman" w:cs="Times New Roman" w:eastAsia="Times New Roman" w:hint="default"/>
          <w:spacing w:val="-2"/>
        </w:rPr>
        <w:t>2012</w:t>
      </w:r>
      <w:r>
        <w:rPr>
          <w:spacing w:val="-2"/>
        </w:rPr>
        <w:t>年公司获得十余项各类荣誉，入选</w:t>
      </w:r>
      <w:r>
        <w:rPr>
          <w:rFonts w:ascii="Times New Roman" w:hAnsi="Times New Roman" w:cs="Times New Roman" w:eastAsia="Times New Roman" w:hint="default"/>
          <w:spacing w:val="-2"/>
        </w:rPr>
        <w:t>“</w:t>
      </w:r>
      <w:r>
        <w:rPr>
          <w:spacing w:val="-2"/>
        </w:rPr>
        <w:t>广东互联网领军企业</w:t>
      </w:r>
      <w:r>
        <w:rPr>
          <w:rFonts w:ascii="Times New Roman" w:hAnsi="Times New Roman" w:cs="Times New Roman" w:eastAsia="Times New Roman" w:hint="default"/>
          <w:spacing w:val="-2"/>
        </w:rPr>
        <w:t>”</w:t>
      </w:r>
      <w:r>
        <w:rPr>
          <w:spacing w:val="-2"/>
        </w:rPr>
        <w:t>，荣获</w:t>
      </w:r>
      <w:r>
        <w:rPr>
          <w:rFonts w:ascii="Times New Roman" w:hAnsi="Times New Roman" w:cs="Times New Roman" w:eastAsia="Times New Roman" w:hint="default"/>
          <w:spacing w:val="-2"/>
        </w:rPr>
        <w:t>“2012</w:t>
      </w:r>
      <w:r>
        <w:rPr>
          <w:spacing w:val="-2"/>
        </w:rPr>
        <w:t>年度中国信息安全优秀服务</w:t>
      </w:r>
      <w:r>
        <w:rPr/>
        <w:t> </w:t>
      </w:r>
      <w:r>
        <w:rPr>
          <w:spacing w:val="-6"/>
        </w:rPr>
        <w:t>奖</w:t>
      </w:r>
      <w:r>
        <w:rPr>
          <w:rFonts w:ascii="Times New Roman" w:hAnsi="Times New Roman" w:cs="Times New Roman" w:eastAsia="Times New Roman" w:hint="default"/>
          <w:spacing w:val="-6"/>
        </w:rPr>
        <w:t>”</w:t>
      </w:r>
      <w:r>
        <w:rPr>
          <w:spacing w:val="-6"/>
        </w:rPr>
        <w:t>；获“中国最具潜力上市企业称号”。</w:t>
      </w:r>
    </w:p>
    <w:p>
      <w:pPr>
        <w:pStyle w:val="BodyText"/>
        <w:spacing w:line="240" w:lineRule="auto" w:before="23"/>
        <w:ind w:left="573" w:right="0"/>
        <w:jc w:val="left"/>
      </w:pPr>
      <w:r>
        <w:rPr/>
        <w:t>报告期内公司主要经营情况如下：</w:t>
      </w:r>
    </w:p>
    <w:p>
      <w:pPr>
        <w:pStyle w:val="BodyText"/>
        <w:spacing w:line="240" w:lineRule="auto" w:before="126"/>
        <w:ind w:left="512" w:right="0"/>
        <w:jc w:val="left"/>
      </w:pPr>
      <w:r>
        <w:rPr>
          <w:rFonts w:ascii="Times New Roman" w:hAnsi="Times New Roman" w:cs="Times New Roman" w:eastAsia="Times New Roman" w:hint="default"/>
        </w:rPr>
        <w:t>1</w:t>
      </w:r>
      <w:r>
        <w:rPr/>
        <w:t>、市场营销方面</w:t>
      </w:r>
    </w:p>
    <w:p>
      <w:pPr>
        <w:pStyle w:val="BodyText"/>
        <w:spacing w:line="240" w:lineRule="auto" w:before="109"/>
        <w:ind w:left="573" w:right="0"/>
        <w:jc w:val="left"/>
      </w:pPr>
      <w:r>
        <w:rPr>
          <w:rFonts w:ascii="Times New Roman" w:hAnsi="Times New Roman" w:cs="Times New Roman" w:eastAsia="Times New Roman" w:hint="default"/>
        </w:rPr>
        <w:t>2012</w:t>
      </w:r>
      <w:r>
        <w:rPr/>
        <w:t>年公司积极拓展市场空间、强化客户关系管理，继续优化客户管理体系，全面提升市场开发能力</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right="102"/>
        <w:jc w:val="left"/>
      </w:pPr>
      <w:r>
        <w:rPr/>
        <w:t>和抵御市场风险能力，以适应本公司经营规模快速发展的需要。市场开拓方面，公司继续夯实在华南区域 的龙头地位并不断深耕，同时采取“先区域布局拉动业务落地，再以行业化解决方案复制推广”的总体营 销战略。截至2012年底，公司已经在华南、华中、华北、华东、西南、西北、东北等区域的核心城市建立 </w:t>
      </w:r>
      <w:r>
        <w:rPr>
          <w:spacing w:val="-1"/>
        </w:rPr>
        <w:t>了分支机构，共设立了深圳、西安、宁夏、合肥、武汉、广西6个分公司以及北京、上海、黑龙江、长沙、</w:t>
      </w:r>
      <w:r>
        <w:rPr>
          <w:spacing w:val="-87"/>
        </w:rPr>
        <w:t> </w:t>
      </w:r>
      <w:r>
        <w:rPr>
          <w:spacing w:val="-87"/>
        </w:rPr>
      </w:r>
      <w:r>
        <w:rPr/>
        <w:t>郑州、成都、重庆、济南8个办事处，基本形成了以华南区域为中心向全国辐射的区域营销模式。在不断</w:t>
      </w:r>
      <w:r>
        <w:rPr/>
        <w:t> 的业务推广与客户挖掘过程中，公司形成了一支覆盖全国各省、市、自治区的市场推广团队，既能根据用 户不同的需求，制定相应的解决方案，又善于发现新的市场需求，使公司产品实现进一步的创新。</w:t>
      </w:r>
    </w:p>
    <w:p>
      <w:pPr>
        <w:pStyle w:val="BodyText"/>
        <w:spacing w:line="240" w:lineRule="auto" w:before="28"/>
        <w:ind w:left="574" w:right="102"/>
        <w:jc w:val="left"/>
      </w:pPr>
      <w:r>
        <w:rPr>
          <w:rFonts w:ascii="Times New Roman" w:hAnsi="Times New Roman" w:cs="Times New Roman" w:eastAsia="Times New Roman" w:hint="default"/>
        </w:rPr>
        <w:t>2</w:t>
      </w:r>
      <w:r>
        <w:rPr/>
        <w:t>、核心产品及技术研发方面</w:t>
      </w:r>
    </w:p>
    <w:p>
      <w:pPr>
        <w:pStyle w:val="BodyText"/>
        <w:spacing w:line="350" w:lineRule="auto" w:before="110"/>
        <w:ind w:right="211" w:firstLine="420"/>
        <w:jc w:val="both"/>
      </w:pPr>
      <w:r>
        <w:rPr>
          <w:spacing w:val="-1"/>
        </w:rPr>
        <w:t>2012年公司继续加大研发投入，并以公司募投项目为核心，优化和完善产品结构，改善科研设施，加</w:t>
      </w:r>
      <w:r>
        <w:rPr/>
        <w:t> </w:t>
      </w:r>
      <w:r>
        <w:rPr>
          <w:spacing w:val="-1"/>
        </w:rPr>
        <w:t>强“产学研”相结合的研发模式，完善科技创新激励机制。报告期公司的网站防护系统CloudFence云防线</w:t>
      </w:r>
      <w:r>
        <w:rPr>
          <w:spacing w:val="-76"/>
        </w:rPr>
        <w:t> </w:t>
      </w:r>
      <w:r>
        <w:rPr>
          <w:spacing w:val="-76"/>
        </w:rPr>
      </w:r>
      <w:r>
        <w:rPr>
          <w:spacing w:val="-1"/>
        </w:rPr>
        <w:t>研发完成，于年底举行了产品发布会并正式上线，上线后率先向公司原有客户进行推广试用，并取得了积</w:t>
      </w:r>
      <w:r>
        <w:rPr>
          <w:spacing w:val="-83"/>
        </w:rPr>
        <w:t> </w:t>
      </w:r>
      <w:r>
        <w:rPr>
          <w:spacing w:val="-83"/>
        </w:rPr>
      </w:r>
      <w:r>
        <w:rPr>
          <w:spacing w:val="-1"/>
        </w:rPr>
        <w:t>极的反馈。CloudFence云防线将以“公有云”及“私有云”两种模式推广，是公司在安全运营方面探索出</w:t>
      </w:r>
      <w:r>
        <w:rPr>
          <w:spacing w:val="-80"/>
        </w:rPr>
        <w:t> </w:t>
      </w:r>
      <w:r>
        <w:rPr>
          <w:spacing w:val="-80"/>
        </w:rPr>
      </w:r>
      <w:r>
        <w:rPr/>
        <w:t>的新方向。</w:t>
      </w:r>
    </w:p>
    <w:p>
      <w:pPr>
        <w:pStyle w:val="BodyText"/>
        <w:spacing w:line="331" w:lineRule="auto" w:before="28"/>
        <w:ind w:left="574" w:right="210" w:hanging="1"/>
        <w:jc w:val="left"/>
      </w:pPr>
      <w:r>
        <w:rPr>
          <w:rFonts w:ascii="Times New Roman" w:hAnsi="Times New Roman" w:cs="Times New Roman" w:eastAsia="Times New Roman" w:hint="default"/>
        </w:rPr>
        <w:t>3</w:t>
      </w:r>
      <w:r>
        <w:rPr/>
        <w:t>、公司管理方面 </w:t>
      </w:r>
      <w:r>
        <w:rPr>
          <w:spacing w:val="-10"/>
        </w:rPr>
        <w:t>报告期内，公司董事会根据《公司法》、《证券法》、《创业板上市公司规范运作指引》等法律法规的要</w:t>
      </w:r>
    </w:p>
    <w:p>
      <w:pPr>
        <w:pStyle w:val="BodyText"/>
        <w:spacing w:line="350" w:lineRule="auto" w:before="45"/>
        <w:ind w:left="153" w:right="102"/>
        <w:jc w:val="left"/>
      </w:pPr>
      <w:r>
        <w:rPr>
          <w:spacing w:val="-10"/>
        </w:rPr>
        <w:t>求，不断加强公司治理，完善法人治理结构，并制定了《股东大会议事规则》、《董事会议事规则》、《监事</w:t>
      </w:r>
      <w:r>
        <w:rPr>
          <w:spacing w:val="-71"/>
        </w:rPr>
        <w:t> </w:t>
      </w:r>
      <w:r>
        <w:rPr>
          <w:spacing w:val="-71"/>
        </w:rPr>
      </w:r>
      <w:r>
        <w:rPr>
          <w:spacing w:val="-14"/>
        </w:rPr>
        <w:t>会议事规则》、《独立董事年报工作制度》、《内幕信息知情人登记与外部报送管理制度》、《年度报告信息披</w:t>
      </w:r>
      <w:r>
        <w:rPr>
          <w:spacing w:val="-77"/>
        </w:rPr>
        <w:t> </w:t>
      </w:r>
      <w:r>
        <w:rPr>
          <w:spacing w:val="-77"/>
        </w:rPr>
      </w:r>
      <w:r>
        <w:rPr/>
        <w:t>露重大差错责任追究管理制度》等制度。另外，公司结合自身生产经营的需要，建立了一套较为健全的内</w:t>
      </w:r>
      <w:r>
        <w:rPr/>
        <w:t> </w:t>
      </w:r>
      <w:r>
        <w:rPr>
          <w:spacing w:val="-3"/>
        </w:rPr>
        <w:t>部控制体系，并得到了有效的执行。此外，公司上市后严格按照监管机构的要求，积极履行信息披露义务。</w:t>
      </w:r>
      <w:r>
        <w:rPr>
          <w:spacing w:val="-95"/>
        </w:rPr>
        <w:t> </w:t>
      </w:r>
      <w:r>
        <w:rPr>
          <w:spacing w:val="-95"/>
        </w:rPr>
      </w:r>
      <w:r>
        <w:rPr/>
        <w:t>高度重视投资者关系管理工作，广泛听取投资者的意见，积极采纳有利的建议。同时，再者，公司积极响</w:t>
      </w:r>
      <w:r>
        <w:rPr/>
        <w:t> 应证监会的要求，更加重视对股东的回报，除建立了相关制度外，更注重对股东的持续回馈。</w:t>
      </w:r>
    </w:p>
    <w:p>
      <w:pPr>
        <w:pStyle w:val="BodyText"/>
        <w:spacing w:line="328" w:lineRule="auto" w:before="28"/>
        <w:ind w:left="573" w:right="102" w:firstLine="84"/>
        <w:jc w:val="left"/>
      </w:pPr>
      <w:r>
        <w:rPr>
          <w:rFonts w:ascii="Times New Roman" w:hAnsi="Times New Roman" w:cs="Times New Roman" w:eastAsia="Times New Roman" w:hint="default"/>
        </w:rPr>
        <w:t>4</w:t>
      </w:r>
      <w:r>
        <w:rPr/>
        <w:t>、人力资源方面 </w:t>
      </w:r>
      <w:r>
        <w:rPr>
          <w:spacing w:val="-1"/>
        </w:rPr>
        <w:t>为使公司的人力资源管理能够更好的适应和推动公司的快速发展，</w:t>
      </w:r>
      <w:r>
        <w:rPr>
          <w:rFonts w:ascii="Times New Roman" w:hAnsi="Times New Roman" w:cs="Times New Roman" w:eastAsia="Times New Roman" w:hint="default"/>
          <w:spacing w:val="-1"/>
        </w:rPr>
        <w:t>2012</w:t>
      </w:r>
      <w:r>
        <w:rPr>
          <w:spacing w:val="-1"/>
        </w:rPr>
        <w:t>年公司利用在创业板成功上市</w:t>
      </w:r>
    </w:p>
    <w:p>
      <w:pPr>
        <w:pStyle w:val="BodyText"/>
        <w:spacing w:line="348" w:lineRule="auto" w:before="24"/>
        <w:ind w:left="153" w:right="102"/>
        <w:jc w:val="left"/>
      </w:pPr>
      <w:r>
        <w:rPr>
          <w:spacing w:val="-1"/>
        </w:rPr>
        <w:t>的契机，加大对管理、技术研发、销售等各方面人才的引进。截止2012年底，公司员工人数增加至633人，</w:t>
      </w:r>
      <w:r>
        <w:rPr>
          <w:spacing w:val="-80"/>
        </w:rPr>
        <w:t> </w:t>
      </w:r>
      <w:r>
        <w:rPr>
          <w:spacing w:val="-80"/>
        </w:rPr>
      </w:r>
      <w:r>
        <w:rPr/>
        <w:t>其中大部分为技术及销售人员。高端技术人才的引进为募投项目的开展提供强有力的保证，销售人员的扩</w:t>
      </w:r>
      <w:r>
        <w:rPr/>
        <w:t> 充加快了全国布局的步伐。</w:t>
      </w:r>
    </w:p>
    <w:p>
      <w:pPr>
        <w:pStyle w:val="BodyText"/>
        <w:spacing w:line="348" w:lineRule="auto" w:before="31"/>
        <w:ind w:left="153" w:right="96" w:firstLine="420"/>
        <w:jc w:val="left"/>
      </w:pPr>
      <w:r>
        <w:rPr>
          <w:spacing w:val="-3"/>
        </w:rPr>
        <w:t>报告期内，公司聘请了专业的咨询公司为我们建立专业、高效的人力资源管理体系，打造了“标准化、</w:t>
      </w:r>
      <w:r>
        <w:rPr/>
        <w:t> 制度化、专业化、流程化”的人才建设体系，并规范了职务管理体系，员工可以通过技术、专业通道达到 与管理者同样的薪酬待遇，有效拓宽了技术人员的职业发展通道，极大地吸引和留住核心人才。</w:t>
      </w:r>
    </w:p>
    <w:p>
      <w:pPr>
        <w:pStyle w:val="BodyText"/>
        <w:spacing w:line="350" w:lineRule="auto" w:before="31"/>
        <w:ind w:left="153" w:right="211" w:firstLine="480"/>
        <w:jc w:val="both"/>
      </w:pPr>
      <w:r>
        <w:rPr/>
        <w:t>在绩效管理方面，2012</w:t>
      </w:r>
      <w:r>
        <w:rPr>
          <w:spacing w:val="1"/>
        </w:rPr>
        <w:t> </w:t>
      </w:r>
      <w:r>
        <w:rPr/>
        <w:t>年公司实施了有效的绩效管理，激发了广大员工的工作积极性、主动性和创</w:t>
      </w:r>
      <w:r>
        <w:rPr/>
        <w:t> </w:t>
      </w:r>
      <w:r>
        <w:rPr>
          <w:spacing w:val="-1"/>
        </w:rPr>
        <w:t>造力。通过优化完善岗位目标责任制，将绩效指标层层细化、分解到部门和个人，并加大了责任追究考核</w:t>
      </w:r>
      <w:r>
        <w:rPr>
          <w:spacing w:val="-82"/>
        </w:rPr>
        <w:t> </w:t>
      </w:r>
      <w:r>
        <w:rPr>
          <w:spacing w:val="-82"/>
        </w:rPr>
      </w:r>
      <w:r>
        <w:rPr>
          <w:spacing w:val="-1"/>
        </w:rPr>
        <w:t>力度，强化分配激励与约束的双重作用，通过进行持续沟通、有效指导，促进绩效指标的顺利完成，从而</w:t>
      </w:r>
      <w:r>
        <w:rPr>
          <w:spacing w:val="-83"/>
        </w:rPr>
        <w:t> </w:t>
      </w:r>
      <w:r>
        <w:rPr>
          <w:spacing w:val="-83"/>
        </w:rPr>
      </w:r>
      <w:r>
        <w:rPr/>
        <w:t>确保公司整体目标任务的实现。</w:t>
      </w:r>
    </w:p>
    <w:p>
      <w:pPr>
        <w:pStyle w:val="BodyText"/>
        <w:spacing w:line="240" w:lineRule="auto" w:before="28"/>
        <w:ind w:left="657" w:right="102"/>
        <w:jc w:val="left"/>
      </w:pPr>
      <w:r>
        <w:rPr>
          <w:rFonts w:ascii="Times New Roman" w:hAnsi="Times New Roman" w:cs="Times New Roman" w:eastAsia="Times New Roman" w:hint="default"/>
        </w:rPr>
        <w:t>5</w:t>
      </w:r>
      <w:r>
        <w:rPr/>
        <w:t>、知识产权方面</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86"/>
        <w:ind w:left="658" w:right="102"/>
        <w:jc w:val="left"/>
      </w:pPr>
      <w:r>
        <w:rPr>
          <w:rFonts w:ascii="Times New Roman" w:hAnsi="Times New Roman" w:cs="Times New Roman" w:eastAsia="Times New Roman" w:hint="default"/>
        </w:rPr>
        <w:t>2012</w:t>
      </w:r>
      <w:r>
        <w:rPr/>
        <w:t>年度，公司新增发明专利</w:t>
      </w:r>
      <w:r>
        <w:rPr>
          <w:rFonts w:ascii="Times New Roman" w:hAnsi="Times New Roman" w:cs="Times New Roman" w:eastAsia="Times New Roman" w:hint="default"/>
        </w:rPr>
        <w:t>9</w:t>
      </w:r>
      <w:r>
        <w:rPr/>
        <w:t>项尚有14项发明专利正在申请中。另外，新增软件著作权</w:t>
      </w:r>
      <w:r>
        <w:rPr>
          <w:rFonts w:ascii="Times New Roman" w:hAnsi="Times New Roman" w:cs="Times New Roman" w:eastAsia="Times New Roman" w:hint="default"/>
        </w:rPr>
        <w:t>14</w:t>
      </w:r>
      <w:r>
        <w:rPr/>
        <w:t>项。</w:t>
      </w:r>
    </w:p>
    <w:p>
      <w:pPr>
        <w:pStyle w:val="BodyText"/>
        <w:spacing w:line="331" w:lineRule="auto" w:before="109"/>
        <w:ind w:left="573" w:right="102" w:hanging="1"/>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、募投项目进展情况 </w:t>
      </w:r>
      <w:r>
        <w:rPr>
          <w:spacing w:val="-1"/>
        </w:rPr>
        <w:t>报告期内，公司积极推进募投项目的建设，截止2012年12月31日，公司已累计使用募集资金</w:t>
      </w:r>
      <w:r>
        <w:rPr>
          <w:rFonts w:ascii="Times New Roman" w:hAnsi="Times New Roman" w:cs="Times New Roman" w:eastAsia="Times New Roman" w:hint="default"/>
          <w:spacing w:val="-1"/>
        </w:rPr>
        <w:t>18,248.61</w:t>
      </w:r>
      <w:r>
        <w:rPr>
          <w:rFonts w:ascii="Times New Roman" w:hAnsi="Times New Roman" w:cs="Times New Roman" w:eastAsia="Times New Roman" w:hint="default"/>
        </w:rPr>
      </w:r>
    </w:p>
    <w:p>
      <w:pPr>
        <w:pStyle w:val="BodyText"/>
        <w:spacing w:line="328" w:lineRule="auto" w:before="20"/>
        <w:ind w:right="257"/>
        <w:jc w:val="left"/>
      </w:pPr>
      <w:r>
        <w:rPr/>
        <w:t>万元，占募集资金总额的比例为</w:t>
      </w:r>
      <w:r>
        <w:rPr>
          <w:rFonts w:ascii="Times New Roman" w:hAnsi="Times New Roman" w:cs="Times New Roman" w:eastAsia="Times New Roman" w:hint="default"/>
        </w:rPr>
        <w:t>51.73%</w:t>
      </w:r>
      <w:r>
        <w:rPr/>
        <w:t>。募集资金主要用于以下6个募投项目的建设，报告期内，募投项 目实施情况与计划进度基本一致，具体开发进度如下：</w:t>
      </w:r>
    </w:p>
    <w:p>
      <w:pPr>
        <w:pStyle w:val="BodyText"/>
        <w:spacing w:line="240" w:lineRule="auto" w:before="48"/>
        <w:ind w:left="574" w:right="102"/>
        <w:jc w:val="left"/>
      </w:pPr>
      <w:r>
        <w:rPr/>
        <w:t>（1）全网综合监控审计平台项目</w:t>
      </w:r>
    </w:p>
    <w:p>
      <w:pPr>
        <w:pStyle w:val="BodyText"/>
        <w:spacing w:line="350" w:lineRule="auto" w:before="125"/>
        <w:ind w:right="188" w:firstLine="420"/>
        <w:jc w:val="both"/>
      </w:pPr>
      <w:r>
        <w:rPr/>
        <w:t>第一阶段工作于 2012</w:t>
      </w:r>
      <w:r>
        <w:rPr>
          <w:spacing w:val="-24"/>
        </w:rPr>
        <w:t> </w:t>
      </w:r>
      <w:r>
        <w:rPr/>
        <w:t>年底完成，主要是在蓝盾公司监控和审计产品的基础上进行重新产品定位和技</w:t>
      </w:r>
      <w:r>
        <w:rPr/>
        <w:t> </w:t>
      </w:r>
      <w:r>
        <w:rPr>
          <w:spacing w:val="-1"/>
        </w:rPr>
        <w:t>术改造形成的全新信息安全管理产品。该项目从已有的产品中归纳出体系共性并创新的提出了新的平台体</w:t>
      </w:r>
      <w:r>
        <w:rPr>
          <w:spacing w:val="-81"/>
        </w:rPr>
        <w:t> </w:t>
      </w:r>
      <w:r>
        <w:rPr>
          <w:spacing w:val="-81"/>
        </w:rPr>
      </w:r>
      <w:r>
        <w:rPr>
          <w:spacing w:val="-1"/>
        </w:rPr>
        <w:t>系架构。网络行为审计模块性能提升达到了千兆审计的标准。完成了多级互联功能，为基于全网从网络监</w:t>
      </w:r>
      <w:r>
        <w:rPr>
          <w:spacing w:val="-83"/>
        </w:rPr>
        <w:t> </w:t>
      </w:r>
      <w:r>
        <w:rPr>
          <w:spacing w:val="-83"/>
        </w:rPr>
      </w:r>
      <w:r>
        <w:rPr/>
        <w:t>听，插件报警过渡到可扩展的大型分布式高性能实时监控审计平台整体架构搭建和设计提供了技术支撑。</w:t>
      </w:r>
    </w:p>
    <w:p>
      <w:pPr>
        <w:pStyle w:val="BodyText"/>
        <w:spacing w:line="350" w:lineRule="auto" w:before="28"/>
        <w:ind w:left="153" w:right="102" w:firstLine="525"/>
        <w:jc w:val="left"/>
      </w:pPr>
      <w:r>
        <w:rPr/>
        <w:t>2013年下半年，公司将完成第二阶段的开发并正式投产。主要与已有的网络行为审计系统与账号集 </w:t>
      </w:r>
      <w:r>
        <w:rPr>
          <w:spacing w:val="-8"/>
        </w:rPr>
        <w:t>中管理系统的数据、界面相整合，完成桌面安全，主机审计，身份对接（用户上网账号与身份证信息对接），</w:t>
      </w:r>
      <w:r>
        <w:rPr>
          <w:spacing w:val="-60"/>
        </w:rPr>
        <w:t> </w:t>
      </w:r>
      <w:r>
        <w:rPr>
          <w:spacing w:val="-60"/>
        </w:rPr>
      </w:r>
      <w:r>
        <w:rPr/>
        <w:t>内网安全和内网管理、网络信息审计模块、上报管理模块、敏感信息外泄审计等功能模块的开发。新增内</w:t>
      </w:r>
      <w:r>
        <w:rPr/>
        <w:t> </w:t>
      </w:r>
      <w:r>
        <w:rPr>
          <w:spacing w:val="-3"/>
        </w:rPr>
        <w:t>网违规审计，针对终端用户的违规操作行为进行审计（如多次大范围扫描服务器等），并加以阻断；木马</w:t>
      </w:r>
      <w:r>
        <w:rPr>
          <w:spacing w:val="-74"/>
        </w:rPr>
        <w:t> </w:t>
      </w:r>
      <w:r>
        <w:rPr>
          <w:spacing w:val="-74"/>
        </w:rPr>
      </w:r>
      <w:r>
        <w:rPr/>
        <w:t>库，基于木马库识别木马；审计无界，自由门等类型翻墙软件等功能。</w:t>
      </w:r>
    </w:p>
    <w:p>
      <w:pPr>
        <w:pStyle w:val="BodyText"/>
        <w:spacing w:line="240" w:lineRule="auto" w:before="28"/>
        <w:ind w:left="574" w:right="102"/>
        <w:jc w:val="left"/>
      </w:pPr>
      <w:r>
        <w:rPr/>
        <w:t>（2）</w:t>
      </w:r>
      <w:r>
        <w:rPr>
          <w:rFonts w:ascii="Times New Roman" w:hAnsi="Times New Roman" w:cs="Times New Roman" w:eastAsia="Times New Roman" w:hint="default"/>
        </w:rPr>
        <w:t>UltraUTM</w:t>
      </w:r>
      <w:r>
        <w:rPr/>
        <w:t>统一安全网关项目</w:t>
      </w:r>
    </w:p>
    <w:p>
      <w:pPr>
        <w:pStyle w:val="BodyText"/>
        <w:spacing w:line="350" w:lineRule="auto" w:before="109"/>
        <w:ind w:left="153" w:right="210" w:firstLine="420"/>
        <w:jc w:val="right"/>
      </w:pPr>
      <w:r>
        <w:rPr/>
        <w:t>UltraUTM</w:t>
      </w:r>
      <w:r>
        <w:rPr>
          <w:spacing w:val="-51"/>
        </w:rPr>
        <w:t> </w:t>
      </w:r>
      <w:r>
        <w:rPr/>
        <w:t>统一安全网关将原有基于</w:t>
      </w:r>
      <w:r>
        <w:rPr>
          <w:spacing w:val="-52"/>
        </w:rPr>
        <w:t> </w:t>
      </w:r>
      <w:r>
        <w:rPr/>
        <w:t>X86</w:t>
      </w:r>
      <w:r>
        <w:rPr>
          <w:spacing w:val="-51"/>
        </w:rPr>
        <w:t> </w:t>
      </w:r>
      <w:r>
        <w:rPr/>
        <w:t>架构的全线网关产品改造为多核架构(基于</w:t>
      </w:r>
      <w:r>
        <w:rPr>
          <w:spacing w:val="-52"/>
        </w:rPr>
        <w:t> </w:t>
      </w:r>
      <w:r>
        <w:rPr/>
        <w:t>Cavium</w:t>
      </w:r>
      <w:r>
        <w:rPr>
          <w:spacing w:val="-9"/>
        </w:rPr>
        <w:t> </w:t>
      </w:r>
      <w:r>
        <w:rPr/>
        <w:t>Octeon</w:t>
      </w:r>
      <w:r>
        <w:rPr>
          <w:spacing w:val="-52"/>
        </w:rPr>
        <w:t> </w:t>
      </w:r>
      <w:r>
        <w:rPr/>
        <w:t>芯</w:t>
      </w:r>
      <w:r>
        <w:rPr/>
        <w:t> </w:t>
      </w:r>
      <w:r>
        <w:rPr>
          <w:spacing w:val="-12"/>
        </w:rPr>
        <w:t>片架构)，实现性能的整体提高和降低能耗，减少成本。最终采用</w:t>
      </w:r>
      <w:r>
        <w:rPr>
          <w:spacing w:val="-69"/>
        </w:rPr>
        <w:t> </w:t>
      </w:r>
      <w:r>
        <w:rPr/>
        <w:t>MIPS</w:t>
      </w:r>
      <w:r>
        <w:rPr>
          <w:spacing w:val="-67"/>
        </w:rPr>
        <w:t> </w:t>
      </w:r>
      <w:r>
        <w:rPr>
          <w:spacing w:val="-8"/>
        </w:rPr>
        <w:t>多核硬件平台（硬件主要是基于</w:t>
      </w:r>
      <w:r>
        <w:rPr>
          <w:spacing w:val="-69"/>
        </w:rPr>
        <w:t> </w:t>
      </w:r>
      <w:r>
        <w:rPr/>
        <w:t>Cavium</w:t>
      </w:r>
      <w:r>
        <w:rPr/>
        <w:t> </w:t>
      </w:r>
      <w:r>
        <w:rPr>
          <w:spacing w:val="-1"/>
        </w:rPr>
        <w:t>OCTEON（千兆/万兆）和</w:t>
      </w:r>
      <w:r>
        <w:rPr>
          <w:spacing w:val="-27"/>
        </w:rPr>
        <w:t> </w:t>
      </w:r>
      <w:r>
        <w:rPr/>
        <w:t>Intel</w:t>
      </w:r>
      <w:r>
        <w:rPr>
          <w:spacing w:val="9"/>
        </w:rPr>
        <w:t> </w:t>
      </w:r>
      <w:r>
        <w:rPr/>
        <w:t>IXP</w:t>
      </w:r>
      <w:r>
        <w:rPr>
          <w:spacing w:val="-27"/>
        </w:rPr>
        <w:t> </w:t>
      </w:r>
      <w:r>
        <w:rPr>
          <w:spacing w:val="-11"/>
        </w:rPr>
        <w:t>处理器的网络平台硬件（百兆/千兆）），作为</w:t>
      </w:r>
      <w:r>
        <w:rPr>
          <w:spacing w:val="-26"/>
        </w:rPr>
        <w:t> </w:t>
      </w:r>
      <w:r>
        <w:rPr/>
        <w:t>UltraUTM</w:t>
      </w:r>
      <w:r>
        <w:rPr>
          <w:spacing w:val="-26"/>
        </w:rPr>
        <w:t> </w:t>
      </w:r>
      <w:r>
        <w:rPr>
          <w:spacing w:val="-1"/>
        </w:rPr>
        <w:t>的硬件平台。</w:t>
      </w:r>
      <w:r>
        <w:rPr/>
        <w:t> 核心系统程序改造，针对原有边界安全产品的操作系统进行改造，选择多核平台及配套</w:t>
      </w:r>
      <w:r>
        <w:rPr>
          <w:spacing w:val="-65"/>
        </w:rPr>
        <w:t> </w:t>
      </w:r>
      <w:r>
        <w:rPr/>
        <w:t>SDK</w:t>
      </w:r>
      <w:r>
        <w:rPr>
          <w:spacing w:val="-65"/>
        </w:rPr>
        <w:t> </w:t>
      </w:r>
      <w:r>
        <w:rPr/>
        <w:t>开发包，进行</w:t>
      </w:r>
      <w:r>
        <w:rPr/>
        <w:t> 核心程序（蓝盾安全操作系统及内核各个基础模块）的改造升级。2012</w:t>
      </w:r>
      <w:r>
        <w:rPr>
          <w:spacing w:val="-67"/>
        </w:rPr>
        <w:t> </w:t>
      </w:r>
      <w:r>
        <w:rPr/>
        <w:t>年</w:t>
      </w:r>
      <w:r>
        <w:rPr>
          <w:spacing w:val="-69"/>
        </w:rPr>
        <w:t> </w:t>
      </w:r>
      <w:r>
        <w:rPr/>
        <w:t>11</w:t>
      </w:r>
      <w:r>
        <w:rPr>
          <w:spacing w:val="-67"/>
        </w:rPr>
        <w:t> </w:t>
      </w:r>
      <w:r>
        <w:rPr/>
        <w:t>月上述开发工作已经完成。</w:t>
      </w:r>
      <w:r>
        <w:rPr>
          <w:spacing w:val="-1"/>
        </w:rPr>
        <w:t> 第二阶段除完成已有功能升级外，着重智能防御模块，向导模块、在线帮助模块、报表预警模块、功</w:t>
      </w:r>
      <w:r>
        <w:rPr/>
        <w:t> </w:t>
      </w:r>
      <w:r>
        <w:rPr>
          <w:spacing w:val="-1"/>
        </w:rPr>
        <w:t>能实时更新模块共四个模块研发。同时开发产品人性化的配置向导功能，以及多种动态报表。预计开发工</w:t>
      </w:r>
    </w:p>
    <w:p>
      <w:pPr>
        <w:pStyle w:val="BodyText"/>
        <w:spacing w:line="348" w:lineRule="auto" w:before="29"/>
        <w:ind w:left="153" w:right="102"/>
        <w:jc w:val="left"/>
      </w:pPr>
      <w:r>
        <w:rPr>
          <w:spacing w:val="-3"/>
        </w:rPr>
        <w:t>作包含4D-UTM体系架构研发升级；功能实时更新功能模块及违规行为检查模块，威胁及敏感信息监控模块，</w:t>
      </w:r>
      <w:r>
        <w:rPr>
          <w:spacing w:val="-84"/>
        </w:rPr>
        <w:t> </w:t>
      </w:r>
      <w:r>
        <w:rPr>
          <w:spacing w:val="-84"/>
        </w:rPr>
      </w:r>
      <w:r>
        <w:rPr/>
        <w:t>流量行为统计模块等开发工作。该项目预计2013下半年完成整体开发并正式投产。</w:t>
      </w:r>
    </w:p>
    <w:p>
      <w:pPr>
        <w:pStyle w:val="BodyText"/>
        <w:spacing w:line="240" w:lineRule="auto" w:before="30"/>
        <w:ind w:left="573" w:right="102"/>
        <w:jc w:val="left"/>
      </w:pPr>
      <w:r>
        <w:rPr/>
        <w:t>（3）服务器安全综合监测平台项目</w:t>
      </w:r>
    </w:p>
    <w:p>
      <w:pPr>
        <w:pStyle w:val="BodyText"/>
        <w:spacing w:line="350" w:lineRule="auto" w:before="126"/>
        <w:ind w:left="153" w:right="96" w:firstLine="420"/>
        <w:jc w:val="left"/>
      </w:pPr>
      <w:r>
        <w:rPr/>
        <w:t>该项目分两个阶段进行开发。第一阶段升级原有</w:t>
      </w:r>
      <w:r>
        <w:rPr>
          <w:spacing w:val="-66"/>
        </w:rPr>
        <w:t> </w:t>
      </w:r>
      <w:r>
        <w:rPr/>
        <w:t>IIS</w:t>
      </w:r>
      <w:r>
        <w:rPr>
          <w:spacing w:val="-66"/>
        </w:rPr>
        <w:t> </w:t>
      </w:r>
      <w:r>
        <w:rPr/>
        <w:t>服务器监控代理和</w:t>
      </w:r>
      <w:r>
        <w:rPr>
          <w:spacing w:val="-66"/>
        </w:rPr>
        <w:t> </w:t>
      </w:r>
      <w:r>
        <w:rPr/>
        <w:t>Apache</w:t>
      </w:r>
      <w:r>
        <w:rPr>
          <w:spacing w:val="-66"/>
        </w:rPr>
        <w:t> </w:t>
      </w:r>
      <w:r>
        <w:rPr/>
        <w:t>服务器监控代理功能；</w:t>
      </w:r>
      <w:r>
        <w:rPr>
          <w:spacing w:val="-1"/>
        </w:rPr>
        <w:t> </w:t>
      </w:r>
      <w:r>
        <w:rPr>
          <w:spacing w:val="-2"/>
        </w:rPr>
        <w:t>包含服务器安全检测功能（检测</w:t>
      </w:r>
      <w:r>
        <w:rPr>
          <w:spacing w:val="-36"/>
        </w:rPr>
        <w:t> </w:t>
      </w:r>
      <w:r>
        <w:rPr/>
        <w:t>SQL</w:t>
      </w:r>
      <w:r>
        <w:rPr>
          <w:spacing w:val="-34"/>
        </w:rPr>
        <w:t> </w:t>
      </w:r>
      <w:r>
        <w:rPr>
          <w:spacing w:val="-11"/>
        </w:rPr>
        <w:t>注入、挂马、漏洞、配置）；网页安全功能（网页防篡改、进程保护）；</w:t>
      </w:r>
      <w:r>
        <w:rPr>
          <w:spacing w:val="-101"/>
        </w:rPr>
        <w:t> </w:t>
      </w:r>
      <w:r>
        <w:rPr>
          <w:spacing w:val="-101"/>
        </w:rPr>
      </w:r>
      <w:r>
        <w:rPr/>
        <w:t>根据管理中心下发的策略对用户连接进行监视；动作下发模块，策略库管理模块。策略下发模块，匹配入</w:t>
      </w:r>
      <w:r>
        <w:rPr/>
        <w:t> 库模块。截止</w:t>
      </w:r>
      <w:r>
        <w:rPr>
          <w:spacing w:val="-54"/>
        </w:rPr>
        <w:t> </w:t>
      </w:r>
      <w:r>
        <w:rPr/>
        <w:t>2012</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日，上述开发工作已经完成。</w:t>
      </w:r>
    </w:p>
    <w:p>
      <w:pPr>
        <w:pStyle w:val="BodyText"/>
        <w:spacing w:line="350" w:lineRule="auto" w:before="28"/>
        <w:ind w:left="153" w:right="209" w:firstLine="420"/>
        <w:jc w:val="both"/>
      </w:pPr>
      <w:r>
        <w:rPr>
          <w:spacing w:val="-1"/>
        </w:rPr>
        <w:t>第二阶段工作包含分析管理，分析关联，报警和预警模块。在功能开发上，该项目将新增用户操作管</w:t>
      </w:r>
      <w:r>
        <w:rPr/>
        <w:t> 理模块，支持多账号管理，支持多用户登录 IP</w:t>
      </w:r>
      <w:r>
        <w:rPr>
          <w:spacing w:val="-23"/>
        </w:rPr>
        <w:t> </w:t>
      </w:r>
      <w:r>
        <w:rPr/>
        <w:t>限制，后台页面访问控制和支持用户远程管理功能；备份</w:t>
      </w:r>
      <w:r>
        <w:rPr/>
        <w:t> 管理模块，支持云中心备份，网站可通过设置定时上传到云后台备份中心，加密存储，并通过 ukey</w:t>
      </w:r>
      <w:r>
        <w:rPr>
          <w:spacing w:val="-25"/>
        </w:rPr>
        <w:t> </w:t>
      </w:r>
      <w:r>
        <w:rPr/>
        <w:t>认证</w:t>
      </w:r>
      <w:r>
        <w:rPr/>
        <w:t> 读取；只能防御模块，可以做到对服务器进程黑白名单许可控制，CPU</w:t>
      </w:r>
      <w:r>
        <w:rPr>
          <w:spacing w:val="-68"/>
        </w:rPr>
        <w:t> </w:t>
      </w:r>
      <w:r>
        <w:rPr/>
        <w:t>内存硬盘状态监控，注册表监控报</w:t>
      </w:r>
    </w:p>
    <w:p>
      <w:pPr>
        <w:spacing w:after="0" w:line="350"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警，异常检测，流量检测，防渗透和蜜罐功能。预计</w:t>
      </w:r>
      <w:r>
        <w:rPr>
          <w:spacing w:val="-73"/>
        </w:rPr>
        <w:t> </w:t>
      </w:r>
      <w:r>
        <w:rPr/>
        <w:t>2013</w:t>
      </w:r>
      <w:r>
        <w:rPr>
          <w:spacing w:val="-73"/>
        </w:rPr>
        <w:t> </w:t>
      </w:r>
      <w:r>
        <w:rPr/>
        <w:t>下半年完成整体开发并正式投产。</w:t>
      </w:r>
    </w:p>
    <w:p>
      <w:pPr>
        <w:pStyle w:val="BodyText"/>
        <w:spacing w:line="240" w:lineRule="auto" w:before="125"/>
        <w:ind w:left="574" w:right="0"/>
        <w:jc w:val="left"/>
      </w:pPr>
      <w:r>
        <w:rPr/>
        <w:t>（4）</w:t>
      </w:r>
      <w:r>
        <w:rPr>
          <w:rFonts w:ascii="Times New Roman" w:hAnsi="Times New Roman" w:cs="Times New Roman" w:eastAsia="Times New Roman" w:hint="default"/>
        </w:rPr>
        <w:t>NxSOC</w:t>
      </w:r>
      <w:r>
        <w:rPr/>
        <w:t>新一代安全综合运维管理平台项目</w:t>
      </w:r>
    </w:p>
    <w:p>
      <w:pPr>
        <w:pStyle w:val="BodyText"/>
        <w:spacing w:line="350" w:lineRule="auto" w:before="110"/>
        <w:ind w:left="153" w:right="128" w:firstLine="420"/>
        <w:jc w:val="both"/>
      </w:pPr>
      <w:r>
        <w:rPr/>
        <w:t>2012</w:t>
      </w:r>
      <w:r>
        <w:rPr>
          <w:spacing w:val="-33"/>
        </w:rPr>
        <w:t> </w:t>
      </w:r>
      <w:r>
        <w:rPr/>
        <w:t>年</w:t>
      </w:r>
      <w:r>
        <w:rPr>
          <w:spacing w:val="-33"/>
        </w:rPr>
        <w:t> </w:t>
      </w:r>
      <w:r>
        <w:rPr/>
        <w:t>10</w:t>
      </w:r>
      <w:r>
        <w:rPr>
          <w:spacing w:val="-34"/>
        </w:rPr>
        <w:t> </w:t>
      </w:r>
      <w:r>
        <w:rPr/>
        <w:t>月底，NxSOC</w:t>
      </w:r>
      <w:r>
        <w:rPr>
          <w:spacing w:val="-33"/>
        </w:rPr>
        <w:t> </w:t>
      </w:r>
      <w:r>
        <w:rPr/>
        <w:t>新一代安全综合运维管理平台完成第一阶段开发工作。主要依托蓝盾安全综</w:t>
      </w:r>
      <w:r>
        <w:rPr/>
        <w:t> </w:t>
      </w:r>
      <w:r>
        <w:rPr>
          <w:spacing w:val="-1"/>
        </w:rPr>
        <w:t>合管理平台系统的基础，在原有事件管理、异常监控（流量，连接数，接口）、风险管理（风险措施）功</w:t>
      </w:r>
      <w:r>
        <w:rPr>
          <w:spacing w:val="-94"/>
        </w:rPr>
        <w:t> </w:t>
      </w:r>
      <w:r>
        <w:rPr>
          <w:spacing w:val="-94"/>
        </w:rPr>
      </w:r>
      <w:r>
        <w:rPr>
          <w:spacing w:val="-1"/>
        </w:rPr>
        <w:t>能的基础上进行必要的升级。同时新增资产管理模块和应急管理模块，在资产管理模块中完善了资产运维</w:t>
      </w:r>
      <w:r>
        <w:rPr>
          <w:spacing w:val="-81"/>
        </w:rPr>
        <w:t> </w:t>
      </w:r>
      <w:r>
        <w:rPr>
          <w:spacing w:val="-81"/>
        </w:rPr>
      </w:r>
      <w:r>
        <w:rPr/>
        <w:t>信息，应急管理模块实现了应急预案管理功能。第二阶段开发将包含行为及信息监控模块；知识库管理， </w:t>
      </w:r>
      <w:r>
        <w:rPr>
          <w:spacing w:val="-1"/>
        </w:rPr>
        <w:t>脆弱性管理，黑客追踪，平台监控，配置管理等项目要求的模块功能；开发流量管理功能模块；新增流量</w:t>
      </w:r>
      <w:r>
        <w:rPr>
          <w:spacing w:val="-83"/>
        </w:rPr>
        <w:t> </w:t>
      </w:r>
      <w:r>
        <w:rPr>
          <w:spacing w:val="-83"/>
        </w:rPr>
      </w:r>
      <w:r>
        <w:rPr/>
        <w:t>探针硬件设备和智能防御模块和智能巡检模块。项目预计</w:t>
      </w:r>
      <w:r>
        <w:rPr>
          <w:spacing w:val="-75"/>
        </w:rPr>
        <w:t> </w:t>
      </w:r>
      <w:r>
        <w:rPr/>
        <w:t>2013</w:t>
      </w:r>
      <w:r>
        <w:rPr>
          <w:spacing w:val="-74"/>
        </w:rPr>
        <w:t> </w:t>
      </w:r>
      <w:r>
        <w:rPr/>
        <w:t>下半年完成整体开发并正式投产。</w:t>
      </w:r>
    </w:p>
    <w:p>
      <w:pPr>
        <w:pStyle w:val="BodyText"/>
        <w:spacing w:line="348" w:lineRule="auto" w:before="29"/>
        <w:ind w:left="573" w:right="0"/>
        <w:jc w:val="left"/>
      </w:pPr>
      <w:r>
        <w:rPr/>
        <w:t>（5）研发及培训中心建设项目 </w:t>
      </w:r>
      <w:r>
        <w:rPr>
          <w:spacing w:val="-1"/>
        </w:rPr>
        <w:t>该项目主要进行云存储平台模块，信息安全实验室的设计开发，网络攻防试验室功能的开发工作。预</w:t>
      </w:r>
    </w:p>
    <w:p>
      <w:pPr>
        <w:pStyle w:val="BodyText"/>
        <w:spacing w:line="240" w:lineRule="auto" w:before="30"/>
        <w:ind w:left="153" w:right="0"/>
        <w:jc w:val="left"/>
      </w:pPr>
      <w:r>
        <w:rPr/>
        <w:t>计</w:t>
      </w:r>
      <w:r>
        <w:rPr>
          <w:spacing w:val="-62"/>
        </w:rPr>
        <w:t> </w:t>
      </w:r>
      <w:r>
        <w:rPr/>
        <w:t>2013</w:t>
      </w:r>
      <w:r>
        <w:rPr>
          <w:spacing w:val="-61"/>
        </w:rPr>
        <w:t> </w:t>
      </w:r>
      <w:r>
        <w:rPr/>
        <w:t>年底完成整体研发并投入生产。</w:t>
      </w:r>
    </w:p>
    <w:p>
      <w:pPr>
        <w:pStyle w:val="BodyText"/>
        <w:spacing w:line="348" w:lineRule="auto" w:before="126"/>
        <w:ind w:left="573" w:right="0"/>
        <w:jc w:val="left"/>
      </w:pPr>
      <w:r>
        <w:rPr/>
        <w:t>（6）互联网舆情分析系统 </w:t>
      </w:r>
      <w:r>
        <w:rPr>
          <w:spacing w:val="-1"/>
        </w:rPr>
        <w:t>该项目目前已经完成数据分析和舆情预警报警相关功能开发。建设中文分词库和采集信息源，设计并</w:t>
      </w:r>
    </w:p>
    <w:p>
      <w:pPr>
        <w:pStyle w:val="BodyText"/>
        <w:spacing w:line="350" w:lineRule="auto" w:before="30"/>
        <w:ind w:left="153" w:right="0"/>
        <w:jc w:val="left"/>
      </w:pPr>
      <w:r>
        <w:rPr>
          <w:spacing w:val="-1"/>
        </w:rPr>
        <w:t>开发文章权重分析、文章相似度分析、内容倾向性分析及根据文章倾向性的权重分析完成突发舆情自动预</w:t>
      </w:r>
      <w:r>
        <w:rPr>
          <w:spacing w:val="-81"/>
        </w:rPr>
        <w:t> </w:t>
      </w:r>
      <w:r>
        <w:rPr>
          <w:spacing w:val="-81"/>
        </w:rPr>
      </w:r>
      <w:r>
        <w:rPr/>
        <w:t>警的功能。下一步公司计划开发web展现模块相关功能，完成用户操作界面的设计开发，完成信息采集关</w:t>
      </w:r>
      <w:r>
        <w:rPr>
          <w:spacing w:val="-1"/>
        </w:rPr>
        <w:t> 键词设置及舆情预警设置等管理模块功能，完善中文分词库及采集信息源。预计2013年底完成整体研发并</w:t>
      </w:r>
      <w:r>
        <w:rPr>
          <w:spacing w:val="-81"/>
        </w:rPr>
        <w:t> </w:t>
      </w:r>
      <w:r>
        <w:rPr>
          <w:spacing w:val="-81"/>
        </w:rPr>
      </w:r>
      <w:r>
        <w:rPr/>
        <w:t>投产。</w:t>
      </w:r>
    </w:p>
    <w:p>
      <w:pPr>
        <w:pStyle w:val="BodyText"/>
        <w:spacing w:line="336" w:lineRule="auto" w:before="29"/>
        <w:ind w:left="153" w:right="136" w:firstLine="420"/>
        <w:jc w:val="left"/>
      </w:pPr>
      <w:r>
        <w:rPr>
          <w:spacing w:val="-4"/>
        </w:rPr>
        <w:t>另外，为合理利用超募资金，公司制定了超募资金使用计划：（</w:t>
      </w:r>
      <w:r>
        <w:rPr>
          <w:rFonts w:ascii="Times New Roman" w:hAnsi="Times New Roman" w:cs="Times New Roman" w:eastAsia="Times New Roman" w:hint="default"/>
          <w:spacing w:val="-4"/>
        </w:rPr>
        <w:t>1</w:t>
      </w:r>
      <w:r>
        <w:rPr>
          <w:spacing w:val="-4"/>
        </w:rPr>
        <w:t>）公司使用超募资金人民币</w:t>
      </w:r>
      <w:r>
        <w:rPr>
          <w:rFonts w:ascii="Times New Roman" w:hAnsi="Times New Roman" w:cs="Times New Roman" w:eastAsia="Times New Roman" w:hint="default"/>
          <w:spacing w:val="-4"/>
        </w:rPr>
        <w:t>2,800</w:t>
      </w:r>
      <w:r>
        <w:rPr>
          <w:spacing w:val="-4"/>
        </w:rPr>
        <w:t>万元</w:t>
      </w:r>
      <w:r>
        <w:rPr>
          <w:spacing w:val="1"/>
        </w:rPr>
        <w:t> </w:t>
      </w:r>
      <w:r>
        <w:rPr>
          <w:spacing w:val="-4"/>
        </w:rPr>
        <w:t>用于永久性补充流动资金。（</w:t>
      </w:r>
      <w:r>
        <w:rPr>
          <w:rFonts w:ascii="Times New Roman" w:hAnsi="Times New Roman" w:cs="Times New Roman" w:eastAsia="Times New Roman" w:hint="default"/>
          <w:spacing w:val="-4"/>
        </w:rPr>
        <w:t>2</w:t>
      </w:r>
      <w:r>
        <w:rPr>
          <w:spacing w:val="-4"/>
        </w:rPr>
        <w:t>）公司使用超募资金</w:t>
      </w:r>
      <w:r>
        <w:rPr>
          <w:rFonts w:ascii="Times New Roman" w:hAnsi="Times New Roman" w:cs="Times New Roman" w:eastAsia="Times New Roman" w:hint="default"/>
          <w:spacing w:val="-4"/>
        </w:rPr>
        <w:t>3,500</w:t>
      </w:r>
      <w:r>
        <w:rPr>
          <w:spacing w:val="-4"/>
        </w:rPr>
        <w:t>万元对子公司广东蓝盾信息安全技术有限公司进行</w:t>
      </w:r>
      <w:r>
        <w:rPr>
          <w:spacing w:val="-91"/>
        </w:rPr>
        <w:t> </w:t>
      </w:r>
      <w:r>
        <w:rPr>
          <w:spacing w:val="-91"/>
        </w:rPr>
      </w:r>
      <w:r>
        <w:rPr>
          <w:spacing w:val="-3"/>
        </w:rPr>
        <w:t>增资，用于建设互联网舆情分析平台项目。（</w:t>
      </w:r>
      <w:r>
        <w:rPr>
          <w:rFonts w:ascii="Times New Roman" w:hAnsi="Times New Roman" w:cs="Times New Roman" w:eastAsia="Times New Roman" w:hint="default"/>
          <w:spacing w:val="-3"/>
        </w:rPr>
        <w:t>3</w:t>
      </w:r>
      <w:r>
        <w:rPr>
          <w:spacing w:val="-3"/>
        </w:rPr>
        <w:t>）公司拟使用超募资金</w:t>
      </w:r>
      <w:r>
        <w:rPr>
          <w:rFonts w:ascii="Times New Roman" w:hAnsi="Times New Roman" w:cs="Times New Roman" w:eastAsia="Times New Roman" w:hint="default"/>
          <w:spacing w:val="-3"/>
        </w:rPr>
        <w:t>79,436,663.50</w:t>
      </w:r>
      <w:r>
        <w:rPr>
          <w:spacing w:val="-3"/>
        </w:rPr>
        <w:t>元建设蓝盾股份信息安</w:t>
      </w:r>
      <w:r>
        <w:rPr>
          <w:spacing w:val="-55"/>
        </w:rPr>
        <w:t> </w:t>
      </w:r>
      <w:r>
        <w:rPr/>
        <w:t>全产业基地。报告期内，公司合计使用超募资金</w:t>
      </w:r>
      <w:r>
        <w:rPr>
          <w:spacing w:val="-8"/>
        </w:rPr>
        <w:t> </w:t>
      </w:r>
      <w:r>
        <w:rPr>
          <w:rFonts w:ascii="Times New Roman" w:hAnsi="Times New Roman" w:cs="Times New Roman" w:eastAsia="Times New Roman" w:hint="default"/>
        </w:rPr>
        <w:t>11,958.99</w:t>
      </w:r>
      <w:r>
        <w:rPr/>
        <w:t>万元，占超募资金总额的比例为</w:t>
      </w:r>
      <w:r>
        <w:rPr>
          <w:rFonts w:ascii="Times New Roman" w:hAnsi="Times New Roman" w:cs="Times New Roman" w:eastAsia="Times New Roman" w:hint="default"/>
        </w:rPr>
        <w:t>83.96%</w:t>
      </w:r>
      <w:r>
        <w:rPr/>
        <w:t>。该工 程项目位于广州市天河区天河软件园高唐新区</w:t>
      </w:r>
      <w:r>
        <w:rPr>
          <w:rFonts w:ascii="Times New Roman" w:hAnsi="Times New Roman" w:cs="Times New Roman" w:eastAsia="Times New Roman" w:hint="default"/>
        </w:rPr>
        <w:t>AT0305147</w:t>
      </w:r>
      <w:r>
        <w:rPr/>
        <w:t>地块，由于该地块原为河流经过地，地质复杂， </w:t>
      </w:r>
      <w:r>
        <w:rPr>
          <w:spacing w:val="-5"/>
        </w:rPr>
        <w:t>为保障工程建设的安全，需增加相应的加固措施，同时为了提高蓝盾股份信息安全产业基地（以下简称“产</w:t>
      </w:r>
      <w:r>
        <w:rPr>
          <w:spacing w:val="-102"/>
        </w:rPr>
        <w:t> </w:t>
      </w:r>
      <w:r>
        <w:rPr>
          <w:spacing w:val="-102"/>
        </w:rPr>
      </w:r>
      <w:r>
        <w:rPr>
          <w:spacing w:val="-3"/>
        </w:rPr>
        <w:t>业基地”）的智能化管理水平，改善办公环境，提升公司形象，公司拟以自筹资金对产业基地进行追加投</w:t>
      </w:r>
      <w:r>
        <w:rPr>
          <w:spacing w:val="-74"/>
        </w:rPr>
        <w:t> </w:t>
      </w:r>
      <w:r>
        <w:rPr>
          <w:spacing w:val="-74"/>
        </w:rPr>
      </w:r>
      <w:r>
        <w:rPr/>
        <w:t>资，追加投资额为</w:t>
      </w:r>
      <w:r>
        <w:rPr>
          <w:rFonts w:ascii="Times New Roman" w:hAnsi="Times New Roman" w:cs="Times New Roman" w:eastAsia="Times New Roman" w:hint="default"/>
        </w:rPr>
        <w:t>4,640.38</w:t>
      </w:r>
      <w:r>
        <w:rPr/>
        <w:t>万元，追加后产业基地的总投资额为</w:t>
      </w:r>
      <w:r>
        <w:rPr>
          <w:rFonts w:ascii="Times New Roman" w:hAnsi="Times New Roman" w:cs="Times New Roman" w:eastAsia="Times New Roman" w:hint="default"/>
        </w:rPr>
        <w:t>17,698.77</w:t>
      </w:r>
      <w:r>
        <w:rPr/>
        <w:t>万元。同时，因追加投资的金额 较大，建设内容较多，设备安装及工程施工任务增加，项目建设完成时间调整为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月底。</w:t>
      </w:r>
    </w:p>
    <w:p>
      <w:pPr>
        <w:spacing w:line="240" w:lineRule="auto" w:before="11"/>
        <w:rPr>
          <w:rFonts w:ascii="宋体" w:hAnsi="宋体" w:cs="宋体" w:eastAsia="宋体" w:hint="default"/>
          <w:sz w:val="31"/>
          <w:szCs w:val="31"/>
        </w:rPr>
      </w:pPr>
    </w:p>
    <w:p>
      <w:pPr>
        <w:pStyle w:val="BodyText"/>
        <w:spacing w:line="350" w:lineRule="auto"/>
        <w:ind w:left="153" w:right="150" w:firstLine="420"/>
        <w:jc w:val="both"/>
      </w:pPr>
      <w:r>
        <w:rPr>
          <w:spacing w:val="-1"/>
        </w:rPr>
        <w:t>总体来说，报告期内，在董事会的正确领导下，公司管理层围绕年度经营计划开展了各项工作并取得</w:t>
      </w:r>
      <w:r>
        <w:rPr/>
        <w:t> </w:t>
      </w:r>
      <w:r>
        <w:rPr>
          <w:spacing w:val="-1"/>
        </w:rPr>
        <w:t>了一定的成效。未来，公司将进一步加大研发投入及技术创新，大力加强安全产品、安全集成、安全服务</w:t>
      </w:r>
      <w:r>
        <w:rPr>
          <w:spacing w:val="-83"/>
        </w:rPr>
        <w:t> </w:t>
      </w:r>
      <w:r>
        <w:rPr>
          <w:spacing w:val="-83"/>
        </w:rPr>
      </w:r>
      <w:r>
        <w:rPr/>
        <w:t>及运营的联动发展，进一步推进公司业绩的稳定增长。</w:t>
      </w:r>
    </w:p>
    <w:p>
      <w:pPr>
        <w:spacing w:after="0" w:line="35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二、报告期内主要经营情况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pStyle w:val="Heading3"/>
        <w:spacing w:line="240" w:lineRule="auto" w:before="141"/>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180,761,284.62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121,414,149.96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48.88%</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180,761,284.62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121,414,149.96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48.88%</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100,046,058.53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60,127,674.17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98,366,519.52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62,074,276.33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58.47%</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2,704,699.77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4,384,238.78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31,431,059.75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54,354,627.07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-42.17%</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31,431,059.75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54,354,627.07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-42.17%</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7,896,489.86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10,320,135.22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-23.48%</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7,896,489.86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10,320,135.22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-23.48%</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16,482,739.25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13,308,752.56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23.85%</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16,482,739.25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13,308,752.56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23.85%</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8,586,230.93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19,245,487.36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-55.39%</w:t>
            </w:r>
          </w:p>
        </w:tc>
      </w:tr>
      <w:tr>
        <w:trPr>
          <w:trHeight w:val="402"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8,586,230.93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19,245,487.36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-55.39%</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2"/>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公司重大的在手订单情况</w:t>
      </w:r>
    </w:p>
    <w:p>
      <w:pPr>
        <w:spacing w:line="348" w:lineRule="auto" w:before="43"/>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详见本报告第五节重大事项第七点重大合同及其履行情况 数量分散的订单情况</w:t>
      </w:r>
    </w:p>
    <w:p>
      <w:pPr>
        <w:spacing w:line="338" w:lineRule="auto" w:before="36"/>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110,208,524.82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70,716,990.35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44,123,786.95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23,143,709.09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19,289,832.08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34,966,666.90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4,694,221.78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5,692,141.01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9,892,317.30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5,886,701.84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3,988,187.82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12,928,818.02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192,196,870.75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153,335,027.21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31,272,929.26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19,823,233.80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57.76%</w:t>
            </w:r>
          </w:p>
        </w:tc>
        <w:tc>
          <w:tcPr>
            <w:tcW w:w="291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公司上市伊始，广告费、招待费等支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出增幅较大，另外，公司销售人员增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加，相应的工资薪酬支出较去年增加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较大。</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CE8CF"/>
          </w:tcPr>
          <w:p>
            <w:pPr/>
          </w:p>
        </w:tc>
      </w:tr>
      <w:tr>
        <w:trPr>
          <w:trHeight w:val="473" w:hRule="exact"/>
        </w:trPr>
        <w:tc>
          <w:tcPr>
            <w:tcW w:w="1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9"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57,223,331.43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47,015,737.55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w:t>
            </w:r>
          </w:p>
        </w:tc>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317" w:hRule="exact"/>
        </w:trPr>
        <w:tc>
          <w:tcPr>
            <w:tcW w:w="1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3,318,338.82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5,804,560.16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-42.83%</w:t>
            </w:r>
          </w:p>
        </w:tc>
        <w:tc>
          <w:tcPr>
            <w:tcW w:w="291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7"/>
              <w:jc w:val="both"/>
              <w:rPr>
                <w:rFonts w:ascii="宋体" w:hAnsi="宋体" w:cs="宋体" w:eastAsia="宋体" w:hint="default"/>
                <w:sz w:val="18"/>
                <w:szCs w:val="18"/>
              </w:rPr>
            </w:pPr>
            <w:r>
              <w:rPr>
                <w:rFonts w:ascii="宋体" w:hAnsi="宋体" w:cs="宋体" w:eastAsia="宋体" w:hint="default"/>
                <w:spacing w:val="11"/>
                <w:sz w:val="18"/>
                <w:szCs w:val="18"/>
              </w:rPr>
              <w:t>公司利用闲置的募集资金归还了去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年的贷款，今年新增的贷款均在下半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年产生，利息支出较去年减少。</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CE8CF"/>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9"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9,698,650.75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8,024,645.22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w:t>
            </w:r>
          </w:p>
        </w:tc>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68"/>
        <w:gridCol w:w="2740"/>
        <w:gridCol w:w="4297"/>
        <w:gridCol w:w="328"/>
        <w:gridCol w:w="1514"/>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研发目的</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sz w:val="20"/>
                <w:szCs w:val="20"/>
              </w:rPr>
              <w:t>进展情况</w:t>
            </w:r>
          </w:p>
        </w:tc>
      </w:tr>
      <w:tr>
        <w:trPr>
          <w:trHeight w:val="335"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1</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全网综合监控审计平台项目</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全网架构设计，实现基于全网的分布式高性能实</w:t>
            </w:r>
          </w:p>
        </w:tc>
        <w:tc>
          <w:tcPr>
            <w:tcW w:w="1842"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sz w:val="20"/>
                <w:szCs w:val="20"/>
              </w:rPr>
              <w:t>开发阶段</w:t>
            </w:r>
          </w:p>
        </w:tc>
      </w:tr>
      <w:tr>
        <w:trPr>
          <w:trHeight w:val="30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时监控审计；优化和升级现有性能，采用基于新</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宋体" w:hAnsi="宋体" w:cs="宋体" w:eastAsia="宋体" w:hint="default"/>
                <w:sz w:val="20"/>
                <w:szCs w:val="20"/>
              </w:rPr>
              <w:t>应用程序接口技术</w:t>
            </w:r>
            <w:r>
              <w:rPr>
                <w:rFonts w:ascii="Times New Roman" w:hAnsi="Times New Roman" w:cs="Times New Roman" w:eastAsia="Times New Roman" w:hint="default"/>
                <w:sz w:val="20"/>
                <w:szCs w:val="20"/>
              </w:rPr>
              <w:t>(NAPI)</w:t>
            </w:r>
            <w:r>
              <w:rPr>
                <w:rFonts w:ascii="宋体" w:hAnsi="宋体" w:cs="宋体" w:eastAsia="宋体" w:hint="default"/>
                <w:sz w:val="20"/>
                <w:szCs w:val="20"/>
              </w:rPr>
              <w:t>和内存映射技术</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MMAP</w:t>
            </w:r>
            <w:r>
              <w:rPr>
                <w:rFonts w:ascii="宋体" w:hAnsi="宋体" w:cs="宋体" w:eastAsia="宋体" w:hint="default"/>
                <w:sz w:val="20"/>
                <w:szCs w:val="20"/>
              </w:rPr>
              <w:t>）的数据包捕获处理机制，提高数据流</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23"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高速处理能力和大并发流量下的数据捕获效率；</w:t>
            </w:r>
          </w:p>
        </w:tc>
        <w:tc>
          <w:tcPr>
            <w:tcW w:w="1842" w:type="dxa"/>
            <w:gridSpan w:val="2"/>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2</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UltraUTM</w:t>
            </w:r>
            <w:r>
              <w:rPr>
                <w:rFonts w:ascii="宋体" w:hAnsi="宋体" w:cs="宋体" w:eastAsia="宋体" w:hint="default"/>
                <w:sz w:val="20"/>
                <w:szCs w:val="20"/>
              </w:rPr>
              <w:t>统一安全网关项目</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整合防火墙、虚拟专用网络（</w:t>
            </w:r>
            <w:r>
              <w:rPr>
                <w:rFonts w:ascii="Times New Roman" w:hAnsi="Times New Roman" w:cs="Times New Roman" w:eastAsia="Times New Roman" w:hint="default"/>
                <w:sz w:val="20"/>
                <w:szCs w:val="20"/>
              </w:rPr>
              <w:t>VPN</w:t>
            </w:r>
            <w:r>
              <w:rPr>
                <w:rFonts w:ascii="宋体" w:hAnsi="宋体" w:cs="宋体" w:eastAsia="宋体" w:hint="default"/>
                <w:sz w:val="20"/>
                <w:szCs w:val="20"/>
              </w:rPr>
              <w:t>）、流量管理</w:t>
            </w:r>
          </w:p>
        </w:tc>
        <w:tc>
          <w:tcPr>
            <w:tcW w:w="328" w:type="dxa"/>
            <w:tcBorders>
              <w:top w:val="single" w:sz="6" w:space="0" w:color="000000"/>
              <w:left w:val="single" w:sz="6" w:space="0" w:color="000000"/>
              <w:bottom w:val="nil" w:sz="6" w:space="0" w:color="auto"/>
              <w:right w:val="nil" w:sz="6" w:space="0" w:color="auto"/>
            </w:tcBorders>
          </w:tcPr>
          <w:p>
            <w:pPr/>
          </w:p>
        </w:tc>
        <w:tc>
          <w:tcPr>
            <w:tcW w:w="1514" w:type="dxa"/>
            <w:tcBorders>
              <w:top w:val="single" w:sz="6" w:space="0" w:color="000000"/>
              <w:left w:val="nil" w:sz="6" w:space="0" w:color="auto"/>
              <w:bottom w:val="nil" w:sz="6" w:space="0" w:color="auto"/>
              <w:right w:val="single" w:sz="6" w:space="0" w:color="000000"/>
            </w:tcBorders>
          </w:tcPr>
          <w:p>
            <w:pPr>
              <w:pStyle w:val="TableParagraph"/>
              <w:spacing w:line="240" w:lineRule="auto" w:before="5"/>
              <w:ind w:left="191" w:right="0"/>
              <w:jc w:val="left"/>
              <w:rPr>
                <w:rFonts w:ascii="宋体" w:hAnsi="宋体" w:cs="宋体" w:eastAsia="宋体" w:hint="default"/>
                <w:sz w:val="20"/>
                <w:szCs w:val="20"/>
              </w:rPr>
            </w:pPr>
            <w:r>
              <w:rPr>
                <w:rFonts w:ascii="宋体" w:hAnsi="宋体" w:cs="宋体" w:eastAsia="宋体" w:hint="default"/>
                <w:sz w:val="20"/>
                <w:szCs w:val="20"/>
              </w:rPr>
              <w:t>开发阶段</w:t>
            </w: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spacing w:val="-12"/>
                <w:sz w:val="20"/>
                <w:szCs w:val="20"/>
              </w:rPr>
              <w:t>（</w:t>
            </w:r>
            <w:r>
              <w:rPr>
                <w:rFonts w:ascii="Times New Roman" w:hAnsi="Times New Roman" w:cs="Times New Roman" w:eastAsia="Times New Roman" w:hint="default"/>
                <w:spacing w:val="-12"/>
                <w:sz w:val="20"/>
                <w:szCs w:val="20"/>
              </w:rPr>
              <w:t>QoS</w:t>
            </w:r>
            <w:r>
              <w:rPr>
                <w:rFonts w:ascii="宋体" w:hAnsi="宋体" w:cs="宋体" w:eastAsia="宋体" w:hint="default"/>
                <w:spacing w:val="-12"/>
                <w:sz w:val="20"/>
                <w:szCs w:val="20"/>
              </w:rPr>
              <w:t>）、网络加速、内容过滤、入侵防御（</w:t>
            </w:r>
            <w:r>
              <w:rPr>
                <w:rFonts w:ascii="Times New Roman" w:hAnsi="Times New Roman" w:cs="Times New Roman" w:eastAsia="Times New Roman" w:hint="default"/>
                <w:spacing w:val="-12"/>
                <w:sz w:val="20"/>
                <w:szCs w:val="20"/>
              </w:rPr>
              <w:t>IPS</w:t>
            </w:r>
            <w:r>
              <w:rPr>
                <w:rFonts w:ascii="宋体" w:hAnsi="宋体" w:cs="宋体" w:eastAsia="宋体" w:hint="default"/>
                <w:spacing w:val="-12"/>
                <w:sz w:val="20"/>
                <w:szCs w:val="20"/>
              </w:rPr>
              <w:t>）</w:t>
            </w:r>
            <w:r>
              <w:rPr>
                <w:rFonts w:ascii="宋体" w:hAnsi="宋体" w:cs="宋体" w:eastAsia="宋体" w:hint="default"/>
                <w:sz w:val="20"/>
                <w:szCs w:val="20"/>
              </w:rPr>
            </w:r>
          </w:p>
        </w:tc>
        <w:tc>
          <w:tcPr>
            <w:tcW w:w="328" w:type="dxa"/>
            <w:tcBorders>
              <w:top w:val="nil" w:sz="6" w:space="0" w:color="auto"/>
              <w:left w:val="single" w:sz="6" w:space="0" w:color="000000"/>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0"/>
                <w:szCs w:val="20"/>
              </w:rPr>
            </w:pPr>
            <w:r>
              <w:rPr>
                <w:rFonts w:ascii="宋体" w:hAnsi="宋体" w:cs="宋体" w:eastAsia="宋体" w:hint="default"/>
                <w:spacing w:val="-45"/>
                <w:w w:val="100"/>
                <w:sz w:val="20"/>
                <w:szCs w:val="20"/>
              </w:rPr>
              <w:t>、</w:t>
            </w:r>
            <w:r>
              <w:rPr>
                <w:rFonts w:ascii="宋体" w:hAnsi="宋体" w:cs="宋体" w:eastAsia="宋体" w:hint="default"/>
                <w:w w:val="100"/>
                <w:sz w:val="20"/>
                <w:szCs w:val="20"/>
              </w:rPr>
            </w:r>
          </w:p>
        </w:tc>
        <w:tc>
          <w:tcPr>
            <w:tcW w:w="1514" w:type="dxa"/>
            <w:tcBorders>
              <w:top w:val="nil" w:sz="6" w:space="0" w:color="auto"/>
              <w:left w:val="nil" w:sz="6" w:space="0" w:color="auto"/>
              <w:bottom w:val="nil" w:sz="6" w:space="0" w:color="auto"/>
              <w:right w:val="single" w:sz="6" w:space="0" w:color="000000"/>
            </w:tcBorders>
          </w:tcPr>
          <w:p>
            <w:pPr/>
          </w:p>
        </w:tc>
      </w:tr>
      <w:tr>
        <w:trPr>
          <w:trHeight w:val="30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防病毒、反垃圾邮件、网络异常监控等模块，并</w:t>
            </w:r>
          </w:p>
        </w:tc>
        <w:tc>
          <w:tcPr>
            <w:tcW w:w="328" w:type="dxa"/>
            <w:tcBorders>
              <w:top w:val="nil" w:sz="6" w:space="0" w:color="auto"/>
              <w:left w:val="single" w:sz="6" w:space="0" w:color="000000"/>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允许用户根据安全场景进行自定义配置。架构方</w:t>
            </w:r>
          </w:p>
        </w:tc>
        <w:tc>
          <w:tcPr>
            <w:tcW w:w="328" w:type="dxa"/>
            <w:tcBorders>
              <w:top w:val="nil" w:sz="6" w:space="0" w:color="auto"/>
              <w:left w:val="single" w:sz="6" w:space="0" w:color="000000"/>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single" w:sz="6" w:space="0" w:color="000000"/>
            </w:tcBorders>
          </w:tcPr>
          <w:p>
            <w:pPr/>
          </w:p>
        </w:tc>
      </w:tr>
      <w:tr>
        <w:trPr>
          <w:trHeight w:val="31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面由</w:t>
            </w:r>
            <w:r>
              <w:rPr>
                <w:rFonts w:ascii="Times New Roman" w:hAnsi="Times New Roman" w:cs="Times New Roman" w:eastAsia="Times New Roman" w:hint="default"/>
                <w:sz w:val="20"/>
                <w:szCs w:val="20"/>
              </w:rPr>
              <w:t>X86</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架构改造为多核架构</w:t>
            </w:r>
            <w:r>
              <w:rPr>
                <w:rFonts w:ascii="Times New Roman" w:hAnsi="Times New Roman" w:cs="Times New Roman" w:eastAsia="Times New Roman" w:hint="default"/>
                <w:sz w:val="20"/>
                <w:szCs w:val="20"/>
              </w:rPr>
              <w:t>(</w:t>
            </w:r>
            <w:r>
              <w:rPr>
                <w:rFonts w:ascii="宋体" w:hAnsi="宋体" w:cs="宋体" w:eastAsia="宋体" w:hint="default"/>
                <w:sz w:val="20"/>
                <w:szCs w:val="20"/>
              </w:rPr>
              <w:t>基于</w:t>
            </w:r>
            <w:r>
              <w:rPr>
                <w:rFonts w:ascii="Times New Roman" w:hAnsi="Times New Roman" w:cs="Times New Roman" w:eastAsia="Times New Roman" w:hint="default"/>
                <w:sz w:val="20"/>
                <w:szCs w:val="20"/>
              </w:rPr>
              <w:t>Cavium</w:t>
            </w:r>
          </w:p>
        </w:tc>
        <w:tc>
          <w:tcPr>
            <w:tcW w:w="328" w:type="dxa"/>
            <w:tcBorders>
              <w:top w:val="nil" w:sz="6" w:space="0" w:color="auto"/>
              <w:left w:val="single" w:sz="6" w:space="0" w:color="000000"/>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Octeon</w:t>
            </w:r>
            <w:r>
              <w:rPr>
                <w:rFonts w:ascii="Times New Roman" w:hAnsi="Times New Roman" w:cs="Times New Roman" w:eastAsia="Times New Roman" w:hint="default"/>
                <w:spacing w:val="47"/>
                <w:sz w:val="20"/>
                <w:szCs w:val="20"/>
              </w:rPr>
              <w:t> </w:t>
            </w:r>
            <w:r>
              <w:rPr>
                <w:rFonts w:ascii="宋体" w:hAnsi="宋体" w:cs="宋体" w:eastAsia="宋体" w:hint="default"/>
                <w:spacing w:val="-4"/>
                <w:sz w:val="20"/>
                <w:szCs w:val="20"/>
              </w:rPr>
              <w:t>芯片架构</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，降低产品能耗，实现产品整体</w:t>
            </w:r>
          </w:p>
        </w:tc>
        <w:tc>
          <w:tcPr>
            <w:tcW w:w="328" w:type="dxa"/>
            <w:tcBorders>
              <w:top w:val="nil" w:sz="6" w:space="0" w:color="auto"/>
              <w:left w:val="single" w:sz="6" w:space="0" w:color="000000"/>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single" w:sz="6" w:space="0" w:color="000000"/>
            </w:tcBorders>
          </w:tcPr>
          <w:p>
            <w:pPr/>
          </w:p>
        </w:tc>
      </w:tr>
      <w:tr>
        <w:trPr>
          <w:trHeight w:val="325"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性能的全面提升，减轻使用者的成本压力。</w:t>
            </w:r>
          </w:p>
        </w:tc>
        <w:tc>
          <w:tcPr>
            <w:tcW w:w="328" w:type="dxa"/>
            <w:tcBorders>
              <w:top w:val="nil" w:sz="6" w:space="0" w:color="auto"/>
              <w:left w:val="single" w:sz="6" w:space="0" w:color="000000"/>
              <w:bottom w:val="single" w:sz="6" w:space="0" w:color="000000"/>
              <w:right w:val="nil" w:sz="6" w:space="0" w:color="auto"/>
            </w:tcBorders>
          </w:tcPr>
          <w:p>
            <w:pPr/>
          </w:p>
        </w:tc>
        <w:tc>
          <w:tcPr>
            <w:tcW w:w="1514" w:type="dxa"/>
            <w:tcBorders>
              <w:top w:val="nil" w:sz="6" w:space="0" w:color="auto"/>
              <w:left w:val="nil" w:sz="6" w:space="0" w:color="auto"/>
              <w:bottom w:val="single" w:sz="6" w:space="0" w:color="000000"/>
              <w:right w:val="single" w:sz="6"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568"/>
        <w:gridCol w:w="2740"/>
        <w:gridCol w:w="4297"/>
        <w:gridCol w:w="155"/>
        <w:gridCol w:w="1687"/>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研发目的</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sz w:val="20"/>
                <w:szCs w:val="20"/>
              </w:rPr>
              <w:t>进展情况</w:t>
            </w:r>
          </w:p>
        </w:tc>
      </w:tr>
      <w:tr>
        <w:trPr>
          <w:trHeight w:val="335"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3</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服务器安全综合监测平台项目</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架构调整，将安全综合检测平台分为负责服务器</w:t>
            </w:r>
          </w:p>
        </w:tc>
        <w:tc>
          <w:tcPr>
            <w:tcW w:w="1842"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sz w:val="20"/>
                <w:szCs w:val="20"/>
              </w:rPr>
              <w:t>开发阶段</w:t>
            </w:r>
          </w:p>
        </w:tc>
      </w:tr>
      <w:tr>
        <w:trPr>
          <w:trHeight w:val="313"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sz w:val="20"/>
                <w:szCs w:val="20"/>
              </w:rPr>
              <w:t>状态信息状态匹配及预警的</w:t>
            </w:r>
            <w:r>
              <w:rPr>
                <w:rFonts w:ascii="Times New Roman" w:hAnsi="Times New Roman" w:cs="Times New Roman" w:eastAsia="Times New Roman" w:hint="default"/>
                <w:sz w:val="20"/>
                <w:szCs w:val="20"/>
              </w:rPr>
              <w:t>“</w:t>
            </w:r>
            <w:r>
              <w:rPr>
                <w:rFonts w:ascii="宋体" w:hAnsi="宋体" w:cs="宋体" w:eastAsia="宋体" w:hint="default"/>
                <w:sz w:val="20"/>
                <w:szCs w:val="20"/>
              </w:rPr>
              <w:t>服务器安全管理中</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宋体" w:hAnsi="宋体" w:cs="宋体" w:eastAsia="宋体" w:hint="default"/>
                <w:sz w:val="20"/>
                <w:szCs w:val="20"/>
              </w:rPr>
            </w:pPr>
            <w:r>
              <w:rPr>
                <w:rFonts w:ascii="宋体" w:hAnsi="宋体" w:cs="宋体" w:eastAsia="宋体" w:hint="default"/>
                <w:sz w:val="20"/>
                <w:szCs w:val="20"/>
              </w:rPr>
              <w:t>心</w:t>
            </w:r>
            <w:r>
              <w:rPr>
                <w:rFonts w:ascii="Times New Roman" w:hAnsi="Times New Roman" w:cs="Times New Roman" w:eastAsia="Times New Roman" w:hint="default"/>
                <w:sz w:val="20"/>
                <w:szCs w:val="20"/>
              </w:rPr>
              <w:t>”</w:t>
            </w:r>
            <w:r>
              <w:rPr>
                <w:rFonts w:ascii="宋体" w:hAnsi="宋体" w:cs="宋体" w:eastAsia="宋体" w:hint="default"/>
                <w:sz w:val="20"/>
                <w:szCs w:val="20"/>
              </w:rPr>
              <w:t>和负责监控管理的</w:t>
            </w:r>
            <w:r>
              <w:rPr>
                <w:rFonts w:ascii="Times New Roman" w:hAnsi="Times New Roman" w:cs="Times New Roman" w:eastAsia="Times New Roman" w:hint="default"/>
                <w:sz w:val="20"/>
                <w:szCs w:val="20"/>
              </w:rPr>
              <w:t>“</w:t>
            </w:r>
            <w:r>
              <w:rPr>
                <w:rFonts w:ascii="宋体" w:hAnsi="宋体" w:cs="宋体" w:eastAsia="宋体" w:hint="default"/>
                <w:sz w:val="20"/>
                <w:szCs w:val="20"/>
              </w:rPr>
              <w:t>服务器组群</w:t>
            </w:r>
            <w:r>
              <w:rPr>
                <w:rFonts w:ascii="Times New Roman" w:hAnsi="Times New Roman" w:cs="Times New Roman" w:eastAsia="Times New Roman" w:hint="default"/>
                <w:sz w:val="20"/>
                <w:szCs w:val="20"/>
              </w:rPr>
              <w:t>”</w:t>
            </w:r>
            <w:r>
              <w:rPr>
                <w:rFonts w:ascii="宋体" w:hAnsi="宋体" w:cs="宋体" w:eastAsia="宋体" w:hint="default"/>
                <w:sz w:val="20"/>
                <w:szCs w:val="20"/>
              </w:rPr>
              <w:t>两个部分。通</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0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过匹配算法优化、网络缓存技术升级对现有软件</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进行性能改造。扩展监控服务器类型，将产品应</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29"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用范围延伸到网页服务器、主机服务器等。</w:t>
            </w:r>
          </w:p>
        </w:tc>
        <w:tc>
          <w:tcPr>
            <w:tcW w:w="1842" w:type="dxa"/>
            <w:gridSpan w:val="2"/>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4</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NxSOC</w:t>
            </w:r>
            <w:r>
              <w:rPr>
                <w:rFonts w:ascii="宋体" w:hAnsi="宋体" w:cs="宋体" w:eastAsia="宋体" w:hint="default"/>
                <w:sz w:val="20"/>
                <w:szCs w:val="20"/>
              </w:rPr>
              <w:t>新一代安全综合运维管</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体系设计方面整合账号集中管理功能，有效融合</w:t>
            </w:r>
          </w:p>
        </w:tc>
        <w:tc>
          <w:tcPr>
            <w:tcW w:w="1842"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512" w:right="0"/>
              <w:jc w:val="left"/>
              <w:rPr>
                <w:rFonts w:ascii="宋体" w:hAnsi="宋体" w:cs="宋体" w:eastAsia="宋体" w:hint="default"/>
                <w:sz w:val="20"/>
                <w:szCs w:val="20"/>
              </w:rPr>
            </w:pPr>
            <w:r>
              <w:rPr>
                <w:rFonts w:ascii="宋体" w:hAnsi="宋体" w:cs="宋体" w:eastAsia="宋体" w:hint="default"/>
                <w:sz w:val="20"/>
                <w:szCs w:val="20"/>
              </w:rPr>
              <w:t>开发阶段</w:t>
            </w:r>
          </w:p>
        </w:tc>
      </w:tr>
      <w:tr>
        <w:trPr>
          <w:trHeight w:val="30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理平台项目</w:t>
            </w: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人（账号）、资产、运维、应急、安全和管理；</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新增异常监控、风险管理和应急响应三个模块，</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通过自学式网络安全基线、动态风险模型等技术</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提升事件告警和处理能力；在系统内部统一功能</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模块接口，实现模块间数据交互无缝衔接，并提</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宋体" w:hAnsi="宋体" w:cs="宋体" w:eastAsia="宋体" w:hint="default"/>
                <w:sz w:val="20"/>
                <w:szCs w:val="20"/>
              </w:rPr>
              <w:t>供</w:t>
            </w:r>
            <w:r>
              <w:rPr>
                <w:rFonts w:ascii="Times New Roman" w:hAnsi="Times New Roman" w:cs="Times New Roman" w:eastAsia="Times New Roman" w:hint="default"/>
                <w:sz w:val="20"/>
                <w:szCs w:val="20"/>
              </w:rPr>
              <w:t>SNMP</w:t>
            </w:r>
            <w:r>
              <w:rPr>
                <w:rFonts w:ascii="宋体" w:hAnsi="宋体" w:cs="宋体" w:eastAsia="宋体" w:hint="default"/>
                <w:sz w:val="20"/>
                <w:szCs w:val="20"/>
              </w:rPr>
              <w:t>、</w:t>
            </w:r>
            <w:r>
              <w:rPr>
                <w:rFonts w:ascii="Times New Roman" w:hAnsi="Times New Roman" w:cs="Times New Roman" w:eastAsia="Times New Roman" w:hint="default"/>
                <w:sz w:val="20"/>
                <w:szCs w:val="20"/>
              </w:rPr>
              <w:t>Syslog</w:t>
            </w:r>
            <w:r>
              <w:rPr>
                <w:rFonts w:ascii="宋体" w:hAnsi="宋体" w:cs="宋体" w:eastAsia="宋体" w:hint="default"/>
                <w:sz w:val="20"/>
                <w:szCs w:val="20"/>
              </w:rPr>
              <w:t>、</w:t>
            </w:r>
            <w:r>
              <w:rPr>
                <w:rFonts w:ascii="Times New Roman" w:hAnsi="Times New Roman" w:cs="Times New Roman" w:eastAsia="Times New Roman" w:hint="default"/>
                <w:sz w:val="20"/>
                <w:szCs w:val="20"/>
              </w:rPr>
              <w:t>WMI</w:t>
            </w:r>
            <w:r>
              <w:rPr>
                <w:rFonts w:ascii="宋体" w:hAnsi="宋体" w:cs="宋体" w:eastAsia="宋体" w:hint="default"/>
                <w:sz w:val="20"/>
                <w:szCs w:val="20"/>
              </w:rPr>
              <w:t>、</w:t>
            </w:r>
            <w:r>
              <w:rPr>
                <w:rFonts w:ascii="Times New Roman" w:hAnsi="Times New Roman" w:cs="Times New Roman" w:eastAsia="Times New Roman" w:hint="default"/>
                <w:sz w:val="20"/>
                <w:szCs w:val="20"/>
              </w:rPr>
              <w:t>webservice</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等接口以实</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23"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现设备联动。</w:t>
            </w:r>
          </w:p>
        </w:tc>
        <w:tc>
          <w:tcPr>
            <w:tcW w:w="1842" w:type="dxa"/>
            <w:gridSpan w:val="2"/>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5</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蓝盾信息安全技术股份有限公</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致力于研究业界底层网络、威胁等新技术动向，</w:t>
            </w:r>
          </w:p>
        </w:tc>
        <w:tc>
          <w:tcPr>
            <w:tcW w:w="1842"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12" w:right="0"/>
              <w:jc w:val="left"/>
              <w:rPr>
                <w:rFonts w:ascii="宋体" w:hAnsi="宋体" w:cs="宋体" w:eastAsia="宋体" w:hint="default"/>
                <w:sz w:val="20"/>
                <w:szCs w:val="20"/>
              </w:rPr>
            </w:pPr>
            <w:r>
              <w:rPr>
                <w:rFonts w:ascii="宋体" w:hAnsi="宋体" w:cs="宋体" w:eastAsia="宋体" w:hint="default"/>
                <w:sz w:val="20"/>
                <w:szCs w:val="20"/>
              </w:rPr>
              <w:t>培训实验室搭建</w:t>
            </w:r>
          </w:p>
        </w:tc>
      </w:tr>
      <w:tr>
        <w:trPr>
          <w:trHeight w:val="30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司研发及培训中心建设项目</w:t>
            </w: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加强产品对产业前沿技术的适应能力，提升产品</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创新性，并积极推动相关成果的产业化推广，为</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公司产品和整体解决方案提供技术储备和先期研</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30"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发。</w:t>
            </w:r>
          </w:p>
        </w:tc>
        <w:tc>
          <w:tcPr>
            <w:tcW w:w="1842" w:type="dxa"/>
            <w:gridSpan w:val="2"/>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w w:val="100"/>
                <w:sz w:val="20"/>
              </w:rPr>
              <w:t>6</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互联网舆情分析系统</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整合互联网信息采集技术及信息智能处理技术，</w:t>
            </w:r>
          </w:p>
        </w:tc>
        <w:tc>
          <w:tcPr>
            <w:tcW w:w="155" w:type="dxa"/>
            <w:tcBorders>
              <w:top w:val="single" w:sz="6" w:space="0" w:color="000000"/>
              <w:left w:val="single" w:sz="6" w:space="0" w:color="000000"/>
              <w:bottom w:val="nil" w:sz="6" w:space="0" w:color="auto"/>
              <w:right w:val="nil" w:sz="6" w:space="0" w:color="auto"/>
            </w:tcBorders>
          </w:tcPr>
          <w:p>
            <w:pPr/>
          </w:p>
        </w:tc>
        <w:tc>
          <w:tcPr>
            <w:tcW w:w="1687" w:type="dxa"/>
            <w:tcBorders>
              <w:top w:val="single" w:sz="6" w:space="0" w:color="000000"/>
              <w:left w:val="nil" w:sz="6" w:space="0" w:color="auto"/>
              <w:bottom w:val="nil" w:sz="6" w:space="0" w:color="auto"/>
              <w:right w:val="single" w:sz="6" w:space="0" w:color="000000"/>
            </w:tcBorders>
          </w:tcPr>
          <w:p>
            <w:pPr>
              <w:pStyle w:val="TableParagraph"/>
              <w:spacing w:line="240" w:lineRule="auto" w:before="4"/>
              <w:ind w:left="364" w:right="0"/>
              <w:jc w:val="left"/>
              <w:rPr>
                <w:rFonts w:ascii="宋体" w:hAnsi="宋体" w:cs="宋体" w:eastAsia="宋体" w:hint="default"/>
                <w:sz w:val="20"/>
                <w:szCs w:val="20"/>
              </w:rPr>
            </w:pPr>
            <w:r>
              <w:rPr>
                <w:rFonts w:ascii="宋体" w:hAnsi="宋体" w:cs="宋体" w:eastAsia="宋体" w:hint="default"/>
                <w:sz w:val="20"/>
                <w:szCs w:val="20"/>
              </w:rPr>
              <w:t>开发阶段</w:t>
            </w:r>
          </w:p>
        </w:tc>
      </w:tr>
      <w:tr>
        <w:trPr>
          <w:trHeight w:val="307"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通过对互联网海量信息自动抓取、自动分类聚类</w:t>
            </w:r>
          </w:p>
        </w:tc>
        <w:tc>
          <w:tcPr>
            <w:tcW w:w="155" w:type="dxa"/>
            <w:tcBorders>
              <w:top w:val="nil" w:sz="6" w:space="0" w:color="auto"/>
              <w:left w:val="single" w:sz="6" w:space="0" w:color="000000"/>
              <w:bottom w:val="nil" w:sz="6" w:space="0" w:color="auto"/>
              <w:right w:val="nil" w:sz="6" w:space="0" w:color="auto"/>
            </w:tcBorders>
          </w:tcPr>
          <w:p>
            <w:pPr>
              <w:pStyle w:val="TableParagraph"/>
              <w:spacing w:line="251" w:lineRule="exact"/>
              <w:ind w:left="-118"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1687" w:type="dxa"/>
            <w:tcBorders>
              <w:top w:val="nil" w:sz="6" w:space="0" w:color="auto"/>
              <w:left w:val="nil" w:sz="6" w:space="0" w:color="auto"/>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主题检测、专题聚焦，实现用户的网络舆情监测</w:t>
            </w:r>
          </w:p>
        </w:tc>
        <w:tc>
          <w:tcPr>
            <w:tcW w:w="155" w:type="dxa"/>
            <w:tcBorders>
              <w:top w:val="nil" w:sz="6" w:space="0" w:color="auto"/>
              <w:left w:val="single" w:sz="6" w:space="0" w:color="000000"/>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和新闻专题追踪等信息需求，形成简报、报告、</w:t>
            </w:r>
          </w:p>
        </w:tc>
        <w:tc>
          <w:tcPr>
            <w:tcW w:w="155" w:type="dxa"/>
            <w:tcBorders>
              <w:top w:val="nil" w:sz="6" w:space="0" w:color="auto"/>
              <w:left w:val="single" w:sz="6" w:space="0" w:color="000000"/>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single" w:sz="6" w:space="0" w:color="000000"/>
            </w:tcBorders>
          </w:tcPr>
          <w:p>
            <w:pP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图表等分析结果，为客户决策层全面掌握舆情动</w:t>
            </w:r>
          </w:p>
        </w:tc>
        <w:tc>
          <w:tcPr>
            <w:tcW w:w="155" w:type="dxa"/>
            <w:tcBorders>
              <w:top w:val="nil" w:sz="6" w:space="0" w:color="auto"/>
              <w:left w:val="single" w:sz="6" w:space="0" w:color="000000"/>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single" w:sz="6" w:space="0" w:color="000000"/>
            </w:tcBorders>
          </w:tcPr>
          <w:p>
            <w:pPr/>
          </w:p>
        </w:tc>
      </w:tr>
      <w:tr>
        <w:trPr>
          <w:trHeight w:val="330"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态，做出正确舆论引导，提供分析依据。</w:t>
            </w:r>
          </w:p>
        </w:tc>
        <w:tc>
          <w:tcPr>
            <w:tcW w:w="155" w:type="dxa"/>
            <w:tcBorders>
              <w:top w:val="nil" w:sz="6" w:space="0" w:color="auto"/>
              <w:left w:val="single" w:sz="6" w:space="0" w:color="000000"/>
              <w:bottom w:val="single" w:sz="6" w:space="0" w:color="000000"/>
              <w:right w:val="nil" w:sz="6" w:space="0" w:color="auto"/>
            </w:tcBorders>
          </w:tcPr>
          <w:p>
            <w:pPr/>
          </w:p>
        </w:tc>
        <w:tc>
          <w:tcPr>
            <w:tcW w:w="1687" w:type="dxa"/>
            <w:tcBorders>
              <w:top w:val="nil" w:sz="6" w:space="0" w:color="auto"/>
              <w:left w:val="nil" w:sz="6" w:space="0" w:color="auto"/>
              <w:bottom w:val="single" w:sz="6" w:space="0" w:color="000000"/>
              <w:right w:val="single" w:sz="6" w:space="0" w:color="000000"/>
            </w:tcBorders>
          </w:tcPr>
          <w:p>
            <w:pPr/>
          </w:p>
        </w:tc>
      </w:tr>
      <w:tr>
        <w:trPr>
          <w:trHeight w:val="335" w:hRule="exact"/>
        </w:trPr>
        <w:tc>
          <w:tcPr>
            <w:tcW w:w="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7</w:t>
            </w:r>
          </w:p>
        </w:tc>
        <w:tc>
          <w:tcPr>
            <w:tcW w:w="27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蓝盾网络安全云平台子项目</w:t>
            </w:r>
            <w:r>
              <w:rPr>
                <w:rFonts w:ascii="Times New Roman" w:hAnsi="Times New Roman" w:cs="Times New Roman" w:eastAsia="Times New Roman" w:hint="default"/>
                <w:sz w:val="20"/>
                <w:szCs w:val="20"/>
              </w:rPr>
              <w:t>-</w:t>
            </w:r>
            <w:r>
              <w:rPr>
                <w:rFonts w:ascii="宋体" w:hAnsi="宋体" w:cs="宋体" w:eastAsia="宋体" w:hint="default"/>
                <w:sz w:val="20"/>
                <w:szCs w:val="20"/>
              </w:rPr>
              <w:t>云</w:t>
            </w:r>
          </w:p>
        </w:tc>
        <w:tc>
          <w:tcPr>
            <w:tcW w:w="42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统一威胁管理云服务、统一终端管理云服务、以</w:t>
            </w:r>
          </w:p>
        </w:tc>
        <w:tc>
          <w:tcPr>
            <w:tcW w:w="1842"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212" w:right="0"/>
              <w:jc w:val="left"/>
              <w:rPr>
                <w:rFonts w:ascii="宋体" w:hAnsi="宋体" w:cs="宋体" w:eastAsia="宋体" w:hint="default"/>
                <w:sz w:val="20"/>
                <w:szCs w:val="20"/>
              </w:rPr>
            </w:pPr>
            <w:r>
              <w:rPr>
                <w:rFonts w:ascii="宋体" w:hAnsi="宋体" w:cs="宋体" w:eastAsia="宋体" w:hint="default"/>
                <w:sz w:val="20"/>
                <w:szCs w:val="20"/>
              </w:rPr>
              <w:t>产品推广试用期</w:t>
            </w:r>
          </w:p>
        </w:tc>
      </w:tr>
      <w:tr>
        <w:trPr>
          <w:trHeight w:val="312" w:hRule="exact"/>
        </w:trPr>
        <w:tc>
          <w:tcPr>
            <w:tcW w:w="568" w:type="dxa"/>
            <w:tcBorders>
              <w:top w:val="nil" w:sz="6" w:space="0" w:color="auto"/>
              <w:left w:val="single" w:sz="6" w:space="0" w:color="000000"/>
              <w:bottom w:val="nil" w:sz="6" w:space="0" w:color="auto"/>
              <w:right w:val="single" w:sz="6" w:space="0" w:color="000000"/>
            </w:tcBorders>
          </w:tcPr>
          <w:p>
            <w:pPr/>
          </w:p>
        </w:tc>
        <w:tc>
          <w:tcPr>
            <w:tcW w:w="2740" w:type="dxa"/>
            <w:tcBorders>
              <w:top w:val="nil" w:sz="6" w:space="0" w:color="auto"/>
              <w:left w:val="single" w:sz="6" w:space="0" w:color="000000"/>
              <w:bottom w:val="nil" w:sz="6" w:space="0" w:color="auto"/>
              <w:right w:val="single" w:sz="6" w:space="0" w:color="000000"/>
            </w:tcBorders>
          </w:tcPr>
          <w:p>
            <w:pPr>
              <w:pStyle w:val="TableParagraph"/>
              <w:spacing w:line="266"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防线</w:t>
            </w:r>
            <w:r>
              <w:rPr>
                <w:rFonts w:ascii="Times New Roman" w:hAnsi="Times New Roman" w:cs="Times New Roman" w:eastAsia="Times New Roman" w:hint="default"/>
                <w:sz w:val="20"/>
                <w:szCs w:val="20"/>
              </w:rPr>
              <w:t>(CloudFence)</w:t>
            </w:r>
          </w:p>
        </w:tc>
        <w:tc>
          <w:tcPr>
            <w:tcW w:w="4297"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及统一策略管理云服务，体现云计算环境在网络</w:t>
            </w:r>
          </w:p>
        </w:tc>
        <w:tc>
          <w:tcPr>
            <w:tcW w:w="1842" w:type="dxa"/>
            <w:gridSpan w:val="2"/>
            <w:tcBorders>
              <w:top w:val="nil" w:sz="6" w:space="0" w:color="auto"/>
              <w:left w:val="single" w:sz="6" w:space="0" w:color="000000"/>
              <w:bottom w:val="nil" w:sz="6" w:space="0" w:color="auto"/>
              <w:right w:val="single" w:sz="6" w:space="0" w:color="000000"/>
            </w:tcBorders>
          </w:tcPr>
          <w:p>
            <w:pPr/>
          </w:p>
        </w:tc>
      </w:tr>
      <w:tr>
        <w:trPr>
          <w:trHeight w:val="323" w:hRule="exact"/>
        </w:trPr>
        <w:tc>
          <w:tcPr>
            <w:tcW w:w="568" w:type="dxa"/>
            <w:tcBorders>
              <w:top w:val="nil" w:sz="6" w:space="0" w:color="auto"/>
              <w:left w:val="single" w:sz="6" w:space="0" w:color="000000"/>
              <w:bottom w:val="single" w:sz="6" w:space="0" w:color="000000"/>
              <w:right w:val="single" w:sz="6" w:space="0" w:color="000000"/>
            </w:tcBorders>
          </w:tcPr>
          <w:p>
            <w:pPr/>
          </w:p>
        </w:tc>
        <w:tc>
          <w:tcPr>
            <w:tcW w:w="2740" w:type="dxa"/>
            <w:tcBorders>
              <w:top w:val="nil" w:sz="6" w:space="0" w:color="auto"/>
              <w:left w:val="single" w:sz="6" w:space="0" w:color="000000"/>
              <w:bottom w:val="single" w:sz="6" w:space="0" w:color="000000"/>
              <w:right w:val="single" w:sz="6" w:space="0" w:color="000000"/>
            </w:tcBorders>
          </w:tcPr>
          <w:p>
            <w:pPr/>
          </w:p>
        </w:tc>
        <w:tc>
          <w:tcPr>
            <w:tcW w:w="4297"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2" w:right="0"/>
              <w:jc w:val="left"/>
              <w:rPr>
                <w:rFonts w:ascii="宋体" w:hAnsi="宋体" w:cs="宋体" w:eastAsia="宋体" w:hint="default"/>
                <w:sz w:val="20"/>
                <w:szCs w:val="20"/>
              </w:rPr>
            </w:pPr>
            <w:r>
              <w:rPr>
                <w:rFonts w:ascii="宋体" w:hAnsi="宋体" w:cs="宋体" w:eastAsia="宋体" w:hint="default"/>
                <w:sz w:val="20"/>
                <w:szCs w:val="20"/>
              </w:rPr>
              <w:t>安全，特别是在外网防御方面的的优势。</w:t>
            </w:r>
          </w:p>
        </w:tc>
        <w:tc>
          <w:tcPr>
            <w:tcW w:w="1842" w:type="dxa"/>
            <w:gridSpan w:val="2"/>
            <w:tcBorders>
              <w:top w:val="nil" w:sz="6" w:space="0" w:color="auto"/>
              <w:left w:val="single" w:sz="6" w:space="0" w:color="000000"/>
              <w:bottom w:val="single" w:sz="6" w:space="0" w:color="000000"/>
              <w:right w:val="single" w:sz="6" w:space="0" w:color="000000"/>
            </w:tcBorders>
          </w:tcPr>
          <w:p>
            <w:pPr/>
          </w:p>
        </w:tc>
      </w:tr>
    </w:tbl>
    <w:p>
      <w:pPr>
        <w:pStyle w:val="BodyText"/>
        <w:spacing w:line="240" w:lineRule="auto" w:before="75"/>
        <w:ind w:left="574" w:right="0"/>
        <w:jc w:val="left"/>
      </w:pPr>
      <w:r>
        <w:rPr>
          <w:spacing w:val="7"/>
        </w:rPr>
        <w:t>2012年度公司研发支出总额3,529.50万元，其中：资本化金额为1,812.54万元，占研发支出总额</w:t>
      </w:r>
      <w:r>
        <w:rPr/>
      </w:r>
    </w:p>
    <w:p>
      <w:pPr>
        <w:pStyle w:val="BodyText"/>
        <w:spacing w:line="348" w:lineRule="auto" w:before="126"/>
        <w:ind w:right="0"/>
        <w:jc w:val="left"/>
      </w:pPr>
      <w:r>
        <w:rPr>
          <w:spacing w:val="-1"/>
        </w:rPr>
        <w:t>51.53%；本年研发支出总额较去年同期增长71.67%，占营业收入10.22%。研发支出较去年同期增长主要是</w:t>
      </w:r>
      <w:r>
        <w:rPr>
          <w:spacing w:val="-78"/>
        </w:rPr>
        <w:t> </w:t>
      </w:r>
      <w:r>
        <w:rPr>
          <w:spacing w:val="-78"/>
        </w:rPr>
      </w:r>
      <w:r>
        <w:rPr/>
        <w:t>由于为增强公司的市场竟争力，公司持续加大了研发投入力度。</w:t>
      </w: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18"/>
          <w:szCs w:val="18"/>
        </w:rPr>
      </w:pPr>
      <w:r>
        <w:rPr/>
        <w:pict>
          <v:group style="position:absolute;margin-left:176.580002pt;margin-top:57.162319pt;width:117.9pt;height:20.7pt;mso-position-horizontal-relative:page;mso-position-vertical-relative:paragraph;z-index:-689896" coordorigin="3532,1143" coordsize="2358,414">
            <v:group style="position:absolute;left:3543;top:1155;width:2;height:392" coordorigin="3543,1155" coordsize="2,392">
              <v:shape style="position:absolute;left:3543;top:1155;width:2;height:392" coordorigin="3543,1155" coordsize="0,392" path="m3543,1155l3543,1546e" filled="false" stroked="true" strokeweight="1.140pt" strokecolor="#ffffff">
                <v:path arrowok="t"/>
              </v:shape>
            </v:group>
            <v:group style="position:absolute;left:3554;top:1155;width:2336;height:392" coordorigin="3554,1155" coordsize="2336,392">
              <v:shape style="position:absolute;left:3554;top:1155;width:2336;height:392" coordorigin="3554,1155" coordsize="2336,392" path="m3554,1546l5890,1546,5890,1155,3554,1155,3554,1546xe" filled="true" fillcolor="#ffffff" stroked="false">
                <v:path arrowok="t"/>
                <v:fill type="solid"/>
              </v:shape>
            </v:group>
            <w10:wrap type="none"/>
          </v:group>
        </w:pict>
      </w: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35,294,990.05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20,559,225.56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22,544,795.57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tabs>
                <w:tab w:pos="1805" w:val="left" w:leader="none"/>
              </w:tabs>
              <w:spacing w:line="240" w:lineRule="auto" w:before="52"/>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0"/>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404"/>
        <w:gridCol w:w="2392"/>
        <w:gridCol w:w="2304"/>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323,382,912.80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322,068,285.19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287,910,385.97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251,515,915.75</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35,472,526.83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70,552,369.44</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198,181,365.89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48,127,793.77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311.78%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-198,181,365.89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-48,127,793.77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311.78%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542,623,610.77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158.39%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107,445,048.82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164,388,481.07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435,178,561.95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45,611,518.93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854.1%</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272,469,722.89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68,036,094.60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300.48%</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9"/>
        <w:rPr>
          <w:rFonts w:ascii="宋体" w:hAnsi="宋体" w:cs="宋体" w:eastAsia="宋体" w:hint="default"/>
          <w:sz w:val="13"/>
          <w:szCs w:val="13"/>
        </w:rPr>
      </w:pPr>
    </w:p>
    <w:p>
      <w:pPr>
        <w:pStyle w:val="BodyText"/>
        <w:spacing w:line="345" w:lineRule="auto"/>
        <w:ind w:right="151" w:firstLine="423"/>
        <w:jc w:val="both"/>
      </w:pPr>
      <w:r>
        <w:rPr>
          <w:rFonts w:ascii="Times New Roman" w:hAnsi="Times New Roman" w:cs="Times New Roman" w:eastAsia="Times New Roman" w:hint="default"/>
        </w:rPr>
        <w:t>1</w:t>
      </w:r>
      <w:r>
        <w:rPr/>
        <w:t>、经营活动产生的现金流量净额较上期下降</w:t>
      </w:r>
      <w:r>
        <w:rPr>
          <w:rFonts w:ascii="Times New Roman" w:hAnsi="Times New Roman" w:cs="Times New Roman" w:eastAsia="Times New Roman" w:hint="default"/>
        </w:rPr>
        <w:t>49.72%</w:t>
      </w:r>
      <w:r>
        <w:rPr/>
        <w:t>，主要是报告期内，公司立足于行业营销，以直 </w:t>
      </w:r>
      <w:r>
        <w:rPr>
          <w:spacing w:val="-1"/>
        </w:rPr>
        <w:t>接面向客户提供“一站式”安全解决方案为营销理念，积极拓展公司业务与开拓市场，公司的安全集成业</w:t>
      </w:r>
      <w:r>
        <w:rPr>
          <w:spacing w:val="-82"/>
        </w:rPr>
        <w:t> </w:t>
      </w:r>
      <w:r>
        <w:rPr>
          <w:spacing w:val="-82"/>
        </w:rPr>
      </w:r>
      <w:r>
        <w:rPr>
          <w:spacing w:val="-1"/>
        </w:rPr>
        <w:t>务快速增长，公司业务中的外购比例随之提升，报告期为购买材料等支付的现金也相应增加。同时由于公</w:t>
      </w:r>
      <w:r>
        <w:rPr>
          <w:spacing w:val="-83"/>
        </w:rPr>
        <w:t> </w:t>
      </w:r>
      <w:r>
        <w:rPr>
          <w:spacing w:val="-83"/>
        </w:rPr>
      </w:r>
      <w:r>
        <w:rPr>
          <w:spacing w:val="-1"/>
        </w:rPr>
        <w:t>司在全国处于布点初期，为扩大公司的业务规模与市场占有率，积极开展营销布局，与其相关费用也相应</w:t>
      </w:r>
      <w:r>
        <w:rPr>
          <w:spacing w:val="-83"/>
        </w:rPr>
        <w:t> </w:t>
      </w:r>
      <w:r>
        <w:rPr>
          <w:spacing w:val="-83"/>
        </w:rPr>
      </w:r>
      <w:r>
        <w:rPr>
          <w:spacing w:val="-1"/>
        </w:rPr>
        <w:t>增加，随着公司规模扩大，人员增加，相关的人工等支出也相应增加。目前公司为提高公司产品的技术水</w:t>
      </w:r>
      <w:r>
        <w:rPr>
          <w:spacing w:val="-82"/>
        </w:rPr>
        <w:t> </w:t>
      </w:r>
      <w:r>
        <w:rPr>
          <w:spacing w:val="-82"/>
        </w:rPr>
      </w:r>
      <w:r>
        <w:rPr/>
        <w:t>平，正加大研发力度，进一步推进募投项目，与其相关的研发支出也相应增加。</w:t>
      </w:r>
    </w:p>
    <w:p>
      <w:pPr>
        <w:pStyle w:val="BodyText"/>
        <w:spacing w:line="328" w:lineRule="auto" w:before="32"/>
        <w:ind w:right="0" w:firstLine="423"/>
        <w:jc w:val="left"/>
      </w:pPr>
      <w:r>
        <w:rPr>
          <w:rFonts w:ascii="Times New Roman" w:hAnsi="Times New Roman" w:cs="Times New Roman" w:eastAsia="Times New Roman" w:hint="default"/>
          <w:spacing w:val="-2"/>
        </w:rPr>
        <w:t>2</w:t>
      </w:r>
      <w:r>
        <w:rPr>
          <w:spacing w:val="-2"/>
        </w:rPr>
        <w:t>、投资活动现金流出较上期增长</w:t>
      </w:r>
      <w:r>
        <w:rPr>
          <w:rFonts w:ascii="Times New Roman" w:hAnsi="Times New Roman" w:cs="Times New Roman" w:eastAsia="Times New Roman" w:hint="default"/>
          <w:spacing w:val="-2"/>
        </w:rPr>
        <w:t>311.78%</w:t>
      </w:r>
      <w:r>
        <w:rPr>
          <w:spacing w:val="-2"/>
        </w:rPr>
        <w:t>，主要是报告期，公司募投项目陆续开始，购买的网络设备</w:t>
      </w:r>
      <w:r>
        <w:rPr/>
        <w:t> 增加所致。</w:t>
      </w:r>
    </w:p>
    <w:p>
      <w:pPr>
        <w:pStyle w:val="BodyText"/>
        <w:spacing w:line="338" w:lineRule="auto" w:before="48"/>
        <w:ind w:right="0" w:firstLine="423"/>
        <w:jc w:val="left"/>
      </w:pPr>
      <w:r>
        <w:rPr>
          <w:rFonts w:ascii="Times New Roman" w:hAnsi="Times New Roman" w:cs="Times New Roman" w:eastAsia="Times New Roman" w:hint="default"/>
          <w:spacing w:val="-1"/>
        </w:rPr>
        <w:t>3</w:t>
      </w:r>
      <w:r>
        <w:rPr>
          <w:spacing w:val="-1"/>
        </w:rPr>
        <w:t>、筹资活动的现金筹资活动的现金流量净额较上期增长854.10%，主要系一方面报告期内因首次发行</w:t>
      </w:r>
      <w:r>
        <w:rPr/>
        <w:t> 股票而收到募集资金，另一方面公司为了更好建设蓝盾信息安全产业基地项目而新增银行中长期贷款所 致。</w:t>
      </w:r>
    </w:p>
    <w:p>
      <w:pPr>
        <w:spacing w:line="240" w:lineRule="auto" w:before="1"/>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64,224,251.25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4" w:right="8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72,112,679.00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21.32%</w:t>
            </w:r>
          </w:p>
        </w:tc>
      </w:tr>
    </w:tbl>
    <w:p>
      <w:pPr>
        <w:spacing w:before="51"/>
        <w:ind w:left="154" w:right="102" w:firstLine="0"/>
        <w:jc w:val="left"/>
        <w:rPr>
          <w:rFonts w:ascii="宋体" w:hAnsi="宋体" w:cs="宋体" w:eastAsia="宋体" w:hint="default"/>
          <w:sz w:val="18"/>
          <w:szCs w:val="18"/>
        </w:rPr>
      </w:pPr>
      <w:r>
        <w:rPr/>
        <w:pict>
          <v:group style="position:absolute;margin-left:269.820007pt;margin-top:-20.688005pt;width:263.9pt;height:20.8pt;mso-position-horizontal-relative:page;mso-position-vertical-relative:paragraph;z-index:-689872"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02"/>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9"/>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6"/>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511" w:right="102"/>
        <w:jc w:val="left"/>
      </w:pPr>
      <w:r>
        <w:rPr/>
        <w:t>公司在招股说明书中披露的未来三年发展规划及目标如下：</w:t>
      </w:r>
    </w:p>
    <w:p>
      <w:pPr>
        <w:pStyle w:val="BodyText"/>
        <w:spacing w:line="240" w:lineRule="auto" w:before="126"/>
        <w:ind w:left="511" w:right="10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整体发展战略</w:t>
      </w:r>
    </w:p>
    <w:p>
      <w:pPr>
        <w:pStyle w:val="BodyText"/>
        <w:spacing w:line="350" w:lineRule="auto" w:before="109"/>
        <w:ind w:left="153" w:right="188" w:firstLine="357"/>
        <w:jc w:val="both"/>
      </w:pPr>
      <w:r>
        <w:rPr/>
        <w:t>公司以 “专业铸就安全”为企业发展理念，以</w:t>
      </w:r>
      <w:r>
        <w:rPr>
          <w:spacing w:val="-2"/>
        </w:rPr>
        <w:t> </w:t>
      </w:r>
      <w:r>
        <w:rPr/>
        <w:t>“打造国际一流的信息安全企业”为战略远景，坚持</w:t>
      </w:r>
      <w:r>
        <w:rPr/>
        <w:t> 走专业化信息安全技术与服务相结合的品牌路线，在企业级信息安全领域深耕细作，拓展蓝盾自主品牌， </w:t>
      </w:r>
      <w:r>
        <w:rPr>
          <w:spacing w:val="-1"/>
        </w:rPr>
        <w:t>积极进行技术创新。研发新产品、拓展安全集成业务、发展安全服务产业，在我国信息安全乃至整个信息</w:t>
      </w:r>
      <w:r>
        <w:rPr>
          <w:spacing w:val="-82"/>
        </w:rPr>
        <w:t> </w:t>
      </w:r>
      <w:r>
        <w:rPr>
          <w:spacing w:val="-82"/>
        </w:rPr>
      </w:r>
      <w:r>
        <w:rPr/>
        <w:t>产业发挥重要作用。</w:t>
      </w:r>
    </w:p>
    <w:p>
      <w:pPr>
        <w:pStyle w:val="BodyText"/>
        <w:spacing w:line="331" w:lineRule="auto" w:before="28"/>
        <w:ind w:left="511" w:right="744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公司业务发展目标 </w:t>
      </w:r>
      <w:r>
        <w:rPr>
          <w:rFonts w:ascii="Times New Roman" w:hAnsi="Times New Roman" w:cs="Times New Roman" w:eastAsia="Times New Roman" w:hint="default"/>
        </w:rPr>
        <w:t>1</w:t>
      </w:r>
      <w:r>
        <w:rPr/>
        <w:t>、业务发展定位</w:t>
      </w:r>
    </w:p>
    <w:p>
      <w:pPr>
        <w:pStyle w:val="BodyText"/>
        <w:spacing w:line="350" w:lineRule="auto" w:before="20"/>
        <w:ind w:left="153" w:right="209" w:firstLine="357"/>
        <w:jc w:val="both"/>
      </w:pPr>
      <w:r>
        <w:rPr/>
        <w:t>公司将继续深化和巩固长期以来在政府、教育、系统集成商等重点行业客户积累的业务经验和服务理 </w:t>
      </w:r>
      <w:r>
        <w:rPr>
          <w:spacing w:val="-1"/>
        </w:rPr>
        <w:t>念，持续改善和优化公司的产品技术体系、业务管理流程和服务体系，积极地向金融、能源、电信、医疗</w:t>
      </w:r>
      <w:r>
        <w:rPr>
          <w:spacing w:val="-83"/>
        </w:rPr>
        <w:t> </w:t>
      </w:r>
      <w:r>
        <w:rPr>
          <w:spacing w:val="-83"/>
        </w:rPr>
      </w:r>
      <w:r>
        <w:rPr/>
        <w:t>等其他客户领域横向推广和发展，稳步提升公司在信息安全行业中的市场领先地位和优秀品牌形象。</w:t>
      </w:r>
    </w:p>
    <w:p>
      <w:pPr>
        <w:pStyle w:val="BodyText"/>
        <w:spacing w:line="328" w:lineRule="auto" w:before="28"/>
        <w:ind w:left="511" w:right="233" w:hanging="1"/>
        <w:jc w:val="left"/>
      </w:pPr>
      <w:r>
        <w:rPr>
          <w:rFonts w:ascii="Times New Roman" w:hAnsi="Times New Roman" w:cs="Times New Roman" w:eastAsia="Times New Roman" w:hint="default"/>
        </w:rPr>
        <w:t>2</w:t>
      </w:r>
      <w:r>
        <w:rPr/>
        <w:t>、未来三年战略发展目标 公司将充分利用政策导向及市场契机加快技术革新及经营开拓，同步推进公司各项业务，拓展信息安</w:t>
      </w:r>
    </w:p>
    <w:p>
      <w:pPr>
        <w:pStyle w:val="BodyText"/>
        <w:spacing w:line="348" w:lineRule="auto" w:before="48"/>
        <w:ind w:left="153" w:right="102"/>
        <w:jc w:val="left"/>
      </w:pPr>
      <w:r>
        <w:rPr>
          <w:spacing w:val="-3"/>
        </w:rPr>
        <w:t>全技术产品服务综合化产业市场，力争成为全国范围内技术、品牌、实力领先的信息安全企业。未来三年，</w:t>
      </w:r>
      <w:r>
        <w:rPr>
          <w:spacing w:val="-95"/>
        </w:rPr>
        <w:t> </w:t>
      </w:r>
      <w:r>
        <w:rPr>
          <w:spacing w:val="-95"/>
        </w:rPr>
      </w:r>
      <w:r>
        <w:rPr/>
        <w:t>公司将围绕资源整合、渠道建设以及管理提升的总思路，以</w:t>
      </w:r>
      <w:r>
        <w:rPr>
          <w:spacing w:val="-1"/>
        </w:rPr>
        <w:t> </w:t>
      </w:r>
      <w:r>
        <w:rPr/>
        <w:t>“平台建设、拓宽渠道、提升管理”的规划</w:t>
      </w:r>
      <w:r>
        <w:rPr/>
        <w:t> 实施并努力达成战略目标。</w:t>
      </w:r>
    </w:p>
    <w:p>
      <w:pPr>
        <w:pStyle w:val="BodyText"/>
        <w:spacing w:line="348" w:lineRule="auto" w:before="31"/>
        <w:ind w:left="153" w:right="210" w:firstLine="357"/>
        <w:jc w:val="both"/>
      </w:pPr>
      <w:r>
        <w:rPr/>
        <w:t>公司第一年的战略策略是通过登陆资本市场来实现高起点平台的搭建，公司将努力完成上市目标，实 </w:t>
      </w:r>
      <w:r>
        <w:rPr>
          <w:spacing w:val="-1"/>
        </w:rPr>
        <w:t>现与资本市场的对接，从而获得渠道拓展与品牌构建的资本；同时，公司将利用获得的资本优势整合产业</w:t>
      </w:r>
      <w:r>
        <w:rPr>
          <w:spacing w:val="-83"/>
        </w:rPr>
        <w:t> </w:t>
      </w:r>
      <w:r>
        <w:rPr>
          <w:spacing w:val="-83"/>
        </w:rPr>
      </w:r>
      <w:r>
        <w:rPr/>
        <w:t>资源，吸引国内优秀技术研发人员，从而进一步提升公司的技术研究与开发实力。</w:t>
      </w:r>
    </w:p>
    <w:p>
      <w:pPr>
        <w:pStyle w:val="BodyText"/>
        <w:spacing w:line="348" w:lineRule="auto" w:before="31"/>
        <w:ind w:left="153" w:right="210" w:firstLine="357"/>
        <w:jc w:val="both"/>
      </w:pPr>
      <w:r>
        <w:rPr/>
        <w:t>公司第二步的战略策略是积极拓展华南区域之外的营销渠道，在保证华南地区传统优势的基础上与华 </w:t>
      </w:r>
      <w:r>
        <w:rPr>
          <w:spacing w:val="-1"/>
        </w:rPr>
        <w:t>南区域之外的各类客户展开合作，探索共建信息安全产品销售的新模式；同时公司通过在北京、上海、重</w:t>
      </w:r>
      <w:r>
        <w:rPr>
          <w:spacing w:val="-82"/>
        </w:rPr>
        <w:t> </w:t>
      </w:r>
      <w:r>
        <w:rPr>
          <w:spacing w:val="-82"/>
        </w:rPr>
      </w:r>
      <w:r>
        <w:rPr>
          <w:spacing w:val="-1"/>
        </w:rPr>
        <w:t>庆等行业重点区域的核心城市设立专门的驻点分支机构，力求构建一个覆盖全国大部分核心区域市场的营</w:t>
      </w:r>
    </w:p>
    <w:p>
      <w:pPr>
        <w:spacing w:after="0" w:line="34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02"/>
        <w:jc w:val="left"/>
      </w:pPr>
      <w:r>
        <w:rPr/>
        <w:t>销网络。</w:t>
      </w:r>
    </w:p>
    <w:p>
      <w:pPr>
        <w:pStyle w:val="BodyText"/>
        <w:spacing w:line="350" w:lineRule="auto" w:before="125"/>
        <w:ind w:right="211" w:firstLine="357"/>
        <w:jc w:val="both"/>
      </w:pPr>
      <w:r>
        <w:rPr/>
        <w:t>公司第三步的战略策略是维持公司管理水平与公司经营规模扩大的一致性，依托迅速扩大的经营规模 </w:t>
      </w:r>
      <w:r>
        <w:rPr>
          <w:spacing w:val="-1"/>
        </w:rPr>
        <w:t>与不断提高的品牌和市场影响力，公司将逐步建设完善内部管理制度，同时吸引高水平管理人才为公司服</w:t>
      </w:r>
      <w:r>
        <w:rPr>
          <w:spacing w:val="-81"/>
        </w:rPr>
        <w:t> </w:t>
      </w:r>
      <w:r>
        <w:rPr>
          <w:spacing w:val="-81"/>
        </w:rPr>
      </w:r>
      <w:r>
        <w:rPr/>
        <w:t>务，逐渐提升公司的管理水平。</w:t>
      </w:r>
    </w:p>
    <w:p>
      <w:pPr>
        <w:pStyle w:val="BodyText"/>
        <w:spacing w:line="331" w:lineRule="auto" w:before="28"/>
        <w:ind w:left="511" w:right="2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在增强成长性、增进自主创新能力、提升核心竞争优势等方面拟采取的措施 </w:t>
      </w:r>
      <w:r>
        <w:rPr>
          <w:rFonts w:ascii="Times New Roman" w:hAnsi="Times New Roman" w:cs="Times New Roman" w:eastAsia="Times New Roman" w:hint="default"/>
        </w:rPr>
        <w:t>1</w:t>
      </w:r>
      <w:r>
        <w:rPr/>
        <w:t>、信息安全产品计划 公司本次募集资金投资项目主要是实现公司现有信息安全产品线的升级换代以及应对新的市场环境下</w:t>
      </w:r>
    </w:p>
    <w:p>
      <w:pPr>
        <w:pStyle w:val="BodyText"/>
        <w:spacing w:line="350" w:lineRule="auto" w:before="45"/>
        <w:ind w:right="170"/>
        <w:jc w:val="left"/>
      </w:pPr>
      <w:r>
        <w:rPr/>
        <w:t>新产品的研发。在现有产品技术的基础上进行技术融合改造，面向复合网络及异构网络，形成 “边界安 </w:t>
      </w:r>
      <w:r>
        <w:rPr>
          <w:spacing w:val="-1"/>
        </w:rPr>
        <w:t>全、端点安全、安全审计、安全管理”四个具有核心竞争力的产品线，并可以进行联动管理，为客户提供</w:t>
      </w:r>
      <w:r>
        <w:rPr>
          <w:spacing w:val="-83"/>
        </w:rPr>
        <w:t> </w:t>
      </w:r>
      <w:r>
        <w:rPr>
          <w:spacing w:val="-83"/>
        </w:rPr>
      </w:r>
      <w:r>
        <w:rPr/>
        <w:t>“点 (端点)、线 (网络边界)、面 (管理层面)”联动的立体化信息安全及管理解决方案，形成</w:t>
      </w:r>
      <w:r>
        <w:rPr>
          <w:spacing w:val="-28"/>
        </w:rPr>
        <w:t> </w:t>
      </w:r>
      <w:r>
        <w:rPr/>
        <w:t>“风险可</w:t>
      </w:r>
      <w:r>
        <w:rPr/>
        <w:t> </w:t>
      </w:r>
      <w:r>
        <w:rPr>
          <w:spacing w:val="-1"/>
        </w:rPr>
        <w:t>估、风险可防、风险可控、风险可溯、风险可查”的全面信息网络风险管理体系。同时，随着国际信息安</w:t>
      </w:r>
      <w:r>
        <w:rPr>
          <w:spacing w:val="-85"/>
        </w:rPr>
        <w:t> </w:t>
      </w:r>
      <w:r>
        <w:rPr>
          <w:spacing w:val="-85"/>
        </w:rPr>
      </w:r>
      <w:r>
        <w:rPr/>
        <w:t>全行业的快速发展，公司会密切关注行业和政策变化，不断加强技术储备，适时研发针对移动通信网络、 复杂异构网络以及流媒体的信息安全系统，开发适应未来信息安全需要的产品和技术。</w:t>
      </w:r>
    </w:p>
    <w:p>
      <w:pPr>
        <w:pStyle w:val="BodyText"/>
        <w:spacing w:line="240" w:lineRule="auto" w:before="28"/>
        <w:ind w:left="511" w:right="102"/>
        <w:jc w:val="left"/>
      </w:pPr>
      <w:r>
        <w:rPr>
          <w:rFonts w:ascii="Times New Roman" w:hAnsi="Times New Roman" w:cs="Times New Roman" w:eastAsia="Times New Roman" w:hint="default"/>
        </w:rPr>
        <w:t>2</w:t>
      </w:r>
      <w:r>
        <w:rPr/>
        <w:t>、信息安全集成计划</w:t>
      </w:r>
    </w:p>
    <w:p>
      <w:pPr>
        <w:pStyle w:val="BodyText"/>
        <w:spacing w:line="348" w:lineRule="auto" w:before="110"/>
        <w:ind w:right="146" w:firstLine="357"/>
        <w:jc w:val="both"/>
      </w:pPr>
      <w:r>
        <w:rPr/>
        <w:t>在安全集成方面，公司将以安全产品为依托，继续实行</w:t>
      </w:r>
      <w:r>
        <w:rPr>
          <w:spacing w:val="-2"/>
        </w:rPr>
        <w:t> </w:t>
      </w:r>
      <w:r>
        <w:rPr/>
        <w:t>“行业营销”的策略，对同一行业精耕细作，</w:t>
      </w:r>
      <w:r>
        <w:rPr/>
        <w:t> 将同一领域内不同级别、不同区域的相关单位作为重点开拓对象。同时充分利用公司在政府、教育等行业 积累的品牌形象和行业经验，不断向其他行业客户拓展。</w:t>
      </w:r>
    </w:p>
    <w:p>
      <w:pPr>
        <w:pStyle w:val="BodyText"/>
        <w:spacing w:line="328" w:lineRule="auto" w:before="31"/>
        <w:ind w:left="511" w:right="233" w:hanging="1"/>
        <w:jc w:val="left"/>
      </w:pPr>
      <w:r>
        <w:rPr>
          <w:rFonts w:ascii="Times New Roman" w:hAnsi="Times New Roman" w:cs="Times New Roman" w:eastAsia="Times New Roman" w:hint="default"/>
        </w:rPr>
        <w:t>3</w:t>
      </w:r>
      <w:r>
        <w:rPr/>
        <w:t>、信息安全服务计划 对信息网络存在的风险而言，信息安全产品不可能百分之百解决所有的问题，安全服务将成为未来信</w:t>
      </w:r>
    </w:p>
    <w:p>
      <w:pPr>
        <w:pStyle w:val="BodyText"/>
        <w:spacing w:line="350" w:lineRule="auto" w:before="47"/>
        <w:ind w:right="188"/>
        <w:jc w:val="both"/>
      </w:pPr>
      <w:r>
        <w:rPr>
          <w:spacing w:val="-1"/>
        </w:rPr>
        <w:t>息安全市场的重要增长点之一。公司针对信息安全行业和客户的特点，采用先进的技术手段和管理制度来</w:t>
      </w:r>
      <w:r>
        <w:rPr>
          <w:spacing w:val="-81"/>
        </w:rPr>
        <w:t> </w:t>
      </w:r>
      <w:r>
        <w:rPr>
          <w:spacing w:val="-81"/>
        </w:rPr>
      </w:r>
      <w:r>
        <w:rPr/>
        <w:t>确保公司安全服务业务的质量，向客户提供全面的信息安全风险评估、安全加固、渗透测试、应急响应、 </w:t>
      </w:r>
      <w:r>
        <w:rPr>
          <w:spacing w:val="-1"/>
        </w:rPr>
        <w:t>认证培训等安全服务。同时，公司结合等级保护的要求，积极开展面向企业的等级保护技术咨询服务及安</w:t>
      </w:r>
      <w:r>
        <w:rPr>
          <w:spacing w:val="-83"/>
        </w:rPr>
        <w:t> </w:t>
      </w:r>
      <w:r>
        <w:rPr>
          <w:spacing w:val="-83"/>
        </w:rPr>
      </w:r>
      <w:r>
        <w:rPr>
          <w:spacing w:val="-1"/>
        </w:rPr>
        <w:t>全外包服务业务，并针对特定行业的特点，进行服务创新探索，推出面向政府行业、金融行业、教育行业</w:t>
      </w:r>
      <w:r>
        <w:rPr>
          <w:spacing w:val="-83"/>
        </w:rPr>
        <w:t> </w:t>
      </w:r>
      <w:r>
        <w:rPr>
          <w:spacing w:val="-83"/>
        </w:rPr>
      </w:r>
      <w:r>
        <w:rPr>
          <w:spacing w:val="-1"/>
        </w:rPr>
        <w:t>的特色信息安全外包服务。未来公司将进一步完善公司信息安全服务体系及模式创新，力争将公司打造成</w:t>
      </w:r>
      <w:r>
        <w:rPr>
          <w:spacing w:val="-81"/>
        </w:rPr>
        <w:t> </w:t>
      </w:r>
      <w:r>
        <w:rPr>
          <w:spacing w:val="-81"/>
        </w:rPr>
      </w:r>
      <w:r>
        <w:rPr/>
        <w:t>为一流的专业安全服务提供商。</w:t>
      </w:r>
    </w:p>
    <w:p>
      <w:pPr>
        <w:pStyle w:val="BodyText"/>
        <w:spacing w:line="331" w:lineRule="auto" w:before="28"/>
        <w:ind w:left="511" w:right="233" w:hanging="1"/>
        <w:jc w:val="left"/>
      </w:pPr>
      <w:r>
        <w:rPr>
          <w:rFonts w:ascii="Times New Roman" w:hAnsi="Times New Roman" w:cs="Times New Roman" w:eastAsia="Times New Roman" w:hint="default"/>
        </w:rPr>
        <w:t>4</w:t>
      </w:r>
      <w:r>
        <w:rPr/>
        <w:t>、研究开发计划 公司将密切跟踪和研究信息安全技术发展趋势，与国内外其他主流厂商加强沟通和合作，将国外先进</w:t>
      </w:r>
    </w:p>
    <w:p>
      <w:pPr>
        <w:pStyle w:val="BodyText"/>
        <w:spacing w:line="340" w:lineRule="auto" w:before="45"/>
        <w:ind w:right="104"/>
        <w:jc w:val="left"/>
      </w:pPr>
      <w:r>
        <w:rPr/>
        <w:t>理念、方法论引入国内；积极参与国内信息安全、网络管理、风险管理技术规范的研究和制定，保持公司 在国内信息安全领域的技术优势；在目前</w:t>
      </w:r>
      <w:r>
        <w:rPr>
          <w:rFonts w:ascii="Times New Roman" w:hAnsi="Times New Roman" w:cs="Times New Roman" w:eastAsia="Times New Roman" w:hint="default"/>
        </w:rPr>
        <w:t>CMMI-3</w:t>
      </w:r>
      <w:r>
        <w:rPr/>
        <w:t>级的基础上，继续深化</w:t>
      </w:r>
      <w:r>
        <w:rPr>
          <w:rFonts w:ascii="Times New Roman" w:hAnsi="Times New Roman" w:cs="Times New Roman" w:eastAsia="Times New Roman" w:hint="default"/>
        </w:rPr>
        <w:t>CMMI</w:t>
      </w:r>
      <w:r>
        <w:rPr>
          <w:rFonts w:ascii="Times New Roman" w:hAnsi="Times New Roman" w:cs="Times New Roman" w:eastAsia="Times New Roman" w:hint="default"/>
          <w:spacing w:val="50"/>
        </w:rPr>
        <w:t> </w:t>
      </w:r>
      <w:r>
        <w:rPr/>
        <w:t>软件研发质量管理体系的 建设，实现</w:t>
      </w:r>
      <w:r>
        <w:rPr>
          <w:rFonts w:ascii="Times New Roman" w:hAnsi="Times New Roman" w:cs="Times New Roman" w:eastAsia="Times New Roman" w:hint="default"/>
        </w:rPr>
        <w:t>CMMI-5</w:t>
      </w:r>
      <w:r>
        <w:rPr/>
        <w:t>级的开发流程体系；持续加强对员工的培训，确保公司研发团队整体的技术领先性和 </w:t>
      </w:r>
      <w:r>
        <w:rPr>
          <w:spacing w:val="-3"/>
        </w:rPr>
        <w:t>流程的规范性。同时，加大力度引进及培养核心技术骨干，加强核心技术保密工作，加强技术团队凝聚力，</w:t>
      </w:r>
      <w:r>
        <w:rPr>
          <w:spacing w:val="-94"/>
        </w:rPr>
        <w:t> </w:t>
      </w:r>
      <w:r>
        <w:rPr>
          <w:spacing w:val="-94"/>
        </w:rPr>
      </w:r>
      <w:r>
        <w:rPr/>
        <w:t>通过企业文化、激励机制吸引核心技术人员。</w:t>
      </w:r>
    </w:p>
    <w:p>
      <w:pPr>
        <w:pStyle w:val="BodyText"/>
        <w:spacing w:line="328" w:lineRule="auto" w:before="38"/>
        <w:ind w:left="511" w:right="233" w:hanging="1"/>
        <w:jc w:val="left"/>
      </w:pPr>
      <w:r>
        <w:rPr>
          <w:rFonts w:ascii="Times New Roman" w:hAnsi="Times New Roman" w:cs="Times New Roman" w:eastAsia="Times New Roman" w:hint="default"/>
        </w:rPr>
        <w:t>5</w:t>
      </w:r>
      <w:r>
        <w:rPr/>
        <w:t>、营销体系计划 未来三年，为保证公司业绩的持续增长，在更广阔的范围推广公司的品牌和影响力，提高公司的市场</w:t>
      </w:r>
    </w:p>
    <w:p>
      <w:pPr>
        <w:spacing w:after="0" w:line="32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left="511" w:right="102" w:hanging="358"/>
        <w:jc w:val="left"/>
      </w:pPr>
      <w:r>
        <w:rPr/>
        <w:t>占有率。公司将在以下几个方面进一步拓展市场、完善营销体系建设： </w:t>
      </w:r>
      <w:r>
        <w:rPr>
          <w:spacing w:val="-2"/>
        </w:rPr>
        <w:t>(1)横向开拓重点行业领域内的大客户，为了更好的开拓大型政府部门、金融等重点行业用户，公司已</w:t>
      </w:r>
    </w:p>
    <w:p>
      <w:pPr>
        <w:pStyle w:val="BodyText"/>
        <w:spacing w:line="348" w:lineRule="auto" w:before="31"/>
        <w:ind w:left="153" w:right="211"/>
        <w:jc w:val="both"/>
      </w:pPr>
      <w:r>
        <w:rPr>
          <w:spacing w:val="-1"/>
        </w:rPr>
        <w:t>在北京地区建立了多个专门的重点行业事业部，在全国重点省份和区域也同时建立了多个办事处。未来公</w:t>
      </w:r>
      <w:r>
        <w:rPr>
          <w:spacing w:val="-81"/>
        </w:rPr>
        <w:t> </w:t>
      </w:r>
      <w:r>
        <w:rPr>
          <w:spacing w:val="-81"/>
        </w:rPr>
      </w:r>
      <w:r>
        <w:rPr>
          <w:spacing w:val="-1"/>
        </w:rPr>
        <w:t>司将进一步细分各个重点事业部的运营，加强各事业部之间的配合，努力增加公司在此类行业客户中的市</w:t>
      </w:r>
      <w:r>
        <w:rPr>
          <w:spacing w:val="-81"/>
        </w:rPr>
        <w:t> </w:t>
      </w:r>
      <w:r>
        <w:rPr>
          <w:spacing w:val="-81"/>
        </w:rPr>
      </w:r>
      <w:r>
        <w:rPr/>
        <w:t>场份额。</w:t>
      </w:r>
    </w:p>
    <w:p>
      <w:pPr>
        <w:pStyle w:val="BodyText"/>
        <w:spacing w:line="348" w:lineRule="auto" w:before="31"/>
        <w:ind w:left="153" w:right="102" w:firstLine="357"/>
        <w:jc w:val="left"/>
      </w:pPr>
      <w:r>
        <w:rPr>
          <w:spacing w:val="-4"/>
        </w:rPr>
        <w:t>(2)加强市场开拓的深度，建立有效的分销网络。公司将进一步强化各重要省份和区域的办事处的职权，</w:t>
      </w:r>
      <w:r>
        <w:rPr/>
        <w:t> 加强与当地经销商的深度合作，拓宽各市场的渠道，为将来更好地拓展二三级市场打下基础。</w:t>
      </w:r>
    </w:p>
    <w:p>
      <w:pPr>
        <w:pStyle w:val="BodyText"/>
        <w:spacing w:line="350" w:lineRule="auto" w:before="30"/>
        <w:ind w:left="153" w:right="210" w:firstLine="357"/>
        <w:jc w:val="both"/>
      </w:pPr>
      <w:r>
        <w:rPr>
          <w:spacing w:val="-2"/>
        </w:rPr>
        <w:t>(3)增加多样的经营模式，公司在保持现有的经营模式的竞争优势的同时，也积极开拓其他具有良好经</w:t>
      </w:r>
      <w:r>
        <w:rPr/>
        <w:t> </w:t>
      </w:r>
      <w:r>
        <w:rPr>
          <w:spacing w:val="-1"/>
        </w:rPr>
        <w:t>济收益的多样经营模式，未来公司将在产品租赁、新型安全服务模式上积极做出有效性的探索，以期给公</w:t>
      </w:r>
      <w:r>
        <w:rPr>
          <w:spacing w:val="-83"/>
        </w:rPr>
        <w:t> </w:t>
      </w:r>
      <w:r>
        <w:rPr>
          <w:spacing w:val="-83"/>
        </w:rPr>
      </w:r>
      <w:r>
        <w:rPr/>
        <w:t>司带来多样化的收益。</w:t>
      </w:r>
    </w:p>
    <w:p>
      <w:pPr>
        <w:pStyle w:val="BodyText"/>
        <w:spacing w:line="331" w:lineRule="auto" w:before="28"/>
        <w:ind w:left="511" w:right="233" w:hanging="1"/>
        <w:jc w:val="left"/>
      </w:pPr>
      <w:r>
        <w:rPr>
          <w:rFonts w:ascii="Times New Roman" w:hAnsi="Times New Roman" w:cs="Times New Roman" w:eastAsia="Times New Roman" w:hint="default"/>
        </w:rPr>
        <w:t>6</w:t>
      </w:r>
      <w:r>
        <w:rPr/>
        <w:t>、企业管理计划 为了应对公司规模迅速扩大而带来的企业管理上的挑战，公司将在企业文化、组织架构、制度建设、</w:t>
      </w:r>
    </w:p>
    <w:p>
      <w:pPr>
        <w:pStyle w:val="BodyText"/>
        <w:spacing w:line="350" w:lineRule="auto" w:before="45"/>
        <w:ind w:right="101"/>
        <w:jc w:val="left"/>
      </w:pPr>
      <w:r>
        <w:rPr/>
        <w:t>人力资源、激励机制、绩效管理以及信息系统制度建设等要素上着重投入，努力提升企业管理水平，以符 合公司迅速发展和成长的要求。为了更好的实施上述计划，需要更多的技术人才和管理人才，公司将持续 </w:t>
      </w:r>
      <w:r>
        <w:rPr>
          <w:spacing w:val="-3"/>
        </w:rPr>
        <w:t>加强对管理人员、技术研发人员和其他员工的培训，并积极招聘和留住高素质员工。进一步完善人才培养、</w:t>
      </w:r>
      <w:r>
        <w:rPr>
          <w:spacing w:val="-90"/>
        </w:rPr>
        <w:t> </w:t>
      </w:r>
      <w:r>
        <w:rPr>
          <w:spacing w:val="-90"/>
        </w:rPr>
      </w:r>
      <w:r>
        <w:rPr/>
        <w:t>引进和激励机制，以优秀的企业文化、富于竞争力的薪酬体系和广阔的发展空间吸引并留住人才，建立能</w:t>
      </w:r>
      <w:r>
        <w:rPr/>
        <w:t> 够适应公司迅速发展要求的人才团队。</w:t>
      </w:r>
    </w:p>
    <w:p>
      <w:pPr>
        <w:spacing w:line="240" w:lineRule="auto" w:before="2"/>
        <w:rPr>
          <w:rFonts w:ascii="宋体" w:hAnsi="宋体" w:cs="宋体" w:eastAsia="宋体" w:hint="default"/>
          <w:sz w:val="14"/>
          <w:szCs w:val="14"/>
        </w:rPr>
      </w:pPr>
    </w:p>
    <w:p>
      <w:pPr>
        <w:pStyle w:val="BodyText"/>
        <w:spacing w:line="328" w:lineRule="auto"/>
        <w:ind w:left="511" w:right="102"/>
        <w:jc w:val="left"/>
      </w:pPr>
      <w:r>
        <w:rPr/>
        <w:t>首次公开发行招股说明书中披露的未来发展与规划</w:t>
      </w:r>
      <w:r>
        <w:rPr>
          <w:rFonts w:ascii="Times New Roman" w:hAnsi="Times New Roman" w:cs="Times New Roman" w:eastAsia="Times New Roman" w:hint="default"/>
        </w:rPr>
        <w:t>2012</w:t>
      </w:r>
      <w:r>
        <w:rPr/>
        <w:t>年度的进展情况如下： </w:t>
      </w:r>
      <w:r>
        <w:rPr>
          <w:rFonts w:ascii="Times New Roman" w:hAnsi="Times New Roman" w:cs="Times New Roman" w:eastAsia="Times New Roman" w:hint="default"/>
        </w:rPr>
        <w:t>1</w:t>
      </w:r>
      <w:r>
        <w:rPr/>
        <w:t>、信息安全产品开发情况 </w:t>
      </w:r>
      <w:r>
        <w:rPr>
          <w:spacing w:val="-1"/>
        </w:rPr>
        <w:t>公司上市后按计划推进募投项目的建设，截止2012年12月31日，公司已累计使用募集资金</w:t>
      </w:r>
      <w:r>
        <w:rPr>
          <w:rFonts w:ascii="Times New Roman" w:hAnsi="Times New Roman" w:cs="Times New Roman" w:eastAsia="Times New Roman" w:hint="default"/>
          <w:spacing w:val="-1"/>
        </w:rPr>
        <w:t>18,248.61</w:t>
      </w:r>
      <w:r>
        <w:rPr>
          <w:spacing w:val="-1"/>
        </w:rPr>
        <w:t>万</w:t>
      </w:r>
    </w:p>
    <w:p>
      <w:pPr>
        <w:pStyle w:val="BodyText"/>
        <w:spacing w:line="240" w:lineRule="auto" w:before="24"/>
        <w:ind w:right="102"/>
        <w:jc w:val="left"/>
      </w:pPr>
      <w:r>
        <w:rPr/>
        <w:t>元，占募集资金总额的比例为</w:t>
      </w:r>
      <w:r>
        <w:rPr>
          <w:rFonts w:ascii="Times New Roman" w:hAnsi="Times New Roman" w:cs="Times New Roman" w:eastAsia="Times New Roman" w:hint="default"/>
        </w:rPr>
        <w:t>51.73%</w:t>
      </w:r>
      <w:r>
        <w:rPr/>
        <w:t>。具体开发进度可参见本章管理层讨论与分析</w:t>
      </w:r>
      <w:r>
        <w:rPr>
          <w:rFonts w:ascii="Times New Roman" w:hAnsi="Times New Roman" w:cs="Times New Roman" w:eastAsia="Times New Roman" w:hint="default"/>
        </w:rPr>
        <w:t>-</w:t>
      </w:r>
      <w:r>
        <w:rPr/>
        <w:t>募投项目进展情况。</w:t>
      </w:r>
    </w:p>
    <w:p>
      <w:pPr>
        <w:pStyle w:val="BodyText"/>
        <w:spacing w:line="240" w:lineRule="auto" w:before="109"/>
        <w:ind w:left="511" w:right="102"/>
        <w:jc w:val="left"/>
      </w:pPr>
      <w:r>
        <w:rPr>
          <w:rFonts w:ascii="Times New Roman" w:hAnsi="Times New Roman" w:cs="Times New Roman" w:eastAsia="Times New Roman" w:hint="default"/>
        </w:rPr>
        <w:t>2</w:t>
      </w:r>
      <w:r>
        <w:rPr/>
        <w:t>、信息安全集成进展情况</w:t>
      </w:r>
    </w:p>
    <w:p>
      <w:pPr>
        <w:pStyle w:val="BodyText"/>
        <w:spacing w:line="343" w:lineRule="auto" w:before="109"/>
        <w:ind w:right="101" w:firstLine="357"/>
        <w:jc w:val="left"/>
      </w:pPr>
      <w:r>
        <w:rPr/>
        <w:t>在安全集成方面，公司继续以安全产品为依托，实行</w:t>
      </w:r>
      <w:r>
        <w:rPr>
          <w:spacing w:val="-21"/>
        </w:rPr>
        <w:t> </w:t>
      </w:r>
      <w:r>
        <w:rPr>
          <w:rFonts w:ascii="Times New Roman" w:hAnsi="Times New Roman" w:cs="Times New Roman" w:eastAsia="Times New Roman" w:hint="default"/>
        </w:rPr>
        <w:t>“</w:t>
      </w:r>
      <w:r>
        <w:rPr/>
        <w:t>行业营销</w:t>
      </w:r>
      <w:r>
        <w:rPr>
          <w:rFonts w:ascii="Times New Roman" w:hAnsi="Times New Roman" w:cs="Times New Roman" w:eastAsia="Times New Roman" w:hint="default"/>
        </w:rPr>
        <w:t>”</w:t>
      </w:r>
      <w:r>
        <w:rPr/>
        <w:t>的策略，充分利用公司在政府、教育 </w:t>
      </w:r>
      <w:r>
        <w:rPr>
          <w:spacing w:val="-3"/>
        </w:rPr>
        <w:t>等行业积累的品牌形象和行业经验，不断向其他行业客户拓展。</w:t>
      </w:r>
      <w:r>
        <w:rPr>
          <w:rFonts w:ascii="Times New Roman" w:hAnsi="Times New Roman" w:cs="Times New Roman" w:eastAsia="Times New Roman" w:hint="default"/>
          <w:spacing w:val="-3"/>
        </w:rPr>
        <w:t>2012</w:t>
      </w:r>
      <w:r>
        <w:rPr>
          <w:spacing w:val="-3"/>
        </w:rPr>
        <w:t>年公司重点向社保、应急等行业拓展。</w:t>
      </w:r>
      <w:r>
        <w:rPr>
          <w:spacing w:val="-87"/>
        </w:rPr>
        <w:t> </w:t>
      </w:r>
      <w:r>
        <w:rPr>
          <w:spacing w:val="-87"/>
        </w:rPr>
      </w:r>
      <w:r>
        <w:rPr/>
        <w:t>在社保领域，与教研室签订了</w:t>
      </w:r>
      <w:r>
        <w:rPr>
          <w:rFonts w:ascii="Times New Roman" w:hAnsi="Times New Roman" w:cs="Times New Roman" w:eastAsia="Times New Roman" w:hint="default"/>
        </w:rPr>
        <w:t>8000</w:t>
      </w:r>
      <w:r>
        <w:rPr/>
        <w:t>万元的重大合同，目前项目进展顺利，具体可参见本报告第五节重大事 项第七点重大合同及其履行情况。另外，公司大力发展应急平台业务，报告期内，公司设立了控股子公司 蓝盾乐庚专门从事应急业务，搭建起一个政府、公安、电力、安监、环保、交通、医疗等部门互联互通的 应急指挥信息系统。应急联动业务仍然是以解决方案为主要模式，除了公司已有的信息安全软件和产品之 </w:t>
      </w:r>
      <w:r>
        <w:rPr>
          <w:spacing w:val="-3"/>
        </w:rPr>
        <w:t>外，应急领域还增加了其他方面的软件投资，盈利能力较高。另外，随着国家对智慧城市建设的不断加速，</w:t>
      </w:r>
      <w:r>
        <w:rPr>
          <w:spacing w:val="-96"/>
        </w:rPr>
        <w:t> </w:t>
      </w:r>
      <w:r>
        <w:rPr>
          <w:spacing w:val="-96"/>
        </w:rPr>
      </w:r>
      <w:r>
        <w:rPr/>
        <w:t>信息化投入的比重将不断提高，应急业务作为智慧城市的重要信息链接载体，将起到举足轻重的作用。公</w:t>
      </w:r>
      <w:r>
        <w:rPr/>
        <w:t> 司大力发展应急行业，可获得长期稳定的业绩增长。</w:t>
      </w:r>
    </w:p>
    <w:p>
      <w:pPr>
        <w:pStyle w:val="BodyText"/>
        <w:spacing w:line="331" w:lineRule="auto" w:before="34"/>
        <w:ind w:left="511" w:right="233" w:hanging="1"/>
        <w:jc w:val="left"/>
      </w:pPr>
      <w:r>
        <w:rPr>
          <w:rFonts w:ascii="Times New Roman" w:hAnsi="Times New Roman" w:cs="Times New Roman" w:eastAsia="Times New Roman" w:hint="default"/>
        </w:rPr>
        <w:t>3</w:t>
      </w:r>
      <w:r>
        <w:rPr/>
        <w:t>、信息安全服务进展情况 报告期内，公司结合等级保护与风险防范等要求，开展高端咨询、安全运维、安全培训等业务。并通</w:t>
      </w:r>
    </w:p>
    <w:p>
      <w:pPr>
        <w:pStyle w:val="BodyText"/>
        <w:spacing w:line="240" w:lineRule="auto" w:before="45"/>
        <w:ind w:right="102"/>
        <w:jc w:val="left"/>
      </w:pPr>
      <w:r>
        <w:rPr/>
        <w:t>过设立蓝盾职业技术学院，加强与客户的联系与沟通，积极储备技术人才。</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left="511" w:right="233" w:hanging="1"/>
        <w:jc w:val="left"/>
      </w:pPr>
      <w:r>
        <w:rPr>
          <w:rFonts w:ascii="Times New Roman" w:hAnsi="Times New Roman" w:cs="Times New Roman" w:eastAsia="Times New Roman" w:hint="default"/>
        </w:rPr>
        <w:t>4</w:t>
      </w:r>
      <w:r>
        <w:rPr/>
        <w:t>、研究开发情况 报告期内，公司密切跟踪和研究信息安全技术发展趋势，成立了前沿技术部关注国内外科技热点，对</w:t>
      </w:r>
    </w:p>
    <w:p>
      <w:pPr>
        <w:pStyle w:val="BodyText"/>
        <w:spacing w:line="336" w:lineRule="auto" w:before="48"/>
        <w:ind w:left="153" w:right="291"/>
        <w:jc w:val="both"/>
      </w:pPr>
      <w:r>
        <w:rPr>
          <w:spacing w:val="-3"/>
        </w:rPr>
        <w:t>移动安全领域，虚拟化等重点领域进行深入研究。并出版半月刊《信息安全市场月报》，加强对行业的引</w:t>
      </w:r>
      <w:r>
        <w:rPr>
          <w:spacing w:val="-74"/>
        </w:rPr>
        <w:t> </w:t>
      </w:r>
      <w:r>
        <w:rPr>
          <w:spacing w:val="-74"/>
        </w:rPr>
      </w:r>
      <w:r>
        <w:rPr/>
        <w:t>导与了解。在目前</w:t>
      </w:r>
      <w:r>
        <w:rPr>
          <w:rFonts w:ascii="Times New Roman" w:hAnsi="Times New Roman" w:cs="Times New Roman" w:eastAsia="Times New Roman" w:hint="default"/>
        </w:rPr>
        <w:t>CMMI-3</w:t>
      </w:r>
      <w:r>
        <w:rPr/>
        <w:t>级的基础上，继续深化</w:t>
      </w:r>
      <w:r>
        <w:rPr>
          <w:rFonts w:ascii="Times New Roman" w:hAnsi="Times New Roman" w:cs="Times New Roman" w:eastAsia="Times New Roman" w:hint="default"/>
        </w:rPr>
        <w:t>CMMI</w:t>
      </w:r>
      <w:r>
        <w:rPr>
          <w:rFonts w:ascii="Times New Roman" w:hAnsi="Times New Roman" w:cs="Times New Roman" w:eastAsia="Times New Roman" w:hint="default"/>
          <w:spacing w:val="47"/>
        </w:rPr>
        <w:t> </w:t>
      </w:r>
      <w:r>
        <w:rPr/>
        <w:t>软件研发质量管理体系的建设，实现</w:t>
      </w:r>
      <w:r>
        <w:rPr>
          <w:rFonts w:ascii="Times New Roman" w:hAnsi="Times New Roman" w:cs="Times New Roman" w:eastAsia="Times New Roman" w:hint="default"/>
        </w:rPr>
        <w:t>CMMI-5</w:t>
      </w:r>
      <w:r>
        <w:rPr/>
        <w:t>级 的开发流程体系，取得</w:t>
      </w:r>
      <w:r>
        <w:rPr>
          <w:rFonts w:ascii="Times New Roman" w:hAnsi="Times New Roman" w:cs="Times New Roman" w:eastAsia="Times New Roman" w:hint="default"/>
        </w:rPr>
        <w:t>CMMI5</w:t>
      </w:r>
      <w:r>
        <w:rPr/>
        <w:t>级认证。另外，配合完成</w:t>
      </w:r>
      <w:r>
        <w:rPr>
          <w:rFonts w:ascii="Times New Roman" w:hAnsi="Times New Roman" w:cs="Times New Roman" w:eastAsia="Times New Roman" w:hint="default"/>
        </w:rPr>
        <w:t>ITSS</w:t>
      </w:r>
      <w:r>
        <w:rPr/>
        <w:t>工程运维服务资质审核，完成信息安全</w:t>
      </w:r>
      <w:r>
        <w:rPr>
          <w:rFonts w:ascii="Times New Roman" w:hAnsi="Times New Roman" w:cs="Times New Roman" w:eastAsia="Times New Roman" w:hint="default"/>
        </w:rPr>
        <w:t>3C</w:t>
      </w:r>
      <w:r>
        <w:rPr/>
        <w:t>认 证年审。此外，继续加大力度引进及培养核心技术骨干，通过企业文化、激励机制吸引核心技术人员。</w:t>
      </w:r>
    </w:p>
    <w:p>
      <w:pPr>
        <w:pStyle w:val="BodyText"/>
        <w:spacing w:line="240" w:lineRule="auto" w:before="41"/>
        <w:ind w:left="511" w:right="102"/>
        <w:jc w:val="left"/>
      </w:pPr>
      <w:r>
        <w:rPr>
          <w:rFonts w:ascii="Times New Roman" w:hAnsi="Times New Roman" w:cs="Times New Roman" w:eastAsia="Times New Roman" w:hint="default"/>
        </w:rPr>
        <w:t>5</w:t>
      </w:r>
      <w:r>
        <w:rPr/>
        <w:t>、营销体系建设情况</w:t>
      </w:r>
    </w:p>
    <w:p>
      <w:pPr>
        <w:pStyle w:val="BodyText"/>
        <w:spacing w:line="345" w:lineRule="auto" w:before="109"/>
        <w:ind w:left="153" w:right="102" w:firstLine="357"/>
        <w:jc w:val="left"/>
      </w:pPr>
      <w:r>
        <w:rPr>
          <w:rFonts w:ascii="Times New Roman" w:hAnsi="Times New Roman" w:cs="Times New Roman" w:eastAsia="Times New Roman" w:hint="default"/>
        </w:rPr>
        <w:t>2012</w:t>
      </w:r>
      <w:r>
        <w:rPr/>
        <w:t>年，公司进一步拓展华南市场份额，在保证公司在华南市场稳固的龙头地位的基础上，加快了全 </w:t>
      </w:r>
      <w:r>
        <w:rPr>
          <w:spacing w:val="-1"/>
        </w:rPr>
        <w:t>国布点，截止2012年底，公司共设立了深圳、广西、武汉、合肥、西安、宁夏等6家分公司及北京、上海、</w:t>
      </w:r>
      <w:r>
        <w:rPr>
          <w:spacing w:val="-84"/>
        </w:rPr>
        <w:t> </w:t>
      </w:r>
      <w:r>
        <w:rPr>
          <w:spacing w:val="-84"/>
        </w:rPr>
      </w:r>
      <w:r>
        <w:rPr>
          <w:spacing w:val="-3"/>
        </w:rPr>
        <w:t>黑龙江、长沙、郑州、成都、重庆、济南8个办事处，在重点区域的核心城市设立9个专门的驻点分支机构，</w:t>
      </w:r>
      <w:r>
        <w:rPr>
          <w:spacing w:val="-94"/>
        </w:rPr>
        <w:t> </w:t>
      </w:r>
      <w:r>
        <w:rPr>
          <w:spacing w:val="-94"/>
        </w:rPr>
      </w:r>
      <w:r>
        <w:rPr/>
        <w:t>基本形成了以华南地区为中心，辐射全国核心区域市场的营销网络。区域布局的成功将摆脱公司对华南市</w:t>
      </w:r>
      <w:r>
        <w:rPr/>
        <w:t> 场的过度依赖，公司再利用在政府、教育等重点行业客户积累的业务经验和服务理念，积极地向金融、电 信、社保、应急、医疗等其他客户领域推广和发展，其中电信业2012年度实现营业收入与上年度相比增长 </w:t>
      </w:r>
      <w:r>
        <w:rPr>
          <w:rFonts w:ascii="Times New Roman" w:hAnsi="Times New Roman" w:cs="Times New Roman" w:eastAsia="Times New Roman" w:hint="default"/>
        </w:rPr>
        <w:t>23.85%</w:t>
      </w:r>
      <w:r>
        <w:rPr/>
        <w:t>。再者，公司在保持现有三大基础业务联动发展的经营模式的同时，于</w:t>
      </w:r>
      <w:r>
        <w:rPr>
          <w:rFonts w:ascii="Times New Roman" w:hAnsi="Times New Roman" w:cs="Times New Roman" w:eastAsia="Times New Roman" w:hint="default"/>
        </w:rPr>
        <w:t>2012</w:t>
      </w:r>
      <w:r>
        <w:rPr/>
        <w:t>年底研发推出了安全云 平台子项目云防线CloudFence，积极探索云运营模式，力争成为新网络时代领先的全方位信息安全综合服 务和运营提供商。</w:t>
      </w:r>
    </w:p>
    <w:p>
      <w:pPr>
        <w:pStyle w:val="BodyText"/>
        <w:spacing w:line="331" w:lineRule="auto" w:before="32"/>
        <w:ind w:left="511" w:right="233" w:hanging="1"/>
        <w:jc w:val="left"/>
      </w:pPr>
      <w:r>
        <w:rPr>
          <w:rFonts w:ascii="Times New Roman" w:hAnsi="Times New Roman" w:cs="Times New Roman" w:eastAsia="Times New Roman" w:hint="default"/>
        </w:rPr>
        <w:t>6</w:t>
      </w:r>
      <w:r>
        <w:rPr/>
        <w:t>、企业管理开展情况 随着公司成功登陆创业板，公司在企业管理上迎来了新的挑战。</w:t>
      </w:r>
      <w:r>
        <w:rPr>
          <w:rFonts w:ascii="Times New Roman" w:hAnsi="Times New Roman" w:cs="Times New Roman" w:eastAsia="Times New Roman" w:hint="default"/>
        </w:rPr>
        <w:t>2012</w:t>
      </w:r>
      <w:r>
        <w:rPr/>
        <w:t>年，公司主要在制度建设、人力</w:t>
      </w:r>
    </w:p>
    <w:p>
      <w:pPr>
        <w:pStyle w:val="BodyText"/>
        <w:spacing w:line="350" w:lineRule="auto" w:before="20"/>
        <w:ind w:left="153" w:right="102"/>
        <w:jc w:val="left"/>
      </w:pPr>
      <w:r>
        <w:rPr/>
        <w:t>资源、激励机制、绩效考核等方面着重投入，引入咨询公司进行全员培训，公司上下共同讨论管理上遇到 </w:t>
      </w:r>
      <w:r>
        <w:rPr>
          <w:spacing w:val="-3"/>
        </w:rPr>
        <w:t>的问题与解决方案，通过集中培训、分组讨论、实战分析等各种手段优化内部组织与管理、梳理职责地图，</w:t>
      </w:r>
      <w:r>
        <w:rPr>
          <w:spacing w:val="-96"/>
        </w:rPr>
        <w:t> </w:t>
      </w:r>
      <w:r>
        <w:rPr>
          <w:spacing w:val="-96"/>
        </w:rPr>
      </w:r>
      <w:r>
        <w:rPr/>
        <w:t>强化公司战略并指导实施，使公司管理水平得到有效的提升。报告期内，公司按照创业板上市公司规范运</w:t>
      </w:r>
      <w:r>
        <w:rPr/>
        <w:t> 作要求，加强内部控制，建立各项管理制度，包括财务与内控制度、研发管理制度、人力资源及绩效考核 制度、投资者关系管理制度等，完善工作流程，持续规范运行，逐步形成专业化的管理团队。此外，公司 更加强公司员工对资本市场的理解与认识，定期举办内幕交易防控、加强公司规范治理等专题培训，确保 公司规范运作。</w:t>
      </w:r>
    </w:p>
    <w:p>
      <w:pPr>
        <w:spacing w:before="4"/>
        <w:ind w:left="154" w:right="102"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4" w:right="10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180,761,284.62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110,208,524.82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100,046,058.53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44,123,786.95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31,431,059.75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19,289,832.08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7,896,489.86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4,694,221.78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16,482,739.25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9,892,317.30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8,586,230.93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3,988,187.82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78,634,397.68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21,358,917.14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245,902,317.27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166,308,601.91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20,667,147.99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4,529,351.70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149,743.59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34,228.60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7,228,394.47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5,114,016.28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2,231,930.61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1,120,448.26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311,869,632.75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170,693,539.55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6,445,303.44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4,139,678.15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3,865,682.84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1,759,702.12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2,720.03%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13,413,175.24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9,335,257.79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1,408.34%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-39.28%</w:t>
            </w:r>
          </w:p>
        </w:tc>
      </w:tr>
    </w:tbl>
    <w:p>
      <w:pPr>
        <w:pStyle w:val="BodyText"/>
        <w:spacing w:line="240" w:lineRule="auto" w:before="26"/>
        <w:ind w:right="0"/>
        <w:jc w:val="both"/>
      </w:pPr>
      <w:r>
        <w:rPr/>
        <w:t>说明</w:t>
      </w:r>
    </w:p>
    <w:p>
      <w:pPr>
        <w:pStyle w:val="BodyText"/>
        <w:spacing w:line="331" w:lineRule="auto" w:before="165"/>
        <w:ind w:left="574" w:right="0"/>
        <w:jc w:val="left"/>
      </w:pPr>
      <w:r>
        <w:rPr>
          <w:rFonts w:ascii="Times New Roman" w:hAnsi="Times New Roman" w:cs="Times New Roman" w:eastAsia="Times New Roman" w:hint="default"/>
        </w:rPr>
        <w:t>A</w:t>
      </w:r>
      <w:r>
        <w:rPr/>
        <w:t>、从行业分类上看 </w:t>
      </w:r>
      <w:r>
        <w:rPr>
          <w:spacing w:val="-1"/>
        </w:rPr>
        <w:t>随着政府信息化安全建设步伐的推进，政府定制开发产品及运维管理服务的比重逐步提高，更需要专</w:t>
      </w:r>
    </w:p>
    <w:p>
      <w:pPr>
        <w:pStyle w:val="BodyText"/>
        <w:spacing w:line="350" w:lineRule="auto" w:before="45"/>
        <w:ind w:right="142"/>
        <w:jc w:val="both"/>
      </w:pPr>
      <w:r>
        <w:rPr>
          <w:spacing w:val="-1"/>
        </w:rPr>
        <w:t>业安全厂商提供一站式整体解决方案以满足不同项目的需求。公司以发展终端客户为目标，逐渐减少对系</w:t>
      </w:r>
      <w:r>
        <w:rPr>
          <w:spacing w:val="-81"/>
        </w:rPr>
        <w:t> </w:t>
      </w:r>
      <w:r>
        <w:rPr>
          <w:spacing w:val="-81"/>
        </w:rPr>
      </w:r>
      <w:r>
        <w:rPr>
          <w:spacing w:val="-1"/>
        </w:rPr>
        <w:t>统集成商的依赖，将安全产品融合到各解决方案中直接销售，原本销售给系统集成商的安全产品转由通过</w:t>
      </w:r>
      <w:r>
        <w:rPr>
          <w:spacing w:val="-81"/>
        </w:rPr>
        <w:t> </w:t>
      </w:r>
      <w:r>
        <w:rPr>
          <w:spacing w:val="-81"/>
        </w:rPr>
      </w:r>
      <w:r>
        <w:rPr>
          <w:spacing w:val="3"/>
        </w:rPr>
        <w:t>公司自身承揽的安全集成业务直接销售给政府单位等最终客户，使政府机关在公司销售收入中的占比由</w:t>
      </w:r>
      <w:r>
        <w:rPr>
          <w:spacing w:val="-78"/>
        </w:rPr>
        <w:t> </w:t>
      </w:r>
      <w:r>
        <w:rPr>
          <w:spacing w:val="-78"/>
        </w:rPr>
      </w:r>
      <w:r>
        <w:rPr/>
        <w:t>2011年43.55%增加至52.38%，增加了8.81%。报告期内，由于安全产品、安全集成和安全服务三项业务联</w:t>
      </w:r>
      <w:r>
        <w:rPr>
          <w:spacing w:val="-41"/>
        </w:rPr>
        <w:t> </w:t>
      </w:r>
      <w:r>
        <w:rPr>
          <w:spacing w:val="-41"/>
        </w:rPr>
      </w:r>
      <w:r>
        <w:rPr/>
        <w:t>动发展，政府、教育、电信等行业的营业收入也得到增长。</w:t>
      </w:r>
    </w:p>
    <w:p>
      <w:pPr>
        <w:pStyle w:val="BodyText"/>
        <w:spacing w:line="343" w:lineRule="auto" w:before="29"/>
        <w:ind w:right="131" w:firstLine="420"/>
        <w:jc w:val="both"/>
      </w:pPr>
      <w:r>
        <w:rPr>
          <w:rFonts w:ascii="Times New Roman" w:hAnsi="Times New Roman" w:cs="Times New Roman" w:eastAsia="Times New Roman" w:hint="default"/>
        </w:rPr>
        <w:t>B</w:t>
      </w:r>
      <w:r>
        <w:rPr/>
        <w:t>、从业务分类上看，报告期内公司整体业务收入较2011年上升了23.83%，其中安全产品、安全集成</w:t>
      </w:r>
      <w:r>
        <w:rPr>
          <w:spacing w:val="1"/>
        </w:rPr>
        <w:t> </w:t>
      </w:r>
      <w:r>
        <w:rPr>
          <w:spacing w:val="19"/>
        </w:rPr>
        <w:t>业务得到较快发展。随着公司安全产品技术水平的提高和知名度的扩大，公司安全产品销售收入</w:t>
      </w:r>
      <w:r>
        <w:rPr>
          <w:spacing w:val="-100"/>
        </w:rPr>
        <w:t> </w:t>
      </w:r>
      <w:r>
        <w:rPr>
          <w:spacing w:val="-1"/>
        </w:rPr>
        <w:t>78,634,397.68元，较2011年53,099,173.67元增长了48.09%。公司立足于行业营销，以直接面向客户提供</w:t>
      </w:r>
      <w:r>
        <w:rPr>
          <w:spacing w:val="-72"/>
        </w:rPr>
        <w:t> </w:t>
      </w:r>
      <w:r>
        <w:rPr>
          <w:spacing w:val="-72"/>
        </w:rPr>
      </w:r>
      <w:r>
        <w:rPr>
          <w:spacing w:val="-1"/>
        </w:rPr>
        <w:t>“一站式”安全解决方案为营销理念，积极拓展公司业务与开拓市场，报告期内安全集成业务得到快速增</w:t>
      </w:r>
    </w:p>
    <w:p>
      <w:pPr>
        <w:spacing w:after="0" w:line="343"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right="102"/>
        <w:jc w:val="left"/>
      </w:pPr>
      <w:r>
        <w:rPr/>
        <w:pict>
          <v:shape style="position:absolute;margin-left:58.68pt;margin-top:76.253998pt;width:478.45pt;height:122.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0"/>
                    <w:gridCol w:w="1820"/>
                    <w:gridCol w:w="1780"/>
                    <w:gridCol w:w="1820"/>
                    <w:gridCol w:w="1740"/>
                  </w:tblGrid>
                  <w:tr>
                    <w:trPr>
                      <w:trHeight w:val="407" w:hRule="exact"/>
                    </w:trPr>
                    <w:tc>
                      <w:tcPr>
                        <w:tcW w:w="2380" w:type="dxa"/>
                        <w:vMerge w:val="restart"/>
                        <w:tcBorders>
                          <w:top w:val="single" w:sz="8" w:space="0" w:color="000000"/>
                          <w:left w:val="single" w:sz="8" w:space="0" w:color="000000"/>
                          <w:right w:val="single" w:sz="4" w:space="0" w:color="000000"/>
                        </w:tcBorders>
                        <w:shd w:val="clear" w:color="auto" w:fill="9ACCFF"/>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产品业务</w:t>
                        </w:r>
                        <w:r>
                          <w:rPr>
                            <w:rFonts w:ascii="宋体" w:hAnsi="宋体" w:cs="宋体" w:eastAsia="宋体" w:hint="default"/>
                            <w:sz w:val="18"/>
                            <w:szCs w:val="18"/>
                          </w:rPr>
                        </w:r>
                      </w:p>
                    </w:tc>
                    <w:tc>
                      <w:tcPr>
                        <w:tcW w:w="3600" w:type="dxa"/>
                        <w:gridSpan w:val="2"/>
                        <w:tcBorders>
                          <w:top w:val="single" w:sz="8" w:space="0" w:color="000000"/>
                          <w:left w:val="single" w:sz="4" w:space="0" w:color="000000"/>
                          <w:bottom w:val="single" w:sz="4" w:space="0" w:color="000000"/>
                          <w:right w:val="single" w:sz="8" w:space="0" w:color="000000"/>
                        </w:tcBorders>
                        <w:shd w:val="clear" w:color="auto" w:fill="9ACCFF"/>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560" w:type="dxa"/>
                        <w:gridSpan w:val="2"/>
                        <w:tcBorders>
                          <w:top w:val="single" w:sz="8" w:space="0" w:color="000000"/>
                          <w:left w:val="single" w:sz="8" w:space="0" w:color="000000"/>
                          <w:bottom w:val="single" w:sz="4" w:space="0" w:color="000000"/>
                          <w:right w:val="single" w:sz="8" w:space="0" w:color="000000"/>
                        </w:tcBorders>
                        <w:shd w:val="clear" w:color="auto" w:fill="9ACC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2" w:hRule="exact"/>
                    </w:trPr>
                    <w:tc>
                      <w:tcPr>
                        <w:tcW w:w="2380" w:type="dxa"/>
                        <w:vMerge/>
                        <w:tcBorders>
                          <w:left w:val="single" w:sz="8" w:space="0" w:color="000000"/>
                          <w:bottom w:val="single" w:sz="4" w:space="0" w:color="000000"/>
                          <w:right w:val="single" w:sz="4" w:space="0" w:color="000000"/>
                        </w:tcBorders>
                        <w:shd w:val="clear" w:color="auto" w:fill="9ACCFF"/>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9ACCFF"/>
                      </w:tcPr>
                      <w:p>
                        <w:pPr>
                          <w:pStyle w:val="TableParagraph"/>
                          <w:spacing w:line="240" w:lineRule="auto" w:before="61"/>
                          <w:ind w:left="543" w:right="0"/>
                          <w:jc w:val="left"/>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1780" w:type="dxa"/>
                        <w:tcBorders>
                          <w:top w:val="single" w:sz="4" w:space="0" w:color="000000"/>
                          <w:left w:val="single" w:sz="4" w:space="0" w:color="000000"/>
                          <w:bottom w:val="single" w:sz="4" w:space="0" w:color="000000"/>
                          <w:right w:val="single" w:sz="8" w:space="0" w:color="000000"/>
                        </w:tcBorders>
                        <w:shd w:val="clear" w:color="auto" w:fill="9ACCFF"/>
                      </w:tcPr>
                      <w:p>
                        <w:pPr>
                          <w:pStyle w:val="TableParagraph"/>
                          <w:spacing w:line="240" w:lineRule="auto" w:before="61"/>
                          <w:ind w:left="343" w:right="0"/>
                          <w:jc w:val="left"/>
                          <w:rPr>
                            <w:rFonts w:ascii="宋体" w:hAnsi="宋体" w:cs="宋体" w:eastAsia="宋体" w:hint="default"/>
                            <w:sz w:val="18"/>
                            <w:szCs w:val="18"/>
                          </w:rPr>
                        </w:pPr>
                        <w:r>
                          <w:rPr>
                            <w:rFonts w:ascii="宋体" w:hAnsi="宋体" w:cs="宋体" w:eastAsia="宋体" w:hint="default"/>
                            <w:b/>
                            <w:bCs/>
                            <w:sz w:val="18"/>
                            <w:szCs w:val="18"/>
                          </w:rPr>
                          <w:t>占总收入比例</w:t>
                        </w:r>
                        <w:r>
                          <w:rPr>
                            <w:rFonts w:ascii="宋体" w:hAnsi="宋体" w:cs="宋体" w:eastAsia="宋体" w:hint="default"/>
                            <w:sz w:val="18"/>
                            <w:szCs w:val="18"/>
                          </w:rPr>
                        </w:r>
                      </w:p>
                    </w:tc>
                    <w:tc>
                      <w:tcPr>
                        <w:tcW w:w="1820" w:type="dxa"/>
                        <w:tcBorders>
                          <w:top w:val="single" w:sz="4" w:space="0" w:color="000000"/>
                          <w:left w:val="single" w:sz="8" w:space="0" w:color="000000"/>
                          <w:bottom w:val="single" w:sz="4" w:space="0" w:color="000000"/>
                          <w:right w:val="single" w:sz="4" w:space="0" w:color="000000"/>
                        </w:tcBorders>
                        <w:shd w:val="clear" w:color="auto" w:fill="9ACCFF"/>
                      </w:tcPr>
                      <w:p>
                        <w:pPr>
                          <w:pStyle w:val="TableParagraph"/>
                          <w:spacing w:line="240" w:lineRule="auto" w:before="61"/>
                          <w:ind w:left="538" w:right="0"/>
                          <w:jc w:val="left"/>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8" w:space="0" w:color="000000"/>
                        </w:tcBorders>
                        <w:shd w:val="clear" w:color="auto" w:fill="9ACCFF"/>
                      </w:tcPr>
                      <w:p>
                        <w:pPr>
                          <w:pStyle w:val="TableParagraph"/>
                          <w:spacing w:line="240" w:lineRule="auto" w:before="61"/>
                          <w:ind w:left="322" w:right="0"/>
                          <w:jc w:val="left"/>
                          <w:rPr>
                            <w:rFonts w:ascii="宋体" w:hAnsi="宋体" w:cs="宋体" w:eastAsia="宋体" w:hint="default"/>
                            <w:sz w:val="18"/>
                            <w:szCs w:val="18"/>
                          </w:rPr>
                        </w:pPr>
                        <w:r>
                          <w:rPr>
                            <w:rFonts w:ascii="宋体" w:hAnsi="宋体" w:cs="宋体" w:eastAsia="宋体" w:hint="default"/>
                            <w:b/>
                            <w:bCs/>
                            <w:sz w:val="18"/>
                            <w:szCs w:val="18"/>
                          </w:rPr>
                          <w:t>占总收入比例</w:t>
                        </w:r>
                        <w:r>
                          <w:rPr>
                            <w:rFonts w:ascii="宋体" w:hAnsi="宋体" w:cs="宋体" w:eastAsia="宋体" w:hint="default"/>
                            <w:sz w:val="18"/>
                            <w:szCs w:val="18"/>
                          </w:rPr>
                        </w:r>
                      </w:p>
                    </w:tc>
                  </w:tr>
                  <w:tr>
                    <w:trPr>
                      <w:trHeight w:val="402" w:hRule="exact"/>
                    </w:trPr>
                    <w:tc>
                      <w:tcPr>
                        <w:tcW w:w="23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78,634,397.68</w:t>
                        </w:r>
                      </w:p>
                    </w:tc>
                    <w:tc>
                      <w:tcPr>
                        <w:tcW w:w="17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22.78%</w:t>
                        </w:r>
                      </w:p>
                    </w:tc>
                    <w:tc>
                      <w:tcPr>
                        <w:tcW w:w="18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53,099,173.67</w:t>
                        </w:r>
                      </w:p>
                    </w:tc>
                    <w:tc>
                      <w:tcPr>
                        <w:tcW w:w="17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19.05%</w:t>
                        </w:r>
                      </w:p>
                    </w:tc>
                  </w:tr>
                  <w:tr>
                    <w:trPr>
                      <w:trHeight w:val="402" w:hRule="exact"/>
                    </w:trPr>
                    <w:tc>
                      <w:tcPr>
                        <w:tcW w:w="23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245,902,317.27</w:t>
                        </w:r>
                      </w:p>
                    </w:tc>
                    <w:tc>
                      <w:tcPr>
                        <w:tcW w:w="17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71.23%</w:t>
                        </w:r>
                      </w:p>
                    </w:tc>
                    <w:tc>
                      <w:tcPr>
                        <w:tcW w:w="18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198,748,510.38</w:t>
                        </w:r>
                      </w:p>
                    </w:tc>
                    <w:tc>
                      <w:tcPr>
                        <w:tcW w:w="17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71.29%</w:t>
                        </w:r>
                      </w:p>
                    </w:tc>
                  </w:tr>
                  <w:tr>
                    <w:trPr>
                      <w:trHeight w:val="402" w:hRule="exact"/>
                    </w:trPr>
                    <w:tc>
                      <w:tcPr>
                        <w:tcW w:w="23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20,667,147.99</w:t>
                        </w:r>
                      </w:p>
                    </w:tc>
                    <w:tc>
                      <w:tcPr>
                        <w:tcW w:w="17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5.99%</w:t>
                        </w:r>
                      </w:p>
                    </w:tc>
                    <w:tc>
                      <w:tcPr>
                        <w:tcW w:w="18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26,923,142.30</w:t>
                        </w:r>
                      </w:p>
                    </w:tc>
                    <w:tc>
                      <w:tcPr>
                        <w:tcW w:w="17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9.66%</w:t>
                        </w:r>
                      </w:p>
                    </w:tc>
                  </w:tr>
                  <w:tr>
                    <w:trPr>
                      <w:trHeight w:val="407" w:hRule="exact"/>
                    </w:trPr>
                    <w:tc>
                      <w:tcPr>
                        <w:tcW w:w="2380" w:type="dxa"/>
                        <w:tcBorders>
                          <w:top w:val="single" w:sz="4" w:space="0" w:color="000000"/>
                          <w:left w:val="single" w:sz="8" w:space="0" w:color="000000"/>
                          <w:bottom w:val="single" w:sz="8" w:space="0" w:color="000000"/>
                          <w:right w:val="single" w:sz="4" w:space="0" w:color="000000"/>
                        </w:tcBorders>
                        <w:shd w:val="clear" w:color="auto" w:fill="CCFFCC"/>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000000"/>
                          <w:left w:val="single" w:sz="4" w:space="0" w:color="000000"/>
                          <w:bottom w:val="single" w:sz="8" w:space="0" w:color="000000"/>
                          <w:right w:val="single" w:sz="4" w:space="0" w:color="000000"/>
                        </w:tcBorders>
                        <w:shd w:val="clear" w:color="auto" w:fill="CCFFCC"/>
                      </w:tcPr>
                      <w:p>
                        <w:pPr>
                          <w:pStyle w:val="TableParagraph"/>
                          <w:spacing w:line="240" w:lineRule="auto" w:before="51"/>
                          <w:ind w:right="101"/>
                          <w:jc w:val="right"/>
                          <w:rPr>
                            <w:rFonts w:ascii="宋体" w:hAnsi="宋体" w:cs="宋体" w:eastAsia="宋体" w:hint="default"/>
                            <w:sz w:val="18"/>
                            <w:szCs w:val="18"/>
                          </w:rPr>
                        </w:pPr>
                        <w:r>
                          <w:rPr>
                            <w:rFonts w:ascii="宋体"/>
                            <w:sz w:val="18"/>
                          </w:rPr>
                          <w:t>345,203,862.94</w:t>
                        </w:r>
                      </w:p>
                    </w:tc>
                    <w:tc>
                      <w:tcPr>
                        <w:tcW w:w="1780" w:type="dxa"/>
                        <w:tcBorders>
                          <w:top w:val="single" w:sz="4" w:space="0" w:color="000000"/>
                          <w:left w:val="single" w:sz="4" w:space="0" w:color="000000"/>
                          <w:bottom w:val="single" w:sz="8" w:space="0" w:color="000000"/>
                          <w:right w:val="single" w:sz="8" w:space="0" w:color="000000"/>
                        </w:tcBorders>
                        <w:shd w:val="clear" w:color="auto" w:fill="CCFFCC"/>
                      </w:tcPr>
                      <w:p>
                        <w:pPr>
                          <w:pStyle w:val="TableParagraph"/>
                          <w:spacing w:line="240" w:lineRule="auto" w:before="51"/>
                          <w:ind w:right="96"/>
                          <w:jc w:val="right"/>
                          <w:rPr>
                            <w:rFonts w:ascii="宋体" w:hAnsi="宋体" w:cs="宋体" w:eastAsia="宋体" w:hint="default"/>
                            <w:sz w:val="18"/>
                            <w:szCs w:val="18"/>
                          </w:rPr>
                        </w:pPr>
                        <w:r>
                          <w:rPr>
                            <w:rFonts w:ascii="宋体"/>
                            <w:sz w:val="18"/>
                          </w:rPr>
                          <w:t>100.00%</w:t>
                        </w:r>
                      </w:p>
                    </w:tc>
                    <w:tc>
                      <w:tcPr>
                        <w:tcW w:w="1820" w:type="dxa"/>
                        <w:tcBorders>
                          <w:top w:val="single" w:sz="4" w:space="0" w:color="000000"/>
                          <w:left w:val="single" w:sz="8" w:space="0" w:color="000000"/>
                          <w:bottom w:val="single" w:sz="8" w:space="0" w:color="000000"/>
                          <w:right w:val="single" w:sz="4" w:space="0" w:color="000000"/>
                        </w:tcBorders>
                        <w:shd w:val="clear" w:color="auto" w:fill="CCFFCC"/>
                      </w:tcPr>
                      <w:p>
                        <w:pPr>
                          <w:pStyle w:val="TableParagraph"/>
                          <w:spacing w:line="240" w:lineRule="auto" w:before="51"/>
                          <w:ind w:right="101"/>
                          <w:jc w:val="right"/>
                          <w:rPr>
                            <w:rFonts w:ascii="宋体" w:hAnsi="宋体" w:cs="宋体" w:eastAsia="宋体" w:hint="default"/>
                            <w:sz w:val="18"/>
                            <w:szCs w:val="18"/>
                          </w:rPr>
                        </w:pPr>
                        <w:r>
                          <w:rPr>
                            <w:rFonts w:ascii="宋体"/>
                            <w:sz w:val="18"/>
                          </w:rPr>
                          <w:t>278,770,826.35</w:t>
                        </w:r>
                      </w:p>
                    </w:tc>
                    <w:tc>
                      <w:tcPr>
                        <w:tcW w:w="1740" w:type="dxa"/>
                        <w:tcBorders>
                          <w:top w:val="single" w:sz="4" w:space="0" w:color="000000"/>
                          <w:left w:val="single" w:sz="4" w:space="0" w:color="000000"/>
                          <w:bottom w:val="single" w:sz="8" w:space="0" w:color="000000"/>
                          <w:right w:val="single" w:sz="8" w:space="0" w:color="000000"/>
                        </w:tcBorders>
                        <w:shd w:val="clear" w:color="auto" w:fill="CCFFCC"/>
                      </w:tcPr>
                      <w:p>
                        <w:pPr>
                          <w:pStyle w:val="TableParagraph"/>
                          <w:spacing w:line="240" w:lineRule="auto" w:before="51"/>
                          <w:ind w:right="96"/>
                          <w:jc w:val="right"/>
                          <w:rPr>
                            <w:rFonts w:ascii="宋体" w:hAnsi="宋体" w:cs="宋体" w:eastAsia="宋体" w:hint="default"/>
                            <w:sz w:val="18"/>
                            <w:szCs w:val="18"/>
                          </w:rPr>
                        </w:pPr>
                        <w:r>
                          <w:rPr>
                            <w:rFonts w:ascii="宋体"/>
                            <w:sz w:val="18"/>
                          </w:rPr>
                          <w:t>100.00%</w:t>
                        </w:r>
                      </w:p>
                    </w:tc>
                  </w:tr>
                </w:tbl>
                <w:p>
                  <w:pPr/>
                </w:p>
              </w:txbxContent>
            </v:textbox>
            <w10:wrap type="none"/>
          </v:shape>
        </w:pict>
      </w:r>
      <w:r>
        <w:rPr>
          <w:spacing w:val="-1"/>
        </w:rPr>
        <w:t>长，收入占比达71.23%，较2011年增加了79,593,715.36元。安全集成业务作为公司主营业务的重要支撑，</w:t>
      </w:r>
      <w:r>
        <w:rPr>
          <w:spacing w:val="-75"/>
        </w:rPr>
        <w:t> </w:t>
      </w:r>
      <w:r>
        <w:rPr>
          <w:spacing w:val="-75"/>
        </w:rPr>
      </w:r>
      <w:r>
        <w:rPr/>
        <w:t>有效拓展了公司规模。伴随着安全集成的快速增长，外购第三方材料的比例也相应增加，导致安全集成毛</w:t>
      </w:r>
      <w:r>
        <w:rPr/>
        <w:t> 利率较2011年有所下降。由于等级保护的推进，2012年公司安全服务收入占比有所下降，但随着客户大部 分进入安全整改阶段，势必拉动公司安全产品及安全集成业务的发展。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348" w:lineRule="auto" w:before="35"/>
        <w:ind w:left="574" w:right="102"/>
        <w:jc w:val="left"/>
      </w:pPr>
      <w:r>
        <w:rPr/>
        <w:t>C、从地区分类上看 </w:t>
      </w:r>
      <w:r>
        <w:rPr>
          <w:spacing w:val="-1"/>
        </w:rPr>
        <w:t>公司自成立以来一直将业务重心专注于华南地区市场，经过在华南地区多年的深耕细作，公司各项业</w:t>
      </w:r>
    </w:p>
    <w:p>
      <w:pPr>
        <w:pStyle w:val="BodyText"/>
        <w:spacing w:line="350" w:lineRule="auto" w:before="30"/>
        <w:ind w:right="211"/>
        <w:jc w:val="both"/>
      </w:pPr>
      <w:r>
        <w:rPr>
          <w:spacing w:val="-1"/>
        </w:rPr>
        <w:t>务已经在华南地区建立起自己的竞争优势。公司的主营业务收入主要集中在华南地区，其收入较去年同期</w:t>
      </w:r>
      <w:r>
        <w:rPr>
          <w:spacing w:val="-81"/>
        </w:rPr>
        <w:t> </w:t>
      </w:r>
      <w:r>
        <w:rPr>
          <w:spacing w:val="-81"/>
        </w:rPr>
      </w:r>
      <w:r>
        <w:rPr>
          <w:spacing w:val="-1"/>
        </w:rPr>
        <w:t>上升了17.03%，其他地区由于外部环境的影响程度不同，出现的增减幅度也有一定差异，其中增长较多的</w:t>
      </w:r>
      <w:r>
        <w:rPr>
          <w:spacing w:val="-82"/>
        </w:rPr>
        <w:t> </w:t>
      </w:r>
      <w:r>
        <w:rPr>
          <w:spacing w:val="-82"/>
        </w:rPr>
      </w:r>
      <w:r>
        <w:rPr>
          <w:spacing w:val="-1"/>
        </w:rPr>
        <w:t>主要是西南、华中和西北等地区，主要系公司保持了重点区域较好的增长趋势同时在西南、华中、西北等</w:t>
      </w:r>
      <w:r>
        <w:rPr>
          <w:spacing w:val="-82"/>
        </w:rPr>
        <w:t> </w:t>
      </w:r>
      <w:r>
        <w:rPr>
          <w:spacing w:val="-82"/>
        </w:rPr>
      </w:r>
      <w:r>
        <w:rPr/>
        <w:t>地区加大营销力度，增加了人员的投入，因此西南、华中、西北等地区本期收入较去年同期增长较大。</w:t>
      </w:r>
    </w:p>
    <w:p>
      <w:pPr>
        <w:pStyle w:val="BodyText"/>
        <w:spacing w:line="350" w:lineRule="auto" w:before="29"/>
        <w:ind w:left="153" w:right="96" w:firstLine="420"/>
        <w:jc w:val="left"/>
      </w:pPr>
      <w:r>
        <w:rPr>
          <w:spacing w:val="-3"/>
        </w:rPr>
        <w:t>报告期内，东北地区的销售有不同程度下降，主要系每年各地区对网络安全设备改造投入的计划不同，</w:t>
      </w:r>
      <w:r>
        <w:rPr/>
        <w:t> 同时，由于公司在全国处于布点初期，客户与行业尚处于拓展期，销售收入具有一定的波动性，公司将加 大客户资源拓展力度，制定有针对性的营销方案，拓展并形成一定稳定的客户资源，争取下年度取得好的 业绩。</w:t>
      </w:r>
    </w:p>
    <w:p>
      <w:pPr>
        <w:spacing w:line="240" w:lineRule="auto" w:before="4"/>
        <w:rPr>
          <w:rFonts w:ascii="宋体" w:hAnsi="宋体" w:cs="宋体" w:eastAsia="宋体" w:hint="default"/>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年按报告期末口径调整后的主营业务数据</w:t>
      </w:r>
    </w:p>
    <w:p>
      <w:pPr>
        <w:spacing w:before="102"/>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37"/>
        <w:gridCol w:w="1283"/>
        <w:gridCol w:w="1063"/>
        <w:gridCol w:w="1195"/>
        <w:gridCol w:w="1063"/>
        <w:gridCol w:w="798"/>
        <w:gridCol w:w="2917"/>
      </w:tblGrid>
      <w:tr>
        <w:trPr>
          <w:trHeight w:val="207" w:hRule="exact"/>
        </w:trPr>
        <w:tc>
          <w:tcPr>
            <w:tcW w:w="1237" w:type="dxa"/>
            <w:vMerge w:val="restart"/>
            <w:tcBorders>
              <w:top w:val="single" w:sz="4" w:space="0" w:color="000000"/>
              <w:left w:val="single" w:sz="4" w:space="0" w:color="000000"/>
              <w:right w:val="single" w:sz="4" w:space="0" w:color="000000"/>
            </w:tcBorders>
            <w:shd w:val="clear" w:color="auto" w:fill="D3D3D3"/>
          </w:tcPr>
          <w:p>
            <w:pPr/>
          </w:p>
        </w:tc>
        <w:tc>
          <w:tcPr>
            <w:tcW w:w="23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237" w:type="dxa"/>
            <w:vMerge/>
            <w:tcBorders>
              <w:left w:val="single" w:sz="4" w:space="0" w:color="000000"/>
              <w:bottom w:val="nil" w:sz="6" w:space="0" w:color="auto"/>
              <w:right w:val="single" w:sz="4" w:space="0" w:color="000000"/>
            </w:tcBorders>
            <w:shd w:val="clear" w:color="auto" w:fill="D3D3D3"/>
          </w:tcPr>
          <w:p>
            <w:pPr/>
          </w:p>
        </w:tc>
        <w:tc>
          <w:tcPr>
            <w:tcW w:w="234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237" w:type="dxa"/>
            <w:vMerge w:val="restart"/>
            <w:tcBorders>
              <w:top w:val="nil" w:sz="6" w:space="0" w:color="auto"/>
              <w:left w:val="single" w:sz="4" w:space="0" w:color="000000"/>
              <w:right w:val="single" w:sz="4" w:space="0" w:color="000000"/>
            </w:tcBorders>
            <w:shd w:val="clear" w:color="auto" w:fill="D3D3D3"/>
          </w:tcPr>
          <w:p>
            <w:pPr/>
          </w:p>
        </w:tc>
        <w:tc>
          <w:tcPr>
            <w:tcW w:w="12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37" w:type="dxa"/>
            <w:vMerge/>
            <w:tcBorders>
              <w:left w:val="single" w:sz="4" w:space="0" w:color="000000"/>
              <w:bottom w:val="nil" w:sz="6" w:space="0" w:color="auto"/>
              <w:right w:val="single" w:sz="4" w:space="0" w:color="000000"/>
            </w:tcBorders>
            <w:shd w:val="clear" w:color="auto" w:fill="D3D3D3"/>
          </w:tcPr>
          <w:p>
            <w:pPr/>
          </w:p>
        </w:tc>
        <w:tc>
          <w:tcPr>
            <w:tcW w:w="12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237" w:type="dxa"/>
            <w:vMerge w:val="restart"/>
            <w:tcBorders>
              <w:top w:val="nil" w:sz="6" w:space="0" w:color="auto"/>
              <w:left w:val="single" w:sz="4" w:space="0" w:color="000000"/>
              <w:right w:val="single" w:sz="4" w:space="0" w:color="000000"/>
            </w:tcBorders>
            <w:shd w:val="clear" w:color="auto" w:fill="D3D3D3"/>
          </w:tcPr>
          <w:p>
            <w:pPr/>
          </w:p>
        </w:tc>
        <w:tc>
          <w:tcPr>
            <w:tcW w:w="1283"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237" w:type="dxa"/>
            <w:vMerge/>
            <w:tcBorders>
              <w:left w:val="single" w:sz="4" w:space="0" w:color="000000"/>
              <w:bottom w:val="single" w:sz="4" w:space="0" w:color="000000"/>
              <w:right w:val="single" w:sz="4" w:space="0" w:color="000000"/>
            </w:tcBorders>
            <w:shd w:val="clear" w:color="auto" w:fill="D3D3D3"/>
          </w:tcPr>
          <w:p>
            <w:pPr/>
          </w:p>
        </w:tc>
        <w:tc>
          <w:tcPr>
            <w:tcW w:w="12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2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3" w:type="dxa"/>
            <w:vMerge w:val="restart"/>
            <w:tcBorders>
              <w:top w:val="single" w:sz="4" w:space="0" w:color="000000"/>
              <w:left w:val="single" w:sz="9" w:space="0" w:color="D3D3D3"/>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448,411,173.70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47.56%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168,848,144.13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42.28%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5.28%</w:t>
            </w:r>
          </w:p>
        </w:tc>
        <w:tc>
          <w:tcPr>
            <w:tcW w:w="291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主要是报告期公司上市获得募集资 金所致</w:t>
            </w:r>
          </w:p>
        </w:tc>
      </w:tr>
      <w:tr>
        <w:trPr>
          <w:trHeight w:val="392" w:hRule="exact"/>
        </w:trPr>
        <w:tc>
          <w:tcPr>
            <w:tcW w:w="12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CE8CF"/>
          </w:tcPr>
          <w:p>
            <w:pPr/>
          </w:p>
        </w:tc>
      </w:tr>
      <w:tr>
        <w:trPr>
          <w:trHeight w:val="161" w:hRule="exact"/>
        </w:trPr>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CE8CF"/>
          </w:tcPr>
          <w:p>
            <w:pPr/>
          </w:p>
        </w:tc>
      </w:tr>
      <w:tr>
        <w:trPr>
          <w:trHeight w:val="630" w:hRule="exact"/>
        </w:trPr>
        <w:tc>
          <w:tcPr>
            <w:tcW w:w="12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3"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160,272,515.94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17%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78,418,839.75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-2.63%</w:t>
            </w:r>
          </w:p>
        </w:tc>
        <w:tc>
          <w:tcPr>
            <w:tcW w:w="291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主要原因系公司业务能力增强，承接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了大额安全集成业务，这些业务主要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为政府客户，由于项目金额较大，受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宏观经济及政府预算的影响，收款期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相对较长，使公司的应收账款增长</w:t>
            </w:r>
          </w:p>
        </w:tc>
      </w:tr>
      <w:tr>
        <w:trPr>
          <w:trHeight w:val="392" w:hRule="exact"/>
        </w:trPr>
        <w:tc>
          <w:tcPr>
            <w:tcW w:w="12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CE8CF"/>
          </w:tcPr>
          <w:p>
            <w:pPr/>
          </w:p>
        </w:tc>
      </w:tr>
      <w:tr>
        <w:trPr>
          <w:trHeight w:val="629" w:hRule="exact"/>
        </w:trPr>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04" w:right="0"/>
              <w:jc w:val="left"/>
              <w:rPr>
                <w:rFonts w:ascii="Times New Roman" w:hAnsi="Times New Roman" w:cs="Times New Roman" w:eastAsia="Times New Roman" w:hint="default"/>
                <w:sz w:val="18"/>
                <w:szCs w:val="18"/>
              </w:rPr>
            </w:pPr>
            <w:r>
              <w:rPr>
                <w:rFonts w:ascii="Times New Roman"/>
                <w:sz w:val="18"/>
              </w:rPr>
              <w:t>17,738,799.80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22,281,394.47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9" w:right="0"/>
              <w:jc w:val="left"/>
              <w:rPr>
                <w:rFonts w:ascii="Times New Roman" w:hAnsi="Times New Roman" w:cs="Times New Roman" w:eastAsia="Times New Roman" w:hint="default"/>
                <w:sz w:val="18"/>
                <w:szCs w:val="18"/>
              </w:rPr>
            </w:pPr>
            <w:r>
              <w:rPr>
                <w:rFonts w:ascii="Times New Roman"/>
                <w:sz w:val="18"/>
              </w:rPr>
              <w:t>-3.7%</w:t>
            </w:r>
          </w:p>
        </w:tc>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62" w:hRule="exact"/>
        </w:trPr>
        <w:tc>
          <w:tcPr>
            <w:tcW w:w="12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3" w:type="dxa"/>
            <w:vMerge w:val="restart"/>
            <w:tcBorders>
              <w:top w:val="single" w:sz="4" w:space="0" w:color="000000"/>
              <w:left w:val="single" w:sz="9" w:space="0" w:color="D3D3D3"/>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127,728,464.15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13.55%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72,760,375.37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18.22%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-4.67%</w:t>
            </w:r>
          </w:p>
        </w:tc>
        <w:tc>
          <w:tcPr>
            <w:tcW w:w="291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公司本期大幅购置募投项目设备所 致。</w:t>
            </w:r>
          </w:p>
        </w:tc>
      </w:tr>
      <w:tr>
        <w:trPr>
          <w:trHeight w:val="392" w:hRule="exact"/>
        </w:trPr>
        <w:tc>
          <w:tcPr>
            <w:tcW w:w="12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CE8CF"/>
          </w:tcPr>
          <w:p>
            <w:pPr/>
          </w:p>
        </w:tc>
      </w:tr>
      <w:tr>
        <w:trPr>
          <w:trHeight w:val="161" w:hRule="exact"/>
        </w:trPr>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CE8CF"/>
          </w:tcPr>
          <w:p>
            <w:pPr/>
          </w:p>
        </w:tc>
      </w:tr>
      <w:tr>
        <w:trPr>
          <w:trHeight w:val="162" w:hRule="exact"/>
        </w:trPr>
        <w:tc>
          <w:tcPr>
            <w:tcW w:w="12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3" w:type="dxa"/>
            <w:vMerge w:val="restart"/>
            <w:tcBorders>
              <w:top w:val="single" w:sz="4" w:space="0" w:color="000000"/>
              <w:left w:val="single" w:sz="9" w:space="0" w:color="D3D3D3"/>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83,382,822.30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8.84%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4,534,963.00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1.14%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7.7%</w:t>
            </w:r>
          </w:p>
        </w:tc>
        <w:tc>
          <w:tcPr>
            <w:tcW w:w="291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主要是报告期公司基地建设项目增 加投入所致</w:t>
            </w:r>
          </w:p>
        </w:tc>
      </w:tr>
      <w:tr>
        <w:trPr>
          <w:trHeight w:val="392" w:hRule="exact"/>
        </w:trPr>
        <w:tc>
          <w:tcPr>
            <w:tcW w:w="12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shd w:val="clear" w:color="auto" w:fill="CCE8CF"/>
          </w:tcPr>
          <w:p>
            <w:pPr/>
          </w:p>
        </w:tc>
      </w:tr>
      <w:tr>
        <w:trPr>
          <w:trHeight w:val="162" w:hRule="exact"/>
        </w:trPr>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37"/>
        <w:gridCol w:w="1295"/>
        <w:gridCol w:w="1052"/>
        <w:gridCol w:w="1207"/>
        <w:gridCol w:w="1040"/>
        <w:gridCol w:w="810"/>
        <w:gridCol w:w="2917"/>
      </w:tblGrid>
      <w:tr>
        <w:trPr>
          <w:trHeight w:val="206" w:hRule="exact"/>
        </w:trPr>
        <w:tc>
          <w:tcPr>
            <w:tcW w:w="1237" w:type="dxa"/>
            <w:vMerge w:val="restart"/>
            <w:tcBorders>
              <w:top w:val="single" w:sz="4" w:space="0" w:color="000000"/>
              <w:left w:val="single" w:sz="4" w:space="0" w:color="000000"/>
              <w:right w:val="single" w:sz="4" w:space="0" w:color="000000"/>
            </w:tcBorders>
            <w:shd w:val="clear" w:color="auto" w:fill="D3D3D3"/>
          </w:tcPr>
          <w:p>
            <w:pPr/>
          </w:p>
        </w:tc>
        <w:tc>
          <w:tcPr>
            <w:tcW w:w="23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237" w:type="dxa"/>
            <w:vMerge/>
            <w:tcBorders>
              <w:left w:val="single" w:sz="4" w:space="0" w:color="000000"/>
              <w:bottom w:val="nil" w:sz="6" w:space="0" w:color="auto"/>
              <w:right w:val="single" w:sz="4" w:space="0" w:color="000000"/>
            </w:tcBorders>
            <w:shd w:val="clear" w:color="auto" w:fill="D3D3D3"/>
          </w:tcPr>
          <w:p>
            <w:pPr/>
          </w:p>
        </w:tc>
        <w:tc>
          <w:tcPr>
            <w:tcW w:w="2347" w:type="dxa"/>
            <w:gridSpan w:val="2"/>
            <w:vMerge/>
            <w:tcBorders>
              <w:left w:val="single" w:sz="4" w:space="0" w:color="000000"/>
              <w:bottom w:val="single" w:sz="4" w:space="0" w:color="000000"/>
              <w:right w:val="single" w:sz="4" w:space="0" w:color="000000"/>
            </w:tcBorders>
            <w:shd w:val="clear" w:color="auto" w:fill="D3D3D3"/>
          </w:tcPr>
          <w:p>
            <w:pPr/>
          </w:p>
        </w:tc>
        <w:tc>
          <w:tcPr>
            <w:tcW w:w="2246" w:type="dxa"/>
            <w:gridSpan w:val="2"/>
            <w:vMerge/>
            <w:tcBorders>
              <w:left w:val="single" w:sz="4" w:space="0" w:color="000000"/>
              <w:bottom w:val="single" w:sz="4" w:space="0" w:color="000000"/>
              <w:right w:val="single" w:sz="4" w:space="0" w:color="000000"/>
            </w:tcBorders>
            <w:shd w:val="clear" w:color="auto" w:fill="D3D3D3"/>
          </w:tcPr>
          <w:p>
            <w:pPr/>
          </w:p>
        </w:tc>
        <w:tc>
          <w:tcPr>
            <w:tcW w:w="8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237" w:type="dxa"/>
            <w:vMerge w:val="restart"/>
            <w:tcBorders>
              <w:top w:val="nil" w:sz="6" w:space="0" w:color="auto"/>
              <w:left w:val="single" w:sz="4" w:space="0" w:color="000000"/>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6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37" w:type="dxa"/>
            <w:vMerge/>
            <w:tcBorders>
              <w:left w:val="single" w:sz="4" w:space="0" w:color="000000"/>
              <w:bottom w:val="nil" w:sz="6" w:space="0" w:color="auto"/>
              <w:right w:val="single" w:sz="4" w:space="0" w:color="000000"/>
            </w:tcBorders>
            <w:shd w:val="clear" w:color="auto" w:fill="D3D3D3"/>
          </w:tcPr>
          <w:p>
            <w:pP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3D3D3"/>
          </w:tcPr>
          <w:p>
            <w:pPr/>
          </w:p>
        </w:tc>
        <w:tc>
          <w:tcPr>
            <w:tcW w:w="810"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237" w:type="dxa"/>
            <w:vMerge w:val="restart"/>
            <w:tcBorders>
              <w:top w:val="nil" w:sz="6" w:space="0" w:color="auto"/>
              <w:left w:val="single" w:sz="4" w:space="0" w:color="000000"/>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810"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237" w:type="dxa"/>
            <w:vMerge/>
            <w:tcBorders>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100,000,000.00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92,500,000.00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t>23.16%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-12.55%</w:t>
            </w:r>
          </w:p>
        </w:tc>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80,000,000.00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w:t>
            </w:r>
          </w:p>
        </w:tc>
        <w:tc>
          <w:tcPr>
            <w:tcW w:w="1207"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w:t>
            </w:r>
          </w:p>
        </w:tc>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报告期公司新增长期银行借款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810" w:firstLine="0"/>
        <w:jc w:val="left"/>
        <w:rPr>
          <w:rFonts w:ascii="宋体" w:hAnsi="宋体" w:cs="宋体" w:eastAsia="宋体" w:hint="default"/>
          <w:sz w:val="18"/>
          <w:szCs w:val="18"/>
        </w:rPr>
      </w:pPr>
      <w:r>
        <w:rPr>
          <w:rFonts w:ascii="宋体" w:hAnsi="宋体" w:cs="宋体" w:eastAsia="宋体" w:hint="default"/>
          <w:sz w:val="18"/>
          <w:szCs w:val="18"/>
        </w:rPr>
        <w:t>无 报告期内公司主要资产计量属性是否发生重大变化</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报告期，公司竞争能力未发生重大变化。</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44"/>
        <w:ind w:left="0" w:right="158" w:firstLine="0"/>
        <w:jc w:val="right"/>
        <w:rPr>
          <w:rFonts w:ascii="宋体" w:hAnsi="宋体" w:cs="宋体" w:eastAsia="宋体" w:hint="default"/>
          <w:sz w:val="18"/>
          <w:szCs w:val="18"/>
        </w:rPr>
      </w:pPr>
      <w:r>
        <w:rPr/>
        <w:pict>
          <v:shape style="position:absolute;margin-left:57.029995pt;margin-top:-157.147903pt;width:478.55pt;height:208.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35,275.67</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16,795.45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18,248.61</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2"/>
                          <w:ind w:left="11" w:right="23"/>
                          <w:jc w:val="left"/>
                          <w:rPr>
                            <w:rFonts w:ascii="宋体" w:hAnsi="宋体" w:cs="宋体" w:eastAsia="宋体" w:hint="default"/>
                            <w:sz w:val="18"/>
                            <w:szCs w:val="18"/>
                          </w:rPr>
                        </w:pPr>
                        <w:r>
                          <w:rPr>
                            <w:rFonts w:ascii="宋体" w:hAnsi="宋体" w:cs="宋体" w:eastAsia="宋体" w:hint="default"/>
                            <w:spacing w:val="-1"/>
                            <w:sz w:val="18"/>
                            <w:szCs w:val="18"/>
                          </w:rPr>
                          <w:t>公司严格按照《募集资金管理办法》的规定和要求，对募集资金的存放和使用进行了有效的监督和管理，以确保用于募集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资金投资项目的建设。截止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日，公司累计使用募集资金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18,248.61 </w:t>
                        </w:r>
                        <w:r>
                          <w:rPr>
                            <w:rFonts w:ascii="宋体" w:hAnsi="宋体" w:cs="宋体" w:eastAsia="宋体" w:hint="default"/>
                            <w:spacing w:val="-5"/>
                            <w:sz w:val="18"/>
                            <w:szCs w:val="18"/>
                          </w:rPr>
                          <w:t>万元，占募集资金总额的比例为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51.73%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其中，承诺投资项目使用募集资金总额 </w:t>
                        </w:r>
                        <w:r>
                          <w:rPr>
                            <w:rFonts w:ascii="Times New Roman" w:hAnsi="Times New Roman" w:cs="Times New Roman" w:eastAsia="Times New Roman" w:hint="default"/>
                            <w:sz w:val="18"/>
                            <w:szCs w:val="18"/>
                          </w:rPr>
                          <w:t>6,289.62 </w:t>
                        </w:r>
                        <w:r>
                          <w:rPr>
                            <w:rFonts w:ascii="宋体" w:hAnsi="宋体" w:cs="宋体" w:eastAsia="宋体" w:hint="default"/>
                            <w:sz w:val="18"/>
                            <w:szCs w:val="18"/>
                          </w:rPr>
                          <w:t>万元，占承诺投资项目承诺投资总额的比例为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29.90%</w:t>
                        </w:r>
                        <w:r>
                          <w:rPr>
                            <w:rFonts w:ascii="宋体" w:hAnsi="宋体" w:cs="宋体" w:eastAsia="宋体" w:hint="default"/>
                            <w:sz w:val="18"/>
                            <w:szCs w:val="18"/>
                          </w:rPr>
                          <w:t>；使用超募资金 </w:t>
                        </w:r>
                        <w:r>
                          <w:rPr>
                            <w:rFonts w:ascii="Times New Roman" w:hAnsi="Times New Roman" w:cs="Times New Roman" w:eastAsia="Times New Roman" w:hint="default"/>
                            <w:sz w:val="18"/>
                            <w:szCs w:val="18"/>
                          </w:rPr>
                          <w:t>11,958.99 </w:t>
                        </w:r>
                        <w:r>
                          <w:rPr>
                            <w:rFonts w:ascii="宋体" w:hAnsi="宋体" w:cs="宋体" w:eastAsia="宋体" w:hint="default"/>
                            <w:sz w:val="18"/>
                            <w:szCs w:val="18"/>
                          </w:rPr>
                          <w:t>万元，占超募资金总额的比例为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83.96%</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全网综合监控审计平 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统一安全网 关项目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1,505.32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新一代安全综 合运维管理平台项目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1,143.75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服务器安全综合监测 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1,019.77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研发及培训中心建设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7.029995pt;margin-top:71.999962pt;width:478.55pt;height:680.9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773"/>
                    <w:gridCol w:w="786"/>
                    <w:gridCol w:w="780"/>
                    <w:gridCol w:w="779"/>
                    <w:gridCol w:w="786"/>
                    <w:gridCol w:w="774"/>
                    <w:gridCol w:w="774"/>
                    <w:gridCol w:w="792"/>
                    <w:gridCol w:w="774"/>
                    <w:gridCol w:w="780"/>
                  </w:tblGrid>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4,836.46</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6,289.62</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5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 w:right="115"/>
                          <w:jc w:val="left"/>
                          <w:rPr>
                            <w:rFonts w:ascii="宋体" w:hAnsi="宋体" w:cs="宋体" w:eastAsia="宋体" w:hint="default"/>
                            <w:sz w:val="18"/>
                            <w:szCs w:val="18"/>
                          </w:rPr>
                        </w:pPr>
                        <w:r>
                          <w:rPr>
                            <w:rFonts w:ascii="宋体" w:hAnsi="宋体" w:cs="宋体" w:eastAsia="宋体" w:hint="default"/>
                            <w:sz w:val="18"/>
                            <w:szCs w:val="18"/>
                          </w:rPr>
                          <w:t>互联网舆情分析平台 项目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1,221.57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1,221.57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 w:right="115"/>
                          <w:jc w:val="left"/>
                          <w:rPr>
                            <w:rFonts w:ascii="宋体" w:hAnsi="宋体" w:cs="宋体" w:eastAsia="宋体" w:hint="default"/>
                            <w:sz w:val="18"/>
                            <w:szCs w:val="18"/>
                          </w:rPr>
                        </w:pPr>
                        <w:r>
                          <w:rPr>
                            <w:rFonts w:ascii="宋体" w:hAnsi="宋体" w:cs="宋体" w:eastAsia="宋体" w:hint="default"/>
                            <w:sz w:val="18"/>
                            <w:szCs w:val="18"/>
                          </w:rPr>
                          <w:t>蓝盾股份信息安全产 业基地</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7,937.42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7,937.42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2,800</w:t>
                        </w:r>
                      </w:p>
                    </w:tc>
                    <w:tc>
                      <w:tcPr>
                        <w:tcW w:w="774" w:type="dxa"/>
                        <w:tcBorders>
                          <w:top w:val="single" w:sz="4" w:space="0" w:color="000000"/>
                          <w:left w:val="single" w:sz="4" w:space="0" w:color="000000"/>
                          <w:bottom w:val="single" w:sz="4" w:space="0" w:color="000000"/>
                          <w:right w:val="single" w:sz="10" w:space="0" w:color="D3D3D3"/>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14,243.67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14,243.67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11,958.99</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11,958.99</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35,275.67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35,275.67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16,795.45</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18,248.61</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97" w:hRule="exact"/>
                    </w:trPr>
                    <w:tc>
                      <w:tcPr>
                        <w:tcW w:w="1759"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shd w:val="clear" w:color="auto" w:fill="CCE8CF"/>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日公司第一届董事会第十八次会议审议通过了《关于使用部分超募资金永久性补</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公司使用超募资金人民币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万元用于永久性补充流动资金。</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9" w:lineRule="auto" w:before="63"/>
                          <w:ind w:left="16"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年年度股东大会审议通过了《关于使用部分超募资金对子公司广东蓝盾信息安 </w:t>
                        </w:r>
                        <w:r>
                          <w:rPr>
                            <w:rFonts w:ascii="宋体" w:hAnsi="宋体" w:cs="宋体" w:eastAsia="宋体" w:hint="default"/>
                            <w:spacing w:val="-5"/>
                            <w:sz w:val="18"/>
                            <w:szCs w:val="18"/>
                          </w:rPr>
                          <w:t>全技术有限公司进行增资的议案》，公司拟使用部分超募资金对子公司广东蓝盾信息安全技术有限公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sz w:val="18"/>
                            <w:szCs w:val="18"/>
                          </w:rPr>
                          <w:t>司进行增资，本次增资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万元，增资完成后公司出资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万元，占注册资本比例为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p>
                        <w:pPr>
                          <w:pStyle w:val="TableParagraph"/>
                          <w:spacing w:line="240" w:lineRule="auto" w:before="5"/>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日办妥工商变更手续。本次增资用途为：建设互联网舆情分析平台项目。</w:t>
                        </w:r>
                        <w:r>
                          <w:rPr>
                            <w:rFonts w:ascii="Times New Roman" w:hAnsi="Times New Roman" w:cs="Times New Roman" w:eastAsia="Times New Roman" w:hint="default"/>
                            <w:spacing w:val="-3"/>
                            <w:sz w:val="18"/>
                            <w:szCs w:val="18"/>
                          </w:rPr>
                          <w:t>3</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年年度股东大会审议通过了《关于使用部分超募资金建设蓝盾股份信</w:t>
                        </w:r>
                      </w:p>
                      <w:p>
                        <w:pPr>
                          <w:pStyle w:val="TableParagraph"/>
                          <w:spacing w:line="302"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息安全产业基地的议案》及相关的可行性研究报告，公司拟使用超募金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79,436,663.50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元建设蓝盾股 份信息安全产业基地。公司独立董事、保荐机构和监事会分别对此事项发表了同意意见。</w:t>
                        </w:r>
                      </w:p>
                    </w:tc>
                  </w:tr>
                  <w:tr>
                    <w:trPr>
                      <w:trHeight w:val="703" w:hRule="exact"/>
                    </w:trPr>
                    <w:tc>
                      <w:tcPr>
                        <w:tcW w:w="17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3D3D3"/>
                          <w:right w:val="single" w:sz="4" w:space="0" w:color="000000"/>
                        </w:tcBorders>
                        <w:shd w:val="clear" w:color="auto" w:fill="CCE8CF"/>
                      </w:tcPr>
                      <w:p>
                        <w:pPr/>
                      </w:p>
                    </w:tc>
                  </w:tr>
                  <w:tr>
                    <w:trPr>
                      <w:trHeight w:val="1299" w:hRule="exact"/>
                    </w:trPr>
                    <w:tc>
                      <w:tcPr>
                        <w:tcW w:w="17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shd w:val="clear" w:color="auto" w:fill="CCE8CF"/>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5" w:hRule="exact"/>
                    </w:trPr>
                    <w:tc>
                      <w:tcPr>
                        <w:tcW w:w="1759"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shd w:val="clear" w:color="auto" w:fill="CCE8CF"/>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日公司第一届董事会第十七次会议审议通过了《关于使用募集资金置换预先投入募</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集资金投资项目的自筹资金的议案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45"/>
                            <w:sz w:val="18"/>
                            <w:szCs w:val="18"/>
                          </w:rPr>
                          <w:t>，</w:t>
                        </w:r>
                        <w:r>
                          <w:rPr>
                            <w:rFonts w:ascii="宋体" w:hAnsi="宋体" w:cs="宋体" w:eastAsia="宋体" w:hint="default"/>
                            <w:sz w:val="18"/>
                            <w:szCs w:val="18"/>
                          </w:rPr>
                          <w:t>公司以自筹资金预先投入募集资金投</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资项目的实际投资额为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14,531,626.55  </w:t>
                        </w:r>
                        <w:r>
                          <w:rPr>
                            <w:rFonts w:ascii="宋体" w:hAnsi="宋体" w:cs="宋体" w:eastAsia="宋体" w:hint="default"/>
                            <w:sz w:val="18"/>
                            <w:szCs w:val="18"/>
                          </w:rPr>
                          <w:t>元</w:t>
                        </w:r>
                        <w:r>
                          <w:rPr>
                            <w:rFonts w:ascii="宋体" w:hAnsi="宋体" w:cs="宋体" w:eastAsia="宋体" w:hint="default"/>
                            <w:spacing w:val="-88"/>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司以募集资金置换预先投入募集资金投资项目的自筹资</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元，上述投入及置换情况已经北京永拓会计师事务所有限责任公司审核，并由其出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31059 </w:t>
                        </w:r>
                        <w:r>
                          <w:rPr>
                            <w:rFonts w:ascii="宋体" w:hAnsi="宋体" w:cs="宋体" w:eastAsia="宋体" w:hint="default"/>
                            <w:sz w:val="18"/>
                            <w:szCs w:val="18"/>
                          </w:rPr>
                          <w:t>号《关于蓝盾信息安全技术股份有限公司以募集资金置换预先已投入</w:t>
                        </w:r>
                      </w:p>
                      <w:p>
                        <w:pPr>
                          <w:pStyle w:val="TableParagraph"/>
                          <w:spacing w:line="302" w:lineRule="auto" w:before="63"/>
                          <w:ind w:left="16" w:right="23"/>
                          <w:jc w:val="left"/>
                          <w:rPr>
                            <w:rFonts w:ascii="宋体" w:hAnsi="宋体" w:cs="宋体" w:eastAsia="宋体" w:hint="default"/>
                            <w:sz w:val="18"/>
                            <w:szCs w:val="18"/>
                          </w:rPr>
                        </w:pPr>
                        <w:r>
                          <w:rPr>
                            <w:rFonts w:ascii="宋体" w:hAnsi="宋体" w:cs="宋体" w:eastAsia="宋体" w:hint="default"/>
                            <w:spacing w:val="-7"/>
                            <w:sz w:val="18"/>
                            <w:szCs w:val="18"/>
                          </w:rPr>
                          <w:t>募集资金项目的自筹资金的鉴证报告》。截至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日，公司置换了上述预先投入募投项目</w:t>
                        </w:r>
                        <w:r>
                          <w:rPr>
                            <w:rFonts w:ascii="宋体" w:hAnsi="宋体" w:cs="宋体" w:eastAsia="宋体" w:hint="default"/>
                            <w:sz w:val="18"/>
                            <w:szCs w:val="18"/>
                          </w:rPr>
                          <w:t> 的自筹资金。</w:t>
                        </w:r>
                      </w:p>
                    </w:tc>
                  </w:tr>
                  <w:tr>
                    <w:trPr>
                      <w:trHeight w:val="703" w:hRule="exact"/>
                    </w:trPr>
                    <w:tc>
                      <w:tcPr>
                        <w:tcW w:w="17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3D3D3"/>
                          <w:right w:val="single" w:sz="4" w:space="0" w:color="000000"/>
                        </w:tcBorders>
                        <w:shd w:val="clear" w:color="auto" w:fill="CCE8CF"/>
                      </w:tcPr>
                      <w:p>
                        <w:pPr/>
                      </w:p>
                    </w:tc>
                  </w:tr>
                  <w:tr>
                    <w:trPr>
                      <w:trHeight w:val="987" w:hRule="exact"/>
                    </w:trPr>
                    <w:tc>
                      <w:tcPr>
                        <w:tcW w:w="175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shd w:val="clear" w:color="auto" w:fill="CCE8CF"/>
                      </w:tcPr>
                      <w:p>
                        <w:pP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89"/>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28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r>
              <w:rPr>
                <w:rFonts w:ascii="宋体" w:hAnsi="宋体" w:cs="宋体" w:eastAsia="宋体" w:hint="default"/>
                <w:spacing w:val="-88"/>
                <w:sz w:val="18"/>
                <w:szCs w:val="18"/>
              </w:rPr>
              <w:t>了</w:t>
            </w:r>
            <w:r>
              <w:rPr>
                <w:rFonts w:ascii="宋体" w:hAnsi="宋体" w:cs="宋体" w:eastAsia="宋体" w:hint="default"/>
                <w:sz w:val="18"/>
                <w:szCs w:val="18"/>
              </w:rPr>
              <w:t>《关于使用部分闲置募集资金暂时性补充流动资金</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pacing w:val="-6"/>
                <w:sz w:val="18"/>
                <w:szCs w:val="18"/>
              </w:rPr>
              <w:t>及归还银行贷款的议案》，同意公司使用募集资金中的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万元闲置募集资金暂时性补充流动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资金及归还银行贷款，其中 </w:t>
            </w:r>
            <w:r>
              <w:rPr>
                <w:rFonts w:ascii="Times New Roman" w:hAnsi="Times New Roman" w:cs="Times New Roman" w:eastAsia="Times New Roman" w:hint="default"/>
                <w:sz w:val="18"/>
                <w:szCs w:val="18"/>
              </w:rPr>
              <w:t>2,626.00 </w:t>
            </w:r>
            <w:r>
              <w:rPr>
                <w:rFonts w:ascii="宋体" w:hAnsi="宋体" w:cs="宋体" w:eastAsia="宋体" w:hint="default"/>
                <w:sz w:val="18"/>
                <w:szCs w:val="18"/>
              </w:rPr>
              <w:t>万元用于补充流动资金，</w:t>
            </w:r>
            <w:r>
              <w:rPr>
                <w:rFonts w:ascii="Times New Roman" w:hAnsi="Times New Roman" w:cs="Times New Roman" w:eastAsia="Times New Roman" w:hint="default"/>
                <w:sz w:val="18"/>
                <w:szCs w:val="18"/>
              </w:rPr>
              <w:t>7,374.00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万元用于归还银行贷款，使 用期限不超过股东大会批准之日起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个月，到期将归还至募集资金专户。公司独立董事、保荐机构</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和监事会分别对此事项发表了同意意见。</w:t>
            </w:r>
            <w:r>
              <w:rPr>
                <w:rFonts w:ascii="Times New Roman" w:hAnsi="Times New Roman" w:cs="Times New Roman" w:eastAsia="Times New Roman" w:hint="default"/>
                <w:sz w:val="18"/>
                <w:szCs w:val="18"/>
              </w:rPr>
              <w:t>(</w:t>
            </w:r>
            <w:r>
              <w:rPr>
                <w:rFonts w:ascii="宋体" w:hAnsi="宋体" w:cs="宋体" w:eastAsia="宋体" w:hint="default"/>
                <w:sz w:val="18"/>
                <w:szCs w:val="18"/>
              </w:rPr>
              <w:t>该事项详见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日证监会指定创业板信息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万元暂时性补充流动资金及归还银行贷款的到期日为</w:t>
            </w:r>
          </w:p>
          <w:p>
            <w:pPr>
              <w:pStyle w:val="TableParagraph"/>
              <w:spacing w:line="309"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万元人民币归还至公司募集资金专用 账户，并及时通知了公司保荐机构广发证券股份有限公司及保荐代表人。至此，本次用于补充流动 资金及归还银行贷款的闲置募集资金已归还完毕。</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尚未使用的募集资金均存放于公司募集资金专项账户中。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公司募集资金项目未发生变更。</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573" w:right="0"/>
        <w:jc w:val="left"/>
      </w:pPr>
      <w:r>
        <w:rPr>
          <w:rFonts w:ascii="Times New Roman" w:hAnsi="Times New Roman" w:cs="Times New Roman" w:eastAsia="Times New Roman" w:hint="default"/>
        </w:rPr>
        <w:t>1</w:t>
      </w:r>
      <w:r>
        <w:rPr/>
        <w:t>、报告期内，公司投资成立全资子公司广东蓝盾信息安全技术有限公司并纳入合并范围，子公司经</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营情况如下：</w:t>
      </w:r>
    </w:p>
    <w:p>
      <w:pPr>
        <w:pStyle w:val="BodyText"/>
        <w:spacing w:line="340" w:lineRule="auto" w:before="125"/>
        <w:ind w:right="0" w:firstLine="419"/>
        <w:jc w:val="left"/>
      </w:pPr>
      <w:r>
        <w:rPr>
          <w:spacing w:val="-1"/>
        </w:rPr>
        <w:t>广东蓝盾信息安全技术有限公司，成立于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8</w:t>
      </w:r>
      <w:r>
        <w:rPr>
          <w:spacing w:val="-1"/>
        </w:rPr>
        <w:t>日，注册资本为人民币</w:t>
      </w:r>
      <w:r>
        <w:rPr>
          <w:rFonts w:ascii="Times New Roman" w:hAnsi="Times New Roman" w:cs="Times New Roman" w:eastAsia="Times New Roman" w:hint="default"/>
          <w:spacing w:val="-1"/>
        </w:rPr>
        <w:t>2500</w:t>
      </w:r>
      <w:r>
        <w:rPr>
          <w:spacing w:val="-1"/>
        </w:rPr>
        <w:t>万元。经营范围为计</w:t>
      </w:r>
      <w:r>
        <w:rPr/>
        <w:t> </w:t>
      </w:r>
      <w:r>
        <w:rPr>
          <w:spacing w:val="-1"/>
        </w:rPr>
        <w:t>算机软、硬件开发；计算机信息系统集成、布线；承接网络工程建设项目；信息技术开发、服务；计算机</w:t>
      </w:r>
      <w:r>
        <w:rPr>
          <w:spacing w:val="-85"/>
        </w:rPr>
        <w:t> </w:t>
      </w:r>
      <w:r>
        <w:rPr>
          <w:spacing w:val="-85"/>
        </w:rPr>
      </w:r>
      <w:r>
        <w:rPr/>
        <w:t>网络技术服务、咨询；销售：计算机及辅助设备、文体用品、电子产品。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日，公司通过</w:t>
      </w:r>
      <w:r>
        <w:rPr>
          <w:rFonts w:ascii="Times New Roman" w:hAnsi="Times New Roman" w:cs="Times New Roman" w:eastAsia="Times New Roman" w:hint="default"/>
        </w:rPr>
        <w:t>2011 </w:t>
      </w:r>
      <w:r>
        <w:rPr/>
        <w:t>年年度股东大会审议决定，使用部分超募资金对子公司广东蓝盾信息安全技术有限公司进行增资，增资 </w:t>
      </w:r>
      <w:r>
        <w:rPr>
          <w:rFonts w:ascii="Times New Roman" w:hAnsi="Times New Roman" w:cs="Times New Roman" w:eastAsia="Times New Roman" w:hint="default"/>
        </w:rPr>
        <w:t>3500</w:t>
      </w:r>
      <w:r>
        <w:rPr/>
        <w:t>万元，增资后公司出资</w:t>
      </w:r>
      <w:r>
        <w:rPr>
          <w:rFonts w:ascii="Times New Roman" w:hAnsi="Times New Roman" w:cs="Times New Roman" w:eastAsia="Times New Roman" w:hint="default"/>
        </w:rPr>
        <w:t>6,000.00</w:t>
      </w:r>
      <w:r>
        <w:rPr/>
        <w:t>万元，占注册资本比例为</w:t>
      </w:r>
      <w:r>
        <w:rPr>
          <w:rFonts w:ascii="Times New Roman" w:hAnsi="Times New Roman" w:cs="Times New Roman" w:eastAsia="Times New Roman" w:hint="default"/>
        </w:rPr>
        <w:t>100%</w:t>
      </w:r>
      <w:r>
        <w:rPr/>
        <w:t>。</w:t>
      </w:r>
    </w:p>
    <w:p>
      <w:pPr>
        <w:pStyle w:val="BodyText"/>
        <w:spacing w:line="328" w:lineRule="auto" w:before="11"/>
        <w:ind w:left="153" w:right="147" w:firstLine="336"/>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日，子公司广东蓝盾信息安全技术有限公司总资产</w:t>
      </w:r>
      <w:r>
        <w:rPr>
          <w:rFonts w:ascii="Times New Roman" w:hAnsi="Times New Roman" w:cs="Times New Roman" w:eastAsia="Times New Roman" w:hint="default"/>
        </w:rPr>
        <w:t>7,165.59</w:t>
      </w:r>
      <w:r>
        <w:rPr/>
        <w:t>万元，净资产</w:t>
      </w:r>
      <w:r>
        <w:rPr>
          <w:rFonts w:ascii="Times New Roman" w:hAnsi="Times New Roman" w:cs="Times New Roman" w:eastAsia="Times New Roman" w:hint="default"/>
        </w:rPr>
        <w:t>6,277.69</w:t>
      </w:r>
      <w:r>
        <w:rPr/>
        <w:t>万 元，</w:t>
      </w:r>
      <w:r>
        <w:rPr>
          <w:rFonts w:ascii="Times New Roman" w:hAnsi="Times New Roman" w:cs="Times New Roman" w:eastAsia="Times New Roman" w:hint="default"/>
        </w:rPr>
        <w:t>2012</w:t>
      </w:r>
      <w:r>
        <w:rPr/>
        <w:t>年度实现营业收入</w:t>
      </w:r>
      <w:r>
        <w:rPr>
          <w:rFonts w:ascii="Times New Roman" w:hAnsi="Times New Roman" w:cs="Times New Roman" w:eastAsia="Times New Roman" w:hint="default"/>
        </w:rPr>
        <w:t>2,410.88</w:t>
      </w:r>
      <w:r>
        <w:rPr/>
        <w:t>万元，净利润</w:t>
      </w:r>
      <w:r>
        <w:rPr>
          <w:rFonts w:ascii="Times New Roman" w:hAnsi="Times New Roman" w:cs="Times New Roman" w:eastAsia="Times New Roman" w:hint="default"/>
        </w:rPr>
        <w:t>277.69</w:t>
      </w:r>
      <w:r>
        <w:rPr/>
        <w:t>万元。</w:t>
      </w:r>
    </w:p>
    <w:p>
      <w:pPr>
        <w:pStyle w:val="BodyText"/>
        <w:spacing w:line="328" w:lineRule="auto" w:before="24"/>
        <w:ind w:left="153" w:right="150" w:firstLine="336"/>
        <w:jc w:val="both"/>
      </w:pPr>
      <w:r>
        <w:rPr>
          <w:rFonts w:ascii="Times New Roman" w:hAnsi="Times New Roman" w:cs="Times New Roman" w:eastAsia="Times New Roman" w:hint="default"/>
          <w:spacing w:val="-1"/>
        </w:rPr>
        <w:t>2</w:t>
      </w:r>
      <w:r>
        <w:rPr>
          <w:spacing w:val="-1"/>
        </w:rPr>
        <w:t>、报告期内，公司投资成立全资子公司广东省蓝盾职业培训学院并纳入合并范围，子公司经营情况如</w:t>
      </w:r>
      <w:r>
        <w:rPr/>
        <w:t> 下：</w:t>
      </w:r>
    </w:p>
    <w:p>
      <w:pPr>
        <w:pStyle w:val="BodyText"/>
        <w:spacing w:line="331" w:lineRule="auto" w:before="47"/>
        <w:ind w:left="153" w:right="150" w:firstLine="335"/>
        <w:jc w:val="both"/>
      </w:pPr>
      <w:r>
        <w:rPr>
          <w:spacing w:val="-2"/>
        </w:rPr>
        <w:t>广东省蓝盾职业培训学院，成立于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日，注册资本为人民币</w:t>
      </w:r>
      <w:r>
        <w:rPr>
          <w:rFonts w:ascii="Times New Roman" w:hAnsi="Times New Roman" w:cs="Times New Roman" w:eastAsia="Times New Roman" w:hint="default"/>
          <w:spacing w:val="-2"/>
        </w:rPr>
        <w:t>300</w:t>
      </w:r>
      <w:r>
        <w:rPr>
          <w:spacing w:val="-2"/>
        </w:rPr>
        <w:t>万元。业务范围：计算机网</w:t>
      </w:r>
      <w:r>
        <w:rPr/>
        <w:t> 络管理员、计算机程序设计员、电子商务师、通信网络管理员（三四级）。</w:t>
      </w:r>
    </w:p>
    <w:p>
      <w:pPr>
        <w:pStyle w:val="BodyText"/>
        <w:spacing w:line="328" w:lineRule="auto" w:before="45"/>
        <w:ind w:left="153" w:right="148" w:firstLine="336"/>
        <w:jc w:val="both"/>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日，子公司广东省蓝盾职业培训学院总资产</w:t>
      </w:r>
      <w:r>
        <w:rPr>
          <w:rFonts w:ascii="Times New Roman" w:hAnsi="Times New Roman" w:cs="Times New Roman" w:eastAsia="Times New Roman" w:hint="default"/>
          <w:spacing w:val="-1"/>
        </w:rPr>
        <w:t>300.50</w:t>
      </w:r>
      <w:r>
        <w:rPr>
          <w:spacing w:val="-1"/>
        </w:rPr>
        <w:t>万元，净资产</w:t>
      </w:r>
      <w:r>
        <w:rPr>
          <w:rFonts w:ascii="Times New Roman" w:hAnsi="Times New Roman" w:cs="Times New Roman" w:eastAsia="Times New Roman" w:hint="default"/>
          <w:spacing w:val="-1"/>
        </w:rPr>
        <w:t>300.38</w:t>
      </w:r>
      <w:r>
        <w:rPr>
          <w:spacing w:val="-1"/>
        </w:rPr>
        <w:t>万元，</w:t>
      </w:r>
      <w:r>
        <w:rPr>
          <w:rFonts w:ascii="Times New Roman" w:hAnsi="Times New Roman" w:cs="Times New Roman" w:eastAsia="Times New Roman" w:hint="default"/>
          <w:spacing w:val="-1"/>
        </w:rPr>
        <w:t>2012</w:t>
      </w:r>
      <w:r>
        <w:rPr>
          <w:spacing w:val="-1"/>
        </w:rPr>
        <w:t>年</w:t>
      </w:r>
      <w:r>
        <w:rPr/>
        <w:t> 度尚未无经营收入。</w:t>
      </w:r>
    </w:p>
    <w:p>
      <w:pPr>
        <w:pStyle w:val="BodyText"/>
        <w:spacing w:line="328" w:lineRule="auto" w:before="48"/>
        <w:ind w:left="153" w:right="150" w:firstLine="336"/>
        <w:jc w:val="both"/>
      </w:pPr>
      <w:r>
        <w:rPr>
          <w:rFonts w:ascii="Times New Roman" w:hAnsi="Times New Roman" w:cs="Times New Roman" w:eastAsia="Times New Roman" w:hint="default"/>
          <w:spacing w:val="-1"/>
        </w:rPr>
        <w:t>3</w:t>
      </w:r>
      <w:r>
        <w:rPr>
          <w:spacing w:val="-1"/>
        </w:rPr>
        <w:t>、报告期内，公司参与投资设立合资公司</w:t>
      </w:r>
      <w:r>
        <w:rPr>
          <w:rFonts w:ascii="Times New Roman" w:hAnsi="Times New Roman" w:cs="Times New Roman" w:eastAsia="Times New Roman" w:hint="default"/>
          <w:spacing w:val="-1"/>
        </w:rPr>
        <w:t>“</w:t>
      </w:r>
      <w:r>
        <w:rPr>
          <w:spacing w:val="-1"/>
        </w:rPr>
        <w:t>广东蓝盾乐庚信息技术有限公司</w:t>
      </w:r>
      <w:r>
        <w:rPr>
          <w:rFonts w:ascii="Times New Roman" w:hAnsi="Times New Roman" w:cs="Times New Roman" w:eastAsia="Times New Roman" w:hint="default"/>
          <w:spacing w:val="-1"/>
        </w:rPr>
        <w:t>”</w:t>
      </w:r>
      <w:r>
        <w:rPr>
          <w:spacing w:val="-1"/>
        </w:rPr>
        <w:t>，并纳入合并范围，控股</w:t>
      </w:r>
      <w:r>
        <w:rPr/>
        <w:t> 子公司经营情况如下：</w:t>
      </w:r>
    </w:p>
    <w:p>
      <w:pPr>
        <w:pStyle w:val="BodyText"/>
        <w:spacing w:line="331" w:lineRule="auto" w:before="47"/>
        <w:ind w:left="153" w:right="150" w:firstLine="336"/>
        <w:jc w:val="both"/>
      </w:pPr>
      <w:r>
        <w:rPr/>
        <w:t>广东蓝盾乐庚信息技术有限公司成立于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日，注册资本为人民币</w:t>
      </w:r>
      <w:r>
        <w:rPr>
          <w:rFonts w:ascii="Times New Roman" w:hAnsi="Times New Roman" w:cs="Times New Roman" w:eastAsia="Times New Roman" w:hint="default"/>
        </w:rPr>
        <w:t>1000</w:t>
      </w:r>
      <w:r>
        <w:rPr/>
        <w:t>万元，其中，公司以</w:t>
      </w:r>
      <w:r>
        <w:rPr>
          <w:spacing w:val="1"/>
        </w:rPr>
        <w:t> </w:t>
      </w:r>
      <w:r>
        <w:rPr>
          <w:spacing w:val="-2"/>
        </w:rPr>
        <w:t>自有货币资金</w:t>
      </w:r>
      <w:r>
        <w:rPr>
          <w:rFonts w:ascii="Times New Roman" w:hAnsi="Times New Roman" w:cs="Times New Roman" w:eastAsia="Times New Roman" w:hint="default"/>
          <w:spacing w:val="-2"/>
        </w:rPr>
        <w:t>600</w:t>
      </w:r>
      <w:r>
        <w:rPr>
          <w:spacing w:val="-2"/>
        </w:rPr>
        <w:t>万元出资，占合资公司注册资本的</w:t>
      </w:r>
      <w:r>
        <w:rPr>
          <w:rFonts w:ascii="Times New Roman" w:hAnsi="Times New Roman" w:cs="Times New Roman" w:eastAsia="Times New Roman" w:hint="default"/>
          <w:spacing w:val="-2"/>
        </w:rPr>
        <w:t>60%</w:t>
      </w:r>
      <w:r>
        <w:rPr>
          <w:spacing w:val="-2"/>
        </w:rPr>
        <w:t>。经营范围：承接计算机软件和网络工程；计算机</w:t>
      </w:r>
      <w:r>
        <w:rPr/>
        <w:t> 系统集成；软件咨询；计算机软硬件及网络维护。</w:t>
      </w:r>
    </w:p>
    <w:p>
      <w:pPr>
        <w:pStyle w:val="BodyText"/>
        <w:spacing w:line="240" w:lineRule="auto" w:before="45"/>
        <w:ind w:left="489"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日，控股子公司广东蓝盾乐庚信息技术有限公司总资产</w:t>
      </w:r>
      <w:r>
        <w:rPr>
          <w:rFonts w:ascii="Times New Roman" w:hAnsi="Times New Roman" w:cs="Times New Roman" w:eastAsia="Times New Roman" w:hint="default"/>
        </w:rPr>
        <w:t>800</w:t>
      </w:r>
      <w:r>
        <w:rPr/>
        <w:t>万元，净资产</w:t>
      </w:r>
      <w:r>
        <w:rPr>
          <w:rFonts w:ascii="Times New Roman" w:hAnsi="Times New Roman" w:cs="Times New Roman" w:eastAsia="Times New Roman" w:hint="default"/>
        </w:rPr>
        <w:t>800</w:t>
      </w:r>
      <w:r>
        <w:rPr/>
        <w:t>万元，</w:t>
      </w:r>
    </w:p>
    <w:p>
      <w:pPr>
        <w:pStyle w:val="BodyText"/>
        <w:spacing w:line="240" w:lineRule="auto" w:before="110"/>
        <w:ind w:left="153" w:right="0"/>
        <w:jc w:val="left"/>
      </w:pPr>
      <w:r>
        <w:rPr>
          <w:rFonts w:ascii="Times New Roman" w:hAnsi="Times New Roman" w:cs="Times New Roman" w:eastAsia="Times New Roman" w:hint="default"/>
        </w:rPr>
        <w:t>2012</w:t>
      </w:r>
      <w:r>
        <w:rPr/>
        <w:t>年度尚未产生经营收益。</w:t>
      </w:r>
    </w:p>
    <w:p>
      <w:pPr>
        <w:spacing w:line="240" w:lineRule="auto" w:before="6"/>
        <w:rPr>
          <w:rFonts w:ascii="宋体" w:hAnsi="宋体" w:cs="宋体" w:eastAsia="宋体" w:hint="default"/>
          <w:sz w:val="24"/>
          <w:szCs w:val="24"/>
        </w:rPr>
      </w:pPr>
    </w:p>
    <w:p>
      <w:pPr>
        <w:spacing w:line="487" w:lineRule="auto" w:before="0"/>
        <w:ind w:left="154" w:right="5270" w:hanging="1"/>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、公司控制的特殊目的主体情况</w:t>
      </w:r>
      <w:r>
        <w:rPr>
          <w:rFonts w:ascii="宋体" w:hAnsi="宋体" w:cs="宋体" w:eastAsia="宋体" w:hint="default"/>
          <w:b/>
          <w:bCs/>
          <w:spacing w:val="1"/>
          <w:w w:val="99"/>
          <w:sz w:val="21"/>
          <w:szCs w:val="21"/>
        </w:rPr>
        <w:t> </w:t>
      </w:r>
      <w:r>
        <w:rPr>
          <w:rFonts w:ascii="宋体" w:hAnsi="宋体" w:cs="宋体" w:eastAsia="宋体" w:hint="default"/>
          <w:spacing w:val="-1"/>
          <w:sz w:val="23"/>
          <w:szCs w:val="23"/>
        </w:rPr>
        <w:t>公司不存在其控制下的特殊目的的主体。</w:t>
      </w:r>
      <w:r>
        <w:rPr>
          <w:rFonts w:ascii="宋体" w:hAnsi="宋体" w:cs="宋体" w:eastAsia="宋体" w:hint="default"/>
          <w:spacing w:val="-103"/>
          <w:sz w:val="23"/>
          <w:szCs w:val="23"/>
        </w:rPr>
        <w:t> </w:t>
      </w:r>
      <w:r>
        <w:rPr>
          <w:rFonts w:ascii="宋体" w:hAnsi="宋体" w:cs="宋体" w:eastAsia="宋体" w:hint="default"/>
          <w:spacing w:val="-103"/>
          <w:sz w:val="23"/>
          <w:szCs w:val="23"/>
        </w:rPr>
      </w:r>
      <w:r>
        <w:rPr>
          <w:rFonts w:ascii="宋体" w:hAnsi="宋体" w:cs="宋体" w:eastAsia="宋体" w:hint="default"/>
          <w:b/>
          <w:bCs/>
          <w:sz w:val="24"/>
          <w:szCs w:val="24"/>
        </w:rPr>
        <w:t>三、公司未来发展的展望</w:t>
      </w:r>
      <w:r>
        <w:rPr>
          <w:rFonts w:ascii="宋体" w:hAnsi="宋体" w:cs="宋体" w:eastAsia="宋体" w:hint="default"/>
          <w:sz w:val="24"/>
          <w:szCs w:val="24"/>
        </w:rPr>
      </w:r>
    </w:p>
    <w:p>
      <w:pPr>
        <w:pStyle w:val="Heading3"/>
        <w:spacing w:line="260" w:lineRule="exact"/>
        <w:ind w:right="0"/>
        <w:jc w:val="left"/>
        <w:rPr>
          <w:b w:val="0"/>
          <w:bCs w:val="0"/>
        </w:rPr>
      </w:pPr>
      <w:r>
        <w:rPr/>
        <w:t>（一）行业发展趋势</w:t>
      </w:r>
      <w:r>
        <w:rPr>
          <w:b w:val="0"/>
          <w:bCs w:val="0"/>
        </w:rPr>
      </w:r>
    </w:p>
    <w:p>
      <w:pPr>
        <w:spacing w:line="350" w:lineRule="auto" w:before="125"/>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1、国家政策推动成为行业发展的主要动力</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信息安全产业是保障国家信息安全的战略性核心产业，肩负着为国家信息化基础设施和信息系统安全</w:t>
      </w:r>
    </w:p>
    <w:p>
      <w:pPr>
        <w:pStyle w:val="BodyText"/>
        <w:spacing w:line="348" w:lineRule="auto" w:before="28"/>
        <w:ind w:right="110"/>
        <w:jc w:val="left"/>
      </w:pPr>
      <w:r>
        <w:rPr/>
        <w:t>保障提供信息安全产品及服务的战略任务。大力推进信息化发展和切实保障信息安全，对调整经济结构、 转变发展方式、保障和改善民生、维护国家安全具有重大战略意义。</w:t>
      </w:r>
    </w:p>
    <w:p>
      <w:pPr>
        <w:pStyle w:val="BodyText"/>
        <w:spacing w:line="350" w:lineRule="auto" w:before="31"/>
        <w:ind w:right="147" w:firstLine="420"/>
        <w:jc w:val="both"/>
      </w:pPr>
      <w:r>
        <w:rPr>
          <w:spacing w:val="-1"/>
        </w:rPr>
        <w:t>近年来，国家对信息安全的重视程度和支持力度越来越大，一系列的政策陆续出台，如《国民经济和</w:t>
      </w:r>
      <w:r>
        <w:rPr/>
        <w:t> </w:t>
      </w:r>
      <w:r>
        <w:rPr>
          <w:spacing w:val="-1"/>
        </w:rPr>
        <w:t>社会发展第十二个五年规划纲要》和《国家信息安全工作“十二五”规划》对加快发展信息安全产业做出</w:t>
      </w:r>
      <w:r>
        <w:rPr>
          <w:spacing w:val="-83"/>
        </w:rPr>
        <w:t> </w:t>
      </w:r>
      <w:r>
        <w:rPr>
          <w:spacing w:val="-83"/>
        </w:rPr>
      </w:r>
      <w:r>
        <w:rPr>
          <w:spacing w:val="-1"/>
        </w:rPr>
        <w:t>了明确部署。《中共中央关于制定国民经济和社会发展第十二个五年规划的建议》第四条《发展现代产业</w:t>
      </w:r>
      <w:r>
        <w:rPr>
          <w:spacing w:val="-94"/>
        </w:rPr>
        <w:t> </w:t>
      </w:r>
      <w:r>
        <w:rPr>
          <w:spacing w:val="-94"/>
        </w:rPr>
      </w:r>
      <w:r>
        <w:rPr>
          <w:spacing w:val="-1"/>
        </w:rPr>
        <w:t>体系，提高产业核心竞争力》中，明确指出了“全面提高信息化水平”的要求：“推动信息化和工业化深</w:t>
      </w:r>
    </w:p>
    <w:p>
      <w:pPr>
        <w:spacing w:after="0" w:line="350" w:lineRule="auto"/>
        <w:jc w:val="both"/>
        <w:sectPr>
          <w:footerReference w:type="default" r:id="rId14"/>
          <w:pgSz w:w="11910" w:h="16840"/>
          <w:pgMar w:footer="982" w:header="747" w:top="1060" w:bottom="1180" w:left="980" w:right="980"/>
          <w:pgNumType w:start="3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0" w:lineRule="auto"/>
        <w:ind w:right="149"/>
        <w:jc w:val="both"/>
      </w:pPr>
      <w:r>
        <w:rPr>
          <w:spacing w:val="-1"/>
        </w:rPr>
        <w:t>度融合，加快经济社会各领域信息化。发展和提升软件产业。实现电信网、广播电视网、互联网“三网融</w:t>
      </w:r>
      <w:r>
        <w:rPr>
          <w:spacing w:val="-83"/>
        </w:rPr>
        <w:t> </w:t>
      </w:r>
      <w:r>
        <w:rPr>
          <w:spacing w:val="-83"/>
        </w:rPr>
      </w:r>
      <w:r>
        <w:rPr>
          <w:spacing w:val="-7"/>
        </w:rPr>
        <w:t>合”，构建宽带、融合、安全的下一代国家信息基础设施。”</w:t>
      </w:r>
      <w:r>
        <w:rPr>
          <w:spacing w:val="23"/>
        </w:rPr>
        <w:t> </w:t>
      </w:r>
      <w:r>
        <w:rPr>
          <w:spacing w:val="1"/>
        </w:rPr>
        <w:t>“十二五”时期是我国全面推进经济和社会</w:t>
      </w:r>
      <w:r>
        <w:rPr>
          <w:spacing w:val="-101"/>
        </w:rPr>
        <w:t> </w:t>
      </w:r>
      <w:r>
        <w:rPr>
          <w:spacing w:val="-101"/>
        </w:rPr>
      </w:r>
      <w:r>
        <w:rPr>
          <w:spacing w:val="-1"/>
        </w:rPr>
        <w:t>信息化的关键时期，迫切需要加快发展信息安全产业，提供安全可控的信息安全技术、产品和服务。2012</w:t>
      </w:r>
      <w:r>
        <w:rPr>
          <w:spacing w:val="-81"/>
        </w:rPr>
        <w:t> </w:t>
      </w:r>
      <w:r>
        <w:rPr>
          <w:spacing w:val="-81"/>
        </w:rPr>
      </w:r>
      <w:r>
        <w:rPr>
          <w:spacing w:val="-1"/>
        </w:rPr>
        <w:t>年6月，国务院发布《国务院关于大力推进信息化发展和切实保障信息安全的若干意见》,明确要大力推进</w:t>
      </w:r>
      <w:r>
        <w:rPr>
          <w:spacing w:val="-86"/>
        </w:rPr>
        <w:t> </w:t>
      </w:r>
      <w:r>
        <w:rPr>
          <w:spacing w:val="-86"/>
        </w:rPr>
      </w:r>
      <w:r>
        <w:rPr>
          <w:spacing w:val="-1"/>
        </w:rPr>
        <w:t>信息化发展，切实保障信息安全。2012</w:t>
      </w:r>
      <w:r>
        <w:rPr>
          <w:spacing w:val="30"/>
        </w:rPr>
        <w:t> </w:t>
      </w:r>
      <w:r>
        <w:rPr>
          <w:spacing w:val="-5"/>
        </w:rPr>
        <w:t>年12月，全国人大通过了《关于加强网络信息保护的决定》，重点</w:t>
      </w:r>
      <w:r>
        <w:rPr>
          <w:spacing w:val="-101"/>
        </w:rPr>
        <w:t> </w:t>
      </w:r>
      <w:r>
        <w:rPr>
          <w:spacing w:val="-101"/>
        </w:rPr>
      </w:r>
      <w:r>
        <w:rPr>
          <w:spacing w:val="-1"/>
        </w:rPr>
        <w:t>保护个人信息的安全，信息安全内部主动防御和加密等领域受到关注。除此之外，国家还出台了多项加强</w:t>
      </w:r>
      <w:r>
        <w:rPr>
          <w:spacing w:val="-83"/>
        </w:rPr>
        <w:t> </w:t>
      </w:r>
      <w:r>
        <w:rPr>
          <w:spacing w:val="-83"/>
        </w:rPr>
      </w:r>
      <w:r>
        <w:rPr>
          <w:spacing w:val="-1"/>
        </w:rPr>
        <w:t>信息安全技术研发、推进产业发展的政策措施，为信息安全产业的发展、企业技术创新能力的提高和核心</w:t>
      </w:r>
      <w:r>
        <w:rPr>
          <w:spacing w:val="-83"/>
        </w:rPr>
        <w:t> </w:t>
      </w:r>
      <w:r>
        <w:rPr>
          <w:spacing w:val="-83"/>
        </w:rPr>
      </w:r>
      <w:r>
        <w:rPr/>
        <w:t>竞争力的提升提供了良好的市场环境和政策保障。</w:t>
      </w:r>
    </w:p>
    <w:p>
      <w:pPr>
        <w:pStyle w:val="BodyText"/>
        <w:spacing w:line="348" w:lineRule="auto" w:before="29"/>
        <w:ind w:right="128" w:firstLine="420"/>
        <w:jc w:val="both"/>
      </w:pPr>
      <w:r>
        <w:rPr/>
        <w:t>从政策方面可以看出，国家对信息安全的重视程度和支持力度将越来越大，催生出庞大的市场需求。 工信部印发《信息安全产业十二五发展规划》指出，到2015年，我国信息安全产业规模将突破670亿元，</w:t>
      </w:r>
      <w:r>
        <w:rPr>
          <w:spacing w:val="-37"/>
        </w:rPr>
        <w:t> </w:t>
      </w:r>
      <w:r>
        <w:rPr>
          <w:spacing w:val="-37"/>
        </w:rPr>
      </w:r>
      <w:r>
        <w:rPr/>
        <w:t>保持年均30%以上的增长速度，占信息产业的比重稳步提高。</w:t>
      </w:r>
    </w:p>
    <w:p>
      <w:pPr>
        <w:pStyle w:val="Heading3"/>
        <w:spacing w:line="348" w:lineRule="auto" w:before="31"/>
        <w:ind w:right="196" w:firstLine="422"/>
        <w:jc w:val="both"/>
        <w:rPr>
          <w:b w:val="0"/>
          <w:bCs w:val="0"/>
        </w:rPr>
      </w:pPr>
      <w:r>
        <w:rPr/>
        <w:t>2、信息安全产业已进入云计算、大数据、三网融合、移动互联的大安全时代，技术变革将推动产业</w:t>
      </w:r>
      <w:r>
        <w:rPr>
          <w:spacing w:val="1"/>
          <w:w w:val="99"/>
        </w:rPr>
        <w:t> </w:t>
      </w:r>
      <w:r>
        <w:rPr/>
        <w:t>模式与竞争格局发生重大改变</w:t>
      </w:r>
      <w:r>
        <w:rPr>
          <w:b w:val="0"/>
          <w:bCs w:val="0"/>
        </w:rPr>
      </w:r>
    </w:p>
    <w:p>
      <w:pPr>
        <w:pStyle w:val="BodyText"/>
        <w:spacing w:line="350" w:lineRule="auto" w:before="30"/>
        <w:ind w:right="149" w:firstLine="420"/>
        <w:jc w:val="both"/>
      </w:pPr>
      <w:r>
        <w:rPr>
          <w:spacing w:val="-1"/>
        </w:rPr>
        <w:t>云计算、大数据、三网融合、移动互联网等新技术、新应用和新模式的出现，对信息安全提出了新的</w:t>
      </w:r>
      <w:r>
        <w:rPr/>
        <w:t> </w:t>
      </w:r>
      <w:r>
        <w:rPr>
          <w:spacing w:val="-1"/>
        </w:rPr>
        <w:t>要求，拓展了信息安全产业的发展空间。同时，新技术、新应用和新模式在国内外市场的全面开拓将加快</w:t>
      </w:r>
      <w:r>
        <w:rPr>
          <w:spacing w:val="-82"/>
        </w:rPr>
        <w:t> </w:t>
      </w:r>
      <w:r>
        <w:rPr>
          <w:spacing w:val="-82"/>
        </w:rPr>
      </w:r>
      <w:r>
        <w:rPr>
          <w:spacing w:val="-1"/>
        </w:rPr>
        <w:t>国内信息安全技术的创新速度，催生云安全等新的信息安全应用领域，为国内企业与国际同步发展提供了</w:t>
      </w:r>
      <w:r>
        <w:rPr>
          <w:spacing w:val="-81"/>
        </w:rPr>
        <w:t> </w:t>
      </w:r>
      <w:r>
        <w:rPr>
          <w:spacing w:val="-81"/>
        </w:rPr>
      </w:r>
      <w:r>
        <w:rPr>
          <w:spacing w:val="-1"/>
        </w:rPr>
        <w:t>契机。随着协议的不断增多，线路的不断丰富，网络环境已经进入到无线网与互联网融合的格局，加上信</w:t>
      </w:r>
      <w:r>
        <w:rPr>
          <w:spacing w:val="-82"/>
        </w:rPr>
        <w:t> </w:t>
      </w:r>
      <w:r>
        <w:rPr>
          <w:spacing w:val="-82"/>
        </w:rPr>
      </w:r>
      <w:r>
        <w:rPr>
          <w:spacing w:val="-1"/>
        </w:rPr>
        <w:t>息安全的威胁无处不在，攻击行为越来越复杂与频繁，造成的破坏影响巨大，引起全球的广泛关注。面对</w:t>
      </w:r>
      <w:r>
        <w:rPr>
          <w:spacing w:val="-82"/>
        </w:rPr>
        <w:t> </w:t>
      </w:r>
      <w:r>
        <w:rPr>
          <w:spacing w:val="-82"/>
        </w:rPr>
      </w:r>
      <w:r>
        <w:rPr>
          <w:spacing w:val="-1"/>
        </w:rPr>
        <w:t>复杂的网络环境，频繁的攻击，单一的技术已难以招架，再加上应用载体从PC向智能终端转化，视频、微</w:t>
      </w:r>
      <w:r>
        <w:rPr>
          <w:spacing w:val="-84"/>
        </w:rPr>
        <w:t> </w:t>
      </w:r>
      <w:r>
        <w:rPr>
          <w:spacing w:val="-84"/>
        </w:rPr>
      </w:r>
      <w:r>
        <w:rPr>
          <w:spacing w:val="-1"/>
        </w:rPr>
        <w:t>博、社交网络（facebook）等的社交媒体的出现，虚拟技术以及云计算的普及等，信息安全市场发生了巨</w:t>
      </w:r>
      <w:r>
        <w:rPr>
          <w:spacing w:val="-80"/>
        </w:rPr>
        <w:t> </w:t>
      </w:r>
      <w:r>
        <w:rPr>
          <w:spacing w:val="-80"/>
        </w:rPr>
      </w:r>
      <w:r>
        <w:rPr>
          <w:spacing w:val="-1"/>
        </w:rPr>
        <w:t>大的变化。云计算、移动应用和媒体平板、下一代数据分析技术、社交分析技术、社交通信和协作、视频</w:t>
      </w:r>
      <w:r>
        <w:rPr>
          <w:spacing w:val="-83"/>
        </w:rPr>
        <w:t> </w:t>
      </w:r>
      <w:r>
        <w:rPr>
          <w:spacing w:val="-83"/>
        </w:rPr>
      </w:r>
      <w:r>
        <w:rPr/>
        <w:t>技术、上下文感知技术等技术将得到融合。</w:t>
      </w:r>
    </w:p>
    <w:p>
      <w:pPr>
        <w:spacing w:line="350" w:lineRule="auto" w:before="2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3、信息安全向系统化、主动防御方向发展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随着信息技术的快速发展和广泛应用，基础信息网络和重要信息系统安全、信息资源安全以及个人信</w:t>
      </w:r>
    </w:p>
    <w:p>
      <w:pPr>
        <w:pStyle w:val="BodyText"/>
        <w:spacing w:line="350" w:lineRule="auto" w:before="28"/>
        <w:ind w:right="149"/>
        <w:jc w:val="left"/>
      </w:pPr>
      <w:r>
        <w:rPr>
          <w:spacing w:val="-1"/>
        </w:rPr>
        <w:t>息安全等问题与日俱增，应用安全日益受到关注，主动防御技术成为信息安全技术发展的重点，信息安全</w:t>
      </w:r>
      <w:r>
        <w:rPr>
          <w:spacing w:val="-83"/>
        </w:rPr>
        <w:t> </w:t>
      </w:r>
      <w:r>
        <w:rPr>
          <w:spacing w:val="-83"/>
        </w:rPr>
      </w:r>
      <w:r>
        <w:rPr>
          <w:spacing w:val="-1"/>
        </w:rPr>
        <w:t>产品与服务演化为多技术、多产品、多功能的融合，多层次、全方位、全网络的立体监测和综合防御趋势</w:t>
      </w:r>
      <w:r>
        <w:rPr>
          <w:spacing w:val="-83"/>
        </w:rPr>
        <w:t> </w:t>
      </w:r>
      <w:r>
        <w:rPr>
          <w:spacing w:val="-83"/>
        </w:rPr>
      </w:r>
      <w:r>
        <w:rPr/>
        <w:t>不断加强。信息安全保障逐步由传统的被动防护转向"监测-响应式"的主动防御，信息安全技术正朝着构</w:t>
      </w:r>
      <w:r>
        <w:rPr/>
        <w:t> </w:t>
      </w:r>
      <w:r>
        <w:rPr>
          <w:spacing w:val="-1"/>
        </w:rPr>
        <w:t>建完整、联动、可信、快速响应的综合防护防御系统方向发展。产品功能集成化、系统化趋势明显，功能</w:t>
      </w:r>
      <w:r>
        <w:rPr>
          <w:spacing w:val="-83"/>
        </w:rPr>
        <w:t> </w:t>
      </w:r>
      <w:r>
        <w:rPr>
          <w:spacing w:val="-83"/>
        </w:rPr>
      </w:r>
      <w:r>
        <w:rPr>
          <w:spacing w:val="-1"/>
        </w:rPr>
        <w:t>越来越丰富，性能不断提高；产品自适应联动防护、综合防御水平不断提高。计算技术的重心从计算机转</w:t>
      </w:r>
      <w:r>
        <w:rPr>
          <w:spacing w:val="-82"/>
        </w:rPr>
        <w:t> </w:t>
      </w:r>
      <w:r>
        <w:rPr>
          <w:spacing w:val="-82"/>
        </w:rPr>
      </w:r>
      <w:r>
        <w:rPr>
          <w:spacing w:val="-1"/>
        </w:rPr>
        <w:t>向互联网，互联网正在逐步成为软件开发、部署、运行和服务的平台，对高效防范和综合治理的要求日益</w:t>
      </w:r>
      <w:r>
        <w:rPr>
          <w:spacing w:val="-82"/>
        </w:rPr>
        <w:t> </w:t>
      </w:r>
      <w:r>
        <w:rPr>
          <w:spacing w:val="-82"/>
        </w:rPr>
      </w:r>
      <w:r>
        <w:rPr>
          <w:spacing w:val="-1"/>
        </w:rPr>
        <w:t>提高，信息安全产品向网络化、智能化方向发展。网络身份认证、安全智能技术、新型密码算法等信息安</w:t>
      </w:r>
      <w:r>
        <w:rPr>
          <w:spacing w:val="-83"/>
        </w:rPr>
        <w:t> </w:t>
      </w:r>
      <w:r>
        <w:rPr>
          <w:spacing w:val="-83"/>
        </w:rPr>
      </w:r>
      <w:r>
        <w:rPr/>
        <w:t>全技术日益受到重视。</w:t>
      </w:r>
    </w:p>
    <w:p>
      <w:pPr>
        <w:spacing w:after="0" w:line="35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left="574" w:right="102" w:hanging="420"/>
        <w:jc w:val="left"/>
      </w:pPr>
      <w:r>
        <w:rPr>
          <w:rFonts w:ascii="宋体" w:hAnsi="宋体" w:cs="宋体" w:eastAsia="宋体" w:hint="default"/>
          <w:b/>
          <w:bCs/>
        </w:rPr>
        <w:t>（二）竞争格局</w:t>
      </w:r>
      <w:r>
        <w:rPr>
          <w:rFonts w:ascii="宋体" w:hAnsi="宋体" w:cs="宋体" w:eastAsia="宋体" w:hint="default"/>
          <w:b/>
          <w:bCs/>
          <w:w w:val="99"/>
        </w:rPr>
        <w:t> </w:t>
      </w:r>
      <w:r>
        <w:rPr>
          <w:spacing w:val="-1"/>
        </w:rPr>
        <w:t>信息安全行业内厂商数量较多，细分程度较高，不同领域有相应的专业厂商，使得市场集中度小，竞</w:t>
      </w:r>
    </w:p>
    <w:p>
      <w:pPr>
        <w:pStyle w:val="BodyText"/>
        <w:spacing w:line="350" w:lineRule="auto" w:before="31"/>
        <w:ind w:right="210"/>
        <w:jc w:val="both"/>
      </w:pPr>
      <w:r>
        <w:rPr>
          <w:spacing w:val="-1"/>
        </w:rPr>
        <w:t>争相对激烈，产品同质化现象严重。但是随着信息化的深入，用户对于软硬件综合解决方案的需求越来越</w:t>
      </w:r>
      <w:r>
        <w:rPr>
          <w:spacing w:val="-83"/>
        </w:rPr>
        <w:t> </w:t>
      </w:r>
      <w:r>
        <w:rPr>
          <w:spacing w:val="-83"/>
        </w:rPr>
      </w:r>
      <w:r>
        <w:rPr>
          <w:spacing w:val="-1"/>
        </w:rPr>
        <w:t>强，未来行业集中度将进一步提高，企业信息安全整体解决方案是行业发展趋势，具有资质齐全、行业经</w:t>
      </w:r>
      <w:r>
        <w:rPr>
          <w:spacing w:val="-82"/>
        </w:rPr>
        <w:t> </w:t>
      </w:r>
      <w:r>
        <w:rPr>
          <w:spacing w:val="-82"/>
        </w:rPr>
      </w:r>
      <w:r>
        <w:rPr>
          <w:spacing w:val="-1"/>
        </w:rPr>
        <w:t>验丰富、技术领先等方面优势的企业将成为引领行业发展的排头兵。公司恰恰具有上述优势，竞争优势明</w:t>
      </w:r>
      <w:r>
        <w:rPr>
          <w:spacing w:val="-83"/>
        </w:rPr>
        <w:t> </w:t>
      </w:r>
      <w:r>
        <w:rPr>
          <w:spacing w:val="-83"/>
        </w:rPr>
      </w:r>
      <w:r>
        <w:rPr/>
        <w:t>显。</w:t>
      </w:r>
    </w:p>
    <w:p>
      <w:pPr>
        <w:spacing w:line="348" w:lineRule="auto" w:before="28"/>
        <w:ind w:left="574" w:right="102" w:firstLine="15"/>
        <w:jc w:val="left"/>
        <w:rPr>
          <w:rFonts w:ascii="宋体" w:hAnsi="宋体" w:cs="宋体" w:eastAsia="宋体" w:hint="default"/>
          <w:sz w:val="21"/>
          <w:szCs w:val="21"/>
        </w:rPr>
      </w:pPr>
      <w:r>
        <w:rPr>
          <w:rFonts w:ascii="宋体" w:hAnsi="宋体" w:cs="宋体" w:eastAsia="宋体" w:hint="default"/>
          <w:b/>
          <w:bCs/>
          <w:sz w:val="21"/>
          <w:szCs w:val="21"/>
        </w:rPr>
        <w:t>1、信息安全集成能力强，案例经验丰富</w:t>
      </w:r>
      <w:r>
        <w:rPr>
          <w:rFonts w:ascii="宋体" w:hAnsi="宋体" w:cs="宋体" w:eastAsia="宋体" w:hint="default"/>
          <w:b/>
          <w:bCs/>
          <w:w w:val="99"/>
          <w:sz w:val="21"/>
          <w:szCs w:val="21"/>
        </w:rPr>
        <w:t> </w:t>
      </w:r>
      <w:r>
        <w:rPr>
          <w:rFonts w:ascii="宋体" w:hAnsi="宋体" w:cs="宋体" w:eastAsia="宋体" w:hint="default"/>
          <w:spacing w:val="-1"/>
          <w:sz w:val="21"/>
          <w:szCs w:val="21"/>
        </w:rPr>
        <w:t>随着公司技术实力和产品性能的提升，公司从事安全集成业务的整体解决方案能力逐渐增强，已为来</w:t>
      </w:r>
    </w:p>
    <w:p>
      <w:pPr>
        <w:pStyle w:val="BodyText"/>
        <w:spacing w:line="350" w:lineRule="auto" w:before="31"/>
        <w:ind w:right="211"/>
        <w:jc w:val="both"/>
      </w:pPr>
      <w:r>
        <w:rPr>
          <w:spacing w:val="-1"/>
        </w:rPr>
        <w:t>自政府、教育、金融、电力、医疗等行业的多家客户提供了信息安全系统整体解决方案，积累了丰富的案</w:t>
      </w:r>
      <w:r>
        <w:rPr>
          <w:spacing w:val="-83"/>
        </w:rPr>
        <w:t> </w:t>
      </w:r>
      <w:r>
        <w:rPr>
          <w:spacing w:val="-83"/>
        </w:rPr>
      </w:r>
      <w:r>
        <w:rPr>
          <w:spacing w:val="-1"/>
        </w:rPr>
        <w:t>例经验，而这些经验恰好是评标的重要考察因素，承接过大体量或高端客户项目且案例丰富的厂商在招投</w:t>
      </w:r>
      <w:r>
        <w:rPr>
          <w:spacing w:val="-81"/>
        </w:rPr>
        <w:t> </w:t>
      </w:r>
      <w:r>
        <w:rPr>
          <w:spacing w:val="-81"/>
        </w:rPr>
      </w:r>
      <w:r>
        <w:rPr>
          <w:spacing w:val="-1"/>
        </w:rPr>
        <w:t>标中占据天然优势。安全集成能力的增强有望进一步提升公司安全服务业务和自有安全产品业务的收入规</w:t>
      </w:r>
      <w:r>
        <w:rPr>
          <w:spacing w:val="-81"/>
        </w:rPr>
        <w:t> </w:t>
      </w:r>
      <w:r>
        <w:rPr>
          <w:spacing w:val="-81"/>
        </w:rPr>
      </w:r>
      <w:r>
        <w:rPr/>
        <w:t>模。</w:t>
      </w:r>
    </w:p>
    <w:p>
      <w:pPr>
        <w:spacing w:line="348" w:lineRule="auto" w:before="28"/>
        <w:ind w:left="619" w:right="230" w:firstLine="0"/>
        <w:jc w:val="left"/>
        <w:rPr>
          <w:rFonts w:ascii="宋体" w:hAnsi="宋体" w:cs="宋体" w:eastAsia="宋体" w:hint="default"/>
          <w:sz w:val="21"/>
          <w:szCs w:val="21"/>
        </w:rPr>
      </w:pPr>
      <w:r>
        <w:rPr>
          <w:rFonts w:ascii="宋体" w:hAnsi="宋体" w:cs="宋体" w:eastAsia="宋体" w:hint="default"/>
          <w:b/>
          <w:bCs/>
          <w:sz w:val="21"/>
          <w:szCs w:val="21"/>
        </w:rPr>
        <w:t>2、产品线丰富，能满足集成的需要</w:t>
      </w:r>
      <w:r>
        <w:rPr>
          <w:rFonts w:ascii="宋体" w:hAnsi="宋体" w:cs="宋体" w:eastAsia="宋体" w:hint="default"/>
          <w:b/>
          <w:bCs/>
          <w:w w:val="99"/>
          <w:sz w:val="21"/>
          <w:szCs w:val="21"/>
        </w:rPr>
        <w:t> </w:t>
      </w:r>
      <w:r>
        <w:rPr>
          <w:rFonts w:ascii="宋体" w:hAnsi="宋体" w:cs="宋体" w:eastAsia="宋体" w:hint="default"/>
          <w:sz w:val="21"/>
          <w:szCs w:val="21"/>
        </w:rPr>
        <w:t>公司拥有业内较为齐全的产品线，涉及安全网关、安全审计和应用安全、端点安全、终端安全等5大</w:t>
      </w:r>
    </w:p>
    <w:p>
      <w:pPr>
        <w:pStyle w:val="BodyText"/>
        <w:spacing w:line="348" w:lineRule="auto" w:before="31"/>
        <w:ind w:right="188"/>
        <w:jc w:val="both"/>
      </w:pPr>
      <w:r>
        <w:rPr/>
        <w:t>类别共100多个品种，能满足客户在网络边界安全、安全审计与合规、应用安全等方面的信息安全需求。 产品是集成的基础，齐全的产品线使公司能根据客户的需求灵活组合，形成贴合终端需求的个性化方案。</w:t>
      </w:r>
    </w:p>
    <w:p>
      <w:pPr>
        <w:pStyle w:val="BodyText"/>
        <w:spacing w:line="350" w:lineRule="auto" w:before="30"/>
        <w:ind w:left="574" w:right="102" w:firstLine="45"/>
        <w:jc w:val="left"/>
      </w:pPr>
      <w:r>
        <w:rPr>
          <w:rFonts w:ascii="宋体" w:hAnsi="宋体" w:cs="宋体" w:eastAsia="宋体" w:hint="default"/>
          <w:b/>
          <w:bCs/>
        </w:rPr>
        <w:t>3、</w:t>
      </w:r>
      <w:r>
        <w:rPr>
          <w:rFonts w:ascii="宋体" w:hAnsi="宋体" w:cs="宋体" w:eastAsia="宋体" w:hint="default"/>
          <w:b/>
          <w:bCs/>
          <w:spacing w:val="-49"/>
        </w:rPr>
        <w:t> </w:t>
      </w:r>
      <w:r>
        <w:rPr>
          <w:rFonts w:ascii="宋体" w:hAnsi="宋体" w:cs="宋体" w:eastAsia="宋体" w:hint="default"/>
          <w:b/>
          <w:bCs/>
        </w:rPr>
        <w:t>资质齐全</w:t>
      </w:r>
      <w:r>
        <w:rPr>
          <w:rFonts w:ascii="宋体" w:hAnsi="宋体" w:cs="宋体" w:eastAsia="宋体" w:hint="default"/>
          <w:b/>
          <w:bCs/>
          <w:spacing w:val="1"/>
          <w:w w:val="99"/>
        </w:rPr>
        <w:t> </w:t>
      </w:r>
      <w:r>
        <w:rPr>
          <w:spacing w:val="-1"/>
        </w:rPr>
        <w:t>作为国家强制性保护的行业，获得资质或许可的多少是衡量信息安全企业竞争实力的重要标准，公司</w:t>
      </w:r>
    </w:p>
    <w:p>
      <w:pPr>
        <w:pStyle w:val="BodyText"/>
        <w:spacing w:line="348" w:lineRule="auto" w:before="28"/>
        <w:ind w:left="153" w:right="102"/>
        <w:jc w:val="left"/>
      </w:pPr>
      <w:r>
        <w:rPr>
          <w:spacing w:val="-3"/>
        </w:rPr>
        <w:t>凭借领先的技术优势及综合服务能力，已拥有商用密码产品销售许可证、军队网络采购信息发布资格认证、</w:t>
      </w:r>
      <w:r>
        <w:rPr>
          <w:spacing w:val="-92"/>
        </w:rPr>
        <w:t> </w:t>
      </w:r>
      <w:r>
        <w:rPr>
          <w:spacing w:val="-92"/>
        </w:rPr>
      </w:r>
      <w:r>
        <w:rPr/>
        <w:t>涉密信息系统产品检测证书</w:t>
      </w:r>
      <w:r>
        <w:rPr>
          <w:spacing w:val="-39"/>
        </w:rPr>
        <w:t> </w:t>
      </w:r>
      <w:r>
        <w:rPr/>
        <w:t>8</w:t>
      </w:r>
      <w:r>
        <w:rPr>
          <w:spacing w:val="-39"/>
        </w:rPr>
        <w:t> </w:t>
      </w:r>
      <w:r>
        <w:rPr/>
        <w:t>项、军用信息安全产品认证证书</w:t>
      </w:r>
      <w:r>
        <w:rPr>
          <w:spacing w:val="-39"/>
        </w:rPr>
        <w:t> </w:t>
      </w:r>
      <w:r>
        <w:rPr/>
        <w:t>4</w:t>
      </w:r>
      <w:r>
        <w:rPr>
          <w:spacing w:val="-39"/>
        </w:rPr>
        <w:t> </w:t>
      </w:r>
      <w:r>
        <w:rPr/>
        <w:t>项、产品销售许可证</w:t>
      </w:r>
      <w:r>
        <w:rPr>
          <w:spacing w:val="-39"/>
        </w:rPr>
        <w:t> </w:t>
      </w:r>
      <w:r>
        <w:rPr/>
        <w:t>22</w:t>
      </w:r>
      <w:r>
        <w:rPr>
          <w:spacing w:val="-39"/>
        </w:rPr>
        <w:t> </w:t>
      </w:r>
      <w:r>
        <w:rPr/>
        <w:t>项、中国信息安</w:t>
      </w:r>
    </w:p>
    <w:p>
      <w:pPr>
        <w:pStyle w:val="BodyText"/>
        <w:spacing w:line="350" w:lineRule="auto" w:before="31"/>
        <w:ind w:left="153" w:right="209"/>
        <w:jc w:val="both"/>
      </w:pPr>
      <w:r>
        <w:rPr/>
        <w:t>全认证中心产品认证证书</w:t>
      </w:r>
      <w:r>
        <w:rPr>
          <w:spacing w:val="-33"/>
        </w:rPr>
        <w:t> </w:t>
      </w:r>
      <w:r>
        <w:rPr/>
        <w:t>9</w:t>
      </w:r>
      <w:r>
        <w:rPr>
          <w:spacing w:val="-33"/>
        </w:rPr>
        <w:t> </w:t>
      </w:r>
      <w:r>
        <w:rPr/>
        <w:t>项、广州市自主创新产品证书</w:t>
      </w:r>
      <w:r>
        <w:rPr>
          <w:spacing w:val="-33"/>
        </w:rPr>
        <w:t> </w:t>
      </w:r>
      <w:r>
        <w:rPr/>
        <w:t>13</w:t>
      </w:r>
      <w:r>
        <w:rPr>
          <w:spacing w:val="-33"/>
        </w:rPr>
        <w:t> </w:t>
      </w:r>
      <w:r>
        <w:rPr/>
        <w:t>项，并取得了计算机信息系统安全服务一级</w:t>
      </w:r>
      <w:r>
        <w:rPr/>
        <w:t> </w:t>
      </w:r>
      <w:r>
        <w:rPr>
          <w:spacing w:val="-1"/>
        </w:rPr>
        <w:t>资质证书、计算机信息系统集成一级资质证书、涉密计算机信息系统集成乙级证书、信息安全应急处理服</w:t>
      </w:r>
      <w:r>
        <w:rPr>
          <w:spacing w:val="-83"/>
        </w:rPr>
        <w:t> </w:t>
      </w:r>
      <w:r>
        <w:rPr>
          <w:spacing w:val="-83"/>
        </w:rPr>
      </w:r>
      <w:r>
        <w:rPr>
          <w:spacing w:val="-1"/>
        </w:rPr>
        <w:t>务资质、信息安全风险评估服务资质等业务资质，基本获得了包括信息安全产品、信息安全集成及信息安</w:t>
      </w:r>
      <w:r>
        <w:rPr>
          <w:spacing w:val="-83"/>
        </w:rPr>
        <w:t> </w:t>
      </w:r>
      <w:r>
        <w:rPr>
          <w:spacing w:val="-83"/>
        </w:rPr>
      </w:r>
      <w:r>
        <w:rPr/>
        <w:t>全服务在内的所有业务类别的较高级别资质或许可，成为业内资质或许可最齐全的企业之一。</w:t>
      </w:r>
    </w:p>
    <w:p>
      <w:pPr>
        <w:pStyle w:val="BodyText"/>
        <w:spacing w:line="348" w:lineRule="auto" w:before="28"/>
        <w:ind w:left="573" w:right="102"/>
        <w:jc w:val="left"/>
      </w:pPr>
      <w:r>
        <w:rPr/>
        <w:t>4、</w:t>
      </w:r>
      <w:r>
        <w:rPr>
          <w:rFonts w:ascii="宋体" w:hAnsi="宋体" w:cs="宋体" w:eastAsia="宋体" w:hint="default"/>
          <w:b/>
          <w:bCs/>
        </w:rPr>
        <w:t>领先的技术实力</w:t>
      </w:r>
      <w:r>
        <w:rPr>
          <w:rFonts w:ascii="宋体" w:hAnsi="宋体" w:cs="宋体" w:eastAsia="宋体" w:hint="default"/>
          <w:b/>
          <w:bCs/>
          <w:spacing w:val="1"/>
          <w:w w:val="99"/>
        </w:rPr>
        <w:t> </w:t>
      </w:r>
      <w:r>
        <w:rPr>
          <w:spacing w:val="-1"/>
        </w:rPr>
        <w:t>公司始终以自主创新为发展源动力，以技术研发领先抢占市场，经过多年的探索和积累，已掌握了信</w:t>
      </w:r>
    </w:p>
    <w:p>
      <w:pPr>
        <w:pStyle w:val="BodyText"/>
        <w:spacing w:line="348" w:lineRule="auto" w:before="31"/>
        <w:ind w:left="153" w:right="210"/>
        <w:jc w:val="both"/>
      </w:pPr>
      <w:r>
        <w:rPr/>
        <w:t>息安全领域内的主要核心技术，并拥有该领域内</w:t>
      </w:r>
      <w:r>
        <w:rPr>
          <w:spacing w:val="-64"/>
        </w:rPr>
        <w:t> </w:t>
      </w:r>
      <w:r>
        <w:rPr/>
        <w:t>110</w:t>
      </w:r>
      <w:r>
        <w:rPr>
          <w:spacing w:val="-63"/>
        </w:rPr>
        <w:t> </w:t>
      </w:r>
      <w:r>
        <w:rPr/>
        <w:t>项软件著作权。公司目前掌握的主要技术处于国内领</w:t>
      </w:r>
      <w:r>
        <w:rPr/>
        <w:t> 先地位，其中蓝盾</w:t>
      </w:r>
      <w:r>
        <w:rPr>
          <w:spacing w:val="-72"/>
        </w:rPr>
        <w:t> </w:t>
      </w:r>
      <w:r>
        <w:rPr/>
        <w:t>DDoS</w:t>
      </w:r>
      <w:r>
        <w:rPr>
          <w:spacing w:val="-72"/>
        </w:rPr>
        <w:t> </w:t>
      </w:r>
      <w:r>
        <w:rPr/>
        <w:t>防御网关所采用的“零积累智能识别”等技术达国际先进水平。</w:t>
      </w:r>
    </w:p>
    <w:p>
      <w:pPr>
        <w:pStyle w:val="BodyText"/>
        <w:spacing w:line="350" w:lineRule="auto" w:before="30"/>
        <w:ind w:left="153" w:right="210" w:firstLine="420"/>
        <w:jc w:val="both"/>
      </w:pPr>
      <w:r>
        <w:rPr>
          <w:spacing w:val="-1"/>
        </w:rPr>
        <w:t>凭借领先的技术实力，公司先后承担并实施了包括国家公安部科技攻关项目在内的30多项国家级、部</w:t>
      </w:r>
      <w:r>
        <w:rPr/>
        <w:t> </w:t>
      </w:r>
      <w:r>
        <w:rPr>
          <w:spacing w:val="-1"/>
        </w:rPr>
        <w:t>级、省市区级的重点信息安全科研项目，并为国家公安部等部委在制定服务器安全类产品和安全审计类产</w:t>
      </w:r>
      <w:r>
        <w:rPr>
          <w:spacing w:val="-81"/>
        </w:rPr>
        <w:t> </w:t>
      </w:r>
      <w:r>
        <w:rPr>
          <w:spacing w:val="-81"/>
        </w:rPr>
      </w:r>
      <w:r>
        <w:rPr>
          <w:spacing w:val="-1"/>
        </w:rPr>
        <w:t>品行业技术标准发挥了重要作用。此外，公司成功为北京奥运会和残奥会提供信息安全产品和服务，并获</w:t>
      </w:r>
      <w:r>
        <w:rPr>
          <w:spacing w:val="-83"/>
        </w:rPr>
        <w:t> </w:t>
      </w:r>
      <w:r>
        <w:rPr>
          <w:spacing w:val="-83"/>
        </w:rPr>
      </w:r>
      <w:r>
        <w:rPr/>
        <w:t>得了奥组委颁发的荣誉奖章。</w:t>
      </w:r>
    </w:p>
    <w:p>
      <w:pPr>
        <w:pStyle w:val="Heading3"/>
        <w:spacing w:line="240" w:lineRule="auto" w:before="29"/>
        <w:ind w:left="573" w:right="102"/>
        <w:jc w:val="left"/>
        <w:rPr>
          <w:b w:val="0"/>
          <w:bCs w:val="0"/>
        </w:rPr>
      </w:pPr>
      <w:r>
        <w:rPr/>
        <w:t>5、综合服务优势</w:t>
      </w:r>
      <w:r>
        <w:rPr>
          <w:b w:val="0"/>
          <w:bCs w:val="0"/>
        </w:rPr>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348" w:lineRule="auto"/>
        <w:ind w:right="102" w:firstLine="420"/>
        <w:jc w:val="left"/>
      </w:pPr>
      <w:r>
        <w:rPr>
          <w:spacing w:val="-1"/>
        </w:rPr>
        <w:t>公司以客户需求为导向，在发展过程中逐步形成了涵盖安全产品研发及销售、安全集成及安全服务的</w:t>
      </w:r>
      <w:r>
        <w:rPr/>
        <w:t> 完整业务体系，各业务模块相互促进、共同发展，形成了较强的综合服务能力。</w:t>
      </w:r>
    </w:p>
    <w:p>
      <w:pPr>
        <w:pStyle w:val="BodyText"/>
        <w:spacing w:line="350" w:lineRule="auto" w:before="31"/>
        <w:ind w:right="211" w:firstLine="480"/>
        <w:jc w:val="both"/>
      </w:pPr>
      <w:r>
        <w:rPr>
          <w:spacing w:val="-2"/>
        </w:rPr>
        <w:t>公司的信息安全产品品类丰富，可满足客户在网络边界安全、安全审计与合规、应用安全等方面的信</w:t>
      </w:r>
      <w:r>
        <w:rPr/>
        <w:t> </w:t>
      </w:r>
      <w:r>
        <w:rPr>
          <w:spacing w:val="-1"/>
        </w:rPr>
        <w:t>息安全需求；并能在安全产品的基础上为客户设计及实施信息安全领域内的整体解决方案，满足客户系统</w:t>
      </w:r>
      <w:r>
        <w:rPr>
          <w:spacing w:val="-81"/>
        </w:rPr>
        <w:t> </w:t>
      </w:r>
      <w:r>
        <w:rPr>
          <w:spacing w:val="-81"/>
        </w:rPr>
      </w:r>
      <w:r>
        <w:rPr>
          <w:spacing w:val="-1"/>
        </w:rPr>
        <w:t>化、个性化的安全需求；此外，公司还可以为客户提供安全咨询与评估、安全检测与防护、安全认证培训</w:t>
      </w:r>
      <w:r>
        <w:rPr>
          <w:spacing w:val="-83"/>
        </w:rPr>
        <w:t> </w:t>
      </w:r>
      <w:r>
        <w:rPr>
          <w:spacing w:val="-83"/>
        </w:rPr>
      </w:r>
      <w:r>
        <w:rPr>
          <w:spacing w:val="-1"/>
        </w:rPr>
        <w:t>服务等专业化安全服务。完整的业务体系及丰富的产品种类，基本覆盖了不同行业客户及客户不同发展阶</w:t>
      </w:r>
      <w:r>
        <w:rPr>
          <w:spacing w:val="-81"/>
        </w:rPr>
        <w:t> </w:t>
      </w:r>
      <w:r>
        <w:rPr>
          <w:spacing w:val="-81"/>
        </w:rPr>
      </w:r>
      <w:r>
        <w:rPr/>
        <w:t>段的信息安全需求，极大地增强了公司的综合竞争力。</w:t>
      </w:r>
    </w:p>
    <w:p>
      <w:pPr>
        <w:pStyle w:val="BodyText"/>
        <w:spacing w:line="350" w:lineRule="auto" w:before="28"/>
        <w:ind w:left="679" w:right="102" w:hanging="106"/>
        <w:jc w:val="left"/>
      </w:pPr>
      <w:r>
        <w:rPr/>
        <w:t>6</w:t>
      </w:r>
      <w:r>
        <w:rPr>
          <w:rFonts w:ascii="宋体" w:hAnsi="宋体" w:cs="宋体" w:eastAsia="宋体" w:hint="default"/>
          <w:b/>
          <w:bCs/>
        </w:rPr>
        <w:t>、客户资源优势</w:t>
      </w:r>
      <w:r>
        <w:rPr>
          <w:rFonts w:ascii="宋体" w:hAnsi="宋体" w:cs="宋体" w:eastAsia="宋体" w:hint="default"/>
          <w:b/>
          <w:bCs/>
          <w:spacing w:val="1"/>
          <w:w w:val="99"/>
        </w:rPr>
        <w:t> </w:t>
      </w:r>
      <w:r>
        <w:rPr/>
        <w:t>信息安全行业的特殊性决定了下游客户对信息安全提供商存在一定的依赖性，且随着社会各界对信</w:t>
      </w:r>
    </w:p>
    <w:p>
      <w:pPr>
        <w:pStyle w:val="BodyText"/>
        <w:spacing w:line="350" w:lineRule="auto" w:before="28"/>
        <w:ind w:left="0" w:right="188"/>
        <w:jc w:val="right"/>
      </w:pPr>
      <w:r>
        <w:rPr>
          <w:spacing w:val="-1"/>
        </w:rPr>
        <w:t>息安全要求的提高，下游客户在信息安全系统建设及升级过程中会对安全产品、安全集成及安全服务产生</w:t>
      </w:r>
      <w:r>
        <w:rPr/>
        <w:t> </w:t>
      </w:r>
      <w:r>
        <w:rPr>
          <w:spacing w:val="-1"/>
        </w:rPr>
        <w:t>交叉消费和重复消费，形成信息安全领域的持续性投入。公司现有的客户资源既是稳定的业务来源，也是</w:t>
      </w:r>
      <w:r>
        <w:rPr/>
        <w:t> 宣传品牌、扩大影响力的最好载体，有利于新市场及新客户的开拓，为公司的持续盈利提供了重要保障。 </w:t>
      </w:r>
      <w:r>
        <w:rPr>
          <w:spacing w:val="-1"/>
        </w:rPr>
        <w:t>公司坚持安全产品、安全集成、安全服务、安全运营四位一体联动发展的模式，一方面继续以安全产</w:t>
      </w:r>
      <w:r>
        <w:rPr/>
        <w:t> 品为基石，不断加强安全产品的深入研发、推广，另一方面保持安全集成对公司的支撑作用及领先优势， </w:t>
      </w:r>
      <w:r>
        <w:rPr>
          <w:spacing w:val="-1"/>
        </w:rPr>
        <w:t>同时在安全服务及运营方面加大力度，探索出更稳定更可持续的利润增长模式。实现了从传统信息系统集</w:t>
      </w:r>
      <w:r>
        <w:rPr/>
        <w:t> </w:t>
      </w:r>
      <w:r>
        <w:rPr>
          <w:spacing w:val="-1"/>
        </w:rPr>
        <w:t>成业务向以信息安全产品为基础，提供信息系统安全运营整体服务的战略跨越，并以此确立了在信息安全</w:t>
      </w:r>
    </w:p>
    <w:p>
      <w:pPr>
        <w:pStyle w:val="BodyText"/>
        <w:spacing w:line="240" w:lineRule="auto" w:before="28"/>
        <w:ind w:right="0"/>
        <w:jc w:val="both"/>
      </w:pPr>
      <w:r>
        <w:rPr/>
        <w:t>市场中整体解决方案市场的领先地位。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8" w:lineRule="auto" w:before="0"/>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（三）公司未来发展规划及2013年主要工作计划</w:t>
      </w:r>
      <w:r>
        <w:rPr>
          <w:rFonts w:ascii="宋体" w:hAnsi="宋体" w:cs="宋体" w:eastAsia="宋体" w:hint="default"/>
          <w:b/>
          <w:bCs/>
          <w:w w:val="99"/>
          <w:sz w:val="21"/>
          <w:szCs w:val="21"/>
        </w:rPr>
        <w:t> </w:t>
      </w:r>
      <w:r>
        <w:rPr>
          <w:rFonts w:ascii="宋体" w:hAnsi="宋体" w:cs="宋体" w:eastAsia="宋体" w:hint="default"/>
          <w:spacing w:val="-2"/>
          <w:sz w:val="21"/>
          <w:szCs w:val="21"/>
        </w:rPr>
        <w:t>公司以“让你的安全更智慧”为企业发展理念，以“打造国际一流的信息安全企业”为战略远景，进</w:t>
      </w:r>
    </w:p>
    <w:p>
      <w:pPr>
        <w:pStyle w:val="BodyText"/>
        <w:spacing w:line="350" w:lineRule="auto" w:before="31"/>
        <w:ind w:right="210"/>
        <w:jc w:val="both"/>
      </w:pPr>
      <w:r>
        <w:rPr>
          <w:spacing w:val="-1"/>
        </w:rPr>
        <w:t>一步加强核心技术的研发，完善行业营销，坚持走专业化信息安全技术与服务相结合的品牌路线，在企业</w:t>
      </w:r>
      <w:r>
        <w:rPr>
          <w:spacing w:val="-83"/>
        </w:rPr>
        <w:t> </w:t>
      </w:r>
      <w:r>
        <w:rPr>
          <w:spacing w:val="-83"/>
        </w:rPr>
      </w:r>
      <w:r>
        <w:rPr>
          <w:spacing w:val="-1"/>
        </w:rPr>
        <w:t>级信息安全领域深耕细作，拓展蓝盾自主品牌，积极进行技术创新。研发新产品、拓展安全集成业务、发</w:t>
      </w:r>
      <w:r>
        <w:rPr>
          <w:spacing w:val="-83"/>
        </w:rPr>
        <w:t> </w:t>
      </w:r>
      <w:r>
        <w:rPr>
          <w:spacing w:val="-83"/>
        </w:rPr>
      </w:r>
      <w:r>
        <w:rPr>
          <w:spacing w:val="-1"/>
        </w:rPr>
        <w:t>展安全服务产业、发展安全运维产业，作为新网络时代全方位的服务和运营提供商，在我国信息安全乃至</w:t>
      </w:r>
      <w:r>
        <w:rPr>
          <w:spacing w:val="-83"/>
        </w:rPr>
        <w:t> </w:t>
      </w:r>
      <w:r>
        <w:rPr>
          <w:spacing w:val="-83"/>
        </w:rPr>
      </w:r>
      <w:r>
        <w:rPr/>
        <w:t>整个信息产业发挥重要作用。</w:t>
      </w:r>
    </w:p>
    <w:p>
      <w:pPr>
        <w:pStyle w:val="BodyText"/>
        <w:spacing w:line="240" w:lineRule="auto" w:before="28"/>
        <w:ind w:left="573" w:right="102"/>
        <w:jc w:val="left"/>
      </w:pPr>
      <w:r>
        <w:rPr/>
        <w:t>2013年主要工作计划：</w:t>
      </w:r>
    </w:p>
    <w:p>
      <w:pPr>
        <w:pStyle w:val="Heading3"/>
        <w:spacing w:line="240" w:lineRule="auto" w:before="125"/>
        <w:ind w:left="633" w:right="102"/>
        <w:jc w:val="left"/>
        <w:rPr>
          <w:b w:val="0"/>
          <w:bCs w:val="0"/>
        </w:rPr>
      </w:pPr>
      <w:r>
        <w:rPr/>
        <w:t>（1）信息安全产品计划</w:t>
      </w:r>
      <w:r>
        <w:rPr>
          <w:b w:val="0"/>
          <w:bCs w:val="0"/>
        </w:rPr>
      </w:r>
    </w:p>
    <w:p>
      <w:pPr>
        <w:pStyle w:val="BodyText"/>
        <w:spacing w:line="350" w:lineRule="auto" w:before="126"/>
        <w:ind w:left="153" w:right="102" w:firstLine="480"/>
        <w:jc w:val="left"/>
      </w:pPr>
      <w:r>
        <w:rPr/>
        <w:t>2013</w:t>
      </w:r>
      <w:r>
        <w:rPr>
          <w:spacing w:val="-53"/>
        </w:rPr>
        <w:t> </w:t>
      </w:r>
      <w:r>
        <w:rPr/>
        <w:t>年，公司致力推动募投项目的投产，产品线全面升级改造，为公司带来更高性能，更符合市场</w:t>
      </w:r>
      <w:r>
        <w:rPr/>
        <w:t> 需求的新产品，大幅提升公司在信息安全服务领域的服务能力。公司将以蓝盾新一代安全运维管理平台为 核心，利用自身的产品全面的优势，把各产品与</w:t>
      </w:r>
      <w:r>
        <w:rPr>
          <w:spacing w:val="-59"/>
        </w:rPr>
        <w:t> </w:t>
      </w:r>
      <w:r>
        <w:rPr/>
        <w:t>SOC</w:t>
      </w:r>
      <w:r>
        <w:rPr>
          <w:spacing w:val="-58"/>
        </w:rPr>
        <w:t> </w:t>
      </w:r>
      <w:r>
        <w:rPr/>
        <w:t>结合，打造一个真正的安全信息管理平台，发展高端</w:t>
      </w:r>
      <w:r>
        <w:rPr/>
        <w:t> </w:t>
      </w:r>
      <w:r>
        <w:rPr>
          <w:spacing w:val="-3"/>
        </w:rPr>
        <w:t>技术，让产品做到主动、智能、系统、对抗地进行安全防御。通过构建“边界安全、端点安全、安全审计、</w:t>
      </w:r>
      <w:r>
        <w:rPr>
          <w:spacing w:val="-94"/>
        </w:rPr>
        <w:t> </w:t>
      </w:r>
      <w:r>
        <w:rPr>
          <w:spacing w:val="-94"/>
        </w:rPr>
      </w:r>
      <w:r>
        <w:rPr>
          <w:spacing w:val="-3"/>
        </w:rPr>
        <w:t>安全管理”四个维度最完整的安全产品体系，公司将形成极具核心竞争力的产品线，并可以进行联动管理，</w:t>
      </w:r>
      <w:r>
        <w:rPr>
          <w:spacing w:val="-90"/>
        </w:rPr>
        <w:t> </w:t>
      </w:r>
      <w:r>
        <w:rPr>
          <w:spacing w:val="-90"/>
        </w:rPr>
      </w:r>
      <w:r>
        <w:rPr>
          <w:spacing w:val="-7"/>
        </w:rPr>
        <w:t>为客户提供“点（端点）、线（网络边界）、面（管理层面）”联动的立体化信息安全及管理解决方案，助</w:t>
      </w:r>
      <w:r>
        <w:rPr>
          <w:spacing w:val="-96"/>
        </w:rPr>
        <w:t> </w:t>
      </w:r>
      <w:r>
        <w:rPr>
          <w:spacing w:val="-96"/>
        </w:rPr>
      </w:r>
      <w:r>
        <w:rPr/>
        <w:t>力公司开启新空间，实现技术的快速超越。</w:t>
      </w:r>
    </w:p>
    <w:p>
      <w:pPr>
        <w:spacing w:after="0" w:line="35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48" w:lineRule="auto" w:before="0"/>
        <w:ind w:left="574" w:right="0" w:firstLine="60"/>
        <w:jc w:val="left"/>
        <w:rPr>
          <w:rFonts w:ascii="宋体" w:hAnsi="宋体" w:cs="宋体" w:eastAsia="宋体" w:hint="default"/>
          <w:sz w:val="21"/>
          <w:szCs w:val="21"/>
        </w:rPr>
      </w:pPr>
      <w:r>
        <w:rPr>
          <w:rFonts w:ascii="宋体" w:hAnsi="宋体" w:cs="宋体" w:eastAsia="宋体" w:hint="default"/>
          <w:b/>
          <w:bCs/>
          <w:sz w:val="21"/>
          <w:szCs w:val="21"/>
        </w:rPr>
        <w:t>（2）信息安全集成计划</w:t>
      </w:r>
      <w:r>
        <w:rPr>
          <w:rFonts w:ascii="宋体" w:hAnsi="宋体" w:cs="宋体" w:eastAsia="宋体" w:hint="default"/>
          <w:b/>
          <w:bCs/>
          <w:w w:val="99"/>
          <w:sz w:val="21"/>
          <w:szCs w:val="21"/>
        </w:rPr>
        <w:t> </w:t>
      </w:r>
      <w:r>
        <w:rPr>
          <w:rFonts w:ascii="宋体" w:hAnsi="宋体" w:cs="宋体" w:eastAsia="宋体" w:hint="default"/>
          <w:spacing w:val="-1"/>
          <w:sz w:val="21"/>
          <w:szCs w:val="21"/>
        </w:rPr>
        <w:t>网络技术的日新月异和网络普及率的快速提高，网络所面临的潜在威胁也越来越大，单一的信息安全</w:t>
      </w:r>
    </w:p>
    <w:p>
      <w:pPr>
        <w:pStyle w:val="BodyText"/>
        <w:spacing w:line="350" w:lineRule="auto" w:before="31"/>
        <w:ind w:right="151"/>
        <w:jc w:val="both"/>
      </w:pPr>
      <w:r>
        <w:rPr>
          <w:spacing w:val="-1"/>
        </w:rPr>
        <w:t>防护产品已经愈发不能满足市场的需要，单纯依靠网络威胁单点叠加式的防护手段已经难以有效抵御日趋</w:t>
      </w:r>
      <w:r>
        <w:rPr>
          <w:spacing w:val="-81"/>
        </w:rPr>
        <w:t> </w:t>
      </w:r>
      <w:r>
        <w:rPr>
          <w:spacing w:val="-81"/>
        </w:rPr>
      </w:r>
      <w:r>
        <w:rPr>
          <w:spacing w:val="-1"/>
        </w:rPr>
        <w:t>严重的混合型安全威胁。构建一个整体安全体系，为用户提供多层次、全方位的立体防护体系成为信息安</w:t>
      </w:r>
      <w:r>
        <w:rPr>
          <w:spacing w:val="-83"/>
        </w:rPr>
        <w:t> </w:t>
      </w:r>
      <w:r>
        <w:rPr>
          <w:spacing w:val="-83"/>
        </w:rPr>
      </w:r>
      <w:r>
        <w:rPr>
          <w:spacing w:val="-1"/>
        </w:rPr>
        <w:t>全建设的新理念。信息安全产品的技术融合产生的整体解决方案已经成为未来信息安全产品发展的必然趋</w:t>
      </w:r>
      <w:r>
        <w:rPr>
          <w:spacing w:val="-81"/>
        </w:rPr>
        <w:t> </w:t>
      </w:r>
      <w:r>
        <w:rPr>
          <w:spacing w:val="-81"/>
        </w:rPr>
      </w:r>
      <w:r>
        <w:rPr>
          <w:spacing w:val="-1"/>
        </w:rPr>
        <w:t>势，用户也对务实有效的整体安全产品和安全解决方案需求愈加迫切。新一代的信息安全产品将更加集成</w:t>
      </w:r>
      <w:r>
        <w:rPr>
          <w:spacing w:val="-81"/>
        </w:rPr>
        <w:t> </w:t>
      </w:r>
      <w:r>
        <w:rPr>
          <w:spacing w:val="-81"/>
        </w:rPr>
      </w:r>
      <w:r>
        <w:rPr>
          <w:spacing w:val="-1"/>
        </w:rPr>
        <w:t>化、智能化。未来几年中，技术融合化的信息安全集成将成为主要厂商差异化竞争的重要方向。公司继续</w:t>
      </w:r>
      <w:r>
        <w:rPr>
          <w:spacing w:val="-82"/>
        </w:rPr>
        <w:t> </w:t>
      </w:r>
      <w:r>
        <w:rPr>
          <w:spacing w:val="-82"/>
        </w:rPr>
      </w:r>
      <w:r>
        <w:rPr>
          <w:spacing w:val="-1"/>
        </w:rPr>
        <w:t>实行“行业营销”的策略，对同一行业精耕细作，将同一领域内不同级别、不同区域的相关单位作为重点</w:t>
      </w:r>
      <w:r>
        <w:rPr>
          <w:spacing w:val="-83"/>
        </w:rPr>
        <w:t> </w:t>
      </w:r>
      <w:r>
        <w:rPr>
          <w:spacing w:val="-83"/>
        </w:rPr>
      </w:r>
      <w:r>
        <w:rPr>
          <w:spacing w:val="-1"/>
        </w:rPr>
        <w:t>开拓对象。同时充分利用公司在政府、教育等行业积累的品牌形象和行业经验，对现有业务进行规模扩张</w:t>
      </w:r>
      <w:r>
        <w:rPr>
          <w:spacing w:val="-83"/>
        </w:rPr>
        <w:t> </w:t>
      </w:r>
      <w:r>
        <w:rPr>
          <w:spacing w:val="-83"/>
        </w:rPr>
      </w:r>
      <w:r>
        <w:rPr/>
        <w:t>和延伸发展，且不断向其他行业客户拓展，如应急行业。</w:t>
      </w:r>
    </w:p>
    <w:p>
      <w:pPr>
        <w:pStyle w:val="BodyText"/>
        <w:spacing w:line="350" w:lineRule="auto" w:before="28"/>
        <w:ind w:right="142" w:firstLine="420"/>
        <w:jc w:val="both"/>
      </w:pPr>
      <w:r>
        <w:rPr>
          <w:spacing w:val="-1"/>
        </w:rPr>
        <w:t>横向开拓重点行业领域内的大客户，为了更好的开拓大型政府部门、金融等重点行业用户，公司已在</w:t>
      </w:r>
      <w:r>
        <w:rPr/>
        <w:t> </w:t>
      </w:r>
      <w:r>
        <w:rPr>
          <w:spacing w:val="3"/>
        </w:rPr>
        <w:t>在全国重点省份和区域也同时建立了多个分公司及办事处。未来公司将进一步细分各个重点事业部的运</w:t>
      </w:r>
      <w:r>
        <w:rPr>
          <w:spacing w:val="-78"/>
        </w:rPr>
        <w:t> </w:t>
      </w:r>
      <w:r>
        <w:rPr>
          <w:spacing w:val="-78"/>
        </w:rPr>
      </w:r>
      <w:r>
        <w:rPr/>
        <w:t>营，加强各事业部之间的配合，努力增加公司在此类行业客户中的市场份额。</w:t>
      </w:r>
    </w:p>
    <w:p>
      <w:pPr>
        <w:spacing w:line="350" w:lineRule="auto" w:before="28"/>
        <w:ind w:left="574" w:right="0" w:firstLine="60"/>
        <w:jc w:val="left"/>
        <w:rPr>
          <w:rFonts w:ascii="宋体" w:hAnsi="宋体" w:cs="宋体" w:eastAsia="宋体" w:hint="default"/>
          <w:sz w:val="21"/>
          <w:szCs w:val="21"/>
        </w:rPr>
      </w:pPr>
      <w:r>
        <w:rPr>
          <w:rFonts w:ascii="宋体" w:hAnsi="宋体" w:cs="宋体" w:eastAsia="宋体" w:hint="default"/>
          <w:b/>
          <w:bCs/>
          <w:sz w:val="21"/>
          <w:szCs w:val="21"/>
        </w:rPr>
        <w:t>（3）信息安全服务计划</w:t>
      </w:r>
      <w:r>
        <w:rPr>
          <w:rFonts w:ascii="宋体" w:hAnsi="宋体" w:cs="宋体" w:eastAsia="宋体" w:hint="default"/>
          <w:b/>
          <w:bCs/>
          <w:w w:val="99"/>
          <w:sz w:val="21"/>
          <w:szCs w:val="21"/>
        </w:rPr>
        <w:t> </w:t>
      </w:r>
      <w:r>
        <w:rPr>
          <w:rFonts w:ascii="宋体" w:hAnsi="宋体" w:cs="宋体" w:eastAsia="宋体" w:hint="default"/>
          <w:spacing w:val="-1"/>
          <w:sz w:val="21"/>
          <w:szCs w:val="21"/>
        </w:rPr>
        <w:t>公司将保持在安全服务的人才培养和队伍建设，深入挖掘安全服务需求，在安全服务的工具化和平台</w:t>
      </w:r>
    </w:p>
    <w:p>
      <w:pPr>
        <w:pStyle w:val="BodyText"/>
        <w:spacing w:line="240" w:lineRule="auto" w:before="28"/>
        <w:ind w:right="0"/>
        <w:jc w:val="both"/>
      </w:pPr>
      <w:r>
        <w:rPr>
          <w:spacing w:val="3"/>
        </w:rPr>
        <w:t>化等方面持续投入，使安全服务成为公司技术创新的重要源泉之一。依托蓝盾新一代安全运维管理平台</w:t>
      </w:r>
      <w:r>
        <w:rPr/>
      </w:r>
    </w:p>
    <w:p>
      <w:pPr>
        <w:pStyle w:val="BodyText"/>
        <w:spacing w:line="350" w:lineRule="auto" w:before="125"/>
        <w:ind w:right="149"/>
        <w:jc w:val="both"/>
      </w:pPr>
      <w:r>
        <w:rPr>
          <w:spacing w:val="-1"/>
        </w:rPr>
        <w:t>（NxSOC)充分挖掘公司核心知识库、产品和服务工具，推出创新性的服务项目，大力提高安全服务的快速</w:t>
      </w:r>
      <w:r>
        <w:rPr>
          <w:spacing w:val="-82"/>
        </w:rPr>
        <w:t> </w:t>
      </w:r>
      <w:r>
        <w:rPr>
          <w:spacing w:val="-82"/>
        </w:rPr>
      </w:r>
      <w:r>
        <w:rPr/>
        <w:t>更新、响应能力。</w:t>
      </w:r>
    </w:p>
    <w:p>
      <w:pPr>
        <w:pStyle w:val="BodyText"/>
        <w:spacing w:line="348" w:lineRule="auto" w:before="28"/>
        <w:ind w:left="634" w:right="138" w:hanging="58"/>
        <w:jc w:val="left"/>
      </w:pPr>
      <w:r>
        <w:rPr>
          <w:rFonts w:ascii="宋体" w:hAnsi="宋体" w:cs="宋体" w:eastAsia="宋体" w:hint="default"/>
          <w:b/>
          <w:bCs/>
        </w:rPr>
        <w:t>（4）安全运营计划</w:t>
      </w:r>
      <w:r>
        <w:rPr>
          <w:rFonts w:ascii="宋体" w:hAnsi="宋体" w:cs="宋体" w:eastAsia="宋体" w:hint="default"/>
          <w:b/>
          <w:bCs/>
          <w:spacing w:val="1"/>
          <w:w w:val="99"/>
        </w:rPr>
        <w:t> </w:t>
      </w:r>
      <w:r>
        <w:rPr>
          <w:spacing w:val="-2"/>
        </w:rPr>
        <w:t>积极发展云安全业务。以云安全项目建设为契机，自主建设一定规模的数据中心，立足华南，面向中</w:t>
      </w:r>
    </w:p>
    <w:p>
      <w:pPr>
        <w:pStyle w:val="BodyText"/>
        <w:spacing w:line="348" w:lineRule="auto" w:before="31"/>
        <w:ind w:right="150"/>
        <w:jc w:val="both"/>
      </w:pPr>
      <w:r>
        <w:rPr>
          <w:spacing w:val="-1"/>
        </w:rPr>
        <w:t>央国家部委和行业企业，发展云安全业务。进一步提升信息安全技术和服务创新能力，突破一批信息安全</w:t>
      </w:r>
      <w:r>
        <w:rPr>
          <w:spacing w:val="-83"/>
        </w:rPr>
        <w:t> </w:t>
      </w:r>
      <w:r>
        <w:rPr>
          <w:spacing w:val="-83"/>
        </w:rPr>
      </w:r>
      <w:r>
        <w:rPr>
          <w:spacing w:val="-1"/>
        </w:rPr>
        <w:t>关键技术和产品，形成支撑云计算、物联网和移动互联网等应用的信息安全保障能力，逐步提高信息安全</w:t>
      </w:r>
      <w:r>
        <w:rPr>
          <w:spacing w:val="-83"/>
        </w:rPr>
        <w:t> </w:t>
      </w:r>
      <w:r>
        <w:rPr>
          <w:spacing w:val="-83"/>
        </w:rPr>
      </w:r>
      <w:r>
        <w:rPr/>
        <w:t>防护水平，部分信息安全技术和产品达到国际先进水平，信息安全竞争能力显著提高。</w:t>
      </w:r>
    </w:p>
    <w:p>
      <w:pPr>
        <w:pStyle w:val="BodyText"/>
        <w:spacing w:line="348" w:lineRule="auto" w:before="31"/>
        <w:ind w:left="634" w:right="138"/>
        <w:jc w:val="left"/>
      </w:pPr>
      <w:r>
        <w:rPr>
          <w:rFonts w:ascii="宋体" w:hAnsi="宋体" w:cs="宋体" w:eastAsia="宋体" w:hint="default"/>
          <w:b/>
          <w:bCs/>
        </w:rPr>
        <w:t>（5）研究开发计划</w:t>
      </w:r>
      <w:r>
        <w:rPr>
          <w:rFonts w:ascii="宋体" w:hAnsi="宋体" w:cs="宋体" w:eastAsia="宋体" w:hint="default"/>
          <w:b/>
          <w:bCs/>
          <w:spacing w:val="1"/>
          <w:w w:val="99"/>
        </w:rPr>
        <w:t> </w:t>
      </w:r>
      <w:r>
        <w:rPr>
          <w:spacing w:val="-2"/>
        </w:rPr>
        <w:t>公司将密切跟踪和研究信息安全技术发展趋势，加强对前沿技术的研究。与国内外其他主流厂商加强</w:t>
      </w:r>
    </w:p>
    <w:p>
      <w:pPr>
        <w:pStyle w:val="BodyText"/>
        <w:spacing w:line="350" w:lineRule="auto" w:before="30"/>
        <w:ind w:right="149"/>
        <w:jc w:val="both"/>
      </w:pPr>
      <w:r>
        <w:rPr>
          <w:spacing w:val="-1"/>
        </w:rPr>
        <w:t>沟通和合作，将国外先进理念、方法论引入国内。公司更需积极参与国内信息安全、网络管理、风险管理</w:t>
      </w:r>
      <w:r>
        <w:rPr>
          <w:spacing w:val="-83"/>
        </w:rPr>
        <w:t> </w:t>
      </w:r>
      <w:r>
        <w:rPr>
          <w:spacing w:val="-83"/>
        </w:rPr>
      </w:r>
      <w:r>
        <w:rPr>
          <w:spacing w:val="-1"/>
        </w:rPr>
        <w:t>技术规范的研究和制定，保持公司在国内信息安全领域的技术优势。另外，调整研发思路，避免研发人员</w:t>
      </w:r>
      <w:r>
        <w:rPr>
          <w:spacing w:val="-82"/>
        </w:rPr>
        <w:t> </w:t>
      </w:r>
      <w:r>
        <w:rPr>
          <w:spacing w:val="-82"/>
        </w:rPr>
      </w:r>
      <w:r>
        <w:rPr>
          <w:spacing w:val="-1"/>
        </w:rPr>
        <w:t>盲目追求技术的新颖、先进，而缺乏对市场的敏感度。所有新产品研发，除保持技术领先外，必须以客户</w:t>
      </w:r>
      <w:r>
        <w:rPr>
          <w:spacing w:val="-83"/>
        </w:rPr>
        <w:t> </w:t>
      </w:r>
      <w:r>
        <w:rPr>
          <w:spacing w:val="-83"/>
        </w:rPr>
      </w:r>
      <w:r>
        <w:rPr/>
        <w:t>需求为导向，强化客户服务，有效提高客户忠诚度和满意度。再者，公司内部积极推行</w:t>
      </w:r>
      <w:r>
        <w:rPr>
          <w:spacing w:val="-23"/>
        </w:rPr>
        <w:t> </w:t>
      </w:r>
      <w:r>
        <w:rPr/>
        <w:t>IPD（集成产品开</w:t>
      </w:r>
      <w:r>
        <w:rPr/>
        <w:t> </w:t>
      </w:r>
      <w:r>
        <w:rPr>
          <w:spacing w:val="-1"/>
        </w:rPr>
        <w:t>发）研发体制改革，建立由产品开发经理统一管理，协同市场、采购、生产、研发、财务、质量与技术支</w:t>
      </w:r>
      <w:r>
        <w:rPr>
          <w:spacing w:val="-86"/>
        </w:rPr>
        <w:t> </w:t>
      </w:r>
      <w:r>
        <w:rPr>
          <w:spacing w:val="-86"/>
        </w:rPr>
      </w:r>
      <w:r>
        <w:rPr/>
        <w:t>持等各功能部门专家团队，确保产品符合公司战略与客户需求。</w:t>
      </w:r>
    </w:p>
    <w:p>
      <w:pPr>
        <w:pStyle w:val="Heading3"/>
        <w:spacing w:line="240" w:lineRule="auto" w:before="28"/>
        <w:ind w:left="576" w:right="0"/>
        <w:jc w:val="left"/>
        <w:rPr>
          <w:b w:val="0"/>
          <w:bCs w:val="0"/>
        </w:rPr>
      </w:pPr>
      <w:r>
        <w:rPr/>
        <w:t>（6）营销管理计划</w:t>
      </w:r>
      <w:r>
        <w:rPr>
          <w:b w:val="0"/>
          <w:bCs w:val="0"/>
        </w:rPr>
      </w:r>
    </w:p>
    <w:p>
      <w:pPr>
        <w:pStyle w:val="BodyText"/>
        <w:spacing w:line="348" w:lineRule="auto" w:before="126"/>
        <w:ind w:right="149" w:firstLine="420"/>
        <w:jc w:val="both"/>
      </w:pPr>
      <w:r>
        <w:rPr/>
        <w:t>2013</w:t>
      </w:r>
      <w:r>
        <w:rPr>
          <w:spacing w:val="-50"/>
        </w:rPr>
        <w:t> </w:t>
      </w:r>
      <w:r>
        <w:rPr>
          <w:spacing w:val="-2"/>
        </w:rPr>
        <w:t>年，公司将进一步拓展华南市场份额，加大对县、区一级的政府客户引导，保持公司在华南地区</w:t>
      </w:r>
      <w:r>
        <w:rPr/>
        <w:t> </w:t>
      </w:r>
      <w:r>
        <w:rPr>
          <w:spacing w:val="-1"/>
        </w:rPr>
        <w:t>的龙头地位。另外，通过行业营销方式，加大对西南、西北等区域的开拓，以区域的差异化抢占市场。同</w:t>
      </w:r>
    </w:p>
    <w:p>
      <w:pPr>
        <w:spacing w:after="0" w:line="34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8" w:lineRule="auto"/>
        <w:ind w:right="0"/>
        <w:jc w:val="left"/>
      </w:pPr>
      <w:r>
        <w:rPr>
          <w:spacing w:val="-1"/>
        </w:rPr>
        <w:t>时，继续保持安全集成对公司的支撑作用及领先优势，不断提升公司业务盈利能力。借助智慧城市蓬勃发</w:t>
      </w:r>
      <w:r>
        <w:rPr>
          <w:spacing w:val="-83"/>
        </w:rPr>
        <w:t> </w:t>
      </w:r>
      <w:r>
        <w:rPr>
          <w:spacing w:val="-83"/>
        </w:rPr>
      </w:r>
      <w:r>
        <w:rPr/>
        <w:t>展的契机，以应急平台抢占市场。</w:t>
      </w:r>
    </w:p>
    <w:p>
      <w:pPr>
        <w:pStyle w:val="BodyText"/>
        <w:spacing w:line="348" w:lineRule="auto" w:before="31"/>
        <w:ind w:left="574" w:right="0" w:firstLine="2"/>
        <w:jc w:val="left"/>
      </w:pPr>
      <w:r>
        <w:rPr>
          <w:rFonts w:ascii="宋体" w:hAnsi="宋体" w:cs="宋体" w:eastAsia="宋体" w:hint="default"/>
          <w:b/>
          <w:bCs/>
        </w:rPr>
        <w:t>（7）企业管理计划</w:t>
      </w:r>
      <w:r>
        <w:rPr>
          <w:rFonts w:ascii="宋体" w:hAnsi="宋体" w:cs="宋体" w:eastAsia="宋体" w:hint="default"/>
          <w:b/>
          <w:bCs/>
          <w:spacing w:val="1"/>
          <w:w w:val="99"/>
        </w:rPr>
        <w:t> </w:t>
      </w:r>
      <w:r>
        <w:rPr>
          <w:spacing w:val="-1"/>
        </w:rPr>
        <w:t>为了应对公司规模迅速扩大而带来的企业管理上的挑战，公司将倡导和谐、创新、合作、共赢的加强</w:t>
      </w:r>
    </w:p>
    <w:p>
      <w:pPr>
        <w:pStyle w:val="BodyText"/>
        <w:spacing w:line="350" w:lineRule="auto" w:before="30"/>
        <w:ind w:right="150"/>
        <w:jc w:val="both"/>
      </w:pPr>
      <w:r>
        <w:rPr>
          <w:spacing w:val="-1"/>
        </w:rPr>
        <w:t>企业文化理念，不断推陈出新，拓宽思维，勇于承担、挑战极限。另外，充分发挥党支部的作用，积极发</w:t>
      </w:r>
      <w:r>
        <w:rPr>
          <w:spacing w:val="-85"/>
        </w:rPr>
        <w:t> </w:t>
      </w:r>
      <w:r>
        <w:rPr>
          <w:spacing w:val="-85"/>
        </w:rPr>
      </w:r>
      <w:r>
        <w:rPr>
          <w:spacing w:val="-2"/>
        </w:rPr>
        <w:t>挥党员的先锋模范作用，为企业献计献策。2013</w:t>
      </w:r>
      <w:r>
        <w:rPr>
          <w:spacing w:val="-40"/>
        </w:rPr>
        <w:t> </w:t>
      </w:r>
      <w:r>
        <w:rPr>
          <w:spacing w:val="-2"/>
        </w:rPr>
        <w:t>年，公司将继续加强内部流程建设、进一步完善公司治理</w:t>
      </w:r>
      <w:r>
        <w:rPr>
          <w:spacing w:val="-102"/>
        </w:rPr>
        <w:t> </w:t>
      </w:r>
      <w:r>
        <w:rPr>
          <w:spacing w:val="-102"/>
        </w:rPr>
      </w:r>
      <w:r>
        <w:rPr/>
        <w:t>机制，建立全面预算体系，有效提高经营效率。</w:t>
      </w:r>
    </w:p>
    <w:p>
      <w:pPr>
        <w:pStyle w:val="BodyText"/>
        <w:spacing w:line="331" w:lineRule="auto" w:before="28"/>
        <w:ind w:left="574" w:right="0" w:firstLine="2"/>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）投资并购计划</w:t>
      </w:r>
      <w:r>
        <w:rPr>
          <w:rFonts w:ascii="宋体" w:hAnsi="宋体" w:cs="宋体" w:eastAsia="宋体" w:hint="default"/>
          <w:b/>
          <w:bCs/>
          <w:spacing w:val="1"/>
          <w:w w:val="99"/>
        </w:rPr>
        <w:t> </w:t>
      </w:r>
      <w:r>
        <w:rPr>
          <w:spacing w:val="-1"/>
        </w:rPr>
        <w:t>2013年，公司投资并购工作将稳步推进。围绕主营业务，利用自身竞争优势，寻找技术或渠道互补的</w:t>
      </w:r>
    </w:p>
    <w:p>
      <w:pPr>
        <w:pStyle w:val="BodyText"/>
        <w:spacing w:line="348" w:lineRule="auto" w:before="45"/>
        <w:ind w:right="0"/>
        <w:jc w:val="left"/>
      </w:pPr>
      <w:r>
        <w:rPr>
          <w:spacing w:val="-1"/>
        </w:rPr>
        <w:t>公司，在适当时机进行投资并购，整合产业链，完善产品结构、提升技术水平，扩大产品销售，保持公司</w:t>
      </w:r>
      <w:r>
        <w:rPr>
          <w:spacing w:val="-83"/>
        </w:rPr>
        <w:t> </w:t>
      </w:r>
      <w:r>
        <w:rPr>
          <w:spacing w:val="-83"/>
        </w:rPr>
      </w:r>
      <w:r>
        <w:rPr/>
        <w:t>业绩稳步发展。</w:t>
      </w:r>
    </w:p>
    <w:p>
      <w:pPr>
        <w:spacing w:line="348" w:lineRule="auto" w:before="31"/>
        <w:ind w:left="575" w:right="4939" w:hanging="106"/>
        <w:jc w:val="left"/>
        <w:rPr>
          <w:rFonts w:ascii="宋体" w:hAnsi="宋体" w:cs="宋体" w:eastAsia="宋体" w:hint="default"/>
          <w:sz w:val="21"/>
          <w:szCs w:val="21"/>
        </w:rPr>
      </w:pPr>
      <w:r>
        <w:rPr>
          <w:rFonts w:ascii="宋体" w:hAnsi="宋体" w:cs="宋体" w:eastAsia="宋体" w:hint="default"/>
          <w:b/>
          <w:bCs/>
          <w:sz w:val="21"/>
          <w:szCs w:val="21"/>
        </w:rPr>
        <w:t>（四）未来发展面临的风险</w:t>
      </w:r>
      <w:r>
        <w:rPr>
          <w:rFonts w:ascii="宋体" w:hAnsi="宋体" w:cs="宋体" w:eastAsia="宋体" w:hint="default"/>
          <w:b/>
          <w:bCs/>
          <w:spacing w:val="1"/>
          <w:w w:val="99"/>
          <w:sz w:val="21"/>
          <w:szCs w:val="21"/>
        </w:rPr>
        <w:t> </w:t>
      </w:r>
      <w:r>
        <w:rPr>
          <w:rFonts w:ascii="宋体" w:hAnsi="宋体" w:cs="宋体" w:eastAsia="宋体" w:hint="default"/>
          <w:sz w:val="21"/>
          <w:szCs w:val="21"/>
        </w:rPr>
        <w:t>详见本报告第三节之四“重大风险提示”部分。</w:t>
      </w:r>
    </w:p>
    <w:p>
      <w:pPr>
        <w:spacing w:line="240" w:lineRule="auto" w:before="7"/>
        <w:rPr>
          <w:rFonts w:ascii="宋体" w:hAnsi="宋体" w:cs="宋体" w:eastAsia="宋体" w:hint="default"/>
          <w:sz w:val="16"/>
          <w:szCs w:val="16"/>
        </w:rPr>
      </w:pPr>
    </w:p>
    <w:p>
      <w:pPr>
        <w:pStyle w:val="Heading2"/>
        <w:spacing w:line="240" w:lineRule="auto"/>
        <w:ind w:right="0"/>
        <w:jc w:val="both"/>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pStyle w:val="BodyText"/>
        <w:spacing w:line="240" w:lineRule="auto" w:before="124"/>
        <w:ind w:right="0"/>
        <w:jc w:val="both"/>
      </w:pP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五、董事会关于报告期会计政策、会计估计变更或重要前期差错更正的说明</w:t>
      </w:r>
      <w:r>
        <w:rPr>
          <w:b w:val="0"/>
          <w:bCs w:val="0"/>
        </w:rPr>
      </w:r>
    </w:p>
    <w:p>
      <w:pPr>
        <w:pStyle w:val="BodyText"/>
        <w:spacing w:line="240" w:lineRule="auto" w:before="142"/>
        <w:ind w:right="0"/>
        <w:jc w:val="both"/>
      </w:pPr>
      <w:r>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六、公司利润分配及分红派息情况</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right="0"/>
        <w:jc w:val="both"/>
      </w:pPr>
      <w:r>
        <w:rPr/>
        <w:t>报告期内利润分配政策特别是现金分红政策的制定、执行或调整情况：</w:t>
      </w:r>
    </w:p>
    <w:p>
      <w:pPr>
        <w:pStyle w:val="BodyText"/>
        <w:spacing w:line="240" w:lineRule="auto" w:before="126"/>
        <w:ind w:left="573" w:right="0"/>
        <w:jc w:val="left"/>
      </w:pPr>
      <w:r>
        <w:rPr/>
        <w:t>（一）公司利润分配政策</w:t>
      </w:r>
    </w:p>
    <w:p>
      <w:pPr>
        <w:pStyle w:val="BodyText"/>
        <w:spacing w:line="328" w:lineRule="auto" w:before="125"/>
        <w:ind w:left="153" w:right="150"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日，公司第五次临时股东大会审议通过了《关于制定〈现金分红管理制度〉的议案》， 公司有关股利分配的主要政策如下：</w:t>
      </w:r>
    </w:p>
    <w:p>
      <w:pPr>
        <w:pStyle w:val="BodyText"/>
        <w:spacing w:line="328" w:lineRule="auto" w:before="48"/>
        <w:ind w:left="153" w:right="147" w:firstLine="420"/>
        <w:jc w:val="both"/>
      </w:pPr>
      <w:r>
        <w:rPr>
          <w:rFonts w:ascii="Times New Roman" w:hAnsi="Times New Roman" w:cs="Times New Roman" w:eastAsia="Times New Roman" w:hint="default"/>
        </w:rPr>
        <w:t>1</w:t>
      </w:r>
      <w:r>
        <w:rPr/>
        <w:t>、公司实行连续、稳定、积极的利润分配政策，公司的利润分配应重视对投资者的合理回报并兼顾</w:t>
      </w:r>
      <w:r>
        <w:rPr>
          <w:spacing w:val="2"/>
        </w:rPr>
        <w:t> </w:t>
      </w:r>
      <w:r>
        <w:rPr>
          <w:spacing w:val="-2"/>
        </w:rPr>
        <w:t>公司的可持续发展。公司董事会制订利润分配政策时</w:t>
      </w:r>
      <w:r>
        <w:rPr>
          <w:rFonts w:ascii="Times New Roman" w:hAnsi="Times New Roman" w:cs="Times New Roman" w:eastAsia="Times New Roman" w:hint="default"/>
          <w:spacing w:val="-2"/>
        </w:rPr>
        <w:t>,</w:t>
      </w:r>
      <w:r>
        <w:rPr>
          <w:spacing w:val="-2"/>
        </w:rPr>
        <w:t>应当优先考虑现金分红。公司利润分配政策的决策和</w:t>
      </w:r>
      <w:r>
        <w:rPr>
          <w:spacing w:val="-87"/>
        </w:rPr>
        <w:t> </w:t>
      </w:r>
      <w:r>
        <w:rPr>
          <w:spacing w:val="-87"/>
        </w:rPr>
      </w:r>
      <w:r>
        <w:rPr/>
        <w:t>论证过程中应充分考虑和听取股东（特别是公众投资者）、独立董事和监事的意见。</w:t>
      </w:r>
    </w:p>
    <w:p>
      <w:pPr>
        <w:pStyle w:val="BodyText"/>
        <w:spacing w:line="240" w:lineRule="auto" w:before="48"/>
        <w:ind w:left="573" w:right="0"/>
        <w:jc w:val="left"/>
      </w:pPr>
      <w:r>
        <w:rPr>
          <w:rFonts w:ascii="Times New Roman" w:hAnsi="Times New Roman" w:cs="Times New Roman" w:eastAsia="Times New Roman" w:hint="default"/>
        </w:rPr>
        <w:t>2</w:t>
      </w:r>
      <w:r>
        <w:rPr/>
        <w:t>、公司可以采用现金、股票、现金与股票相结合或者法律、法规允许的其他方式分配利润。</w:t>
      </w:r>
    </w:p>
    <w:p>
      <w:pPr>
        <w:pStyle w:val="BodyText"/>
        <w:spacing w:line="328" w:lineRule="auto" w:before="109"/>
        <w:ind w:left="153" w:right="151" w:firstLine="420"/>
        <w:jc w:val="both"/>
      </w:pPr>
      <w:r>
        <w:rPr>
          <w:rFonts w:ascii="Times New Roman" w:hAnsi="Times New Roman" w:cs="Times New Roman" w:eastAsia="Times New Roman" w:hint="default"/>
          <w:spacing w:val="-2"/>
        </w:rPr>
        <w:t>3</w:t>
      </w:r>
      <w:r>
        <w:rPr>
          <w:spacing w:val="-2"/>
        </w:rPr>
        <w:t>、根据公司经营实际情况</w:t>
      </w:r>
      <w:r>
        <w:rPr>
          <w:rFonts w:ascii="Times New Roman" w:hAnsi="Times New Roman" w:cs="Times New Roman" w:eastAsia="Times New Roman" w:hint="default"/>
          <w:spacing w:val="-2"/>
        </w:rPr>
        <w:t>,</w:t>
      </w:r>
      <w:r>
        <w:rPr>
          <w:spacing w:val="-2"/>
        </w:rPr>
        <w:t>结合公司未来现金使用需求,经股东大会批准,安排现金分红计划,在公司盈</w:t>
      </w:r>
      <w:r>
        <w:rPr/>
        <w:t> 利的情况下,每年向股东现金分配股利不低于当年实现的可供分配利润的</w:t>
      </w:r>
      <w:r>
        <w:rPr>
          <w:rFonts w:ascii="Times New Roman" w:hAnsi="Times New Roman" w:cs="Times New Roman" w:eastAsia="Times New Roman" w:hint="default"/>
        </w:rPr>
        <w:t>10%</w:t>
      </w:r>
      <w:r>
        <w:rPr/>
        <w:t>。</w:t>
      </w:r>
    </w:p>
    <w:p>
      <w:pPr>
        <w:pStyle w:val="BodyText"/>
        <w:spacing w:line="328" w:lineRule="auto" w:before="24"/>
        <w:ind w:left="153" w:right="147" w:firstLine="420"/>
        <w:jc w:val="both"/>
      </w:pPr>
      <w:r>
        <w:rPr>
          <w:rFonts w:ascii="Times New Roman" w:hAnsi="Times New Roman" w:cs="Times New Roman" w:eastAsia="Times New Roman" w:hint="default"/>
        </w:rPr>
        <w:t>4</w:t>
      </w:r>
      <w:r>
        <w:rPr/>
        <w:t>、公司将根据公司的实际情况进行利润分配</w:t>
      </w:r>
      <w:r>
        <w:rPr>
          <w:rFonts w:ascii="Times New Roman" w:hAnsi="Times New Roman" w:cs="Times New Roman" w:eastAsia="Times New Roman" w:hint="default"/>
        </w:rPr>
        <w:t>,</w:t>
      </w:r>
      <w:r>
        <w:rPr/>
        <w:t>具体的年度利润分配方案由董事会根据公司经营状况拟</w:t>
      </w:r>
      <w:r>
        <w:rPr>
          <w:spacing w:val="1"/>
        </w:rPr>
        <w:t> </w:t>
      </w:r>
      <w:r>
        <w:rPr/>
        <w:t>定</w:t>
      </w:r>
      <w:r>
        <w:rPr>
          <w:rFonts w:ascii="Times New Roman" w:hAnsi="Times New Roman" w:cs="Times New Roman" w:eastAsia="Times New Roman" w:hint="default"/>
        </w:rPr>
        <w:t>,</w:t>
      </w:r>
      <w:r>
        <w:rPr/>
        <w:t>报公司股东大会审议。</w:t>
      </w:r>
    </w:p>
    <w:p>
      <w:pPr>
        <w:pStyle w:val="BodyText"/>
        <w:spacing w:line="331" w:lineRule="auto" w:before="23"/>
        <w:ind w:left="153" w:right="150" w:firstLine="420"/>
        <w:jc w:val="both"/>
      </w:pPr>
      <w:r>
        <w:rPr>
          <w:rFonts w:ascii="Times New Roman" w:hAnsi="Times New Roman" w:cs="Times New Roman" w:eastAsia="Times New Roman" w:hint="default"/>
          <w:spacing w:val="-2"/>
        </w:rPr>
        <w:t>5</w:t>
      </w:r>
      <w:r>
        <w:rPr>
          <w:spacing w:val="-2"/>
        </w:rPr>
        <w:t>、在条件允许的情况下</w:t>
      </w:r>
      <w:r>
        <w:rPr>
          <w:rFonts w:ascii="Times New Roman" w:hAnsi="Times New Roman" w:cs="Times New Roman" w:eastAsia="Times New Roman" w:hint="default"/>
          <w:spacing w:val="-2"/>
        </w:rPr>
        <w:t>,</w:t>
      </w:r>
      <w:r>
        <w:rPr>
          <w:spacing w:val="-2"/>
        </w:rPr>
        <w:t>公司董事会可以根据公司的盈利及资金需求状况提议公司进行中期现金分配,</w:t>
      </w:r>
      <w:r>
        <w:rPr/>
        <w:t> 并提交公司股东大会批准。</w:t>
      </w:r>
    </w:p>
    <w:p>
      <w:pPr>
        <w:spacing w:after="0" w:line="331"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28" w:lineRule="auto"/>
        <w:ind w:right="102" w:firstLine="420"/>
        <w:jc w:val="left"/>
      </w:pPr>
      <w:r>
        <w:rPr>
          <w:rFonts w:ascii="Times New Roman" w:hAnsi="Times New Roman" w:cs="Times New Roman" w:eastAsia="Times New Roman" w:hint="default"/>
          <w:spacing w:val="3"/>
        </w:rPr>
        <w:t>6</w:t>
      </w:r>
      <w:r>
        <w:rPr>
          <w:spacing w:val="3"/>
        </w:rPr>
        <w:t>、公司当年盈利董事会未做出现金利润分配预案的,应当在当年的定期报告中披露未现金分红的原</w:t>
      </w:r>
      <w:r>
        <w:rPr/>
        <w:t> 因、未用于现金分红的资金留存公司的用途,独立董事应当对此发表独立意见。</w:t>
      </w:r>
    </w:p>
    <w:p>
      <w:pPr>
        <w:pStyle w:val="BodyText"/>
        <w:spacing w:line="240" w:lineRule="auto" w:before="48"/>
        <w:ind w:left="573" w:right="102"/>
        <w:jc w:val="left"/>
      </w:pPr>
      <w:r>
        <w:rPr>
          <w:rFonts w:ascii="Times New Roman" w:hAnsi="Times New Roman" w:cs="Times New Roman" w:eastAsia="Times New Roman" w:hint="default"/>
        </w:rPr>
        <w:t>7</w:t>
      </w:r>
      <w:r>
        <w:rPr/>
        <w:t>、公司利润分配不得超过累计可分配利润的范围,不得损害公司持续经营能力。</w:t>
      </w:r>
    </w:p>
    <w:p>
      <w:pPr>
        <w:pStyle w:val="BodyText"/>
        <w:spacing w:line="240" w:lineRule="auto" w:before="109"/>
        <w:ind w:left="573" w:right="0"/>
        <w:jc w:val="left"/>
      </w:pPr>
      <w:r>
        <w:rPr>
          <w:rFonts w:ascii="Times New Roman" w:hAnsi="Times New Roman" w:cs="Times New Roman" w:eastAsia="Times New Roman" w:hint="default"/>
        </w:rPr>
        <w:t>8</w:t>
      </w:r>
      <w:r>
        <w:rPr/>
        <w:t>、存在股东违规占用公司资金情况的,公司应当扣减该股东所分配的现金红利,以偿还其占用的资金。</w:t>
      </w:r>
    </w:p>
    <w:p>
      <w:pPr>
        <w:pStyle w:val="BodyText"/>
        <w:spacing w:line="240" w:lineRule="auto" w:before="109"/>
        <w:ind w:left="574" w:right="102"/>
        <w:jc w:val="left"/>
      </w:pPr>
      <w:r>
        <w:rPr>
          <w:rFonts w:ascii="Times New Roman" w:hAnsi="Times New Roman" w:cs="Times New Roman" w:eastAsia="Times New Roman" w:hint="default"/>
        </w:rPr>
        <w:t>9</w:t>
      </w:r>
      <w:r>
        <w:rPr/>
        <w:t>、公司依照同股同利的原则,按各股东所持股份数比例分配股利。</w:t>
      </w:r>
    </w:p>
    <w:p>
      <w:pPr>
        <w:pStyle w:val="BodyText"/>
        <w:spacing w:line="240" w:lineRule="auto" w:before="110"/>
        <w:ind w:left="574" w:right="102"/>
        <w:jc w:val="left"/>
      </w:pPr>
      <w:r>
        <w:rPr>
          <w:rFonts w:ascii="Times New Roman" w:hAnsi="Times New Roman" w:cs="Times New Roman" w:eastAsia="Times New Roman" w:hint="default"/>
        </w:rPr>
        <w:t>10</w:t>
      </w:r>
      <w:r>
        <w:rPr/>
        <w:t>、当年未分配的可分配利润可留待以后年度进行分配。</w:t>
      </w:r>
    </w:p>
    <w:p>
      <w:pPr>
        <w:pStyle w:val="BodyText"/>
        <w:spacing w:line="240" w:lineRule="auto" w:before="109"/>
        <w:ind w:left="574" w:right="102"/>
        <w:jc w:val="left"/>
      </w:pPr>
      <w:r>
        <w:rPr/>
        <w:t>（二）报告期内公司利润分配预案执行情况：</w:t>
      </w:r>
    </w:p>
    <w:p>
      <w:pPr>
        <w:pStyle w:val="BodyText"/>
        <w:spacing w:line="240" w:lineRule="auto" w:before="125"/>
        <w:ind w:left="490" w:right="102"/>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日，公司第五次临时股东大会审议通过了</w:t>
      </w:r>
      <w:r>
        <w:rPr>
          <w:rFonts w:ascii="Times New Roman" w:hAnsi="Times New Roman" w:cs="Times New Roman" w:eastAsia="Times New Roman" w:hint="default"/>
          <w:spacing w:val="2"/>
        </w:rPr>
        <w:t>2011</w:t>
      </w:r>
      <w:r>
        <w:rPr>
          <w:spacing w:val="2"/>
        </w:rPr>
        <w:t>年年度利润分配预案：以公司现有总股本</w:t>
      </w:r>
      <w:r>
        <w:rPr/>
      </w:r>
    </w:p>
    <w:p>
      <w:pPr>
        <w:pStyle w:val="BodyText"/>
        <w:spacing w:line="328" w:lineRule="auto" w:before="110"/>
        <w:ind w:right="102" w:hanging="1"/>
        <w:jc w:val="left"/>
      </w:pPr>
      <w:r>
        <w:rPr>
          <w:rFonts w:ascii="Times New Roman" w:hAnsi="Times New Roman" w:cs="Times New Roman" w:eastAsia="Times New Roman" w:hint="default"/>
        </w:rPr>
        <w:t>9,800</w:t>
      </w:r>
      <w:r>
        <w:rPr/>
        <w:t>万股为基数，向全体股东每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w:t>
      </w:r>
      <w:r>
        <w:rPr/>
        <w:t>元人民币（含税）。截止本报告期末，以上现金股利已</w:t>
      </w:r>
      <w:r>
        <w:rPr>
          <w:spacing w:val="-37"/>
        </w:rPr>
        <w:t> </w:t>
      </w:r>
      <w:r>
        <w:rPr>
          <w:spacing w:val="-37"/>
        </w:rPr>
      </w:r>
      <w:r>
        <w:rPr/>
        <w:t>全部派发完毕。</w:t>
      </w:r>
    </w:p>
    <w:p>
      <w:pPr>
        <w:spacing w:line="240" w:lineRule="auto" w:before="8"/>
        <w:rPr>
          <w:rFonts w:ascii="宋体" w:hAnsi="宋体" w:cs="宋体" w:eastAsia="宋体" w:hint="default"/>
          <w:sz w:val="25"/>
          <w:szCs w:val="25"/>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60" w:lineRule="auto" w:before="117"/>
        <w:ind w:left="153" w:right="3351" w:firstLine="0"/>
        <w:jc w:val="left"/>
        <w:rPr>
          <w:rFonts w:ascii="宋体" w:hAnsi="宋体" w:cs="宋体" w:eastAsia="宋体" w:hint="default"/>
          <w:sz w:val="18"/>
          <w:szCs w:val="18"/>
        </w:rPr>
      </w:pPr>
      <w:r>
        <w:rPr>
          <w:rFonts w:ascii="宋体" w:hAnsi="宋体" w:cs="宋体" w:eastAsia="宋体" w:hint="default"/>
          <w:sz w:val="18"/>
          <w:szCs w:val="18"/>
        </w:rPr>
        <w:t>√ 是 □ 否 □ 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130,203,333.39</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6"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根据当期经营情况和后期发展过程中的资金需求计划，公司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98,000,000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元人民</w:t>
            </w:r>
            <w:r>
              <w:rPr>
                <w:rFonts w:ascii="宋体" w:hAnsi="宋体" w:cs="宋体" w:eastAsia="宋体" w:hint="default"/>
                <w:spacing w:val="-24"/>
                <w:sz w:val="18"/>
                <w:szCs w:val="18"/>
              </w:rPr>
              <w:t>币</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同</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时以资本公积向股东每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10 </w:t>
            </w:r>
            <w:r>
              <w:rPr>
                <w:rFonts w:ascii="宋体" w:hAnsi="宋体" w:cs="宋体" w:eastAsia="宋体" w:hint="default"/>
                <w:sz w:val="18"/>
                <w:szCs w:val="18"/>
              </w:rPr>
              <w:t>股，合计转增股本 </w:t>
            </w:r>
            <w:r>
              <w:rPr>
                <w:rFonts w:ascii="Times New Roman" w:hAnsi="Times New Roman" w:cs="Times New Roman" w:eastAsia="Times New Roman" w:hint="default"/>
                <w:sz w:val="18"/>
                <w:szCs w:val="18"/>
              </w:rPr>
              <w:t>98,000,000 </w:t>
            </w:r>
            <w:r>
              <w:rPr>
                <w:rFonts w:ascii="宋体" w:hAnsi="宋体" w:cs="宋体" w:eastAsia="宋体" w:hint="default"/>
                <w:sz w:val="18"/>
                <w:szCs w:val="18"/>
              </w:rPr>
              <w:t>股。转增股本后公司总股本变更为 </w:t>
            </w:r>
            <w:r>
              <w:rPr>
                <w:rFonts w:ascii="Times New Roman" w:hAnsi="Times New Roman" w:cs="Times New Roman" w:eastAsia="Times New Roman" w:hint="default"/>
                <w:sz w:val="18"/>
                <w:szCs w:val="18"/>
              </w:rPr>
              <w:t>196,000,000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tc>
      </w:tr>
    </w:tbl>
    <w:p>
      <w:pPr>
        <w:pStyle w:val="BodyText"/>
        <w:spacing w:line="240" w:lineRule="auto" w:before="89"/>
        <w:ind w:right="102"/>
        <w:jc w:val="left"/>
      </w:pPr>
      <w:r>
        <w:rPr/>
        <w:t>公司近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10"/>
        <w:ind w:left="574" w:right="10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年年度利润分配预案</w:t>
      </w:r>
    </w:p>
    <w:p>
      <w:pPr>
        <w:pStyle w:val="BodyText"/>
        <w:spacing w:line="331" w:lineRule="auto" w:before="109"/>
        <w:ind w:right="206" w:firstLine="419"/>
        <w:jc w:val="both"/>
      </w:pPr>
      <w:r>
        <w:rPr/>
        <w:t>以截止</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98,000,000 </w:t>
      </w:r>
      <w:r>
        <w:rPr>
          <w:spacing w:val="3"/>
        </w:rPr>
        <w:t>股为基数向全体股东每</w:t>
      </w:r>
      <w:r>
        <w:rPr>
          <w:rFonts w:ascii="Times New Roman" w:hAnsi="Times New Roman" w:cs="Times New Roman" w:eastAsia="Times New Roman" w:hint="default"/>
          <w:spacing w:val="3"/>
        </w:rPr>
        <w:t>10 </w:t>
      </w:r>
      <w:r>
        <w:rPr>
          <w:spacing w:val="2"/>
        </w:rPr>
        <w:t>股派发现金红利</w:t>
      </w:r>
      <w:r>
        <w:rPr>
          <w:rFonts w:ascii="Times New Roman" w:hAnsi="Times New Roman" w:cs="Times New Roman" w:eastAsia="Times New Roman" w:hint="default"/>
          <w:spacing w:val="2"/>
        </w:rPr>
        <w:t>0.6</w:t>
      </w:r>
      <w:r>
        <w:rPr>
          <w:rFonts w:ascii="Times New Roman" w:hAnsi="Times New Roman" w:cs="Times New Roman" w:eastAsia="Times New Roman" w:hint="default"/>
          <w:spacing w:val="-19"/>
        </w:rPr>
        <w:t> </w:t>
      </w:r>
      <w:r>
        <w:rPr>
          <w:spacing w:val="4"/>
        </w:rPr>
        <w:t>元人 </w:t>
      </w:r>
      <w:r>
        <w:rPr/>
        <w:t>民币（含税），合计派发现金红利</w:t>
      </w:r>
      <w:r>
        <w:rPr>
          <w:rFonts w:ascii="Times New Roman" w:hAnsi="Times New Roman" w:cs="Times New Roman" w:eastAsia="Times New Roman" w:hint="default"/>
        </w:rPr>
        <w:t>5,880,000.00</w:t>
      </w:r>
      <w:r>
        <w:rPr/>
        <w:t>元；同时以资本公积向股东每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股，合计转增股 本</w:t>
      </w:r>
      <w:r>
        <w:rPr>
          <w:rFonts w:ascii="Times New Roman" w:hAnsi="Times New Roman" w:cs="Times New Roman" w:eastAsia="Times New Roman" w:hint="default"/>
        </w:rPr>
        <w:t>98,000,000 </w:t>
      </w:r>
      <w:r>
        <w:rPr/>
        <w:t>股。转增股本后公司总股本变更为</w:t>
      </w:r>
      <w:r>
        <w:rPr>
          <w:rFonts w:ascii="Times New Roman" w:hAnsi="Times New Roman" w:cs="Times New Roman" w:eastAsia="Times New Roman" w:hint="default"/>
        </w:rPr>
        <w:t>196,000,000  </w:t>
      </w:r>
      <w:r>
        <w:rPr/>
        <w:t>股。</w:t>
      </w:r>
    </w:p>
    <w:p>
      <w:pPr>
        <w:pStyle w:val="BodyText"/>
        <w:spacing w:line="240" w:lineRule="auto" w:before="20"/>
        <w:ind w:left="574" w:right="10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年年度利润分配情况</w:t>
      </w:r>
    </w:p>
    <w:p>
      <w:pPr>
        <w:pStyle w:val="BodyText"/>
        <w:spacing w:line="240" w:lineRule="auto" w:before="109"/>
        <w:ind w:left="490" w:right="102"/>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日，公司第五次临时股东大会审议通过了</w:t>
      </w:r>
      <w:r>
        <w:rPr>
          <w:rFonts w:ascii="Times New Roman" w:hAnsi="Times New Roman" w:cs="Times New Roman" w:eastAsia="Times New Roman" w:hint="default"/>
          <w:spacing w:val="2"/>
        </w:rPr>
        <w:t>2011</w:t>
      </w:r>
      <w:r>
        <w:rPr>
          <w:spacing w:val="2"/>
        </w:rPr>
        <w:t>年年度利润分配预案：以公司现有总股本</w:t>
      </w:r>
      <w:r>
        <w:rPr/>
      </w:r>
    </w:p>
    <w:p>
      <w:pPr>
        <w:pStyle w:val="BodyText"/>
        <w:spacing w:line="328" w:lineRule="auto" w:before="110"/>
        <w:ind w:right="102" w:hanging="1"/>
        <w:jc w:val="left"/>
      </w:pPr>
      <w:r>
        <w:rPr>
          <w:rFonts w:ascii="Times New Roman" w:hAnsi="Times New Roman" w:cs="Times New Roman" w:eastAsia="Times New Roman" w:hint="default"/>
        </w:rPr>
        <w:t>9,800</w:t>
      </w:r>
      <w:r>
        <w:rPr/>
        <w:t>万股为基数，向全体股东每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w:t>
      </w:r>
      <w:r>
        <w:rPr/>
        <w:t>元人民币（含税）。截止本报告期末，以上现金股利已</w:t>
      </w:r>
      <w:r>
        <w:rPr>
          <w:spacing w:val="-37"/>
        </w:rPr>
        <w:t> </w:t>
      </w:r>
      <w:r>
        <w:rPr>
          <w:spacing w:val="-37"/>
        </w:rPr>
      </w:r>
      <w:r>
        <w:rPr/>
        <w:t>全部派发完毕。</w:t>
      </w:r>
    </w:p>
    <w:p>
      <w:pPr>
        <w:pStyle w:val="BodyText"/>
        <w:spacing w:line="240" w:lineRule="auto" w:before="47"/>
        <w:ind w:left="490" w:right="10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年年度利润分配情况</w:t>
      </w:r>
    </w:p>
    <w:p>
      <w:pPr>
        <w:pStyle w:val="BodyText"/>
        <w:spacing w:line="240" w:lineRule="auto" w:before="110"/>
        <w:ind w:left="490" w:right="102"/>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2011</w:t>
      </w:r>
      <w:r>
        <w:rPr/>
        <w:t>年第一次临时股东大会通过利润分配方案，以</w:t>
      </w:r>
      <w:r>
        <w:rPr>
          <w:rFonts w:ascii="Times New Roman" w:hAnsi="Times New Roman" w:cs="Times New Roman" w:eastAsia="Times New Roman" w:hint="default"/>
        </w:rPr>
        <w:t>2010</w:t>
      </w:r>
      <w:r>
        <w:rPr/>
        <w:t>年末总股本</w:t>
      </w:r>
      <w:r>
        <w:rPr>
          <w:rFonts w:ascii="Times New Roman" w:hAnsi="Times New Roman" w:cs="Times New Roman" w:eastAsia="Times New Roman" w:hint="default"/>
        </w:rPr>
        <w:t>73,500,000</w:t>
      </w:r>
      <w:r>
        <w:rPr>
          <w:rFonts w:ascii="Times New Roman" w:hAnsi="Times New Roman" w:cs="Times New Roman" w:eastAsia="Times New Roman" w:hint="default"/>
          <w:spacing w:val="-8"/>
        </w:rPr>
        <w:t> </w:t>
      </w:r>
      <w:r>
        <w:rPr/>
        <w:t>股</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86"/>
        <w:ind w:left="174" w:right="170"/>
        <w:jc w:val="left"/>
      </w:pPr>
      <w:r>
        <w:rPr/>
        <w:t>为基数，向全体股东每股派发现金红利</w:t>
      </w:r>
      <w:r>
        <w:rPr>
          <w:rFonts w:ascii="Times New Roman" w:hAnsi="Times New Roman" w:cs="Times New Roman" w:eastAsia="Times New Roman" w:hint="default"/>
        </w:rPr>
        <w:t>0.20  </w:t>
      </w:r>
      <w:r>
        <w:rPr/>
        <w:t>元（含税），共计分配现金红利</w:t>
      </w:r>
      <w:r>
        <w:rPr>
          <w:rFonts w:ascii="Times New Roman" w:hAnsi="Times New Roman" w:cs="Times New Roman" w:eastAsia="Times New Roman" w:hint="default"/>
        </w:rPr>
        <w:t>14,700,000.00</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82" w:top="1060" w:bottom="1180" w:left="960" w:right="980"/>
        </w:sectPr>
      </w:pPr>
    </w:p>
    <w:p>
      <w:pPr>
        <w:pStyle w:val="BodyText"/>
        <w:spacing w:line="240" w:lineRule="auto" w:before="35"/>
        <w:ind w:left="174" w:right="-20"/>
        <w:jc w:val="left"/>
      </w:pPr>
      <w:r>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7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60" w:right="980"/>
          <w:cols w:num="2" w:equalWidth="0">
            <w:col w:w="2695" w:space="6224"/>
            <w:col w:w="1051"/>
          </w:cols>
        </w:sectPr>
      </w:pP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369"/>
        <w:gridCol w:w="2404"/>
        <w:gridCol w:w="2392"/>
        <w:gridCol w:w="2392"/>
      </w:tblGrid>
      <w:tr>
        <w:trPr>
          <w:trHeight w:val="162"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58,090,774.13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34,409,243.74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42.72%</w:t>
            </w:r>
          </w:p>
        </w:tc>
      </w:tr>
    </w:tbl>
    <w:p>
      <w:pPr>
        <w:spacing w:before="51"/>
        <w:ind w:left="17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7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74" w:right="0"/>
        <w:jc w:val="both"/>
        <w:rPr>
          <w:b w:val="0"/>
          <w:bCs w:val="0"/>
        </w:rPr>
      </w:pPr>
      <w:r>
        <w:rPr/>
        <w:t>七、内幕信息知情人管理制度的建立和执行情况</w:t>
      </w:r>
      <w:r>
        <w:rPr>
          <w:b w:val="0"/>
          <w:bCs w:val="0"/>
        </w:rPr>
      </w:r>
    </w:p>
    <w:p>
      <w:pPr>
        <w:spacing w:line="240" w:lineRule="auto" w:before="5"/>
        <w:rPr>
          <w:rFonts w:ascii="宋体" w:hAnsi="宋体" w:cs="宋体" w:eastAsia="宋体" w:hint="default"/>
          <w:b/>
          <w:bCs/>
          <w:sz w:val="31"/>
          <w:szCs w:val="31"/>
        </w:rPr>
      </w:pPr>
    </w:p>
    <w:p>
      <w:pPr>
        <w:pStyle w:val="BodyText"/>
        <w:spacing w:line="240" w:lineRule="auto"/>
        <w:ind w:left="174" w:right="0"/>
        <w:jc w:val="both"/>
      </w:pPr>
      <w:r>
        <w:rPr/>
        <w:t>（一）内幕信息知情人制度建立情况</w:t>
      </w:r>
    </w:p>
    <w:p>
      <w:pPr>
        <w:pStyle w:val="BodyText"/>
        <w:spacing w:line="338" w:lineRule="auto" w:before="126"/>
        <w:ind w:left="174" w:right="151"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日公司第一届董事会第十七次会议审议通过了《关于制定内幕信息知情人登记与外部报送</w:t>
      </w:r>
      <w:r>
        <w:rPr/>
        <w:t> </w:t>
      </w:r>
      <w:r>
        <w:rPr>
          <w:spacing w:val="-1"/>
        </w:rPr>
        <w:t>管理制度的议案》。该项制度对内幕信息的定义、内幕信息的人员范围、内幕信息登记和报备、内幕信息</w:t>
      </w:r>
      <w:r>
        <w:rPr>
          <w:spacing w:val="-83"/>
        </w:rPr>
        <w:t> </w:t>
      </w:r>
      <w:r>
        <w:rPr>
          <w:spacing w:val="-83"/>
        </w:rPr>
      </w:r>
      <w:r>
        <w:rPr/>
        <w:t>管理的机构及人员、保密及责任追究等做了详细规定。</w:t>
      </w:r>
    </w:p>
    <w:p>
      <w:pPr>
        <w:pStyle w:val="BodyText"/>
        <w:spacing w:line="348" w:lineRule="auto" w:before="40"/>
        <w:ind w:left="534" w:right="170" w:hanging="276"/>
        <w:jc w:val="left"/>
      </w:pPr>
      <w:r>
        <w:rPr/>
        <w:t>（二）报告期内内幕信息知情人制度执行情况 报告期内，公司的内幕信息流转、信息知情人登记管理、重大事项的报告、传递、审核、披露程序均</w:t>
      </w:r>
    </w:p>
    <w:p>
      <w:pPr>
        <w:pStyle w:val="BodyText"/>
        <w:spacing w:line="350" w:lineRule="auto" w:before="30"/>
        <w:ind w:left="174" w:right="149"/>
        <w:jc w:val="both"/>
      </w:pPr>
      <w:r>
        <w:rPr>
          <w:spacing w:val="-1"/>
        </w:rPr>
        <w:t>严格遵守《内幕信息知情人登记与外部报送管理制度》的有关规定；严把内幕信息流转程序，将信息知情</w:t>
      </w:r>
      <w:r>
        <w:rPr>
          <w:spacing w:val="-82"/>
        </w:rPr>
        <w:t> </w:t>
      </w:r>
      <w:r>
        <w:rPr>
          <w:spacing w:val="-82"/>
        </w:rPr>
      </w:r>
      <w:r>
        <w:rPr>
          <w:spacing w:val="-1"/>
        </w:rPr>
        <w:t>人控制在最小范围内，切实做到内幕信息在披露前各环节所有知情人员如实、完整登记；公司董事会秘书</w:t>
      </w:r>
      <w:r>
        <w:rPr>
          <w:spacing w:val="-83"/>
        </w:rPr>
        <w:t> </w:t>
      </w:r>
      <w:r>
        <w:rPr>
          <w:spacing w:val="-83"/>
        </w:rPr>
      </w:r>
      <w:r>
        <w:rPr>
          <w:spacing w:val="-1"/>
        </w:rPr>
        <w:t>负责知情人登记信息的核实、报备和建档，确保“内幕信息知情人登记表”所填报内容的真实、准确、完</w:t>
      </w:r>
      <w:r>
        <w:rPr>
          <w:spacing w:val="-83"/>
        </w:rPr>
        <w:t> </w:t>
      </w:r>
      <w:r>
        <w:rPr>
          <w:spacing w:val="-83"/>
        </w:rPr>
      </w:r>
      <w:r>
        <w:rPr/>
        <w:t>整。</w:t>
      </w:r>
    </w:p>
    <w:p>
      <w:pPr>
        <w:pStyle w:val="BodyText"/>
        <w:spacing w:line="240" w:lineRule="auto" w:before="29"/>
        <w:ind w:left="474" w:right="170"/>
        <w:jc w:val="left"/>
      </w:pPr>
      <w:r>
        <w:rPr/>
        <w:t>报告期内，公司内幕信息知情人管理制度执行情况较好，未发生被监管部门的查处和整改的情况。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174" w:right="0"/>
        <w:jc w:val="both"/>
        <w:rPr>
          <w:b w:val="0"/>
          <w:bCs w:val="0"/>
        </w:rPr>
      </w:pP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1494"/>
        <w:gridCol w:w="1687"/>
        <w:gridCol w:w="1275"/>
        <w:gridCol w:w="850"/>
        <w:gridCol w:w="1884"/>
        <w:gridCol w:w="2541"/>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上海申银万国证券</w:t>
            </w:r>
          </w:p>
        </w:tc>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9"/>
              <w:jc w:val="both"/>
              <w:rPr>
                <w:rFonts w:ascii="宋体" w:hAnsi="宋体" w:cs="宋体" w:eastAsia="宋体" w:hint="default"/>
                <w:sz w:val="18"/>
                <w:szCs w:val="18"/>
              </w:rPr>
            </w:pPr>
            <w:r>
              <w:rPr>
                <w:rFonts w:ascii="宋体" w:hAnsi="宋体" w:cs="宋体" w:eastAsia="宋体" w:hint="default"/>
                <w:spacing w:val="-2"/>
                <w:sz w:val="18"/>
                <w:szCs w:val="18"/>
              </w:rPr>
              <w:t>公司概况、行业发展情况、竞争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对手情况、战略发展规划、产品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发展空间等。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9"/>
              <w:jc w:val="left"/>
              <w:rPr>
                <w:rFonts w:ascii="宋体" w:hAnsi="宋体" w:cs="宋体" w:eastAsia="宋体" w:hint="default"/>
                <w:sz w:val="18"/>
                <w:szCs w:val="18"/>
              </w:rPr>
            </w:pPr>
            <w:r>
              <w:rPr>
                <w:rFonts w:ascii="宋体" w:hAnsi="宋体" w:cs="宋体" w:eastAsia="宋体" w:hint="default"/>
                <w:spacing w:val="-2"/>
                <w:sz w:val="18"/>
                <w:szCs w:val="18"/>
              </w:rPr>
              <w:t>行业概况、公司销售状况、市场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及产品概况等。</w:t>
            </w:r>
          </w:p>
        </w:tc>
      </w:tr>
      <w:tr>
        <w:trPr>
          <w:trHeight w:val="71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中国银河证券</w:t>
            </w:r>
          </w:p>
        </w:tc>
        <w:tc>
          <w:tcPr>
            <w:tcW w:w="2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3" w:right="-13"/>
              <w:jc w:val="left"/>
              <w:rPr>
                <w:rFonts w:ascii="宋体" w:hAnsi="宋体" w:cs="宋体" w:eastAsia="宋体" w:hint="default"/>
                <w:sz w:val="18"/>
                <w:szCs w:val="18"/>
              </w:rPr>
            </w:pPr>
            <w:r>
              <w:rPr>
                <w:rFonts w:ascii="宋体" w:hAnsi="宋体" w:cs="宋体" w:eastAsia="宋体" w:hint="default"/>
                <w:sz w:val="18"/>
                <w:szCs w:val="18"/>
              </w:rPr>
              <w:t>行业发展状况、竞争对手情况、 </w:t>
            </w:r>
            <w:r>
              <w:rPr>
                <w:rFonts w:ascii="宋体" w:hAnsi="宋体" w:cs="宋体" w:eastAsia="宋体" w:hint="default"/>
                <w:spacing w:val="-2"/>
                <w:sz w:val="18"/>
                <w:szCs w:val="18"/>
              </w:rPr>
              <w:t>产品情况、核心技术优势、竞争</w:t>
            </w:r>
          </w:p>
        </w:tc>
      </w:tr>
    </w:tbl>
    <w:p>
      <w:pPr>
        <w:spacing w:after="0" w:line="316" w:lineRule="auto"/>
        <w:jc w:val="left"/>
        <w:rPr>
          <w:rFonts w:ascii="宋体" w:hAnsi="宋体" w:cs="宋体" w:eastAsia="宋体" w:hint="default"/>
          <w:sz w:val="18"/>
          <w:szCs w:val="18"/>
        </w:rPr>
        <w:sectPr>
          <w:type w:val="continuous"/>
          <w:pgSz w:w="11910" w:h="16840"/>
          <w:pgMar w:top="1060" w:bottom="1180" w:left="960" w:right="980"/>
        </w:sectPr>
      </w:pPr>
    </w:p>
    <w:p>
      <w:pPr>
        <w:spacing w:line="240" w:lineRule="auto" w:before="0"/>
        <w:rPr>
          <w:rFonts w:ascii="宋体" w:hAnsi="宋体" w:cs="宋体" w:eastAsia="宋体" w:hint="default"/>
          <w:b/>
          <w:bCs/>
          <w:sz w:val="20"/>
          <w:szCs w:val="20"/>
        </w:rPr>
      </w:pPr>
      <w:r>
        <w:rPr/>
        <w:pict>
          <v:shape style="position:absolute;margin-left:53.880001pt;margin-top:71.999962pt;width:487.8pt;height:694.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687"/>
                    <w:gridCol w:w="1275"/>
                    <w:gridCol w:w="850"/>
                    <w:gridCol w:w="1884"/>
                    <w:gridCol w:w="2552"/>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2"/>
                          <w:jc w:val="center"/>
                          <w:rPr>
                            <w:rFonts w:ascii="宋体" w:hAnsi="宋体" w:cs="宋体" w:eastAsia="宋体" w:hint="default"/>
                            <w:sz w:val="18"/>
                            <w:szCs w:val="18"/>
                          </w:rPr>
                        </w:pPr>
                        <w:r>
                          <w:rPr>
                            <w:rFonts w:ascii="宋体" w:hAnsi="宋体" w:cs="宋体" w:eastAsia="宋体" w:hint="default"/>
                            <w:sz w:val="18"/>
                            <w:szCs w:val="18"/>
                          </w:rPr>
                          <w:t>优势和壁垒、员工增长情况等。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行业概况、竞争情况、公司发展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战略、市场及销售状况等。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8"/>
                          <w:jc w:val="left"/>
                          <w:rPr>
                            <w:rFonts w:ascii="宋体" w:hAnsi="宋体" w:cs="宋体" w:eastAsia="宋体" w:hint="default"/>
                            <w:sz w:val="18"/>
                            <w:szCs w:val="18"/>
                          </w:rPr>
                        </w:pPr>
                        <w:r>
                          <w:rPr>
                            <w:rFonts w:ascii="宋体" w:hAnsi="宋体" w:cs="宋体" w:eastAsia="宋体" w:hint="default"/>
                            <w:sz w:val="18"/>
                            <w:szCs w:val="18"/>
                          </w:rPr>
                          <w:t>国海证券 广州证券 国信证券  银河证券</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公司的核心技术及主营产品情 </w:t>
                        </w:r>
                        <w:r>
                          <w:rPr>
                            <w:rFonts w:ascii="宋体" w:hAnsi="宋体" w:cs="宋体" w:eastAsia="宋体" w:hint="default"/>
                            <w:spacing w:val="-2"/>
                            <w:sz w:val="18"/>
                            <w:szCs w:val="18"/>
                          </w:rPr>
                          <w:t>况、行业状况、市场状况、公司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发展趋势等。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shd w:val="clear" w:color="auto" w:fill="CCE8CF"/>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8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方正证券  广东信达兴</w:t>
                        </w:r>
                      </w:p>
                    </w:tc>
                    <w:tc>
                      <w:tcPr>
                        <w:tcW w:w="2552"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97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38" w:lineRule="auto" w:before="10"/>
                          <w:ind w:left="24" w:right="48"/>
                          <w:jc w:val="left"/>
                          <w:rPr>
                            <w:rFonts w:ascii="宋体" w:hAnsi="宋体" w:cs="宋体" w:eastAsia="宋体" w:hint="default"/>
                            <w:sz w:val="18"/>
                            <w:szCs w:val="18"/>
                          </w:rPr>
                        </w:pPr>
                        <w:r>
                          <w:rPr>
                            <w:rFonts w:ascii="宋体" w:hAnsi="宋体" w:cs="宋体" w:eastAsia="宋体" w:hint="default"/>
                            <w:sz w:val="18"/>
                            <w:szCs w:val="18"/>
                          </w:rPr>
                          <w:t>投资有限公司 广东瑞天投资管理有限 公司  浙江敦和投资有</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31"/>
                          <w:ind w:left="23" w:right="20"/>
                          <w:jc w:val="both"/>
                          <w:rPr>
                            <w:rFonts w:ascii="宋体" w:hAnsi="宋体" w:cs="宋体" w:eastAsia="宋体" w:hint="default"/>
                            <w:sz w:val="18"/>
                            <w:szCs w:val="18"/>
                          </w:rPr>
                        </w:pPr>
                        <w:r>
                          <w:rPr>
                            <w:rFonts w:ascii="宋体" w:hAnsi="宋体" w:cs="宋体" w:eastAsia="宋体" w:hint="default"/>
                            <w:spacing w:val="-2"/>
                            <w:sz w:val="18"/>
                            <w:szCs w:val="18"/>
                          </w:rPr>
                          <w:t>公司概况、行业发展情况、竞争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对手情况、战略发展规划、产品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发展空间等。</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shd w:val="clear" w:color="auto" w:fill="CCE8CF"/>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88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 等</w:t>
                        </w:r>
                      </w:p>
                    </w:tc>
                    <w:tc>
                      <w:tcPr>
                        <w:tcW w:w="2552"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财务相关问题、竞争情况、营销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模式、市场及销售状况、战略发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展规划、股权激励情况等。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shd w:val="clear" w:color="auto" w:fill="CCE8CF"/>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8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招商证券  安信证券</w:t>
                        </w:r>
                      </w:p>
                    </w:tc>
                    <w:tc>
                      <w:tcPr>
                        <w:tcW w:w="2552"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22" w:hRule="exact"/>
                    </w:trPr>
                    <w:tc>
                      <w:tcPr>
                        <w:tcW w:w="1494"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
                    </w:tc>
                    <w:tc>
                      <w:tcPr>
                        <w:tcW w:w="127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东方证券  方正证券</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65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39"/>
                          <w:ind w:left="24" w:right="94"/>
                          <w:jc w:val="left"/>
                          <w:rPr>
                            <w:rFonts w:ascii="宋体" w:hAnsi="宋体" w:cs="宋体" w:eastAsia="宋体" w:hint="default"/>
                            <w:sz w:val="18"/>
                            <w:szCs w:val="18"/>
                          </w:rPr>
                        </w:pPr>
                        <w:r>
                          <w:rPr>
                            <w:rFonts w:ascii="宋体" w:hAnsi="宋体" w:cs="宋体" w:eastAsia="宋体" w:hint="default"/>
                            <w:sz w:val="18"/>
                            <w:szCs w:val="18"/>
                          </w:rPr>
                          <w:t>长城基金管理有限公 司</w:t>
                        </w:r>
                        <w:r>
                          <w:rPr>
                            <w:rFonts w:ascii="宋体" w:hAnsi="宋体" w:cs="宋体" w:eastAsia="宋体" w:hint="default"/>
                            <w:spacing w:val="43"/>
                            <w:sz w:val="18"/>
                            <w:szCs w:val="18"/>
                          </w:rPr>
                          <w:t> </w:t>
                        </w:r>
                        <w:r>
                          <w:rPr>
                            <w:rFonts w:ascii="宋体" w:hAnsi="宋体" w:cs="宋体" w:eastAsia="宋体" w:hint="default"/>
                            <w:sz w:val="18"/>
                            <w:szCs w:val="18"/>
                          </w:rPr>
                          <w:t>明曜投资管理有限</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20"/>
                          <w:ind w:left="23" w:right="110"/>
                          <w:jc w:val="left"/>
                          <w:rPr>
                            <w:rFonts w:ascii="宋体" w:hAnsi="宋体" w:cs="宋体" w:eastAsia="宋体" w:hint="default"/>
                            <w:sz w:val="18"/>
                            <w:szCs w:val="18"/>
                          </w:rPr>
                        </w:pPr>
                        <w:r>
                          <w:rPr>
                            <w:rFonts w:ascii="宋体" w:hAnsi="宋体" w:cs="宋体" w:eastAsia="宋体" w:hint="default"/>
                            <w:spacing w:val="-9"/>
                            <w:sz w:val="18"/>
                            <w:szCs w:val="18"/>
                          </w:rPr>
                          <w:t>公司概况、产品介绍、竞争情况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投资并购情况等。</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
                    </w:tc>
                    <w:tc>
                      <w:tcPr>
                        <w:tcW w:w="1275"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  瑞富财富管理中</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shd w:val="clear" w:color="auto" w:fill="CCE8CF"/>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88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心</w:t>
                        </w:r>
                      </w:p>
                    </w:tc>
                    <w:tc>
                      <w:tcPr>
                        <w:tcW w:w="2552"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鹏华基金管理有限公司 银华基金管理有限公司</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2"/>
                            <w:sz w:val="18"/>
                            <w:szCs w:val="18"/>
                          </w:rPr>
                          <w:t>客户情况、市场及销售状况、员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工变动情况、公司目前在舆情监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控领域的情况等。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shd w:val="clear" w:color="auto" w:fill="CCE8CF"/>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8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民生证券  国金证券</w:t>
                        </w:r>
                      </w:p>
                    </w:tc>
                    <w:tc>
                      <w:tcPr>
                        <w:tcW w:w="2552"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124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tabs>
                            <w:tab w:pos="743" w:val="left" w:leader="none"/>
                            <w:tab w:pos="1013" w:val="left" w:leader="none"/>
                          </w:tabs>
                          <w:spacing w:line="316" w:lineRule="auto" w:before="10"/>
                          <w:ind w:left="24" w:right="48"/>
                          <w:jc w:val="left"/>
                          <w:rPr>
                            <w:rFonts w:ascii="宋体" w:hAnsi="宋体" w:cs="宋体" w:eastAsia="宋体" w:hint="default"/>
                            <w:sz w:val="18"/>
                            <w:szCs w:val="18"/>
                          </w:rPr>
                        </w:pPr>
                        <w:r>
                          <w:rPr>
                            <w:rFonts w:ascii="宋体" w:hAnsi="宋体" w:cs="宋体" w:eastAsia="宋体" w:hint="default"/>
                            <w:sz w:val="18"/>
                            <w:szCs w:val="18"/>
                          </w:rPr>
                          <w:t>金元证券</w:t>
                          <w:tab/>
                          <w:t>长城基金 广东西域投资管理有限 公司</w:t>
                          <w:tab/>
                          <w:t>远策投资管理 有限公司</w:t>
                          <w:tab/>
                          <w:t>鼎诺投资</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
                            <w:sz w:val="18"/>
                            <w:szCs w:val="18"/>
                          </w:rPr>
                          <w:t>公司战略发展规划、员工人数及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薪酬情况、竞争情况、市场及销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售状况。</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shd w:val="clear" w:color="auto" w:fill="CCE8CF"/>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88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2552"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第一财经日报</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市场需求、市场及销售状况、营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销模式、公司发展趋势等。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楼会议</w:t>
                        </w:r>
                        <w:r>
                          <w:rPr>
                            <w:rFonts w:ascii="宋体" w:hAnsi="宋体" w:cs="宋体" w:eastAsia="宋体" w:hint="default"/>
                            <w:spacing w:val="1"/>
                            <w:sz w:val="18"/>
                            <w:szCs w:val="18"/>
                          </w:rPr>
                          <w:t> </w:t>
                        </w:r>
                        <w:r>
                          <w:rPr>
                            <w:rFonts w:ascii="宋体" w:hAnsi="宋体" w:cs="宋体" w:eastAsia="宋体" w:hint="default"/>
                            <w:sz w:val="18"/>
                            <w:szCs w:val="18"/>
                          </w:rPr>
                          <w:t>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tabs>
                            <w:tab w:pos="653" w:val="left" w:leader="none"/>
                          </w:tabs>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银河证券 广发证券 广东新价值投资有限公 司</w:t>
                          <w:tab/>
                          <w:t>长江证券 渤海证券  长城基金等</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公司经营情况、公司战略发展规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划、市场及销售状况、客户情况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十八大对公司的影响、云安全运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营平台用户及推广情况、竞争情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况等。</w:t>
                        </w:r>
                      </w:p>
                    </w:tc>
                  </w:tr>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2"/>
                            <w:sz w:val="18"/>
                            <w:szCs w:val="18"/>
                          </w:rPr>
                          <w:t>公司业务的经营发展情况、公司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发展趋势、云安全运营平台用户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及推广情况、竞争情况、员工增</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44"/>
        <w:ind w:left="0" w:right="11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6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494"/>
        <w:gridCol w:w="1687"/>
        <w:gridCol w:w="1275"/>
        <w:gridCol w:w="850"/>
        <w:gridCol w:w="1884"/>
        <w:gridCol w:w="2552"/>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长及培养情况等。</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shd w:val="clear" w:color="auto" w:fill="CCE8CF"/>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8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广发基金  华夏基金</w:t>
            </w:r>
          </w:p>
        </w:tc>
        <w:tc>
          <w:tcPr>
            <w:tcW w:w="2552"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93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tabs>
                <w:tab w:pos="1013" w:val="left" w:leader="none"/>
              </w:tabs>
              <w:spacing w:line="316" w:lineRule="auto" w:before="10"/>
              <w:ind w:left="24" w:right="48"/>
              <w:jc w:val="left"/>
              <w:rPr>
                <w:rFonts w:ascii="宋体" w:hAnsi="宋体" w:cs="宋体" w:eastAsia="宋体" w:hint="default"/>
                <w:sz w:val="18"/>
                <w:szCs w:val="18"/>
              </w:rPr>
            </w:pPr>
            <w:r>
              <w:rPr>
                <w:rFonts w:ascii="宋体" w:hAnsi="宋体" w:cs="宋体" w:eastAsia="宋体" w:hint="default"/>
                <w:sz w:val="18"/>
                <w:szCs w:val="18"/>
              </w:rPr>
              <w:t>南方基金</w:t>
              <w:tab/>
              <w:t>海通证券 海通证券</w:t>
              <w:tab/>
              <w:t>广发证券 第一创业证券</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3" w:right="-2"/>
              <w:jc w:val="both"/>
              <w:rPr>
                <w:rFonts w:ascii="宋体" w:hAnsi="宋体" w:cs="宋体" w:eastAsia="宋体" w:hint="default"/>
                <w:sz w:val="18"/>
                <w:szCs w:val="18"/>
              </w:rPr>
            </w:pPr>
            <w:r>
              <w:rPr>
                <w:rFonts w:ascii="宋体" w:hAnsi="宋体" w:cs="宋体" w:eastAsia="宋体" w:hint="default"/>
                <w:spacing w:val="-2"/>
                <w:sz w:val="18"/>
                <w:szCs w:val="18"/>
              </w:rPr>
              <w:t>公司建立实验室的情况、客户情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况、云安全运营平台研发情况、 员工变动情况等。</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shd w:val="clear" w:color="auto" w:fill="CCE8CF"/>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88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艺海集团</w:t>
            </w:r>
          </w:p>
        </w:tc>
        <w:tc>
          <w:tcPr>
            <w:tcW w:w="2552"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20"/>
              <w:jc w:val="left"/>
              <w:rPr>
                <w:rFonts w:ascii="宋体" w:hAnsi="宋体" w:cs="宋体" w:eastAsia="宋体" w:hint="default"/>
                <w:sz w:val="18"/>
                <w:szCs w:val="18"/>
              </w:rPr>
            </w:pPr>
            <w:r>
              <w:rPr>
                <w:rFonts w:ascii="宋体" w:hAnsi="宋体" w:cs="宋体" w:eastAsia="宋体" w:hint="default"/>
                <w:sz w:val="18"/>
                <w:szCs w:val="18"/>
              </w:rPr>
              <w:t>蓝盾股份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楼会议</w:t>
            </w:r>
            <w:r>
              <w:rPr>
                <w:rFonts w:ascii="宋体" w:hAnsi="宋体" w:cs="宋体" w:eastAsia="宋体" w:hint="default"/>
                <w:spacing w:val="1"/>
                <w:sz w:val="18"/>
                <w:szCs w:val="18"/>
              </w:rPr>
              <w:t> </w:t>
            </w:r>
            <w:r>
              <w:rPr>
                <w:rFonts w:ascii="宋体" w:hAnsi="宋体" w:cs="宋体" w:eastAsia="宋体" w:hint="default"/>
                <w:sz w:val="18"/>
                <w:szCs w:val="18"/>
              </w:rPr>
              <w:t>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tabs>
                <w:tab w:pos="653" w:val="left" w:leader="none"/>
              </w:tabs>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广东西域投资管理有限 公司</w:t>
              <w:tab/>
              <w:t>鹏华基金 平安资产管理有限公司 等</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
                <w:sz w:val="18"/>
                <w:szCs w:val="18"/>
              </w:rPr>
              <w:t>公司业务的经营发展情况、云安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全平台项目研发进展情况、产品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的营销推广模及竞争情况等。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28"/>
              <w:jc w:val="left"/>
              <w:rPr>
                <w:rFonts w:ascii="宋体" w:hAnsi="宋体" w:cs="宋体" w:eastAsia="宋体" w:hint="default"/>
                <w:sz w:val="18"/>
                <w:szCs w:val="18"/>
              </w:rPr>
            </w:pPr>
            <w:r>
              <w:rPr>
                <w:rFonts w:ascii="宋体" w:hAnsi="宋体" w:cs="宋体" w:eastAsia="宋体" w:hint="default"/>
                <w:sz w:val="18"/>
                <w:szCs w:val="18"/>
              </w:rPr>
              <w:t>湘财证券 广证恒生</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公司市场拓展情况、云安全运营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平台用户及推广情况、公司发展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趋势、股权激励情况等。</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shd w:val="clear" w:color="auto" w:fill="CCE8CF"/>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84" w:type="dxa"/>
            <w:tcBorders>
              <w:top w:val="single" w:sz="4" w:space="0" w:color="000000"/>
              <w:left w:val="single" w:sz="4" w:space="0" w:color="000000"/>
              <w:bottom w:val="nil" w:sz="6" w:space="0" w:color="auto"/>
              <w:right w:val="single" w:sz="4" w:space="0" w:color="000000"/>
            </w:tcBorders>
            <w:shd w:val="clear" w:color="auto" w:fill="CCE8CF"/>
          </w:tcPr>
          <w:p>
            <w:pPr/>
          </w:p>
        </w:tc>
        <w:tc>
          <w:tcPr>
            <w:tcW w:w="255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公司生产经营情况、市场及行业</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4" w:right="1128"/>
              <w:jc w:val="left"/>
              <w:rPr>
                <w:rFonts w:ascii="宋体" w:hAnsi="宋体" w:cs="宋体" w:eastAsia="宋体" w:hint="default"/>
                <w:sz w:val="18"/>
                <w:szCs w:val="18"/>
              </w:rPr>
            </w:pPr>
            <w:r>
              <w:rPr>
                <w:rFonts w:ascii="宋体" w:hAnsi="宋体" w:cs="宋体" w:eastAsia="宋体" w:hint="default"/>
                <w:sz w:val="18"/>
                <w:szCs w:val="18"/>
              </w:rPr>
              <w:t>光大证券 方正证券</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发展情况等、云安全运营平台用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户及推广情况、产品情况、股权</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shd w:val="clear" w:color="auto" w:fill="CCE8CF"/>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884" w:type="dxa"/>
            <w:tcBorders>
              <w:top w:val="nil" w:sz="6" w:space="0" w:color="auto"/>
              <w:left w:val="single" w:sz="4" w:space="0" w:color="000000"/>
              <w:bottom w:val="single" w:sz="4" w:space="0" w:color="000000"/>
              <w:right w:val="single" w:sz="4" w:space="0" w:color="000000"/>
            </w:tcBorders>
            <w:shd w:val="clear" w:color="auto" w:fill="CCE8CF"/>
          </w:tcPr>
          <w:p>
            <w:pPr/>
          </w:p>
        </w:tc>
        <w:tc>
          <w:tcPr>
            <w:tcW w:w="255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激励情况等。</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shd w:val="clear" w:color="auto" w:fill="CCE8CF"/>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884" w:type="dxa"/>
            <w:tcBorders>
              <w:top w:val="single" w:sz="4" w:space="0" w:color="000000"/>
              <w:left w:val="single" w:sz="4" w:space="0" w:color="000000"/>
              <w:bottom w:val="nil" w:sz="6" w:space="0" w:color="auto"/>
              <w:right w:val="single" w:sz="4" w:space="0" w:color="000000"/>
            </w:tcBorders>
            <w:shd w:val="clear" w:color="auto" w:fill="CCE8CF"/>
          </w:tcPr>
          <w:p>
            <w:pPr/>
          </w:p>
        </w:tc>
        <w:tc>
          <w:tcPr>
            <w:tcW w:w="255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公司产品和服务的优势、十八大</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25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对公司的影响、云安全平台项目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研发进展、用户及推广情况、公</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shd w:val="clear" w:color="auto" w:fill="CCE8CF"/>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884" w:type="dxa"/>
            <w:tcBorders>
              <w:top w:val="nil" w:sz="6" w:space="0" w:color="auto"/>
              <w:left w:val="single" w:sz="4" w:space="0" w:color="000000"/>
              <w:bottom w:val="single" w:sz="4" w:space="0" w:color="000000"/>
              <w:right w:val="single" w:sz="4" w:space="0" w:color="000000"/>
            </w:tcBorders>
            <w:shd w:val="clear" w:color="auto" w:fill="CCE8CF"/>
          </w:tcPr>
          <w:p>
            <w:pPr/>
          </w:p>
        </w:tc>
        <w:tc>
          <w:tcPr>
            <w:tcW w:w="255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司发展趋势等。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6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蓝盾股份董事会秘书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办公室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华宝证券</w:t>
            </w:r>
          </w:p>
        </w:tc>
        <w:tc>
          <w:tcPr>
            <w:tcW w:w="2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公司业务的市场情况、营销模 </w:t>
            </w:r>
            <w:r>
              <w:rPr>
                <w:rFonts w:ascii="宋体" w:hAnsi="宋体" w:cs="宋体" w:eastAsia="宋体" w:hint="default"/>
                <w:spacing w:val="-2"/>
                <w:sz w:val="18"/>
                <w:szCs w:val="18"/>
              </w:rPr>
              <w:t>式、云安全平台项目的优势、股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权激励情况等。</w:t>
            </w:r>
          </w:p>
        </w:tc>
      </w:tr>
    </w:tbl>
    <w:p>
      <w:pPr>
        <w:spacing w:after="0" w:line="316" w:lineRule="auto"/>
        <w:jc w:val="left"/>
        <w:rPr>
          <w:rFonts w:ascii="宋体" w:hAnsi="宋体" w:cs="宋体" w:eastAsia="宋体" w:hint="default"/>
          <w:sz w:val="18"/>
          <w:szCs w:val="18"/>
        </w:rPr>
        <w:sectPr>
          <w:pgSz w:w="11910" w:h="16840"/>
          <w:pgMar w:header="747" w:footer="982" w:top="1060" w:bottom="118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421"/>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本年度公司无重大诉讼、仲裁事项。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84" w:lineRule="auto"/>
        <w:ind w:left="577" w:right="0" w:firstLine="2505"/>
        <w:jc w:val="left"/>
      </w:pPr>
      <w:r>
        <w:rPr/>
        <w:t>会计师事务所对资金占用的专项审核意见 </w:t>
      </w:r>
      <w:r>
        <w:rPr>
          <w:spacing w:val="-1"/>
        </w:rPr>
        <w:t>大华会计师事务所(特殊普通合伙)对控股股东及其关联方非经营性占用资金的核查意见：编制和对外</w:t>
      </w:r>
    </w:p>
    <w:p>
      <w:pPr>
        <w:pStyle w:val="BodyText"/>
        <w:spacing w:line="338" w:lineRule="auto"/>
        <w:ind w:left="153" w:right="142"/>
        <w:jc w:val="both"/>
      </w:pPr>
      <w:r>
        <w:rPr>
          <w:spacing w:val="-1"/>
        </w:rPr>
        <w:t>披露占用资金情况表，并确保其真实性、合法性及完整性是蓝盾股份公司管理层的责任。我们对占用资金</w:t>
      </w:r>
      <w:r>
        <w:rPr>
          <w:spacing w:val="-83"/>
        </w:rPr>
        <w:t> </w:t>
      </w:r>
      <w:r>
        <w:rPr>
          <w:spacing w:val="-83"/>
        </w:rPr>
      </w:r>
      <w:r>
        <w:rPr>
          <w:spacing w:val="3"/>
        </w:rPr>
        <w:t>情况表所载资料与我们审计蓝盾股份公司</w:t>
      </w:r>
      <w:r>
        <w:rPr>
          <w:rFonts w:ascii="Times New Roman" w:hAnsi="Times New Roman" w:cs="Times New Roman" w:eastAsia="Times New Roman" w:hint="default"/>
          <w:spacing w:val="3"/>
        </w:rPr>
        <w:t>2012</w:t>
      </w:r>
      <w:r>
        <w:rPr>
          <w:spacing w:val="3"/>
        </w:rPr>
        <w:t>年度财务报表时所复核的会计资料和经审计的财务报表的</w:t>
      </w:r>
      <w:r>
        <w:rPr>
          <w:spacing w:val="-87"/>
        </w:rPr>
        <w:t> </w:t>
      </w:r>
      <w:r>
        <w:rPr>
          <w:spacing w:val="-87"/>
        </w:rPr>
      </w:r>
      <w:r>
        <w:rPr>
          <w:spacing w:val="-1"/>
        </w:rPr>
        <w:t>相关内容进行了核对，在所有重大方面没有发现不一致。除了对蓝盾股份公司实施于</w:t>
      </w:r>
      <w:r>
        <w:rPr>
          <w:rFonts w:ascii="Times New Roman" w:hAnsi="Times New Roman" w:cs="Times New Roman" w:eastAsia="Times New Roman" w:hint="default"/>
          <w:spacing w:val="-1"/>
        </w:rPr>
        <w:t>2012</w:t>
      </w:r>
      <w:r>
        <w:rPr>
          <w:spacing w:val="-1"/>
        </w:rPr>
        <w:t>年度财务报表审</w:t>
      </w:r>
      <w:r>
        <w:rPr>
          <w:spacing w:val="-83"/>
        </w:rPr>
        <w:t> </w:t>
      </w:r>
      <w:r>
        <w:rPr>
          <w:spacing w:val="-83"/>
        </w:rPr>
      </w:r>
      <w:r>
        <w:rPr>
          <w:spacing w:val="3"/>
        </w:rPr>
        <w:t>计中所执行的对关联方往来的相关审计程序外，我们并未对占用资金情况表所载资料执行额外的审计程</w:t>
      </w:r>
      <w:r>
        <w:rPr>
          <w:spacing w:val="-78"/>
        </w:rPr>
        <w:t> </w:t>
      </w:r>
      <w:r>
        <w:rPr>
          <w:spacing w:val="-78"/>
        </w:rPr>
      </w:r>
      <w:r>
        <w:rPr>
          <w:spacing w:val="-1"/>
        </w:rPr>
        <w:t>序。为了更好地理解</w:t>
      </w:r>
      <w:r>
        <w:rPr>
          <w:rFonts w:ascii="Times New Roman" w:hAnsi="Times New Roman" w:cs="Times New Roman" w:eastAsia="Times New Roman" w:hint="default"/>
          <w:spacing w:val="-1"/>
        </w:rPr>
        <w:t>2012</w:t>
      </w:r>
      <w:r>
        <w:rPr>
          <w:spacing w:val="-1"/>
        </w:rPr>
        <w:t>年度蓝盾股份公司控股股东及其他关联方占用上市公司资金情况，占用资金情况</w:t>
      </w:r>
      <w:r>
        <w:rPr>
          <w:spacing w:val="-83"/>
        </w:rPr>
        <w:t> </w:t>
      </w:r>
      <w:r>
        <w:rPr>
          <w:spacing w:val="-83"/>
        </w:rPr>
      </w:r>
      <w:r>
        <w:rPr/>
        <w:t>表应当与已审计的财务报表一并阅读。</w:t>
      </w:r>
    </w:p>
    <w:p>
      <w:pPr>
        <w:spacing w:line="240" w:lineRule="auto" w:before="4"/>
        <w:rPr>
          <w:rFonts w:ascii="宋体" w:hAnsi="宋体" w:cs="宋体" w:eastAsia="宋体" w:hint="default"/>
          <w:sz w:val="17"/>
          <w:szCs w:val="17"/>
        </w:rPr>
      </w:pPr>
    </w:p>
    <w:p>
      <w:pPr>
        <w:spacing w:line="477" w:lineRule="auto" w:before="0"/>
        <w:ind w:left="154" w:right="4939" w:firstLine="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spacing w:val="1"/>
          <w:w w:val="99"/>
          <w:sz w:val="24"/>
          <w:szCs w:val="24"/>
        </w:rPr>
        <w:t> </w:t>
      </w:r>
      <w:r>
        <w:rPr>
          <w:rFonts w:ascii="宋体" w:hAnsi="宋体" w:cs="宋体" w:eastAsia="宋体" w:hint="default"/>
          <w:spacing w:val="-1"/>
          <w:sz w:val="23"/>
          <w:szCs w:val="23"/>
        </w:rPr>
        <w:t>报告期内，公司未发生破产重组等相关事项。</w:t>
      </w:r>
      <w:r>
        <w:rPr>
          <w:rFonts w:ascii="宋体" w:hAnsi="宋体" w:cs="宋体" w:eastAsia="宋体" w:hint="default"/>
          <w:spacing w:val="-101"/>
          <w:sz w:val="23"/>
          <w:szCs w:val="23"/>
        </w:rPr>
        <w:t> </w:t>
      </w:r>
      <w:r>
        <w:rPr>
          <w:rFonts w:ascii="宋体" w:hAnsi="宋体" w:cs="宋体" w:eastAsia="宋体" w:hint="default"/>
          <w:spacing w:val="-101"/>
          <w:sz w:val="23"/>
          <w:szCs w:val="23"/>
        </w:rPr>
      </w:r>
      <w:r>
        <w:rPr>
          <w:rFonts w:ascii="宋体" w:hAnsi="宋体" w:cs="宋体" w:eastAsia="宋体" w:hint="default"/>
          <w:b/>
          <w:bCs/>
          <w:sz w:val="24"/>
          <w:szCs w:val="24"/>
        </w:rPr>
        <w:t>四、资产交易事项</w:t>
      </w:r>
      <w:r>
        <w:rPr>
          <w:rFonts w:ascii="宋体" w:hAnsi="宋体" w:cs="宋体" w:eastAsia="宋体" w:hint="default"/>
          <w:sz w:val="24"/>
          <w:szCs w:val="24"/>
        </w:rPr>
      </w:r>
    </w:p>
    <w:p>
      <w:pPr>
        <w:pStyle w:val="Heading3"/>
        <w:spacing w:line="240" w:lineRule="auto" w:before="83"/>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56"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spacing w:line="477" w:lineRule="auto" w:before="26"/>
        <w:ind w:left="154" w:right="5648" w:firstLine="0"/>
        <w:jc w:val="both"/>
        <w:rPr>
          <w:rFonts w:ascii="宋体" w:hAnsi="宋体" w:cs="宋体" w:eastAsia="宋体" w:hint="default"/>
          <w:sz w:val="24"/>
          <w:szCs w:val="24"/>
        </w:rPr>
      </w:pPr>
      <w:r>
        <w:rPr>
          <w:rFonts w:ascii="宋体" w:hAnsi="宋体" w:cs="宋体" w:eastAsia="宋体" w:hint="default"/>
          <w:b/>
          <w:bCs/>
          <w:sz w:val="24"/>
          <w:szCs w:val="24"/>
        </w:rPr>
        <w:t>五、公司股权激励的实施情况及其影响</w:t>
      </w:r>
      <w:r>
        <w:rPr>
          <w:rFonts w:ascii="宋体" w:hAnsi="宋体" w:cs="宋体" w:eastAsia="宋体" w:hint="default"/>
          <w:b/>
          <w:bCs/>
          <w:spacing w:val="1"/>
          <w:w w:val="99"/>
          <w:sz w:val="24"/>
          <w:szCs w:val="24"/>
        </w:rPr>
        <w:t> </w:t>
      </w:r>
      <w:r>
        <w:rPr>
          <w:rFonts w:ascii="宋体" w:hAnsi="宋体" w:cs="宋体" w:eastAsia="宋体" w:hint="default"/>
          <w:spacing w:val="-1"/>
          <w:sz w:val="23"/>
          <w:szCs w:val="23"/>
        </w:rPr>
        <w:t>报告期内，公司未发生股权激励的情况。</w:t>
      </w:r>
      <w:r>
        <w:rPr>
          <w:rFonts w:ascii="宋体" w:hAnsi="宋体" w:cs="宋体" w:eastAsia="宋体" w:hint="default"/>
          <w:spacing w:val="-102"/>
          <w:sz w:val="23"/>
          <w:szCs w:val="23"/>
        </w:rPr>
        <w:t> </w:t>
      </w:r>
      <w:r>
        <w:rPr>
          <w:rFonts w:ascii="宋体" w:hAnsi="宋体" w:cs="宋体" w:eastAsia="宋体" w:hint="default"/>
          <w:spacing w:val="-102"/>
          <w:sz w:val="23"/>
          <w:szCs w:val="23"/>
        </w:rPr>
      </w:r>
      <w:r>
        <w:rPr>
          <w:rFonts w:ascii="宋体" w:hAnsi="宋体" w:cs="宋体" w:eastAsia="宋体" w:hint="default"/>
          <w:b/>
          <w:bCs/>
          <w:sz w:val="24"/>
          <w:szCs w:val="24"/>
        </w:rPr>
        <w:t>六、重大关联交易</w:t>
      </w:r>
      <w:r>
        <w:rPr>
          <w:rFonts w:ascii="宋体" w:hAnsi="宋体" w:cs="宋体" w:eastAsia="宋体" w:hint="default"/>
          <w:sz w:val="24"/>
          <w:szCs w:val="24"/>
        </w:rPr>
      </w:r>
    </w:p>
    <w:p>
      <w:pPr>
        <w:pStyle w:val="Heading3"/>
        <w:spacing w:line="240" w:lineRule="auto" w:before="24"/>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before="168"/>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、资产收购、出售发生的关联交易</w:t>
      </w:r>
      <w:r>
        <w:rPr>
          <w:b w:val="0"/>
          <w:bCs w:val="0"/>
        </w:rPr>
      </w:r>
    </w:p>
    <w:p>
      <w:pPr>
        <w:spacing w:before="166"/>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、共同对外投资的重大关联交易</w:t>
      </w:r>
      <w:r>
        <w:rPr>
          <w:b w:val="0"/>
          <w:bCs w:val="0"/>
        </w:rPr>
      </w:r>
    </w:p>
    <w:p>
      <w:pPr>
        <w:spacing w:before="166"/>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before="168"/>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before="165"/>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七、重大合同及其履行情况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、为公司带来的利润达到公司本期利润总额</w:t>
      </w:r>
      <w:r>
        <w:rPr>
          <w:spacing w:val="-58"/>
        </w:rPr>
        <w:t> </w:t>
      </w:r>
      <w:r>
        <w:rPr>
          <w:rFonts w:ascii="Times New Roman" w:hAnsi="Times New Roman" w:cs="Times New Roman" w:eastAsia="Times New Roman" w:hint="default"/>
        </w:rPr>
        <w:t>10</w:t>
      </w:r>
      <w:r>
        <w:rPr/>
        <w:t>％以上（含</w:t>
      </w:r>
      <w:r>
        <w:rPr>
          <w:spacing w:val="-57"/>
        </w:rPr>
        <w:t> </w:t>
      </w:r>
      <w:r>
        <w:rPr>
          <w:rFonts w:ascii="Times New Roman" w:hAnsi="Times New Roman" w:cs="Times New Roman" w:eastAsia="Times New Roman" w:hint="default"/>
        </w:rPr>
        <w:t>10</w:t>
      </w:r>
      <w:r>
        <w:rPr/>
        <w:t>％）的托管、承包、租赁事项</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before="166"/>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before="166"/>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before="166"/>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、担保情况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公司无对外担保情况，无对子公司担保情况。</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17"/>
          <w:szCs w:val="17"/>
        </w:rPr>
      </w:pPr>
    </w:p>
    <w:p>
      <w:pPr>
        <w:pStyle w:val="BodyText"/>
        <w:spacing w:line="340" w:lineRule="auto"/>
        <w:ind w:right="136" w:firstLine="419"/>
        <w:jc w:val="left"/>
      </w:pPr>
      <w:r>
        <w:rPr/>
        <w:t>公司于 </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日与广州市职业技术教研室签订了《广州市职业技术教研室广州市职业教育信 息系统 </w:t>
      </w:r>
      <w:r>
        <w:rPr>
          <w:rFonts w:ascii="Times New Roman" w:hAnsi="Times New Roman" w:cs="Times New Roman" w:eastAsia="Times New Roman" w:hint="default"/>
        </w:rPr>
        <w:t>2011 </w:t>
      </w:r>
      <w:r>
        <w:rPr/>
        <w:t>年建设项目》的合同，合同总金额</w:t>
      </w:r>
      <w:r>
        <w:rPr>
          <w:rFonts w:ascii="Times New Roman" w:hAnsi="Times New Roman" w:cs="Times New Roman" w:eastAsia="Times New Roman" w:hint="default"/>
        </w:rPr>
        <w:t>84,690,880.00</w:t>
      </w:r>
      <w:r>
        <w:rPr>
          <w:rFonts w:ascii="Times New Roman" w:hAnsi="Times New Roman" w:cs="Times New Roman" w:eastAsia="Times New Roman" w:hint="default"/>
          <w:spacing w:val="22"/>
        </w:rPr>
        <w:t> </w:t>
      </w:r>
      <w:r>
        <w:rPr/>
        <w:t>元。目前该项目软件实施工作进入详细设计 </w:t>
      </w:r>
      <w:r>
        <w:rPr>
          <w:spacing w:val="-1"/>
        </w:rPr>
        <w:t>阶段，已完成了各项的功能需求调研和需求规格说明书和概要设计说明书编制及评审；项目硬件设备采购</w:t>
      </w:r>
      <w:r>
        <w:rPr>
          <w:spacing w:val="-81"/>
        </w:rPr>
        <w:t> </w:t>
      </w:r>
      <w:r>
        <w:rPr>
          <w:spacing w:val="-81"/>
        </w:rPr>
      </w:r>
      <w:r>
        <w:rPr/>
        <w:t>供货进行当中，并完成了各校现场施工的实际勘察，施工队进驻现场，布线实施工作展开,各子系统安装</w:t>
      </w:r>
      <w:r>
        <w:rPr/>
        <w:t> 实施进行当中，部分学校进行设备安装。</w:t>
      </w:r>
    </w:p>
    <w:p>
      <w:pPr>
        <w:spacing w:after="0" w:line="340" w:lineRule="auto"/>
        <w:jc w:val="left"/>
        <w:sectPr>
          <w:pgSz w:w="11910" w:h="16840"/>
          <w:pgMar w:header="747" w:footer="982" w:top="1060" w:bottom="1180" w:left="980" w:right="980"/>
        </w:sectPr>
      </w:pPr>
    </w:p>
    <w:p>
      <w:pPr>
        <w:pStyle w:val="Heading2"/>
        <w:spacing w:line="240" w:lineRule="auto" w:before="27"/>
        <w:ind w:left="639" w:right="0"/>
        <w:jc w:val="left"/>
        <w:rPr>
          <w:b w:val="0"/>
          <w:bCs w:val="0"/>
        </w:rPr>
      </w:pPr>
      <w:r>
        <w:rPr/>
        <w:pict>
          <v:group style="position:absolute;margin-left:70.490997pt;margin-top:2.225615pt;width:700.95pt;height:.1pt;mso-position-horizontal-relative:page;mso-position-vertical-relative:paragraph;z-index:-689752"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628.609985pt;margin-top:381.779999pt;width:52.35pt;height:150.25pt;mso-position-horizontal-relative:page;mso-position-vertical-relative:page;z-index:-689728" coordorigin="12572,7636" coordsize="1047,3005">
            <v:shape style="position:absolute;left:12572;top:7636;width:1047;height:3005" coordorigin="12572,7636" coordsize="1047,3005" path="m13619,10640l13619,7636,12572,7636,12572,10640,13619,10640xe" filled="true" fillcolor="#ffffff" stroked="false">
              <v:path arrowok="t"/>
              <v:fill type="solid"/>
            </v:shape>
            <w10:wrap type="none"/>
          </v:group>
        </w:pict>
      </w:r>
      <w:r>
        <w:rPr/>
        <w:t>八、承诺事项履行情况</w:t>
      </w:r>
      <w:r>
        <w:rPr>
          <w:b w:val="0"/>
          <w:bCs w:val="0"/>
        </w:rPr>
      </w:r>
    </w:p>
    <w:p>
      <w:pPr>
        <w:pStyle w:val="Heading3"/>
        <w:spacing w:line="240" w:lineRule="auto" w:before="142"/>
        <w:ind w:left="639"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2"/>
        <w:rPr>
          <w:rFonts w:ascii="宋体" w:hAnsi="宋体" w:cs="宋体" w:eastAsia="宋体" w:hint="default"/>
          <w:b/>
          <w:bCs/>
          <w:sz w:val="11"/>
          <w:szCs w:val="11"/>
        </w:rPr>
      </w:pPr>
    </w:p>
    <w:tbl>
      <w:tblPr>
        <w:tblW w:w="0" w:type="auto"/>
        <w:jc w:val="left"/>
        <w:tblInd w:w="113" w:type="dxa"/>
        <w:tblLayout w:type="fixed"/>
        <w:tblCellMar>
          <w:top w:w="0" w:type="dxa"/>
          <w:left w:w="0" w:type="dxa"/>
          <w:bottom w:w="0" w:type="dxa"/>
          <w:right w:w="0" w:type="dxa"/>
        </w:tblCellMar>
        <w:tblLook w:val="01E0"/>
      </w:tblPr>
      <w:tblGrid>
        <w:gridCol w:w="2160"/>
        <w:gridCol w:w="1810"/>
        <w:gridCol w:w="7668"/>
        <w:gridCol w:w="1068"/>
        <w:gridCol w:w="1188"/>
        <w:gridCol w:w="1109"/>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承诺人</w:t>
            </w:r>
          </w:p>
        </w:tc>
        <w:tc>
          <w:tcPr>
            <w:tcW w:w="7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8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8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2160" w:type="dxa"/>
            <w:tcBorders>
              <w:top w:val="single" w:sz="4" w:space="0" w:color="000000"/>
              <w:left w:val="single" w:sz="4" w:space="0" w:color="000000"/>
              <w:bottom w:val="nil" w:sz="6" w:space="0" w:color="auto"/>
              <w:right w:val="single" w:sz="4" w:space="0" w:color="000000"/>
            </w:tcBorders>
          </w:tcPr>
          <w:p>
            <w:pPr/>
          </w:p>
        </w:tc>
        <w:tc>
          <w:tcPr>
            <w:tcW w:w="1810" w:type="dxa"/>
            <w:tcBorders>
              <w:top w:val="single" w:sz="4" w:space="0" w:color="000000"/>
              <w:left w:val="single" w:sz="4" w:space="0" w:color="000000"/>
              <w:bottom w:val="nil" w:sz="6" w:space="0" w:color="auto"/>
              <w:right w:val="single" w:sz="4" w:space="0" w:color="000000"/>
            </w:tcBorders>
            <w:shd w:val="clear" w:color="auto" w:fill="CCE8CF"/>
          </w:tcPr>
          <w:p>
            <w:pPr/>
          </w:p>
        </w:tc>
        <w:tc>
          <w:tcPr>
            <w:tcW w:w="7668" w:type="dxa"/>
            <w:tcBorders>
              <w:top w:val="single" w:sz="4" w:space="0" w:color="000000"/>
              <w:left w:val="single" w:sz="4" w:space="0" w:color="000000"/>
              <w:bottom w:val="nil" w:sz="6" w:space="0" w:color="auto"/>
              <w:right w:val="single" w:sz="10" w:space="0" w:color="FFFFFF"/>
            </w:tcBorders>
            <w:shd w:val="clear" w:color="auto" w:fill="CCE8CF"/>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公司控股股东及实际控制人柯宗庆、柯宗贵兄弟二人、公司股东马美容、黄泽华、柯瑞强、</w:t>
            </w:r>
          </w:p>
        </w:tc>
        <w:tc>
          <w:tcPr>
            <w:tcW w:w="1068" w:type="dxa"/>
            <w:tcBorders>
              <w:top w:val="single" w:sz="4" w:space="0" w:color="000000"/>
              <w:left w:val="single" w:sz="10" w:space="0" w:color="FFFFFF"/>
              <w:bottom w:val="nil" w:sz="6" w:space="0" w:color="auto"/>
              <w:right w:val="single" w:sz="4" w:space="0" w:color="000000"/>
            </w:tcBorders>
          </w:tcPr>
          <w:p>
            <w:pPr/>
          </w:p>
        </w:tc>
        <w:tc>
          <w:tcPr>
            <w:tcW w:w="1188" w:type="dxa"/>
            <w:tcBorders>
              <w:top w:val="single" w:sz="4" w:space="0" w:color="000000"/>
              <w:left w:val="single" w:sz="4" w:space="0" w:color="000000"/>
              <w:bottom w:val="nil" w:sz="6" w:space="0" w:color="auto"/>
              <w:right w:val="single" w:sz="4" w:space="0" w:color="000000"/>
            </w:tcBorders>
            <w:shd w:val="clear" w:color="auto" w:fill="CCE8CF"/>
          </w:tcPr>
          <w:p>
            <w:pPr/>
          </w:p>
        </w:tc>
        <w:tc>
          <w:tcPr>
            <w:tcW w:w="1109"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12"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广州欣晟以及广州欣晟股东柯端霞、柯瑞坤、陈文浩分别承诺：自公司首次公开发行的股票在证</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3"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券交易所上市之日起三十六个月内，不转让或者委托他人管理其在公司首次公开发行股票前所直</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接和间接持有的公司股份，也不由公司回购其所持有的该等股份。</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31"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公司控股股东及实际</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49"/>
              <w:ind w:right="66"/>
              <w:jc w:val="right"/>
              <w:rPr>
                <w:rFonts w:ascii="宋体" w:hAnsi="宋体" w:cs="宋体" w:eastAsia="宋体" w:hint="default"/>
                <w:sz w:val="18"/>
                <w:szCs w:val="18"/>
              </w:rPr>
            </w:pPr>
            <w:r>
              <w:rPr>
                <w:rFonts w:ascii="宋体" w:hAnsi="宋体" w:cs="宋体" w:eastAsia="宋体" w:hint="default"/>
                <w:sz w:val="18"/>
                <w:szCs w:val="18"/>
              </w:rPr>
              <w:t>公司其他股东深圳博益、华软投资、宝德投资、瑞华信投资、李根森、张征、罗伟广、谭云</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控制人柯宗庆、柯宗贵</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亮、王廉君分别承诺：自公司首次公开发行的股票在证券交易所上市之日起十二个月内，不转让</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兄弟二人、公司股东马</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或者委托他人管理其在公司首次公开发行股票前所持有的公司股份，也不由公司回购其所持有的</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期限：自公司</w:t>
            </w: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3"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2" w:right="-33"/>
              <w:jc w:val="left"/>
              <w:rPr>
                <w:rFonts w:ascii="宋体" w:hAnsi="宋体" w:cs="宋体" w:eastAsia="宋体" w:hint="default"/>
                <w:sz w:val="18"/>
                <w:szCs w:val="18"/>
              </w:rPr>
            </w:pPr>
            <w:r>
              <w:rPr>
                <w:rFonts w:ascii="宋体" w:hAnsi="宋体" w:cs="宋体" w:eastAsia="宋体" w:hint="default"/>
                <w:spacing w:val="-16"/>
                <w:sz w:val="18"/>
                <w:szCs w:val="18"/>
              </w:rPr>
              <w:t>美容、黄泽华、柯瑞强、</w:t>
            </w:r>
            <w:r>
              <w:rPr>
                <w:rFonts w:ascii="宋体" w:hAnsi="宋体" w:cs="宋体" w:eastAsia="宋体" w:hint="default"/>
                <w:sz w:val="18"/>
                <w:szCs w:val="18"/>
              </w:rPr>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该等股份。</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股票上市之日</w:t>
            </w: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1619" w:hRule="exact"/>
        </w:trPr>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广州欣晟以及广州欣 晟股东柯端霞、柯瑞 坤、陈文浩公司</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其他股东深圳博益、华</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300" w:lineRule="auto" w:before="69"/>
              <w:ind w:left="22" w:right="24" w:firstLine="360"/>
              <w:jc w:val="both"/>
              <w:rPr>
                <w:rFonts w:ascii="宋体" w:hAnsi="宋体" w:cs="宋体" w:eastAsia="宋体" w:hint="default"/>
                <w:sz w:val="18"/>
                <w:szCs w:val="18"/>
              </w:rPr>
            </w:pPr>
            <w:r>
              <w:rPr>
                <w:rFonts w:ascii="宋体" w:hAnsi="宋体" w:cs="宋体" w:eastAsia="宋体" w:hint="default"/>
                <w:spacing w:val="-2"/>
                <w:sz w:val="18"/>
                <w:szCs w:val="18"/>
              </w:rPr>
              <w:t>上述锁定期满后，担任公司董事、监事及高级管理人员的股东同时承诺：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、在任职期间内每</w:t>
            </w:r>
            <w:r>
              <w:rPr>
                <w:rFonts w:ascii="宋体" w:hAnsi="宋体" w:cs="宋体" w:eastAsia="宋体" w:hint="default"/>
                <w:sz w:val="18"/>
                <w:szCs w:val="18"/>
              </w:rPr>
              <w:t> 年转让的公司股份不超过其所直接和间接持有公司股份总数的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 直接和间接持有的公司股份。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股并在创业板上市之日起六个月内申报离职 的，自申报离职之日起十八个月内不转让本人直接持有的公司股份；在公司公开发行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股并在创 业板上市之日起第七个月至第十二个月之间申报离职的，自申报离职之日起十二个月内不转让本</w:t>
            </w:r>
          </w:p>
        </w:tc>
        <w:tc>
          <w:tcPr>
            <w:tcW w:w="1068"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ind w:left="23" w:right="72"/>
              <w:jc w:val="left"/>
              <w:rPr>
                <w:rFonts w:ascii="宋体" w:hAnsi="宋体" w:cs="宋体" w:eastAsia="宋体" w:hint="default"/>
                <w:sz w:val="18"/>
                <w:szCs w:val="18"/>
              </w:rPr>
            </w:pPr>
            <w:r>
              <w:rPr>
                <w:rFonts w:ascii="宋体" w:hAnsi="宋体" w:cs="宋体" w:eastAsia="宋体" w:hint="default"/>
                <w:sz w:val="18"/>
                <w:szCs w:val="18"/>
              </w:rPr>
              <w:t>起三十六个月 内；及自公司 股票上市之日 起十二个月 内；</w:t>
            </w: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5"/>
                <w:sz w:val="18"/>
                <w:szCs w:val="18"/>
              </w:rPr>
              <w:t>报告期内，股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东均遵守了 所作出的承 诺。</w:t>
            </w:r>
          </w:p>
        </w:tc>
      </w:tr>
      <w:tr>
        <w:trPr>
          <w:trHeight w:val="312"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软投资、宝德投资、瑞</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人直接持有的公司股份。因公司进行权益分派等导致直接持有公司股份发生变化的，亦遵守上述</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3"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华信投资、李根森、张</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规定。自离职申报之日起六个月内，增持本公司股份也将予以锁定。</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32"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征、罗伟广、谭云亮、</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50"/>
              <w:ind w:right="66"/>
              <w:jc w:val="right"/>
              <w:rPr>
                <w:rFonts w:ascii="宋体" w:hAnsi="宋体" w:cs="宋体" w:eastAsia="宋体" w:hint="default"/>
                <w:sz w:val="18"/>
                <w:szCs w:val="18"/>
              </w:rPr>
            </w:pPr>
            <w:r>
              <w:rPr>
                <w:rFonts w:ascii="宋体" w:hAnsi="宋体" w:cs="宋体" w:eastAsia="宋体" w:hint="default"/>
                <w:sz w:val="18"/>
                <w:szCs w:val="18"/>
              </w:rPr>
              <w:t>为避免未来可能发生的同业竞争，更好地维护中小股东的利益，公司控股股东、实际控制人</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争：长期</w:t>
            </w: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37"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28"/>
                <w:sz w:val="18"/>
                <w:szCs w:val="18"/>
              </w:rPr>
              <w:t>、</w:t>
            </w:r>
            <w:r>
              <w:rPr>
                <w:rFonts w:ascii="宋体" w:hAnsi="宋体" w:cs="宋体" w:eastAsia="宋体" w:hint="default"/>
                <w:sz w:val="18"/>
                <w:szCs w:val="18"/>
              </w:rPr>
              <w:t>柯宗贵二人出具</w:t>
            </w:r>
            <w:r>
              <w:rPr>
                <w:rFonts w:ascii="宋体" w:hAnsi="宋体" w:cs="宋体" w:eastAsia="宋体" w:hint="default"/>
                <w:spacing w:val="-28"/>
                <w:sz w:val="18"/>
                <w:szCs w:val="18"/>
              </w:rPr>
              <w:t>了</w:t>
            </w:r>
            <w:r>
              <w:rPr>
                <w:rFonts w:ascii="宋体" w:hAnsi="宋体" w:cs="宋体" w:eastAsia="宋体" w:hint="default"/>
                <w:sz w:val="18"/>
                <w:szCs w:val="18"/>
              </w:rPr>
              <w:t>《避免同业竞争承诺函</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主要内容如下</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8"/>
                <w:sz w:val="18"/>
                <w:szCs w:val="18"/>
              </w:rPr>
              <w:t>）</w:t>
            </w:r>
            <w:r>
              <w:rPr>
                <w:rFonts w:ascii="宋体" w:hAnsi="宋体" w:cs="宋体" w:eastAsia="宋体" w:hint="default"/>
                <w:sz w:val="18"/>
                <w:szCs w:val="18"/>
              </w:rPr>
              <w:t>截至该承诺函出具之日</w:t>
            </w:r>
          </w:p>
        </w:tc>
        <w:tc>
          <w:tcPr>
            <w:tcW w:w="1068" w:type="dxa"/>
            <w:tcBorders>
              <w:top w:val="nil" w:sz="6" w:space="0" w:color="auto"/>
              <w:left w:val="single" w:sz="10" w:space="0" w:color="FFFFFF"/>
              <w:bottom w:val="nil" w:sz="6" w:space="0" w:color="auto"/>
              <w:right w:val="single" w:sz="4" w:space="0" w:color="000000"/>
            </w:tcBorders>
          </w:tcPr>
          <w:p>
            <w:pPr>
              <w:pStyle w:val="TableParagraph"/>
              <w:spacing w:line="240" w:lineRule="auto" w:before="3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承诺人未投资于任何与本公司存在有相同或类似业务的公司、企业或其他经营实体，未经营也没</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有为他人经营与本公司相同或类似的业务；承诺人与本公司不存在同业竞争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）自本承诺函出</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2160" w:type="dxa"/>
            <w:tcBorders>
              <w:top w:val="nil" w:sz="6" w:space="0" w:color="auto"/>
              <w:left w:val="single" w:sz="4" w:space="0" w:color="000000"/>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shd w:val="clear" w:color="auto" w:fill="CCE8CF"/>
          </w:tcPr>
          <w:p>
            <w:pPr/>
          </w:p>
        </w:tc>
        <w:tc>
          <w:tcPr>
            <w:tcW w:w="7668"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具日始，承诺人自身不会开展、并保证将促使其控制（包括直接控制和间接控制）的除本公司以</w:t>
            </w:r>
          </w:p>
        </w:tc>
        <w:tc>
          <w:tcPr>
            <w:tcW w:w="1068" w:type="dxa"/>
            <w:tcBorders>
              <w:top w:val="nil" w:sz="6" w:space="0" w:color="auto"/>
              <w:left w:val="single" w:sz="10" w:space="0" w:color="FFFFFF"/>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shd w:val="clear" w:color="auto" w:fill="CCE8CF"/>
          </w:tcPr>
          <w:p>
            <w:pPr/>
          </w:p>
        </w:tc>
        <w:tc>
          <w:tcPr>
            <w:tcW w:w="1109"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2160" w:type="dxa"/>
            <w:tcBorders>
              <w:top w:val="nil" w:sz="6" w:space="0" w:color="auto"/>
              <w:left w:val="single" w:sz="4" w:space="0" w:color="000000"/>
              <w:bottom w:val="single" w:sz="4" w:space="0" w:color="000000"/>
              <w:right w:val="single" w:sz="4" w:space="0" w:color="000000"/>
            </w:tcBorders>
          </w:tcPr>
          <w:p>
            <w:pPr/>
          </w:p>
        </w:tc>
        <w:tc>
          <w:tcPr>
            <w:tcW w:w="1810" w:type="dxa"/>
            <w:tcBorders>
              <w:top w:val="nil" w:sz="6" w:space="0" w:color="auto"/>
              <w:left w:val="single" w:sz="4" w:space="0" w:color="000000"/>
              <w:bottom w:val="single" w:sz="4" w:space="0" w:color="000000"/>
              <w:right w:val="single" w:sz="4" w:space="0" w:color="000000"/>
            </w:tcBorders>
            <w:shd w:val="clear" w:color="auto" w:fill="CCE8CF"/>
          </w:tcPr>
          <w:p>
            <w:pPr/>
          </w:p>
        </w:tc>
        <w:tc>
          <w:tcPr>
            <w:tcW w:w="7668" w:type="dxa"/>
            <w:tcBorders>
              <w:top w:val="nil" w:sz="6" w:space="0" w:color="auto"/>
              <w:left w:val="single" w:sz="4" w:space="0" w:color="000000"/>
              <w:bottom w:val="single" w:sz="4" w:space="0" w:color="000000"/>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外的其他子企业（以下称</w:t>
            </w:r>
            <w:r>
              <w:rPr>
                <w:rFonts w:ascii="Times New Roman" w:hAnsi="Times New Roman" w:cs="Times New Roman" w:eastAsia="Times New Roman" w:hint="default"/>
                <w:sz w:val="18"/>
                <w:szCs w:val="18"/>
              </w:rPr>
              <w:t>“</w:t>
            </w:r>
            <w:r>
              <w:rPr>
                <w:rFonts w:ascii="宋体" w:hAnsi="宋体" w:cs="宋体" w:eastAsia="宋体" w:hint="default"/>
                <w:sz w:val="18"/>
                <w:szCs w:val="18"/>
              </w:rPr>
              <w:t>其他子企业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）不开展对与本公司生产经营有相同或类似业务的投入，</w:t>
            </w:r>
          </w:p>
        </w:tc>
        <w:tc>
          <w:tcPr>
            <w:tcW w:w="1068" w:type="dxa"/>
            <w:tcBorders>
              <w:top w:val="nil" w:sz="6" w:space="0" w:color="auto"/>
              <w:left w:val="single" w:sz="10" w:space="0" w:color="FFFFFF"/>
              <w:bottom w:val="single" w:sz="4" w:space="0" w:color="000000"/>
              <w:right w:val="single" w:sz="4" w:space="0" w:color="000000"/>
            </w:tcBorders>
          </w:tcPr>
          <w:p>
            <w:pPr/>
          </w:p>
        </w:tc>
        <w:tc>
          <w:tcPr>
            <w:tcW w:w="1188" w:type="dxa"/>
            <w:tcBorders>
              <w:top w:val="nil" w:sz="6" w:space="0" w:color="auto"/>
              <w:left w:val="single" w:sz="4" w:space="0" w:color="000000"/>
              <w:bottom w:val="single" w:sz="4" w:space="0" w:color="000000"/>
              <w:right w:val="single" w:sz="4" w:space="0" w:color="000000"/>
            </w:tcBorders>
            <w:shd w:val="clear" w:color="auto" w:fill="CCE8CF"/>
          </w:tcPr>
          <w:p>
            <w:pPr/>
          </w:p>
        </w:tc>
        <w:tc>
          <w:tcPr>
            <w:tcW w:w="1109"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after="0"/>
        <w:sectPr>
          <w:headerReference w:type="default" r:id="rId15"/>
          <w:footerReference w:type="default" r:id="rId16"/>
          <w:pgSz w:w="16840" w:h="11910" w:orient="landscape"/>
          <w:pgMar w:header="867" w:footer="978" w:top="1060" w:bottom="1160" w:left="800" w:right="800"/>
          <w:pgNumType w:start="43"/>
        </w:sectPr>
      </w:pPr>
    </w:p>
    <w:p>
      <w:pPr>
        <w:spacing w:line="240" w:lineRule="auto" w:before="4"/>
        <w:rPr>
          <w:rFonts w:ascii="Times New Roman" w:hAnsi="Times New Roman" w:cs="Times New Roman" w:eastAsia="Times New Roman" w:hint="default"/>
          <w:sz w:val="3"/>
          <w:szCs w:val="3"/>
        </w:rPr>
      </w:pPr>
      <w:r>
        <w:rPr/>
        <w:pict>
          <v:shape style="position:absolute;margin-left:441.349304pt;margin-top:57.18pt;width:239.6pt;height:282.850pt;mso-position-horizontal-relative:page;mso-position-vertical-relative:page;z-index:-689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1009" w:firstLine="0"/>
                    <w:jc w:val="right"/>
                    <w:rPr>
                      <w:rFonts w:ascii="宋体" w:hAnsi="宋体" w:cs="宋体" w:eastAsia="宋体" w:hint="default"/>
                      <w:sz w:val="18"/>
                      <w:szCs w:val="18"/>
                    </w:rPr>
                  </w:pPr>
                  <w:r>
                    <w:rPr>
                      <w:rFonts w:ascii="宋体" w:hAnsi="宋体" w:cs="宋体" w:eastAsia="宋体" w:hint="default"/>
                      <w:sz w:val="18"/>
                      <w:szCs w:val="18"/>
                    </w:rPr>
                    <w:t>发展任何与本公司业务直接或可能竞争的业务、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spacing w:before="0"/>
                    <w:ind w:left="0" w:right="1010"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3" w:type="dxa"/>
        <w:tblLayout w:type="fixed"/>
        <w:tblCellMar>
          <w:top w:w="0" w:type="dxa"/>
          <w:left w:w="0" w:type="dxa"/>
          <w:bottom w:w="0" w:type="dxa"/>
          <w:right w:w="0" w:type="dxa"/>
        </w:tblCellMar>
        <w:tblLook w:val="01E0"/>
      </w:tblPr>
      <w:tblGrid>
        <w:gridCol w:w="2160"/>
        <w:gridCol w:w="1810"/>
        <w:gridCol w:w="7656"/>
        <w:gridCol w:w="1080"/>
        <w:gridCol w:w="1188"/>
        <w:gridCol w:w="1109"/>
      </w:tblGrid>
      <w:tr>
        <w:trPr>
          <w:trHeight w:val="5681" w:hRule="exact"/>
        </w:trPr>
        <w:tc>
          <w:tcPr>
            <w:tcW w:w="2160" w:type="dxa"/>
            <w:tcBorders>
              <w:top w:val="single" w:sz="15" w:space="0" w:color="000000"/>
              <w:left w:val="single" w:sz="4" w:space="0" w:color="000000"/>
              <w:bottom w:val="single" w:sz="4" w:space="0" w:color="000000"/>
              <w:right w:val="single" w:sz="4" w:space="0" w:color="000000"/>
            </w:tcBorders>
          </w:tcPr>
          <w:p>
            <w:pPr/>
          </w:p>
        </w:tc>
        <w:tc>
          <w:tcPr>
            <w:tcW w:w="1810"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7656"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今后不会新设或收购从事与本公司有相同或类似业务的子公司、分公司等经营性机构，不在中国 境内或境外成立、经营、发展或协助成立、经营、 企业、项目或其他任何活动，以避免对本公司的生产经营构成新的、可能的直接或间接的业务竞 </w:t>
            </w:r>
            <w:r>
              <w:rPr>
                <w:rFonts w:ascii="宋体" w:hAnsi="宋体" w:cs="宋体" w:eastAsia="宋体" w:hint="default"/>
                <w:spacing w:val="-3"/>
                <w:sz w:val="18"/>
                <w:szCs w:val="18"/>
              </w:rPr>
              <w:t>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）承诺人将不利用对本公司的控制关系或其他关系进行损害本公司及其股东合法权益的经</w:t>
            </w:r>
            <w:r>
              <w:rPr>
                <w:rFonts w:ascii="宋体" w:hAnsi="宋体" w:cs="宋体" w:eastAsia="宋体" w:hint="default"/>
                <w:spacing w:val="-51"/>
                <w:sz w:val="18"/>
                <w:szCs w:val="18"/>
              </w:rPr>
              <w:t> </w:t>
            </w:r>
            <w:r>
              <w:rPr>
                <w:rFonts w:ascii="宋体" w:hAnsi="宋体" w:cs="宋体" w:eastAsia="宋体" w:hint="default"/>
                <w:spacing w:val="-5"/>
                <w:sz w:val="18"/>
                <w:szCs w:val="18"/>
              </w:rPr>
              <w:t>营活动。（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）承诺人其他子企业高级管理人员将不兼任本公司之高级管理人员。（</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）无论是由承</w:t>
            </w:r>
            <w:r>
              <w:rPr>
                <w:rFonts w:ascii="宋体" w:hAnsi="宋体" w:cs="宋体" w:eastAsia="宋体" w:hint="default"/>
                <w:spacing w:val="-50"/>
                <w:sz w:val="18"/>
                <w:szCs w:val="18"/>
              </w:rPr>
              <w:t> </w:t>
            </w:r>
            <w:r>
              <w:rPr>
                <w:rFonts w:ascii="宋体" w:hAnsi="宋体" w:cs="宋体" w:eastAsia="宋体" w:hint="default"/>
                <w:sz w:val="18"/>
                <w:szCs w:val="18"/>
              </w:rPr>
              <w:t>诺人或承诺人其他子企业自身研究开发的、或从国外引进或与他人合作开发的与本公司生产、经 </w:t>
            </w:r>
            <w:r>
              <w:rPr>
                <w:rFonts w:ascii="宋体" w:hAnsi="宋体" w:cs="宋体" w:eastAsia="宋体" w:hint="default"/>
                <w:spacing w:val="-3"/>
                <w:sz w:val="18"/>
                <w:szCs w:val="18"/>
              </w:rPr>
              <w:t>营有关的新技术、新产品，本公司均有优先受让、生产的权利。（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）承诺人或承诺人其他子企业</w:t>
            </w:r>
            <w:r>
              <w:rPr>
                <w:rFonts w:ascii="宋体" w:hAnsi="宋体" w:cs="宋体" w:eastAsia="宋体" w:hint="default"/>
                <w:spacing w:val="-51"/>
                <w:sz w:val="18"/>
                <w:szCs w:val="18"/>
              </w:rPr>
              <w:t> </w:t>
            </w:r>
            <w:r>
              <w:rPr>
                <w:rFonts w:ascii="宋体" w:hAnsi="宋体" w:cs="宋体" w:eastAsia="宋体" w:hint="default"/>
                <w:sz w:val="18"/>
                <w:szCs w:val="18"/>
              </w:rPr>
              <w:t>如拟出售与本公司生产、经营相关的任何其他资产、业务或权益，本公司均有优先购买的权利； 承诺人承诺其自身、并保证将促使承诺人其他子企业在出售或转让有关资产或业务时给予本公司 </w:t>
            </w:r>
            <w:r>
              <w:rPr>
                <w:rFonts w:ascii="宋体" w:hAnsi="宋体" w:cs="宋体" w:eastAsia="宋体" w:hint="default"/>
                <w:spacing w:val="-6"/>
                <w:sz w:val="18"/>
                <w:szCs w:val="18"/>
              </w:rPr>
              <w:t>的条件不逊于向任何独立第三方提供的条件。（</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）若发生上述第（</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）项所述情况，承诺人</w:t>
            </w:r>
            <w:r>
              <w:rPr>
                <w:rFonts w:ascii="宋体" w:hAnsi="宋体" w:cs="宋体" w:eastAsia="宋体" w:hint="default"/>
                <w:sz w:val="18"/>
                <w:szCs w:val="18"/>
              </w:rPr>
              <w:t> 承诺其自身、并保证将促使承诺人其他子企业尽快将有关新技术、新产品、欲出售或转让的资产 或业务的情况以书面形式通知本公司，并尽快提供本公司合理要求的资料。本公司可在接到通知 </w:t>
            </w:r>
            <w:r>
              <w:rPr>
                <w:rFonts w:ascii="宋体" w:hAnsi="宋体" w:cs="宋体" w:eastAsia="宋体" w:hint="default"/>
                <w:spacing w:val="-3"/>
                <w:sz w:val="18"/>
                <w:szCs w:val="18"/>
              </w:rPr>
              <w:t>后三十天内决定是否行使有关优先购买或生产权。（</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）如本公司进一步拓展其产品和业务范围，</w:t>
            </w:r>
            <w:r>
              <w:rPr>
                <w:rFonts w:ascii="宋体" w:hAnsi="宋体" w:cs="宋体" w:eastAsia="宋体" w:hint="default"/>
                <w:spacing w:val="-51"/>
                <w:sz w:val="18"/>
                <w:szCs w:val="18"/>
              </w:rPr>
              <w:t> </w:t>
            </w:r>
            <w:r>
              <w:rPr>
                <w:rFonts w:ascii="宋体" w:hAnsi="宋体" w:cs="宋体" w:eastAsia="宋体" w:hint="default"/>
                <w:sz w:val="18"/>
                <w:szCs w:val="18"/>
              </w:rPr>
              <w:t>承诺人承诺其自身、并保证将促使承诺人其他子企业将不与本公司拓展后的产品或业务相竞争； 可能与本公司拓展后的产品或业务产生竞争的，承诺人自身、并保证将促使承诺人其他子企业将 </w:t>
            </w:r>
            <w:r>
              <w:rPr>
                <w:rFonts w:ascii="宋体" w:hAnsi="宋体" w:cs="宋体" w:eastAsia="宋体" w:hint="default"/>
                <w:spacing w:val="-2"/>
                <w:sz w:val="18"/>
                <w:szCs w:val="18"/>
              </w:rPr>
              <w:t>按包括但不限于以下方式退出与本公司的竞争：</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）停止生产构成竞争或可能构成竞争的产品；</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停止经营构成竞争或可能构成竞争的业务；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）将相竞争的业务纳入到本公司来经营；</w:t>
            </w:r>
            <w:r>
              <w:rPr>
                <w:rFonts w:ascii="Times New Roman" w:hAnsi="Times New Roman" w:cs="Times New Roman" w:eastAsia="Times New Roman" w:hint="default"/>
                <w:sz w:val="18"/>
                <w:szCs w:val="18"/>
              </w:rPr>
              <w:t>4</w:t>
            </w:r>
            <w:r>
              <w:rPr>
                <w:rFonts w:ascii="宋体" w:hAnsi="宋体" w:cs="宋体" w:eastAsia="宋体" w:hint="default"/>
                <w:sz w:val="18"/>
                <w:szCs w:val="18"/>
              </w:rPr>
              <w:t>）将相竞 争的业务转让给无关联的第三方；</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）其他对维护本公司权益有利的方式。</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565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53.55pt;height:282.850pt;mso-position-horizontal-relative:char;mso-position-vertical-relative:line" coordorigin="0,0" coordsize="1071,5657">
                  <v:group style="position:absolute;left:0;top:0;width:1071;height:5657" coordorigin="0,0" coordsize="1071,5657">
                    <v:shape style="position:absolute;left:0;top:0;width:1071;height:5657" coordorigin="0,0" coordsize="1071,5657" path="m0,0l0,5657,1070,5657,1070,0,0,0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1188"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109" w:type="dxa"/>
            <w:tcBorders>
              <w:top w:val="single" w:sz="15"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8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28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w:t>
            </w:r>
          </w:p>
        </w:tc>
        <w:tc>
          <w:tcPr>
            <w:tcW w:w="12842"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是否就导致的同业竞争和 关联交易问题作出承诺</w:t>
            </w:r>
          </w:p>
        </w:tc>
        <w:tc>
          <w:tcPr>
            <w:tcW w:w="128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12842"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12842"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12842"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截止到报告期末，上述承诺人严格信守承诺，未出现违反承诺的情况发生。</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800" w:right="800"/>
        </w:sectPr>
      </w:pPr>
    </w:p>
    <w:p>
      <w:pPr>
        <w:spacing w:line="240" w:lineRule="auto" w:before="6"/>
        <w:rPr>
          <w:rFonts w:ascii="Times New Roman" w:hAnsi="Times New Roman" w:cs="Times New Roman" w:eastAsia="Times New Roman" w:hint="default"/>
          <w:sz w:val="23"/>
          <w:szCs w:val="23"/>
        </w:rPr>
      </w:pPr>
    </w:p>
    <w:p>
      <w:pPr>
        <w:pStyle w:val="Heading3"/>
        <w:spacing w:line="256"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张晓辉 王玉芳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60" w:lineRule="auto" w:before="116"/>
        <w:ind w:left="153" w:right="8151" w:firstLine="0"/>
        <w:jc w:val="left"/>
        <w:rPr>
          <w:rFonts w:ascii="宋体" w:hAnsi="宋体" w:cs="宋体" w:eastAsia="宋体" w:hint="default"/>
          <w:sz w:val="18"/>
          <w:szCs w:val="18"/>
        </w:rPr>
      </w:pPr>
      <w:r>
        <w:rPr>
          <w:rFonts w:ascii="宋体" w:hAnsi="宋体" w:cs="宋体" w:eastAsia="宋体" w:hint="default"/>
          <w:sz w:val="18"/>
          <w:szCs w:val="18"/>
        </w:rPr>
        <w:t>√ 是 □ 否 原聘任的会计事务所</w:t>
      </w:r>
    </w:p>
    <w:tbl>
      <w:tblPr>
        <w:tblW w:w="0" w:type="auto"/>
        <w:jc w:val="left"/>
        <w:tblInd w:w="149" w:type="dxa"/>
        <w:tblLayout w:type="fixed"/>
        <w:tblCellMar>
          <w:top w:w="0" w:type="dxa"/>
          <w:left w:w="0" w:type="dxa"/>
          <w:bottom w:w="0" w:type="dxa"/>
          <w:right w:w="0" w:type="dxa"/>
        </w:tblCellMar>
        <w:tblLook w:val="01E0"/>
      </w:tblPr>
      <w:tblGrid>
        <w:gridCol w:w="3886"/>
        <w:gridCol w:w="5654"/>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北京永拓会计师事务所有限责任公司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tabs>
                <w:tab w:pos="92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张晓辉</w:t>
              <w:tab/>
              <w:t>范桂荣</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是否在审计期间改聘会计师事务所</w:t>
      </w:r>
    </w:p>
    <w:p>
      <w:pPr>
        <w:spacing w:line="357" w:lineRule="auto" w:before="117"/>
        <w:ind w:left="153" w:right="6891" w:firstLine="0"/>
        <w:jc w:val="left"/>
        <w:rPr>
          <w:rFonts w:ascii="宋体" w:hAnsi="宋体" w:cs="宋体" w:eastAsia="宋体" w:hint="default"/>
          <w:sz w:val="18"/>
          <w:szCs w:val="18"/>
        </w:rPr>
      </w:pPr>
      <w:r>
        <w:rPr>
          <w:rFonts w:ascii="宋体" w:hAnsi="宋体" w:cs="宋体" w:eastAsia="宋体" w:hint="default"/>
          <w:sz w:val="18"/>
          <w:szCs w:val="18"/>
        </w:rPr>
        <w:t>√ 是 □ 否 更换会计师事务所是否履行审批程序</w:t>
      </w:r>
    </w:p>
    <w:p>
      <w:pPr>
        <w:spacing w:line="357" w:lineRule="auto" w:before="29"/>
        <w:ind w:left="153" w:right="7071" w:firstLine="0"/>
        <w:jc w:val="left"/>
        <w:rPr>
          <w:rFonts w:ascii="宋体" w:hAnsi="宋体" w:cs="宋体" w:eastAsia="宋体" w:hint="default"/>
          <w:sz w:val="18"/>
          <w:szCs w:val="18"/>
        </w:rPr>
      </w:pPr>
      <w:r>
        <w:rPr>
          <w:rFonts w:ascii="宋体" w:hAnsi="宋体" w:cs="宋体" w:eastAsia="宋体" w:hint="default"/>
          <w:sz w:val="18"/>
          <w:szCs w:val="18"/>
        </w:rPr>
        <w:t>√ 是 □ 否 聘任、解聘会计师事务所情况说明</w:t>
      </w:r>
    </w:p>
    <w:p>
      <w:pPr>
        <w:pStyle w:val="BodyText"/>
        <w:spacing w:line="345" w:lineRule="auto" w:before="91"/>
        <w:ind w:right="0" w:firstLine="420"/>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日召开的第一届董事会第十九次会议，审议通过了《关于改聘会计师事务所的议 </w:t>
      </w:r>
      <w:r>
        <w:rPr>
          <w:spacing w:val="-1"/>
        </w:rPr>
        <w:t>案》。公司原聘审计机构为北京永拓会计师事务所有限责任公司，由于负责公司审计业务的主要签字会计</w:t>
      </w:r>
      <w:r>
        <w:rPr>
          <w:spacing w:val="-83"/>
        </w:rPr>
        <w:t> </w:t>
      </w:r>
      <w:r>
        <w:rPr>
          <w:spacing w:val="-83"/>
        </w:rPr>
      </w:r>
      <w:r>
        <w:rPr>
          <w:spacing w:val="-1"/>
        </w:rPr>
        <w:t>师张晓辉先生因个人原因进行了工作调动，调到大华会计师事务所（特殊普通合伙）工作，为了保证以后</w:t>
      </w:r>
      <w:r>
        <w:rPr>
          <w:spacing w:val="-82"/>
        </w:rPr>
        <w:t> </w:t>
      </w:r>
      <w:r>
        <w:rPr>
          <w:spacing w:val="-82"/>
        </w:rPr>
      </w:r>
      <w:r>
        <w:rPr>
          <w:spacing w:val="-1"/>
        </w:rPr>
        <w:t>年度审计工作的顺利开展且与之前年度审计工作的相互衔接，公司经过认真考虑和调查后，决定改聘会计</w:t>
      </w:r>
      <w:r>
        <w:rPr>
          <w:spacing w:val="-81"/>
        </w:rPr>
        <w:t> </w:t>
      </w:r>
      <w:r>
        <w:rPr>
          <w:spacing w:val="-81"/>
        </w:rPr>
      </w:r>
      <w:r>
        <w:rPr/>
        <w:t>师事务所。</w:t>
      </w:r>
    </w:p>
    <w:p>
      <w:pPr>
        <w:spacing w:line="240" w:lineRule="auto" w:before="11"/>
        <w:rPr>
          <w:rFonts w:ascii="宋体" w:hAnsi="宋体" w:cs="宋体" w:eastAsia="宋体" w:hint="default"/>
          <w:sz w:val="16"/>
          <w:szCs w:val="16"/>
        </w:rPr>
      </w:pPr>
    </w:p>
    <w:p>
      <w:pPr>
        <w:pStyle w:val="Heading2"/>
        <w:spacing w:line="240" w:lineRule="auto"/>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上市公司及其子公司是否被列入环保部门公布的污染严重企业名单</w:t>
      </w:r>
    </w:p>
    <w:p>
      <w:pPr>
        <w:spacing w:line="340" w:lineRule="auto" w:before="11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上市公司及其子公司是否存在其他重大社会安全问题</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headerReference w:type="default" r:id="rId17"/>
          <w:footerReference w:type="default" r:id="rId18"/>
          <w:pgSz w:w="11910" w:h="16840"/>
          <w:pgMar w:header="877" w:footer="982" w:top="1100" w:bottom="1180" w:left="980" w:right="980"/>
          <w:pgNumType w:start="45"/>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报告期内是否被行政处罚</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before="167"/>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before="149"/>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十三、违规对外担保情况</w:t>
      </w:r>
      <w:r>
        <w:rPr>
          <w:b w:val="0"/>
          <w:bCs w:val="0"/>
        </w:rPr>
      </w:r>
    </w:p>
    <w:p>
      <w:pPr>
        <w:spacing w:before="167"/>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十四、年度报告披露后面临暂停上市和终止上市情况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公司未发生年度报告披露后面临暂停上市和终止上市的情况。</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十五、其他重大事项的说明</w:t>
      </w:r>
      <w:r>
        <w:rPr>
          <w:b w:val="0"/>
          <w:bCs w:val="0"/>
        </w:rPr>
      </w:r>
    </w:p>
    <w:p>
      <w:pPr>
        <w:spacing w:before="167"/>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02"/>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11"/>
        <w:rPr>
          <w:rFonts w:ascii="宋体" w:hAnsi="宋体" w:cs="宋体" w:eastAsia="宋体" w:hint="default"/>
          <w:b/>
          <w:bCs/>
          <w:sz w:val="29"/>
          <w:szCs w:val="29"/>
        </w:rPr>
      </w:pPr>
    </w:p>
    <w:p>
      <w:pPr>
        <w:pStyle w:val="Heading2"/>
        <w:spacing w:line="240" w:lineRule="auto" w:before="26"/>
        <w:ind w:right="10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0"/>
        <w:gridCol w:w="956"/>
        <w:gridCol w:w="845"/>
        <w:gridCol w:w="998"/>
        <w:gridCol w:w="614"/>
        <w:gridCol w:w="709"/>
        <w:gridCol w:w="842"/>
        <w:gridCol w:w="1015"/>
        <w:gridCol w:w="992"/>
        <w:gridCol w:w="814"/>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1820" w:type="dxa"/>
            <w:vMerge w:val="restart"/>
            <w:tcBorders>
              <w:top w:val="nil" w:sz="6" w:space="0" w:color="auto"/>
              <w:left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1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1820" w:type="dxa"/>
            <w:vMerge/>
            <w:tcBorders>
              <w:left w:val="single" w:sz="4" w:space="0" w:color="000000"/>
              <w:bottom w:val="nil" w:sz="6" w:space="0" w:color="auto"/>
              <w:right w:val="single" w:sz="4" w:space="0" w:color="000000"/>
            </w:tcBorders>
            <w:shd w:val="clear" w:color="auto" w:fill="D3D3D3"/>
          </w:tcPr>
          <w:p>
            <w:pPr/>
          </w:p>
        </w:tc>
        <w:tc>
          <w:tcPr>
            <w:tcW w:w="9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3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9" w:type="dxa"/>
            <w:vMerge/>
            <w:tcBorders>
              <w:left w:val="single" w:sz="4" w:space="0" w:color="000000"/>
              <w:right w:val="single" w:sz="4" w:space="0" w:color="000000"/>
            </w:tcBorders>
            <w:shd w:val="clear" w:color="auto" w:fill="D3D3D3"/>
          </w:tcPr>
          <w:p>
            <w:pP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3D3D3"/>
          </w:tcPr>
          <w:p>
            <w:pPr/>
          </w:p>
        </w:tc>
        <w:tc>
          <w:tcPr>
            <w:tcW w:w="956"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998" w:type="dxa"/>
            <w:vMerge/>
            <w:tcBorders>
              <w:left w:val="single" w:sz="4" w:space="0" w:color="000000"/>
              <w:bottom w:val="nil" w:sz="6" w:space="0" w:color="auto"/>
              <w:right w:val="single" w:sz="4" w:space="0" w:color="000000"/>
            </w:tcBorders>
            <w:shd w:val="clear" w:color="auto" w:fill="D3D3D3"/>
          </w:tcPr>
          <w:p>
            <w:pPr/>
          </w:p>
        </w:tc>
        <w:tc>
          <w:tcPr>
            <w:tcW w:w="614"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1015"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1820" w:type="dxa"/>
            <w:vMerge/>
            <w:tcBorders>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1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-4,800,000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9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-4,800,000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-4,800,000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23.93%</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99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51.07%</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6" w:type="dxa"/>
            <w:tcBorders>
              <w:top w:val="single" w:sz="4" w:space="0" w:color="000000"/>
              <w:left w:val="single" w:sz="13" w:space="0" w:color="D3D3D3"/>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4,800,000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56" w:type="dxa"/>
            <w:tcBorders>
              <w:top w:val="single" w:sz="4" w:space="0" w:color="000000"/>
              <w:left w:val="single" w:sz="13" w:space="0" w:color="D3D3D3"/>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4,800,000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b/>
          <w:bCs/>
          <w:sz w:val="6"/>
          <w:szCs w:val="6"/>
        </w:rPr>
      </w:pPr>
    </w:p>
    <w:p>
      <w:pPr>
        <w:spacing w:before="44"/>
        <w:ind w:left="154" w:right="10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240" w:lineRule="auto" w:before="89"/>
        <w:ind w:left="322" w:right="102"/>
        <w:jc w:val="left"/>
      </w:pP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月份公开发行股票并在创业板上市，公司总股份由</w:t>
      </w:r>
      <w:r>
        <w:rPr>
          <w:rFonts w:ascii="Times New Roman" w:hAnsi="Times New Roman" w:cs="Times New Roman" w:eastAsia="Times New Roman" w:hint="default"/>
        </w:rPr>
        <w:t>7,350.00</w:t>
      </w:r>
      <w:r>
        <w:rPr/>
        <w:t>万股增加到</w:t>
      </w:r>
      <w:r>
        <w:rPr>
          <w:rFonts w:ascii="Times New Roman" w:hAnsi="Times New Roman" w:cs="Times New Roman" w:eastAsia="Times New Roman" w:hint="default"/>
        </w:rPr>
        <w:t>9,800.00</w:t>
      </w:r>
      <w:r>
        <w:rPr/>
        <w:t>万股。</w:t>
      </w:r>
    </w:p>
    <w:p>
      <w:pPr>
        <w:spacing w:line="240" w:lineRule="auto" w:before="0"/>
        <w:rPr>
          <w:rFonts w:ascii="宋体" w:hAnsi="宋体" w:cs="宋体" w:eastAsia="宋体" w:hint="default"/>
          <w:sz w:val="22"/>
          <w:szCs w:val="22"/>
        </w:rPr>
      </w:pPr>
    </w:p>
    <w:p>
      <w:pPr>
        <w:spacing w:before="152"/>
        <w:ind w:left="154" w:right="102"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left="153" w:right="210" w:firstLine="336"/>
        <w:jc w:val="both"/>
      </w:pPr>
      <w:r>
        <w:rPr>
          <w:spacing w:val="-2"/>
        </w:rPr>
        <w:t>中国证券监督管理委员会证监许可</w:t>
      </w:r>
      <w:r>
        <w:rPr>
          <w:rFonts w:ascii="Times New Roman" w:hAnsi="Times New Roman" w:cs="Times New Roman" w:eastAsia="Times New Roman" w:hint="default"/>
          <w:spacing w:val="-2"/>
        </w:rPr>
        <w:t>[2012]41</w:t>
      </w:r>
      <w:r>
        <w:rPr>
          <w:spacing w:val="-2"/>
        </w:rPr>
        <w:t>号文《关于核准蓝盾信息安全技术股份有限公司首次公开发</w:t>
      </w:r>
      <w:r>
        <w:rPr/>
        <w:t> 行股票并在创业板上市的批复》，核准本公司公开发行人民币普通股股票</w:t>
      </w:r>
      <w:r>
        <w:rPr>
          <w:rFonts w:ascii="Times New Roman" w:hAnsi="Times New Roman" w:cs="Times New Roman" w:eastAsia="Times New Roman" w:hint="default"/>
        </w:rPr>
        <w:t>2,450</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 </w:t>
      </w:r>
      <w:r>
        <w:rPr>
          <w:spacing w:val="-1"/>
        </w:rPr>
        <w:t>在深圳证券交易所上市（股票简称“蓝盾股份”，股票代码“</w:t>
      </w:r>
      <w:r>
        <w:rPr>
          <w:rFonts w:ascii="Times New Roman" w:hAnsi="Times New Roman" w:cs="Times New Roman" w:eastAsia="Times New Roman" w:hint="default"/>
          <w:spacing w:val="-1"/>
        </w:rPr>
        <w:t>300297</w:t>
      </w:r>
      <w:r>
        <w:rPr>
          <w:spacing w:val="-1"/>
        </w:rPr>
        <w:t>”）。公司首次公开发行股票并上市</w:t>
      </w:r>
      <w:r>
        <w:rPr>
          <w:spacing w:val="-88"/>
        </w:rPr>
        <w:t> </w:t>
      </w:r>
      <w:r>
        <w:rPr>
          <w:spacing w:val="-88"/>
        </w:rPr>
      </w:r>
      <w:r>
        <w:rPr/>
        <w:t>后，公司总股份由</w:t>
      </w:r>
      <w:r>
        <w:rPr>
          <w:rFonts w:ascii="Times New Roman" w:hAnsi="Times New Roman" w:cs="Times New Roman" w:eastAsia="Times New Roman" w:hint="default"/>
        </w:rPr>
        <w:t>7,350.00</w:t>
      </w:r>
      <w:r>
        <w:rPr/>
        <w:t>万股增加到</w:t>
      </w:r>
      <w:r>
        <w:rPr>
          <w:rFonts w:ascii="Times New Roman" w:hAnsi="Times New Roman" w:cs="Times New Roman" w:eastAsia="Times New Roman" w:hint="default"/>
        </w:rPr>
        <w:t>9,800.00</w:t>
      </w:r>
      <w:r>
        <w:rPr/>
        <w:t>万股。</w:t>
      </w:r>
    </w:p>
    <w:p>
      <w:pPr>
        <w:spacing w:line="240" w:lineRule="auto" w:before="4"/>
        <w:rPr>
          <w:rFonts w:ascii="宋体" w:hAnsi="宋体" w:cs="宋体" w:eastAsia="宋体" w:hint="default"/>
          <w:sz w:val="32"/>
          <w:szCs w:val="32"/>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pStyle w:val="BodyText"/>
        <w:spacing w:line="256" w:lineRule="auto" w:before="90"/>
        <w:ind w:left="153" w:right="295" w:firstLine="315"/>
        <w:jc w:val="both"/>
      </w:pPr>
      <w:r>
        <w:rPr/>
        <w:t>公司</w:t>
      </w:r>
      <w:r>
        <w:rPr>
          <w:rFonts w:ascii="Times New Roman" w:hAnsi="Times New Roman" w:cs="Times New Roman" w:eastAsia="Times New Roman" w:hint="default"/>
        </w:rPr>
        <w:t>2012</w:t>
      </w:r>
      <w:r>
        <w:rPr/>
        <w:t>年发行新股</w:t>
      </w:r>
      <w:r>
        <w:rPr>
          <w:rFonts w:ascii="Times New Roman" w:hAnsi="Times New Roman" w:cs="Times New Roman" w:eastAsia="Times New Roman" w:hint="default"/>
        </w:rPr>
        <w:t>2450</w:t>
      </w:r>
      <w:r>
        <w:rPr/>
        <w:t>万股，持有人新增股份已全部在中国证券登记结算有限责任公司深圳分公司 办理股份登记手续。</w:t>
      </w:r>
    </w:p>
    <w:p>
      <w:pPr>
        <w:spacing w:line="240" w:lineRule="auto" w:before="0"/>
        <w:rPr>
          <w:rFonts w:ascii="宋体" w:hAnsi="宋体" w:cs="宋体" w:eastAsia="宋体" w:hint="default"/>
          <w:sz w:val="20"/>
          <w:szCs w:val="20"/>
        </w:rPr>
      </w:pPr>
    </w:p>
    <w:p>
      <w:pPr>
        <w:spacing w:before="178"/>
        <w:ind w:left="154" w:right="102"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4" w:right="10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66" w:lineRule="auto" w:before="89"/>
        <w:ind w:left="153" w:right="102" w:firstLine="420"/>
        <w:jc w:val="left"/>
      </w:pPr>
      <w:r>
        <w:rPr>
          <w:spacing w:val="-1"/>
        </w:rPr>
        <w:t>报告期内，公司于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日公开发行新股，总股本由</w:t>
      </w:r>
      <w:r>
        <w:rPr>
          <w:rFonts w:ascii="Times New Roman" w:hAnsi="Times New Roman" w:cs="Times New Roman" w:eastAsia="Times New Roman" w:hint="default"/>
          <w:spacing w:val="-1"/>
        </w:rPr>
        <w:t>7350</w:t>
      </w:r>
      <w:r>
        <w:rPr>
          <w:spacing w:val="-1"/>
        </w:rPr>
        <w:t>万股增加至</w:t>
      </w:r>
      <w:r>
        <w:rPr>
          <w:rFonts w:ascii="Times New Roman" w:hAnsi="Times New Roman" w:cs="Times New Roman" w:eastAsia="Times New Roman" w:hint="default"/>
          <w:spacing w:val="-1"/>
        </w:rPr>
        <w:t>9800</w:t>
      </w:r>
      <w:r>
        <w:rPr>
          <w:spacing w:val="-1"/>
        </w:rPr>
        <w:t>万股。本次股份变动，</w:t>
      </w:r>
      <w:r>
        <w:rPr/>
        <w:t> 对公司最近一年和最近一期基本收益和稀释每股收益、归属于公司普通股股东的每股净资产等财务指标的 影响如下：</w:t>
      </w:r>
    </w:p>
    <w:p>
      <w:pPr>
        <w:spacing w:after="0" w:line="266" w:lineRule="auto"/>
        <w:jc w:val="left"/>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79"/>
        <w:gridCol w:w="1749"/>
        <w:gridCol w:w="1735"/>
        <w:gridCol w:w="1736"/>
      </w:tblGrid>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财务指标</w:t>
            </w:r>
          </w:p>
        </w:tc>
        <w:tc>
          <w:tcPr>
            <w:tcW w:w="1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tabs>
                <w:tab w:pos="1209" w:val="left" w:leader="none"/>
              </w:tabs>
              <w:spacing w:line="240" w:lineRule="auto" w:before="51"/>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6.6815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97.35%</w:t>
            </w:r>
          </w:p>
        </w:tc>
      </w:tr>
    </w:tbl>
    <w:p>
      <w:pPr>
        <w:spacing w:line="240" w:lineRule="auto" w:before="5"/>
        <w:rPr>
          <w:rFonts w:ascii="宋体" w:hAnsi="宋体" w:cs="宋体" w:eastAsia="宋体" w:hint="default"/>
          <w:sz w:val="24"/>
          <w:szCs w:val="24"/>
        </w:rPr>
      </w:pPr>
    </w:p>
    <w:p>
      <w:pPr>
        <w:spacing w:line="357" w:lineRule="auto" w:before="44"/>
        <w:ind w:left="153" w:right="5811" w:firstLine="0"/>
        <w:jc w:val="left"/>
        <w:rPr>
          <w:rFonts w:ascii="宋体" w:hAnsi="宋体" w:cs="宋体" w:eastAsia="宋体" w:hint="default"/>
          <w:sz w:val="18"/>
          <w:szCs w:val="18"/>
        </w:rPr>
      </w:pPr>
      <w:r>
        <w:rPr/>
        <w:pict>
          <v:group style="position:absolute;margin-left:227.039993pt;margin-top:-36.637669pt;width:85.2pt;height:20.8pt;mso-position-horizontal-relative:page;mso-position-vertical-relative:paragraph;z-index:-689656" coordorigin="4541,-733" coordsize="1704,416">
            <v:group style="position:absolute;left:4552;top:-721;width:2;height:393" coordorigin="4552,-721" coordsize="2,393">
              <v:shape style="position:absolute;left:4552;top:-721;width:2;height:393" coordorigin="4552,-721" coordsize="0,393" path="m4552,-721l4552,-329e" filled="false" stroked="true" strokeweight="1.140pt" strokecolor="#ffffff">
                <v:path arrowok="t"/>
              </v:shape>
            </v:group>
            <v:group style="position:absolute;left:4564;top:-721;width:1682;height:393" coordorigin="4564,-721" coordsize="1682,393">
              <v:shape style="position:absolute;left:4564;top:-721;width:1682;height:393" coordorigin="4564,-721" coordsize="1682,393" path="m4564,-329l6245,-329,6245,-721,4564,-721,4564,-329xe" filled="true" fillcolor="#ffffff" stroked="false">
                <v:path arrowok="t"/>
                <v:fill type="solid"/>
              </v:shape>
            </v:group>
            <w10:wrap type="none"/>
          </v:group>
        </w:pict>
      </w:r>
      <w:r>
        <w:rPr>
          <w:rFonts w:ascii="宋体" w:hAnsi="宋体" w:cs="宋体" w:eastAsia="宋体" w:hint="default"/>
          <w:sz w:val="18"/>
          <w:szCs w:val="18"/>
        </w:rPr>
        <w:t>公司认为必要或证券监管机构要求披露的其他内容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234"/>
        <w:gridCol w:w="1276"/>
        <w:gridCol w:w="1367"/>
        <w:gridCol w:w="1102"/>
        <w:gridCol w:w="1559"/>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0" w:right="7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18,690,700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18,690,700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18,690,700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18,690,700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深圳市博益投资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华软创业投资无 锡合伙企业（有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深圳瑞华信投资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广州欣晟投资咨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谭云亮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李根森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昆仑信托有限责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网下新股配 售规定</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986"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浙商证券－农行</w:t>
            </w:r>
          </w:p>
          <w:p>
            <w:pPr>
              <w:pStyle w:val="TableParagraph"/>
              <w:spacing w:line="300" w:lineRule="auto" w:before="76"/>
              <w:ind w:left="22" w:right="74"/>
              <w:jc w:val="left"/>
              <w:rPr>
                <w:rFonts w:ascii="宋体" w:hAnsi="宋体" w:cs="宋体" w:eastAsia="宋体" w:hint="default"/>
                <w:sz w:val="18"/>
                <w:szCs w:val="18"/>
              </w:rPr>
            </w:pPr>
            <w:r>
              <w:rPr>
                <w:rFonts w:ascii="宋体" w:hAnsi="宋体" w:cs="宋体" w:eastAsia="宋体" w:hint="default"/>
                <w:sz w:val="18"/>
                <w:szCs w:val="18"/>
              </w:rPr>
              <w:t>－浙商汇金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 集合资产管理计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网下新股配 售规定</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234"/>
        <w:gridCol w:w="1276"/>
        <w:gridCol w:w="1367"/>
        <w:gridCol w:w="1102"/>
        <w:gridCol w:w="1559"/>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0" w:right="7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367"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shd w:val="clear" w:color="auto" w:fill="CCE8CF"/>
          </w:tcPr>
          <w:p>
            <w:pPr/>
          </w:p>
        </w:tc>
        <w:tc>
          <w:tcPr>
            <w:tcW w:w="1559"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625" w:hRule="exact"/>
        </w:trPr>
        <w:tc>
          <w:tcPr>
            <w:tcW w:w="136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金鹰主题优势股 票型证券投资基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167"/>
              <w:jc w:val="left"/>
              <w:rPr>
                <w:rFonts w:ascii="宋体" w:hAnsi="宋体" w:cs="宋体" w:eastAsia="宋体" w:hint="default"/>
                <w:sz w:val="18"/>
                <w:szCs w:val="18"/>
              </w:rPr>
            </w:pPr>
            <w:r>
              <w:rPr>
                <w:rFonts w:ascii="宋体" w:hAnsi="宋体" w:cs="宋体" w:eastAsia="宋体" w:hint="default"/>
                <w:sz w:val="18"/>
                <w:szCs w:val="18"/>
              </w:rPr>
              <w:t>网下新股配 售规定</w:t>
            </w:r>
          </w:p>
        </w:tc>
        <w:tc>
          <w:tcPr>
            <w:tcW w:w="155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67" w:type="dxa"/>
            <w:tcBorders>
              <w:top w:val="nil" w:sz="6" w:space="0" w:color="auto"/>
              <w:left w:val="single" w:sz="4" w:space="0" w:color="000000"/>
              <w:bottom w:val="single" w:sz="4" w:space="0" w:color="000000"/>
              <w:right w:val="single" w:sz="4" w:space="0" w:color="000000"/>
            </w:tcBorders>
          </w:tcPr>
          <w:p>
            <w:pPr/>
          </w:p>
        </w:tc>
        <w:tc>
          <w:tcPr>
            <w:tcW w:w="12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shd w:val="clear" w:color="auto" w:fill="CCE8CF"/>
          </w:tcPr>
          <w:p>
            <w:pPr/>
          </w:p>
        </w:tc>
        <w:tc>
          <w:tcPr>
            <w:tcW w:w="1559"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中国银行－银华 永祥保本混合型 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网下新股配 售规定</w:t>
            </w:r>
          </w:p>
        </w:tc>
        <w:tc>
          <w:tcPr>
            <w:tcW w:w="15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73,500,000</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134"/>
        <w:gridCol w:w="1367"/>
        <w:gridCol w:w="1519"/>
        <w:gridCol w:w="1367"/>
        <w:gridCol w:w="90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1" w:right="23"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2" w:hRule="exact"/>
        </w:trPr>
        <w:tc>
          <w:tcPr>
            <w:tcW w:w="926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24,500,000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24,500,000</w:t>
            </w:r>
          </w:p>
        </w:tc>
        <w:tc>
          <w:tcPr>
            <w:tcW w:w="90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证券发行情况的说明</w:t>
      </w:r>
    </w:p>
    <w:p>
      <w:pPr>
        <w:spacing w:line="240" w:lineRule="auto" w:before="10"/>
        <w:rPr>
          <w:rFonts w:ascii="宋体" w:hAnsi="宋体" w:cs="宋体" w:eastAsia="宋体" w:hint="default"/>
          <w:sz w:val="13"/>
          <w:szCs w:val="13"/>
        </w:rPr>
      </w:pPr>
    </w:p>
    <w:p>
      <w:pPr>
        <w:pStyle w:val="BodyText"/>
        <w:spacing w:line="331" w:lineRule="auto"/>
        <w:ind w:left="153" w:right="150" w:firstLine="336"/>
        <w:jc w:val="both"/>
      </w:pPr>
      <w:r>
        <w:rPr>
          <w:spacing w:val="-2"/>
        </w:rPr>
        <w:t>中国证券监督管理委员会证监许可</w:t>
      </w:r>
      <w:r>
        <w:rPr>
          <w:rFonts w:ascii="Times New Roman" w:hAnsi="Times New Roman" w:cs="Times New Roman" w:eastAsia="Times New Roman" w:hint="default"/>
          <w:spacing w:val="-2"/>
        </w:rPr>
        <w:t>[2012]41</w:t>
      </w:r>
      <w:r>
        <w:rPr>
          <w:spacing w:val="-2"/>
        </w:rPr>
        <w:t>号文《关于核准蓝盾信息安全技术股份有限公司首次公开发</w:t>
      </w:r>
      <w:r>
        <w:rPr/>
        <w:t> 行股票并在创业板上市的批复》，核准本公司公开发行人民币普通股股票</w:t>
      </w:r>
      <w:r>
        <w:rPr>
          <w:rFonts w:ascii="Times New Roman" w:hAnsi="Times New Roman" w:cs="Times New Roman" w:eastAsia="Times New Roman" w:hint="default"/>
        </w:rPr>
        <w:t>2,450</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 </w:t>
      </w:r>
      <w:r>
        <w:rPr>
          <w:spacing w:val="-1"/>
        </w:rPr>
        <w:t>在深圳证券交易所上市（股票简称“蓝盾股份”，股票代码“</w:t>
      </w:r>
      <w:r>
        <w:rPr>
          <w:rFonts w:ascii="Times New Roman" w:hAnsi="Times New Roman" w:cs="Times New Roman" w:eastAsia="Times New Roman" w:hint="default"/>
          <w:spacing w:val="-1"/>
        </w:rPr>
        <w:t>300297</w:t>
      </w:r>
      <w:r>
        <w:rPr>
          <w:spacing w:val="-1"/>
        </w:rPr>
        <w:t>”）。公司首次公开发行股票并上市</w:t>
      </w:r>
      <w:r>
        <w:rPr>
          <w:spacing w:val="-88"/>
        </w:rPr>
        <w:t> </w:t>
      </w:r>
      <w:r>
        <w:rPr>
          <w:spacing w:val="-88"/>
        </w:rPr>
      </w:r>
      <w:r>
        <w:rPr/>
        <w:t>后，公司总股份由</w:t>
      </w:r>
      <w:r>
        <w:rPr>
          <w:rFonts w:ascii="Times New Roman" w:hAnsi="Times New Roman" w:cs="Times New Roman" w:eastAsia="Times New Roman" w:hint="default"/>
        </w:rPr>
        <w:t>7,350.00</w:t>
      </w:r>
      <w:r>
        <w:rPr/>
        <w:t>万股增加到</w:t>
      </w:r>
      <w:r>
        <w:rPr>
          <w:rFonts w:ascii="Times New Roman" w:hAnsi="Times New Roman" w:cs="Times New Roman" w:eastAsia="Times New Roman" w:hint="default"/>
        </w:rPr>
        <w:t>9,800.00</w:t>
      </w:r>
      <w:r>
        <w:rPr/>
        <w:t>万股。</w:t>
      </w:r>
    </w:p>
    <w:p>
      <w:pPr>
        <w:spacing w:line="240" w:lineRule="auto" w:before="9"/>
        <w:rPr>
          <w:rFonts w:ascii="宋体" w:hAnsi="宋体" w:cs="宋体" w:eastAsia="宋体" w:hint="default"/>
          <w:sz w:val="17"/>
          <w:szCs w:val="17"/>
        </w:rPr>
      </w:pPr>
    </w:p>
    <w:p>
      <w:pPr>
        <w:spacing w:line="511" w:lineRule="auto" w:before="0"/>
        <w:ind w:left="154" w:right="2919"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99"/>
          <w:sz w:val="21"/>
          <w:szCs w:val="21"/>
        </w:rPr>
        <w:t> </w:t>
      </w:r>
      <w:r>
        <w:rPr>
          <w:rFonts w:ascii="宋体" w:hAnsi="宋体" w:cs="宋体" w:eastAsia="宋体" w:hint="default"/>
          <w:sz w:val="21"/>
          <w:szCs w:val="21"/>
        </w:rPr>
        <w:t>报告期，公司因发行新股上市，影响公司股份总数及股东结构发生变动。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pStyle w:val="Heading3"/>
        <w:spacing w:line="240" w:lineRule="auto" w:before="51"/>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351"/>
        <w:gridCol w:w="1362"/>
        <w:gridCol w:w="1379"/>
        <w:gridCol w:w="1374"/>
        <w:gridCol w:w="1357"/>
        <w:gridCol w:w="1362"/>
        <w:gridCol w:w="1374"/>
      </w:tblGrid>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9"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8,118</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9,619</w:t>
            </w:r>
          </w:p>
        </w:tc>
      </w:tr>
      <w:tr>
        <w:trPr>
          <w:trHeight w:val="402"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6" w:hRule="exact"/>
        </w:trPr>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6"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6" w:hRule="exact"/>
        </w:trPr>
        <w:tc>
          <w:tcPr>
            <w:tcW w:w="135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57" w:type="dxa"/>
            <w:vMerge/>
            <w:tcBorders>
              <w:left w:val="single" w:sz="4" w:space="0" w:color="000000"/>
              <w:right w:val="single" w:sz="4" w:space="0" w:color="000000"/>
            </w:tcBorders>
            <w:shd w:val="clear" w:color="auto" w:fill="D3D3D3"/>
          </w:tcPr>
          <w:p>
            <w:pP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51"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c>
          <w:tcPr>
            <w:tcW w:w="1357" w:type="dxa"/>
            <w:vMerge/>
            <w:tcBorders>
              <w:left w:val="single" w:sz="4" w:space="0" w:color="000000"/>
              <w:right w:val="single" w:sz="4" w:space="0" w:color="000000"/>
            </w:tcBorders>
            <w:shd w:val="clear" w:color="auto" w:fill="D3D3D3"/>
          </w:tcPr>
          <w:p>
            <w:pPr/>
          </w:p>
        </w:tc>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19.07%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18,690,700</w:t>
            </w:r>
          </w:p>
        </w:tc>
        <w:tc>
          <w:tcPr>
            <w:tcW w:w="1357" w:type="dxa"/>
            <w:tcBorders>
              <w:top w:val="single" w:sz="22" w:space="0" w:color="D3D3D3"/>
              <w:left w:val="single" w:sz="4" w:space="0" w:color="000000"/>
              <w:bottom w:val="single" w:sz="4" w:space="0" w:color="000000"/>
              <w:right w:val="single" w:sz="4" w:space="0" w:color="000000"/>
            </w:tcBorders>
          </w:tcPr>
          <w:p>
            <w:pPr>
              <w:pStyle w:val="TableParagraph"/>
              <w:spacing w:line="240" w:lineRule="auto" w:before="68"/>
              <w:ind w:left="512" w:right="0"/>
              <w:jc w:val="left"/>
              <w:rPr>
                <w:rFonts w:ascii="Times New Roman" w:hAnsi="Times New Roman" w:cs="Times New Roman" w:eastAsia="Times New Roman" w:hint="default"/>
                <w:sz w:val="18"/>
                <w:szCs w:val="18"/>
              </w:rPr>
            </w:pPr>
            <w:r>
              <w:rPr>
                <w:rFonts w:ascii="Times New Roman"/>
                <w:sz w:val="18"/>
              </w:rPr>
              <w:t>18,690,700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18,690,700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18,690,700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深圳市博益投资 发展有限公司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华软创业投资无 锡合伙企业（有 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深圳瑞华信投资 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广州欣晟投资咨 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谭云亮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5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0"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3"/>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中国农业银行－嘉实领先成长股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466,095</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宋学军</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400,080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刘文华</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343,219</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林瑜</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203,100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骆德阳</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170,686</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项纪青</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 信用交易担保证券账户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135,700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134,900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张淑娟</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122,028</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顾坤荣</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1378"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8"/>
              <w:ind w:left="22"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33" w:firstLine="360"/>
              <w:jc w:val="both"/>
              <w:rPr>
                <w:rFonts w:ascii="宋体" w:hAnsi="宋体" w:cs="宋体" w:eastAsia="宋体" w:hint="default"/>
                <w:sz w:val="18"/>
                <w:szCs w:val="18"/>
              </w:rPr>
            </w:pPr>
            <w:r>
              <w:rPr>
                <w:rFonts w:ascii="宋体" w:hAnsi="宋体" w:cs="宋体" w:eastAsia="宋体" w:hint="default"/>
                <w:spacing w:val="-2"/>
                <w:sz w:val="18"/>
                <w:szCs w:val="18"/>
              </w:rPr>
              <w:t>柯宗庆和柯宗贵为兄弟；柯瑞强为柯宗庆、柯宗贵的侄子；马美容是公司股东柯宗</w:t>
            </w:r>
            <w:r>
              <w:rPr>
                <w:rFonts w:ascii="宋体" w:hAnsi="宋体" w:cs="宋体" w:eastAsia="宋体" w:hint="default"/>
                <w:sz w:val="18"/>
                <w:szCs w:val="18"/>
              </w:rPr>
              <w:t> 庆、柯宗贵的兄弟的配偶，也即柯瑞强的母亲；黄泽华是柯宗庆、柯宗贵姊妹的配偶； 陈文浩是柯宗庆、柯宗贵侄女的配偶。</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除上述关联关系外，公司其他股东之间不存在关联关系。</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b/>
          <w:bCs/>
          <w:sz w:val="27"/>
          <w:szCs w:val="27"/>
        </w:rPr>
      </w:pPr>
    </w:p>
    <w:p>
      <w:pPr>
        <w:pStyle w:val="BodyText"/>
        <w:spacing w:line="328" w:lineRule="auto" w:before="35"/>
        <w:ind w:left="153" w:right="102" w:firstLine="480"/>
        <w:jc w:val="left"/>
      </w:pPr>
      <w:r>
        <w:rPr>
          <w:spacing w:val="-2"/>
        </w:rPr>
        <w:t>公司的控股股东为自然人柯宗庆、柯宗贵兄弟二人。兄弟二人本次发行前合计持有公司</w:t>
      </w:r>
      <w:r>
        <w:rPr>
          <w:rFonts w:ascii="Times New Roman" w:hAnsi="Times New Roman" w:cs="Times New Roman" w:eastAsia="Times New Roman" w:hint="default"/>
          <w:spacing w:val="-2"/>
        </w:rPr>
        <w:t>37,381,400</w:t>
      </w:r>
      <w:r>
        <w:rPr>
          <w:spacing w:val="-2"/>
        </w:rPr>
        <w:t>股，</w:t>
      </w:r>
      <w:r>
        <w:rPr/>
        <w:t> 占发行前总股本的</w:t>
      </w:r>
      <w:r>
        <w:rPr>
          <w:rFonts w:ascii="Times New Roman" w:hAnsi="Times New Roman" w:cs="Times New Roman" w:eastAsia="Times New Roman" w:hint="default"/>
        </w:rPr>
        <w:t>50.86%</w:t>
      </w:r>
      <w:r>
        <w:rPr/>
        <w:t>。柯宗庆、柯宗贵基本情况如下：</w:t>
      </w:r>
    </w:p>
    <w:p>
      <w:pPr>
        <w:pStyle w:val="BodyText"/>
        <w:spacing w:line="336" w:lineRule="auto" w:before="24"/>
        <w:ind w:left="153" w:right="210" w:firstLine="480"/>
        <w:jc w:val="both"/>
      </w:pPr>
      <w:r>
        <w:rPr/>
        <w:t>柯宗庆：男，</w:t>
      </w:r>
      <w:r>
        <w:rPr>
          <w:rFonts w:ascii="Times New Roman" w:hAnsi="Times New Roman" w:cs="Times New Roman" w:eastAsia="Times New Roman" w:hint="default"/>
        </w:rPr>
        <w:t>1956 </w:t>
      </w:r>
      <w:r>
        <w:rPr/>
        <w:t>年出生，中国国籍，无境外永久居留权。</w:t>
      </w:r>
      <w:r>
        <w:rPr>
          <w:rFonts w:ascii="Times New Roman" w:hAnsi="Times New Roman" w:cs="Times New Roman" w:eastAsia="Times New Roman" w:hint="default"/>
        </w:rPr>
        <w:t>1981</w:t>
      </w:r>
      <w:r>
        <w:rPr>
          <w:rFonts w:ascii="Times New Roman" w:hAnsi="Times New Roman" w:cs="Times New Roman" w:eastAsia="Times New Roman" w:hint="default"/>
          <w:spacing w:val="18"/>
        </w:rPr>
        <w:t> </w:t>
      </w:r>
      <w:r>
        <w:rPr/>
        <w:t>年毕业于华南师范大学物理系，广 </w:t>
      </w:r>
      <w:r>
        <w:rPr>
          <w:spacing w:val="-1"/>
        </w:rPr>
        <w:t>东省计算机信息网络安全协会副会长，广东省计算机学会副理事长；曾任职于华南师范大学生物系、华南</w:t>
      </w:r>
      <w:r>
        <w:rPr>
          <w:spacing w:val="-83"/>
        </w:rPr>
        <w:t> </w:t>
      </w:r>
      <w:r>
        <w:rPr>
          <w:spacing w:val="-83"/>
        </w:rPr>
      </w:r>
      <w:r>
        <w:rPr>
          <w:spacing w:val="-5"/>
        </w:rPr>
        <w:t>师范大学微电子所、广东水晶球技术发展有限公司、广州水晶球信息技术有限公司；</w:t>
      </w:r>
      <w:r>
        <w:rPr>
          <w:rFonts w:ascii="Times New Roman" w:hAnsi="Times New Roman" w:cs="Times New Roman" w:eastAsia="Times New Roman" w:hint="default"/>
          <w:spacing w:val="-5"/>
        </w:rPr>
        <w:t>2002 </w:t>
      </w:r>
      <w:r>
        <w:rPr/>
        <w:t>年至</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 任职广东天海威数码技术有限公司，现任本公司董事长。</w:t>
      </w:r>
    </w:p>
    <w:p>
      <w:pPr>
        <w:pStyle w:val="BodyText"/>
        <w:spacing w:line="340" w:lineRule="auto" w:before="41"/>
        <w:ind w:left="153" w:right="188" w:firstLine="441"/>
        <w:jc w:val="both"/>
      </w:pPr>
      <w:r>
        <w:rPr/>
        <w:t>柯宗贵：男，</w:t>
      </w:r>
      <w:r>
        <w:rPr>
          <w:rFonts w:ascii="Times New Roman" w:hAnsi="Times New Roman" w:cs="Times New Roman" w:eastAsia="Times New Roman" w:hint="default"/>
        </w:rPr>
        <w:t>1969 </w:t>
      </w:r>
      <w:r>
        <w:rPr/>
        <w:t>年出生，中国国籍，无境外永久居留权。</w:t>
      </w:r>
      <w:r>
        <w:rPr>
          <w:rFonts w:ascii="Times New Roman" w:hAnsi="Times New Roman" w:cs="Times New Roman" w:eastAsia="Times New Roman" w:hint="default"/>
        </w:rPr>
        <w:t>1992</w:t>
      </w:r>
      <w:r>
        <w:rPr>
          <w:rFonts w:ascii="Times New Roman" w:hAnsi="Times New Roman" w:cs="Times New Roman" w:eastAsia="Times New Roman" w:hint="default"/>
          <w:spacing w:val="7"/>
        </w:rPr>
        <w:t> </w:t>
      </w:r>
      <w:r>
        <w:rPr/>
        <w:t>年毕业于深圳大学电子工程系，获 </w:t>
      </w:r>
      <w:r>
        <w:rPr>
          <w:spacing w:val="-1"/>
        </w:rPr>
        <w:t>学士学位，广东省计算机信息网络安全协会信息网络安全技术专家委员会委员，广州市计算机信息网络安</w:t>
      </w:r>
      <w:r>
        <w:rPr>
          <w:spacing w:val="-81"/>
        </w:rPr>
        <w:t> </w:t>
      </w:r>
      <w:r>
        <w:rPr>
          <w:spacing w:val="-81"/>
        </w:rPr>
      </w:r>
      <w:r>
        <w:rPr>
          <w:spacing w:val="-1"/>
        </w:rPr>
        <w:t>全协会副会长，广州城建职业学院客座教授；曾获公安部科学技术三等奖、广州市科技进步二等奖、广州</w:t>
      </w:r>
      <w:r>
        <w:rPr>
          <w:spacing w:val="-82"/>
        </w:rPr>
        <w:t> </w:t>
      </w:r>
      <w:r>
        <w:rPr>
          <w:spacing w:val="-82"/>
        </w:rPr>
      </w:r>
      <w:r>
        <w:rPr/>
        <w:t>市科学技术三等奖，编著《计算机网络安全实用技术》；曾任职于香港中银电脑（深圳）软件开发中心、 广东水晶球技术发展有限公司、广州水晶球信息技术有限公司；</w:t>
      </w:r>
      <w:r>
        <w:rPr>
          <w:rFonts w:ascii="Times New Roman" w:hAnsi="Times New Roman" w:cs="Times New Roman" w:eastAsia="Times New Roman" w:hint="default"/>
        </w:rPr>
        <w:t>2000</w:t>
      </w:r>
      <w:r>
        <w:rPr>
          <w:rFonts w:ascii="Times New Roman" w:hAnsi="Times New Roman" w:cs="Times New Roman" w:eastAsia="Times New Roman" w:hint="default"/>
          <w:spacing w:val="40"/>
        </w:rPr>
        <w:t> </w:t>
      </w:r>
      <w:r>
        <w:rPr/>
        <w:t>年至</w:t>
      </w:r>
      <w:r>
        <w:rPr>
          <w:rFonts w:ascii="Times New Roman" w:hAnsi="Times New Roman" w:cs="Times New Roman" w:eastAsia="Times New Roman" w:hint="default"/>
        </w:rPr>
        <w:t>2009</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41"/>
        </w:rPr>
        <w:t> </w:t>
      </w:r>
      <w:r>
        <w:rPr/>
        <w:t>月任职广东天海威数</w:t>
      </w:r>
      <w:r>
        <w:rPr>
          <w:spacing w:val="-101"/>
        </w:rPr>
        <w:t> </w:t>
      </w:r>
      <w:r>
        <w:rPr>
          <w:spacing w:val="-101"/>
        </w:rPr>
      </w:r>
      <w:r>
        <w:rPr/>
        <w:t>码技术有限公司，现任本公司副董事长兼总经理。</w:t>
      </w:r>
    </w:p>
    <w:p>
      <w:pPr>
        <w:spacing w:line="240" w:lineRule="auto" w:before="12"/>
        <w:rPr>
          <w:rFonts w:ascii="宋体" w:hAnsi="宋体" w:cs="宋体" w:eastAsia="宋体" w:hint="default"/>
          <w:sz w:val="18"/>
          <w:szCs w:val="18"/>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right="209" w:firstLine="420"/>
        <w:jc w:val="both"/>
      </w:pPr>
      <w:r>
        <w:rPr/>
        <w:t>公司的实际控制人为自然人柯宗庆、柯宗贵兄弟二人。兄弟二人本次发行前合计持有公司</w:t>
      </w:r>
      <w:r>
        <w:rPr>
          <w:rFonts w:ascii="Times New Roman" w:hAnsi="Times New Roman" w:cs="Times New Roman" w:eastAsia="Times New Roman" w:hint="default"/>
        </w:rPr>
        <w:t>37,381,400 </w:t>
      </w:r>
      <w:r>
        <w:rPr/>
        <w:t>股，占发行前总股本的</w:t>
      </w:r>
      <w:r>
        <w:rPr>
          <w:rFonts w:ascii="Times New Roman" w:hAnsi="Times New Roman" w:cs="Times New Roman" w:eastAsia="Times New Roman" w:hint="default"/>
        </w:rPr>
        <w:t>50.86%</w:t>
      </w:r>
      <w:r>
        <w:rPr/>
        <w:t>。柯宗庆、柯宗贵基本情况同上。</w:t>
      </w:r>
    </w:p>
    <w:p>
      <w:pPr>
        <w:pStyle w:val="BodyText"/>
        <w:spacing w:line="240" w:lineRule="auto" w:before="24"/>
        <w:ind w:left="574" w:right="102"/>
        <w:jc w:val="left"/>
      </w:pPr>
      <w:r>
        <w:rPr/>
        <w:t>公司与实际控制人之间的产权及控制关系的方框图</w:t>
      </w:r>
    </w:p>
    <w:p>
      <w:pPr>
        <w:spacing w:line="240" w:lineRule="auto" w:before="5"/>
        <w:rPr>
          <w:rFonts w:ascii="宋体" w:hAnsi="宋体" w:cs="宋体" w:eastAsia="宋体" w:hint="default"/>
          <w:sz w:val="28"/>
          <w:szCs w:val="28"/>
        </w:rPr>
      </w:pPr>
    </w:p>
    <w:p>
      <w:pPr>
        <w:spacing w:line="2565" w:lineRule="exact"/>
        <w:ind w:left="1356"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4592261" cy="16287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4592261" cy="162877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5"/>
        <w:rPr>
          <w:rFonts w:ascii="宋体" w:hAnsi="宋体" w:cs="宋体" w:eastAsia="宋体" w:hint="default"/>
          <w:sz w:val="23"/>
          <w:szCs w:val="23"/>
        </w:rPr>
      </w:pPr>
    </w:p>
    <w:p>
      <w:pPr>
        <w:pStyle w:val="BodyText"/>
        <w:spacing w:line="240" w:lineRule="auto"/>
        <w:ind w:right="102"/>
        <w:jc w:val="left"/>
      </w:pPr>
      <w:r>
        <w:rPr/>
        <w:t>实际控制人通过信托或其他资产管理方式控制公司</w:t>
      </w:r>
    </w:p>
    <w:p>
      <w:pPr>
        <w:spacing w:line="240" w:lineRule="auto" w:before="3"/>
        <w:rPr>
          <w:rFonts w:ascii="宋体" w:hAnsi="宋体" w:cs="宋体" w:eastAsia="宋体" w:hint="default"/>
          <w:sz w:val="20"/>
          <w:szCs w:val="20"/>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70"/>
        <w:gridCol w:w="1105"/>
        <w:gridCol w:w="888"/>
        <w:gridCol w:w="1801"/>
        <w:gridCol w:w="1801"/>
        <w:gridCol w:w="1790"/>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5" w:right="7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60" w:hRule="exact"/>
        </w:trPr>
        <w:tc>
          <w:tcPr>
            <w:tcW w:w="2170" w:type="dxa"/>
            <w:tcBorders>
              <w:top w:val="single" w:sz="4" w:space="0" w:color="000000"/>
              <w:left w:val="single" w:sz="4" w:space="0" w:color="000000"/>
              <w:bottom w:val="nil" w:sz="6" w:space="0" w:color="auto"/>
              <w:right w:val="single" w:sz="4" w:space="0" w:color="000000"/>
            </w:tcBorders>
            <w:shd w:val="clear" w:color="auto" w:fill="CCE8CF"/>
          </w:tcPr>
          <w:p>
            <w:pPr/>
          </w:p>
        </w:tc>
        <w:tc>
          <w:tcPr>
            <w:tcW w:w="1105" w:type="dxa"/>
            <w:vMerge w:val="restart"/>
            <w:tcBorders>
              <w:top w:val="single" w:sz="4" w:space="0" w:color="000000"/>
              <w:left w:val="single" w:sz="4" w:space="0" w:color="000000"/>
              <w:right w:val="single" w:sz="4" w:space="0" w:color="000000"/>
            </w:tcBorders>
            <w:shd w:val="clear" w:color="auto" w:fill="CCE8CF"/>
          </w:tcPr>
          <w:p>
            <w:pPr/>
          </w:p>
        </w:tc>
        <w:tc>
          <w:tcPr>
            <w:tcW w:w="888" w:type="dxa"/>
            <w:vMerge w:val="restart"/>
            <w:tcBorders>
              <w:top w:val="single" w:sz="4" w:space="0" w:color="000000"/>
              <w:left w:val="single" w:sz="9" w:space="0" w:color="CCE8CF"/>
              <w:right w:val="single" w:sz="9" w:space="0" w:color="CCE8C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vMerge w:val="restart"/>
            <w:tcBorders>
              <w:top w:val="single" w:sz="4" w:space="0" w:color="000000"/>
              <w:left w:val="single" w:sz="4" w:space="0" w:color="000000"/>
              <w:right w:val="single" w:sz="4" w:space="0" w:color="000000"/>
            </w:tcBorders>
            <w:shd w:val="clear" w:color="auto" w:fill="CCE8CF"/>
          </w:tcPr>
          <w:p>
            <w:pPr/>
          </w:p>
        </w:tc>
        <w:tc>
          <w:tcPr>
            <w:tcW w:w="1801" w:type="dxa"/>
            <w:vMerge w:val="restart"/>
            <w:tcBorders>
              <w:top w:val="single" w:sz="4" w:space="0" w:color="000000"/>
              <w:left w:val="single" w:sz="4" w:space="0" w:color="000000"/>
              <w:right w:val="single" w:sz="4" w:space="0" w:color="000000"/>
            </w:tcBorders>
            <w:shd w:val="clear" w:color="auto" w:fill="CCE8CF"/>
          </w:tcPr>
          <w:p>
            <w:pPr/>
          </w:p>
        </w:tc>
        <w:tc>
          <w:tcPr>
            <w:tcW w:w="1790"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6"/>
                <w:sz w:val="18"/>
                <w:szCs w:val="18"/>
              </w:rPr>
              <w:t>投资兴办实业，风险投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资、投资信息咨询及其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他经济信息咨询等。</w:t>
            </w:r>
          </w:p>
        </w:tc>
      </w:tr>
      <w:tr>
        <w:trPr>
          <w:trHeight w:val="156" w:hRule="exact"/>
        </w:trPr>
        <w:tc>
          <w:tcPr>
            <w:tcW w:w="2170" w:type="dxa"/>
            <w:vMerge w:val="restart"/>
            <w:tcBorders>
              <w:top w:val="nil" w:sz="6" w:space="0" w:color="auto"/>
              <w:left w:val="single" w:sz="4" w:space="0" w:color="000000"/>
              <w:right w:val="single" w:sz="4" w:space="0" w:color="000000"/>
            </w:tcBorders>
            <w:shd w:val="clear" w:color="auto" w:fill="CCE8CF"/>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深圳市博益投资发展有限 公司</w:t>
            </w:r>
          </w:p>
        </w:tc>
        <w:tc>
          <w:tcPr>
            <w:tcW w:w="1105" w:type="dxa"/>
            <w:vMerge/>
            <w:tcBorders>
              <w:left w:val="single" w:sz="4" w:space="0" w:color="000000"/>
              <w:bottom w:val="nil" w:sz="6" w:space="0" w:color="auto"/>
              <w:right w:val="single" w:sz="4" w:space="0" w:color="000000"/>
            </w:tcBorders>
            <w:shd w:val="clear" w:color="auto" w:fill="CCE8CF"/>
          </w:tcPr>
          <w:p>
            <w:pPr/>
          </w:p>
        </w:tc>
        <w:tc>
          <w:tcPr>
            <w:tcW w:w="888" w:type="dxa"/>
            <w:vMerge/>
            <w:tcBorders>
              <w:left w:val="single" w:sz="9" w:space="0" w:color="CCE8CF"/>
              <w:right w:val="single" w:sz="9" w:space="0" w:color="CCE8CF"/>
            </w:tcBorders>
          </w:tcPr>
          <w:p>
            <w:pPr/>
          </w:p>
        </w:tc>
        <w:tc>
          <w:tcPr>
            <w:tcW w:w="1801" w:type="dxa"/>
            <w:vMerge/>
            <w:tcBorders>
              <w:left w:val="single" w:sz="4" w:space="0" w:color="000000"/>
              <w:bottom w:val="nil" w:sz="6" w:space="0" w:color="auto"/>
              <w:right w:val="single" w:sz="4" w:space="0" w:color="000000"/>
            </w:tcBorders>
            <w:shd w:val="clear" w:color="auto" w:fill="CCE8CF"/>
          </w:tcPr>
          <w:p>
            <w:pPr/>
          </w:p>
        </w:tc>
        <w:tc>
          <w:tcPr>
            <w:tcW w:w="1801" w:type="dxa"/>
            <w:vMerge/>
            <w:tcBorders>
              <w:left w:val="single" w:sz="4" w:space="0" w:color="000000"/>
              <w:bottom w:val="nil" w:sz="6" w:space="0" w:color="auto"/>
              <w:right w:val="single" w:sz="4" w:space="0" w:color="000000"/>
            </w:tcBorders>
            <w:shd w:val="clear" w:color="auto" w:fill="CCE8CF"/>
          </w:tcPr>
          <w:p>
            <w:pPr/>
          </w:p>
        </w:tc>
        <w:tc>
          <w:tcPr>
            <w:tcW w:w="1790" w:type="dxa"/>
            <w:vMerge/>
            <w:tcBorders>
              <w:left w:val="single" w:sz="4" w:space="0" w:color="000000"/>
              <w:right w:val="single" w:sz="4" w:space="0" w:color="000000"/>
            </w:tcBorders>
            <w:shd w:val="clear" w:color="auto" w:fill="CCE8CF"/>
          </w:tcPr>
          <w:p>
            <w:pPr/>
          </w:p>
        </w:tc>
      </w:tr>
      <w:tr>
        <w:trPr>
          <w:trHeight w:val="394" w:hRule="exact"/>
        </w:trPr>
        <w:tc>
          <w:tcPr>
            <w:tcW w:w="2170" w:type="dxa"/>
            <w:vMerge/>
            <w:tcBorders>
              <w:left w:val="single" w:sz="4" w:space="0" w:color="000000"/>
              <w:right w:val="single" w:sz="4" w:space="0" w:color="000000"/>
            </w:tcBorders>
            <w:shd w:val="clear" w:color="auto" w:fill="CCE8CF"/>
          </w:tcPr>
          <w:p>
            <w:pPr/>
          </w:p>
        </w:tc>
        <w:tc>
          <w:tcPr>
            <w:tcW w:w="110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888" w:type="dxa"/>
            <w:vMerge/>
            <w:tcBorders>
              <w:left w:val="single" w:sz="9" w:space="0" w:color="CCE8CF"/>
              <w:right w:val="single" w:sz="9" w:space="0" w:color="CCE8CF"/>
            </w:tcBorders>
          </w:tcPr>
          <w:p>
            <w:pPr/>
          </w:p>
        </w:tc>
        <w:tc>
          <w:tcPr>
            <w:tcW w:w="180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66100600-4</w:t>
            </w:r>
          </w:p>
        </w:tc>
        <w:tc>
          <w:tcPr>
            <w:tcW w:w="180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90" w:type="dxa"/>
            <w:vMerge/>
            <w:tcBorders>
              <w:left w:val="single" w:sz="4" w:space="0" w:color="000000"/>
              <w:right w:val="single" w:sz="4" w:space="0" w:color="000000"/>
            </w:tcBorders>
            <w:shd w:val="clear" w:color="auto" w:fill="CCE8CF"/>
          </w:tcPr>
          <w:p>
            <w:pPr/>
          </w:p>
        </w:tc>
      </w:tr>
      <w:tr>
        <w:trPr>
          <w:trHeight w:val="156" w:hRule="exact"/>
        </w:trPr>
        <w:tc>
          <w:tcPr>
            <w:tcW w:w="2170" w:type="dxa"/>
            <w:vMerge/>
            <w:tcBorders>
              <w:left w:val="single" w:sz="4" w:space="0" w:color="000000"/>
              <w:bottom w:val="nil" w:sz="6" w:space="0" w:color="auto"/>
              <w:right w:val="single" w:sz="4" w:space="0" w:color="000000"/>
            </w:tcBorders>
            <w:shd w:val="clear" w:color="auto" w:fill="CCE8CF"/>
          </w:tcPr>
          <w:p>
            <w:pPr/>
          </w:p>
        </w:tc>
        <w:tc>
          <w:tcPr>
            <w:tcW w:w="1105" w:type="dxa"/>
            <w:vMerge w:val="restart"/>
            <w:tcBorders>
              <w:top w:val="nil" w:sz="6" w:space="0" w:color="auto"/>
              <w:left w:val="single" w:sz="4" w:space="0" w:color="000000"/>
              <w:right w:val="single" w:sz="4" w:space="0" w:color="000000"/>
            </w:tcBorders>
            <w:shd w:val="clear" w:color="auto" w:fill="CCE8CF"/>
          </w:tcPr>
          <w:p>
            <w:pPr/>
          </w:p>
        </w:tc>
        <w:tc>
          <w:tcPr>
            <w:tcW w:w="888" w:type="dxa"/>
            <w:vMerge/>
            <w:tcBorders>
              <w:left w:val="single" w:sz="9" w:space="0" w:color="CCE8CF"/>
              <w:right w:val="single" w:sz="9" w:space="0" w:color="CCE8CF"/>
            </w:tcBorders>
          </w:tcPr>
          <w:p>
            <w:pPr/>
          </w:p>
        </w:tc>
        <w:tc>
          <w:tcPr>
            <w:tcW w:w="1801" w:type="dxa"/>
            <w:vMerge w:val="restart"/>
            <w:tcBorders>
              <w:top w:val="nil" w:sz="6" w:space="0" w:color="auto"/>
              <w:left w:val="single" w:sz="4" w:space="0" w:color="000000"/>
              <w:right w:val="single" w:sz="4" w:space="0" w:color="000000"/>
            </w:tcBorders>
            <w:shd w:val="clear" w:color="auto" w:fill="CCE8CF"/>
          </w:tcPr>
          <w:p>
            <w:pPr/>
          </w:p>
        </w:tc>
        <w:tc>
          <w:tcPr>
            <w:tcW w:w="1801" w:type="dxa"/>
            <w:vMerge w:val="restart"/>
            <w:tcBorders>
              <w:top w:val="nil" w:sz="6" w:space="0" w:color="auto"/>
              <w:left w:val="single" w:sz="4" w:space="0" w:color="000000"/>
              <w:right w:val="single" w:sz="4" w:space="0" w:color="000000"/>
            </w:tcBorders>
            <w:shd w:val="clear" w:color="auto" w:fill="CCE8CF"/>
          </w:tcPr>
          <w:p>
            <w:pPr/>
          </w:p>
        </w:tc>
        <w:tc>
          <w:tcPr>
            <w:tcW w:w="1790" w:type="dxa"/>
            <w:vMerge/>
            <w:tcBorders>
              <w:left w:val="single" w:sz="4" w:space="0" w:color="000000"/>
              <w:right w:val="single" w:sz="4" w:space="0" w:color="000000"/>
            </w:tcBorders>
            <w:shd w:val="clear" w:color="auto" w:fill="CCE8CF"/>
          </w:tcPr>
          <w:p>
            <w:pPr/>
          </w:p>
        </w:tc>
      </w:tr>
      <w:tr>
        <w:trPr>
          <w:trHeight w:val="160" w:hRule="exact"/>
        </w:trPr>
        <w:tc>
          <w:tcPr>
            <w:tcW w:w="2170" w:type="dxa"/>
            <w:tcBorders>
              <w:top w:val="nil" w:sz="6" w:space="0" w:color="auto"/>
              <w:left w:val="single" w:sz="4" w:space="0" w:color="000000"/>
              <w:bottom w:val="single" w:sz="4" w:space="0" w:color="000000"/>
              <w:right w:val="single" w:sz="4" w:space="0" w:color="000000"/>
            </w:tcBorders>
            <w:shd w:val="clear" w:color="auto" w:fill="CCE8CF"/>
          </w:tcPr>
          <w:p>
            <w:pPr/>
          </w:p>
        </w:tc>
        <w:tc>
          <w:tcPr>
            <w:tcW w:w="1105" w:type="dxa"/>
            <w:vMerge/>
            <w:tcBorders>
              <w:left w:val="single" w:sz="4" w:space="0" w:color="000000"/>
              <w:bottom w:val="single" w:sz="4" w:space="0" w:color="000000"/>
              <w:right w:val="single" w:sz="4" w:space="0" w:color="000000"/>
            </w:tcBorders>
            <w:shd w:val="clear" w:color="auto" w:fill="CCE8CF"/>
          </w:tcPr>
          <w:p>
            <w:pPr/>
          </w:p>
        </w:tc>
        <w:tc>
          <w:tcPr>
            <w:tcW w:w="888" w:type="dxa"/>
            <w:vMerge/>
            <w:tcBorders>
              <w:left w:val="single" w:sz="9" w:space="0" w:color="CCE8CF"/>
              <w:bottom w:val="single" w:sz="4" w:space="0" w:color="000000"/>
              <w:right w:val="single" w:sz="9" w:space="0" w:color="CCE8CF"/>
            </w:tcBorders>
          </w:tcPr>
          <w:p>
            <w:pPr/>
          </w:p>
        </w:tc>
        <w:tc>
          <w:tcPr>
            <w:tcW w:w="1801" w:type="dxa"/>
            <w:vMerge/>
            <w:tcBorders>
              <w:left w:val="single" w:sz="4" w:space="0" w:color="000000"/>
              <w:bottom w:val="single" w:sz="4" w:space="0" w:color="000000"/>
              <w:right w:val="single" w:sz="4" w:space="0" w:color="000000"/>
            </w:tcBorders>
            <w:shd w:val="clear" w:color="auto" w:fill="CCE8CF"/>
          </w:tcPr>
          <w:p>
            <w:pPr/>
          </w:p>
        </w:tc>
        <w:tc>
          <w:tcPr>
            <w:tcW w:w="1801" w:type="dxa"/>
            <w:vMerge/>
            <w:tcBorders>
              <w:left w:val="single" w:sz="4" w:space="0" w:color="000000"/>
              <w:bottom w:val="single" w:sz="4" w:space="0" w:color="000000"/>
              <w:right w:val="single" w:sz="4" w:space="0" w:color="000000"/>
            </w:tcBorders>
            <w:shd w:val="clear" w:color="auto" w:fill="CCE8CF"/>
          </w:tcPr>
          <w:p>
            <w:pPr/>
          </w:p>
        </w:tc>
        <w:tc>
          <w:tcPr>
            <w:tcW w:w="1790" w:type="dxa"/>
            <w:vMerge/>
            <w:tcBorders>
              <w:left w:val="single" w:sz="4" w:space="0" w:color="000000"/>
              <w:bottom w:val="single" w:sz="4" w:space="0" w:color="000000"/>
              <w:right w:val="single" w:sz="4" w:space="0" w:color="000000"/>
            </w:tcBorders>
            <w:shd w:val="clear" w:color="auto" w:fill="CCE8CF"/>
          </w:tcPr>
          <w:p>
            <w:pPr/>
          </w:p>
        </w:tc>
      </w:tr>
      <w:tr>
        <w:trPr>
          <w:trHeight w:val="714" w:hRule="exact"/>
        </w:trPr>
        <w:tc>
          <w:tcPr>
            <w:tcW w:w="2170"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5"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35"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月公司原股东柯宗庆、柯宗贵、张征、李根森、柯瑞强、黄泽华将其部分股权转让 给深圳市博益投资发展有限公司。</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月公司原股东进行了增资。</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1" w:right="53"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18,690,700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18,690,700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深圳市博益投资发展有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张征</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深圳市宝德投资控股有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华软创业投资无锡合伙 企业（有限合伙）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深圳瑞华信投资有限责 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广州欣晟投资咨询有限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谭云亮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200" w:right="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674"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683"/>
        <w:gridCol w:w="682"/>
        <w:gridCol w:w="576"/>
        <w:gridCol w:w="566"/>
        <w:gridCol w:w="955"/>
        <w:gridCol w:w="992"/>
        <w:gridCol w:w="1147"/>
        <w:gridCol w:w="683"/>
        <w:gridCol w:w="684"/>
        <w:gridCol w:w="1043"/>
        <w:gridCol w:w="683"/>
        <w:gridCol w:w="683"/>
        <w:gridCol w:w="684"/>
        <w:gridCol w:w="683"/>
      </w:tblGrid>
      <w:tr>
        <w:trPr>
          <w:trHeight w:val="1961"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6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6" w:right="6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数量</w:t>
            </w:r>
          </w:p>
          <w:p>
            <w:pPr>
              <w:pStyle w:val="TableParagraph"/>
              <w:spacing w:line="240" w:lineRule="auto" w:before="76"/>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65"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7" w:right="64" w:hanging="180"/>
              <w:jc w:val="left"/>
              <w:rPr>
                <w:rFonts w:ascii="宋体" w:hAnsi="宋体" w:cs="宋体" w:eastAsia="宋体" w:hint="default"/>
                <w:sz w:val="18"/>
                <w:szCs w:val="18"/>
              </w:rPr>
            </w:pPr>
            <w:r>
              <w:rPr>
                <w:rFonts w:ascii="宋体" w:hAnsi="宋体" w:cs="宋体" w:eastAsia="宋体" w:hint="default"/>
                <w:sz w:val="18"/>
                <w:szCs w:val="18"/>
              </w:rPr>
              <w:t>变动原 因</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18,690,700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18,690,700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副董事 长、总 经理</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18,690,700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18,690,700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2009-12-30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2012-07-31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李根森</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2009-08-01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2012-07-31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2009-08-01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2012-07-31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2012-07-26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877" w:footer="982" w:top="1100" w:bottom="1180" w:left="460" w:right="460"/>
        </w:sectPr>
      </w:pPr>
    </w:p>
    <w:p>
      <w:pPr>
        <w:spacing w:line="240" w:lineRule="auto" w:before="6"/>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683"/>
        <w:gridCol w:w="682"/>
        <w:gridCol w:w="576"/>
        <w:gridCol w:w="566"/>
        <w:gridCol w:w="955"/>
        <w:gridCol w:w="992"/>
        <w:gridCol w:w="1147"/>
        <w:gridCol w:w="683"/>
        <w:gridCol w:w="684"/>
        <w:gridCol w:w="1043"/>
        <w:gridCol w:w="683"/>
        <w:gridCol w:w="683"/>
        <w:gridCol w:w="684"/>
        <w:gridCol w:w="683"/>
      </w:tblGrid>
      <w:tr>
        <w:trPr>
          <w:trHeight w:val="36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5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杨育斌</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2012-08-06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2012-12-31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2012-08-06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2012-08-06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338"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2012-08-06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2015-07-25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4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38,870,000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38,870,000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b/>
          <w:bCs/>
          <w:sz w:val="17"/>
          <w:szCs w:val="17"/>
        </w:rPr>
      </w:pPr>
    </w:p>
    <w:p>
      <w:pPr>
        <w:pStyle w:val="Heading2"/>
        <w:spacing w:line="240" w:lineRule="auto" w:before="26"/>
        <w:ind w:left="674" w:right="0"/>
        <w:jc w:val="left"/>
        <w:rPr>
          <w:b w:val="0"/>
          <w:bCs w:val="0"/>
        </w:rPr>
      </w:pPr>
      <w:r>
        <w:rPr/>
        <w:t>二、任职情况</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674" w:right="0"/>
        <w:jc w:val="left"/>
      </w:pPr>
      <w:r>
        <w:rPr/>
        <w:t>公司现任董事、监事、高级管理人员最近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49"/>
        <w:ind w:left="673" w:right="0"/>
        <w:jc w:val="left"/>
      </w:pPr>
      <w:r>
        <w:rPr>
          <w:rFonts w:ascii="Times New Roman" w:hAnsi="Times New Roman" w:cs="Times New Roman" w:eastAsia="Times New Roman" w:hint="default"/>
        </w:rPr>
        <w:t>1</w:t>
      </w:r>
      <w:r>
        <w:rPr/>
        <w:t>、董事</w:t>
      </w:r>
    </w:p>
    <w:p>
      <w:pPr>
        <w:pStyle w:val="BodyText"/>
        <w:spacing w:line="340" w:lineRule="auto" w:before="109"/>
        <w:ind w:left="1097" w:right="4829" w:hanging="1"/>
        <w:jc w:val="left"/>
      </w:pPr>
      <w:r>
        <w:rPr/>
        <w:t>公司董事会由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 柯宗庆：详见“第六节</w:t>
      </w:r>
      <w:r>
        <w:rPr>
          <w:spacing w:val="-2"/>
        </w:rPr>
        <w:t> </w:t>
      </w:r>
      <w:r>
        <w:rPr/>
        <w:t>三、2、公司控股股东情况”。</w:t>
      </w:r>
      <w:r>
        <w:rPr/>
        <w:t> 柯宗贵：详见“第六节</w:t>
      </w:r>
      <w:r>
        <w:rPr>
          <w:spacing w:val="-2"/>
        </w:rPr>
        <w:t> </w:t>
      </w:r>
      <w:r>
        <w:rPr/>
        <w:t>三、2、公司控股股东情况”。</w:t>
      </w:r>
    </w:p>
    <w:p>
      <w:pPr>
        <w:pStyle w:val="BodyText"/>
        <w:spacing w:line="350" w:lineRule="auto" w:before="36"/>
        <w:ind w:left="674" w:right="0" w:firstLine="423"/>
        <w:jc w:val="left"/>
      </w:pPr>
      <w:r>
        <w:rPr>
          <w:spacing w:val="-1"/>
        </w:rPr>
        <w:t>李根森：男，1960年出生，中国国籍，无境外永久居留权，高级工程师，1982年毕业于上海交通大学</w:t>
      </w:r>
      <w:r>
        <w:rPr/>
        <w:t> 计算机科学与技术专业，广东省计算机安全协会理事。1999年10月至2009年7月，任广东天海威数码技术 有限公司总经理、副总经理；2010年12月至2012年7月，任蓝盾信息安全技术股份有限公司董事会秘书； 2009年7月至今任蓝盾信息安全技术股份有限公司董事、副总经理。</w:t>
      </w:r>
    </w:p>
    <w:p>
      <w:pPr>
        <w:pStyle w:val="BodyText"/>
        <w:spacing w:line="331" w:lineRule="auto" w:before="28"/>
        <w:ind w:left="674" w:right="0" w:firstLine="423"/>
        <w:jc w:val="left"/>
      </w:pPr>
      <w:r>
        <w:rPr>
          <w:spacing w:val="-1"/>
        </w:rPr>
        <w:t>王廉君：男，</w:t>
      </w:r>
      <w:r>
        <w:rPr>
          <w:rFonts w:ascii="Times New Roman" w:hAnsi="Times New Roman" w:cs="Times New Roman" w:eastAsia="Times New Roman" w:hint="default"/>
          <w:spacing w:val="-1"/>
        </w:rPr>
        <w:t>1963</w:t>
      </w:r>
      <w:r>
        <w:rPr>
          <w:spacing w:val="-1"/>
        </w:rPr>
        <w:t>年出生，中国国籍，无境外永久居留权，</w:t>
      </w:r>
      <w:r>
        <w:rPr>
          <w:rFonts w:ascii="Times New Roman" w:hAnsi="Times New Roman" w:cs="Times New Roman" w:eastAsia="Times New Roman" w:hint="default"/>
          <w:spacing w:val="-1"/>
        </w:rPr>
        <w:t>1985</w:t>
      </w:r>
      <w:r>
        <w:rPr>
          <w:spacing w:val="-1"/>
        </w:rPr>
        <w:t>年毕业于吉林大学，获经济学学士学</w:t>
      </w:r>
      <w:r>
        <w:rPr/>
        <w:t> 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月，任职康美药业股份有限公司监事长；</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月至今，任深圳市博益投资发 展有限公司董事长；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月，任广东天海威数码技术有限公司董事；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月至今，任 广州普邦园林股份有限公司监事；</w:t>
      </w:r>
      <w:r>
        <w:rPr>
          <w:rFonts w:ascii="Times New Roman" w:hAnsi="Times New Roman" w:cs="Times New Roman" w:eastAsia="Times New Roman" w:hint="default"/>
        </w:rPr>
        <w:t>2009</w:t>
      </w:r>
      <w:r>
        <w:rPr/>
        <w:t>年至今任蓝盾信息安全技术股份有限公司董事。</w:t>
      </w:r>
    </w:p>
    <w:p>
      <w:pPr>
        <w:pStyle w:val="BodyText"/>
        <w:spacing w:line="348" w:lineRule="auto" w:before="21"/>
        <w:ind w:left="674" w:right="732" w:firstLine="423"/>
        <w:jc w:val="left"/>
      </w:pPr>
      <w:r>
        <w:rPr/>
        <w:t>黄泽华：男，1969年出生，中国国籍，无境外永久居留权。2002年10月－2009年7月，任广东天海威 数码技术有限公司营销部副总经理；2009年7月至2012年7月任蓝盾信息安全技术股份有限公司监事会主 席；2012年8月至今任蓝盾信息安全技术股份有限公司董事、副总经理。</w:t>
      </w:r>
    </w:p>
    <w:p>
      <w:pPr>
        <w:pStyle w:val="BodyText"/>
        <w:spacing w:line="350" w:lineRule="auto" w:before="31"/>
        <w:ind w:left="674" w:right="668" w:firstLine="423"/>
        <w:jc w:val="both"/>
      </w:pPr>
      <w:r>
        <w:rPr>
          <w:spacing w:val="-1"/>
        </w:rPr>
        <w:t>刘天卓：女，1963年出生，中国国籍，无境外永久居留权，1984年毕业于北京大学第二分校计算机软</w:t>
      </w:r>
      <w:r>
        <w:rPr/>
        <w:t> </w:t>
      </w:r>
      <w:r>
        <w:rPr>
          <w:spacing w:val="-1"/>
        </w:rPr>
        <w:t>件专业，获学士学位，高级工程师。2003年至2010年任职中国软件与技术服务股份有限公司，先后担任副</w:t>
      </w:r>
      <w:r>
        <w:rPr>
          <w:spacing w:val="-80"/>
        </w:rPr>
        <w:t> </w:t>
      </w:r>
      <w:r>
        <w:rPr>
          <w:spacing w:val="-80"/>
        </w:rPr>
      </w:r>
      <w:r>
        <w:rPr>
          <w:spacing w:val="-1"/>
        </w:rPr>
        <w:t>总经理、副总工程师；2010年至今任职中国软件与技术服务股份有限公司研究院，担任院长助理。目前是</w:t>
      </w:r>
      <w:r>
        <w:rPr>
          <w:spacing w:val="-82"/>
        </w:rPr>
        <w:t> </w:t>
      </w:r>
      <w:r>
        <w:rPr>
          <w:spacing w:val="-82"/>
        </w:rPr>
      </w:r>
      <w:r>
        <w:rPr>
          <w:spacing w:val="-1"/>
        </w:rPr>
        <w:t>北京爱创科技股份有限公司董事，华软创业投资基金投资顾问，中国电子学会高级会员，中国医药信息学</w:t>
      </w:r>
      <w:r>
        <w:rPr>
          <w:spacing w:val="-83"/>
        </w:rPr>
        <w:t> </w:t>
      </w:r>
      <w:r>
        <w:rPr>
          <w:spacing w:val="-83"/>
        </w:rPr>
      </w:r>
      <w:r>
        <w:rPr/>
        <w:t>会理事，中国计算机学会高级会员。2012年8月至今任蓝盾信息安全技术股份有限公司董事。</w:t>
      </w:r>
    </w:p>
    <w:p>
      <w:pPr>
        <w:pStyle w:val="BodyText"/>
        <w:spacing w:line="240" w:lineRule="auto" w:before="28"/>
        <w:ind w:left="1097" w:right="0"/>
        <w:jc w:val="left"/>
      </w:pPr>
      <w:r>
        <w:rPr/>
        <w:t>贺小勇：男，</w:t>
      </w:r>
      <w:r>
        <w:rPr>
          <w:rFonts w:ascii="Times New Roman" w:hAnsi="Times New Roman" w:cs="Times New Roman" w:eastAsia="Times New Roman" w:hint="default"/>
        </w:rPr>
        <w:t>1972</w:t>
      </w:r>
      <w:r>
        <w:rPr/>
        <w:t>年出生，中国国籍，无境外永久居留权，华东政法大学图书馆馆长、国际经济法教</w:t>
      </w:r>
    </w:p>
    <w:p>
      <w:pPr>
        <w:spacing w:after="0" w:line="240" w:lineRule="auto"/>
        <w:jc w:val="left"/>
        <w:sectPr>
          <w:pgSz w:w="11910" w:h="16840"/>
          <w:pgMar w:header="877" w:footer="982" w:top="1100" w:bottom="1180" w:left="460" w:right="460"/>
        </w:sectPr>
      </w:pPr>
    </w:p>
    <w:p>
      <w:pPr>
        <w:spacing w:line="240" w:lineRule="auto" w:before="7"/>
        <w:rPr>
          <w:rFonts w:ascii="宋体" w:hAnsi="宋体" w:cs="宋体" w:eastAsia="宋体" w:hint="default"/>
          <w:sz w:val="27"/>
          <w:szCs w:val="27"/>
        </w:rPr>
      </w:pPr>
    </w:p>
    <w:p>
      <w:pPr>
        <w:pStyle w:val="BodyText"/>
        <w:spacing w:line="331" w:lineRule="auto" w:before="35"/>
        <w:ind w:left="153" w:right="102"/>
        <w:jc w:val="left"/>
      </w:pPr>
      <w:r>
        <w:rPr/>
        <w:t>授，博士生导师，法学博士，兼职律师，中国国际经济法学会常务理事。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月至今任江苏通达动力 </w:t>
      </w:r>
      <w:r>
        <w:rPr>
          <w:spacing w:val="-1"/>
        </w:rPr>
        <w:t>科技股份有限公司独立董事，</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月至今任珠海格力电器股份有限公司独立董事，</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月至今任蓝</w:t>
      </w:r>
      <w:r>
        <w:rPr>
          <w:spacing w:val="-84"/>
        </w:rPr>
        <w:t> </w:t>
      </w:r>
      <w:r>
        <w:rPr/>
        <w:t>盾信息安全技术股份有限公司独立董事。</w:t>
      </w:r>
    </w:p>
    <w:p>
      <w:pPr>
        <w:pStyle w:val="BodyText"/>
        <w:spacing w:line="331" w:lineRule="auto" w:before="45"/>
        <w:ind w:right="289" w:firstLine="423"/>
        <w:jc w:val="both"/>
      </w:pPr>
      <w:r>
        <w:rPr/>
        <w:t>王丹舟：女，</w:t>
      </w:r>
      <w:r>
        <w:rPr>
          <w:rFonts w:ascii="Times New Roman" w:hAnsi="Times New Roman" w:cs="Times New Roman" w:eastAsia="Times New Roman" w:hint="default"/>
        </w:rPr>
        <w:t>1964</w:t>
      </w:r>
      <w:r>
        <w:rPr/>
        <w:t>年出生，中国国籍，无境外永久居留权。西南财经大学财务管理博士。</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 至今在暨南大学会计系工作，副教授。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月至今任中山达华智能科技股份有限公司独立董事，</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7</w:t>
      </w:r>
      <w:r>
        <w:rPr/>
        <w:t>月至今任蓝盾信息安全技术股份有限公司独立董事。</w:t>
      </w:r>
    </w:p>
    <w:p>
      <w:pPr>
        <w:pStyle w:val="BodyText"/>
        <w:spacing w:line="336" w:lineRule="auto" w:before="20"/>
        <w:ind w:right="188" w:firstLine="423"/>
        <w:jc w:val="both"/>
      </w:pPr>
      <w:r>
        <w:rPr>
          <w:spacing w:val="-1"/>
        </w:rPr>
        <w:t>徐超汉：男，</w:t>
      </w:r>
      <w:r>
        <w:rPr>
          <w:rFonts w:ascii="Times New Roman" w:hAnsi="Times New Roman" w:cs="Times New Roman" w:eastAsia="Times New Roman" w:hint="default"/>
          <w:spacing w:val="-1"/>
        </w:rPr>
        <w:t>1941</w:t>
      </w:r>
      <w:r>
        <w:rPr>
          <w:spacing w:val="-1"/>
        </w:rPr>
        <w:t>年出生，中国国籍，无境外永久居留权，著名信息安全专家。</w:t>
      </w:r>
      <w:r>
        <w:rPr>
          <w:rFonts w:ascii="Times New Roman" w:hAnsi="Times New Roman" w:cs="Times New Roman" w:eastAsia="Times New Roman" w:hint="default"/>
          <w:spacing w:val="-1"/>
        </w:rPr>
        <w:t>1965</w:t>
      </w:r>
      <w:r>
        <w:rPr>
          <w:spacing w:val="-1"/>
        </w:rPr>
        <w:t>年毕业于上海复</w:t>
      </w:r>
      <w:r>
        <w:rPr/>
        <w:t> 旦大学。</w:t>
      </w:r>
      <w:r>
        <w:rPr>
          <w:rFonts w:ascii="Times New Roman" w:hAnsi="Times New Roman" w:cs="Times New Roman" w:eastAsia="Times New Roman" w:hint="default"/>
        </w:rPr>
        <w:t>1997</w:t>
      </w:r>
      <w:r>
        <w:rPr/>
        <w:t>年至今任暨南大学信息技术应用研究所教授；历任</w:t>
      </w:r>
      <w:r>
        <w:rPr>
          <w:rFonts w:ascii="Times New Roman" w:hAnsi="Times New Roman" w:cs="Times New Roman" w:eastAsia="Times New Roman" w:hint="default"/>
        </w:rPr>
        <w:t>IBM</w:t>
      </w:r>
      <w:r>
        <w:rPr/>
        <w:t>中国用户协会副理事长、广东省计算 机协会副理事长、广州智能化小区评审委员会副组长、软件工程国家工程研究中心网络安全分中心主任；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月至今任蓝盾信息安全技术股份有限公司独立董事。</w:t>
      </w:r>
    </w:p>
    <w:p>
      <w:pPr>
        <w:pStyle w:val="BodyText"/>
        <w:spacing w:line="240" w:lineRule="auto" w:before="172"/>
        <w:ind w:right="102"/>
        <w:jc w:val="left"/>
      </w:pPr>
      <w:r>
        <w:rPr>
          <w:rFonts w:ascii="Times New Roman" w:hAnsi="Times New Roman" w:cs="Times New Roman" w:eastAsia="Times New Roman" w:hint="default"/>
        </w:rPr>
        <w:t>2</w:t>
      </w:r>
      <w:r>
        <w:rPr/>
        <w:t>、监事</w:t>
      </w:r>
    </w:p>
    <w:p>
      <w:pPr>
        <w:pStyle w:val="BodyText"/>
        <w:spacing w:line="348" w:lineRule="auto" w:before="110"/>
        <w:ind w:right="102" w:firstLine="423"/>
        <w:jc w:val="left"/>
      </w:pPr>
      <w:r>
        <w:rPr/>
        <w:t>陈文浩：男，1971年出生，中国国籍，无境外永久居留权。1994年7月毕业于广州通信学院；曾任广 东水晶球技术发展有限公司工程师、广东天海威数码技术有限公司开发部副总经理；2009年7月至2012年7 </w:t>
      </w:r>
      <w:r>
        <w:rPr>
          <w:spacing w:val="-1"/>
        </w:rPr>
        <w:t>月任蓝盾信息安全技术股份有限公司监事；2012年8月至今任蓝盾信息安全技术股份有限公司监事会主席。</w:t>
      </w:r>
    </w:p>
    <w:p>
      <w:pPr>
        <w:pStyle w:val="BodyText"/>
        <w:spacing w:line="350" w:lineRule="auto" w:before="31"/>
        <w:ind w:right="102" w:firstLine="423"/>
        <w:jc w:val="left"/>
      </w:pPr>
      <w:r>
        <w:rPr>
          <w:spacing w:val="-1"/>
        </w:rPr>
        <w:t>冯明强：男，1971年出生，中国国籍，无境外永久居留权。1992年毕业于四川技术学院电子信息工程</w:t>
      </w:r>
      <w:r>
        <w:rPr/>
        <w:t> </w:t>
      </w:r>
      <w:r>
        <w:rPr>
          <w:spacing w:val="-1"/>
        </w:rPr>
        <w:t>系，获学士学位。曾任四川成都新兴集团技术部经理、广东水晶球技术发展有限公司技术人员、广东天海</w:t>
      </w:r>
      <w:r>
        <w:rPr>
          <w:spacing w:val="-82"/>
        </w:rPr>
        <w:t> </w:t>
      </w:r>
      <w:r>
        <w:rPr>
          <w:spacing w:val="-82"/>
        </w:rPr>
      </w:r>
      <w:r>
        <w:rPr/>
        <w:t>威数码技术有限公司工程师；2009年至今任蓝盾信息安全技术股份有限公司生产部主管；2012年8月任蓝 盾信息安全技术股份有限公司监事。</w:t>
      </w:r>
    </w:p>
    <w:p>
      <w:pPr>
        <w:pStyle w:val="BodyText"/>
        <w:spacing w:line="331" w:lineRule="auto" w:before="28"/>
        <w:ind w:right="208" w:firstLine="423"/>
        <w:jc w:val="both"/>
      </w:pPr>
      <w:r>
        <w:rPr>
          <w:spacing w:val="-1"/>
        </w:rPr>
        <w:t>詹桂彬：男，</w:t>
      </w:r>
      <w:r>
        <w:rPr>
          <w:rFonts w:ascii="Times New Roman" w:hAnsi="Times New Roman" w:cs="Times New Roman" w:eastAsia="Times New Roman" w:hint="default"/>
          <w:spacing w:val="-1"/>
        </w:rPr>
        <w:t>1977</w:t>
      </w:r>
      <w:r>
        <w:rPr>
          <w:spacing w:val="-1"/>
        </w:rPr>
        <w:t>年出生，中国国籍，无境外永久居留权。曾任广东水晶球技术发展有限公司技术主</w:t>
      </w:r>
      <w:r>
        <w:rPr/>
        <w:t> </w:t>
      </w:r>
      <w:r>
        <w:rPr>
          <w:spacing w:val="-1"/>
        </w:rPr>
        <w:t>管及经理、广东天海威数码技术有限公司项目经理，新产品部经理与采购部经理，</w:t>
      </w:r>
      <w:r>
        <w:rPr>
          <w:rFonts w:ascii="Times New Roman" w:hAnsi="Times New Roman" w:cs="Times New Roman" w:eastAsia="Times New Roman" w:hint="default"/>
          <w:spacing w:val="-1"/>
        </w:rPr>
        <w:t>2009</w:t>
      </w:r>
      <w:r>
        <w:rPr>
          <w:spacing w:val="-1"/>
        </w:rPr>
        <w:t>年至今任蓝盾信息</w:t>
      </w:r>
      <w:r>
        <w:rPr>
          <w:spacing w:val="-84"/>
        </w:rPr>
        <w:t> </w:t>
      </w:r>
      <w:r>
        <w:rPr>
          <w:spacing w:val="-84"/>
        </w:rPr>
      </w:r>
      <w:r>
        <w:rPr/>
        <w:t>安全技术股份有限公司职工代表监事。</w:t>
      </w:r>
    </w:p>
    <w:p>
      <w:pPr>
        <w:spacing w:line="240" w:lineRule="auto" w:before="5"/>
        <w:rPr>
          <w:rFonts w:ascii="宋体" w:hAnsi="宋体" w:cs="宋体" w:eastAsia="宋体" w:hint="default"/>
          <w:sz w:val="15"/>
          <w:szCs w:val="15"/>
        </w:rPr>
      </w:pPr>
    </w:p>
    <w:p>
      <w:pPr>
        <w:pStyle w:val="BodyText"/>
        <w:spacing w:line="328" w:lineRule="auto"/>
        <w:ind w:left="577" w:right="102" w:hanging="424"/>
        <w:jc w:val="left"/>
      </w:pPr>
      <w:r>
        <w:rPr>
          <w:rFonts w:ascii="Times New Roman" w:hAnsi="Times New Roman" w:cs="Times New Roman" w:eastAsia="Times New Roman" w:hint="default"/>
        </w:rPr>
        <w:t>3</w:t>
      </w:r>
      <w:r>
        <w:rPr/>
        <w:t>、高级管理人员 </w:t>
      </w:r>
      <w:r>
        <w:rPr>
          <w:spacing w:val="-1"/>
        </w:rPr>
        <w:t>谭晓燕：女，1975年出生，中国国籍，无境外永久居留权。1998年毕业于暨南大学会计系，获学士学</w:t>
      </w:r>
    </w:p>
    <w:p>
      <w:pPr>
        <w:pStyle w:val="BodyText"/>
        <w:spacing w:line="350" w:lineRule="auto" w:before="48"/>
        <w:ind w:right="209"/>
        <w:jc w:val="both"/>
      </w:pPr>
      <w:r>
        <w:rPr>
          <w:spacing w:val="-1"/>
        </w:rPr>
        <w:t>位；2002年毕业于英国赫尔大学商学院，获工商管理硕士学位。2007年8月至2008年9月，为澳门科技大学</w:t>
      </w:r>
      <w:r>
        <w:rPr>
          <w:spacing w:val="-77"/>
        </w:rPr>
        <w:t> </w:t>
      </w:r>
      <w:r>
        <w:rPr>
          <w:spacing w:val="-77"/>
        </w:rPr>
      </w:r>
      <w:r>
        <w:rPr>
          <w:spacing w:val="-1"/>
        </w:rPr>
        <w:t>基金会属下医疗机构提供财务管理服务及优化动作建议；2008年9月至2009年7月，在广东天海威数码技术</w:t>
      </w:r>
      <w:r>
        <w:rPr>
          <w:spacing w:val="-79"/>
        </w:rPr>
        <w:t> </w:t>
      </w:r>
      <w:r>
        <w:rPr>
          <w:spacing w:val="-79"/>
        </w:rPr>
      </w:r>
      <w:r>
        <w:rPr>
          <w:spacing w:val="-1"/>
        </w:rPr>
        <w:t>有限公司任职；2009年7月至2010年11月任蓝盾信息安全技术股份有限公司董事会秘书；2009年7月至今任</w:t>
      </w:r>
      <w:r>
        <w:rPr>
          <w:spacing w:val="-80"/>
        </w:rPr>
        <w:t> </w:t>
      </w:r>
      <w:r>
        <w:rPr>
          <w:spacing w:val="-80"/>
        </w:rPr>
      </w:r>
      <w:r>
        <w:rPr/>
        <w:t>蓝盾信息安全技术股份有限公司副总经理。</w:t>
      </w:r>
    </w:p>
    <w:p>
      <w:pPr>
        <w:pStyle w:val="BodyText"/>
        <w:spacing w:line="350" w:lineRule="auto" w:before="28"/>
        <w:ind w:right="102" w:firstLine="423"/>
        <w:jc w:val="left"/>
      </w:pPr>
      <w:r>
        <w:rPr>
          <w:spacing w:val="-1"/>
        </w:rPr>
        <w:t>李德桂：男，1976年出生，中国国籍，无境外永久居留权。2000年毕业于中山大学计算机科学系计算</w:t>
      </w:r>
      <w:r>
        <w:rPr/>
        <w:t> 机软件专业，获学士学位，高级程序员。2006年7月至2010年12月，任职深圳市立友科技有限公司高级技 术经理；2011年1月至2012年5月，任北京金泉时代投资管理有限公司交易部经理；2012年8月至今任蓝盾 信息安全技术股份有限公司董事会秘书、副总经理。</w:t>
      </w:r>
    </w:p>
    <w:p>
      <w:pPr>
        <w:pStyle w:val="BodyText"/>
        <w:spacing w:line="350" w:lineRule="auto" w:before="28"/>
        <w:ind w:right="102" w:firstLine="423"/>
        <w:jc w:val="left"/>
      </w:pPr>
      <w:r>
        <w:rPr>
          <w:spacing w:val="-1"/>
        </w:rPr>
        <w:t>杨育斌：男，1974年出生，澳大利亚国籍，广东网络安全协会理事、信息安全专家。2002年毕业于澳</w:t>
      </w:r>
      <w:r>
        <w:rPr/>
        <w:t> 大利亚新南威尔大学，获得计算机科学及商业管理硕士学士。先后任职于GDI澳洲网络技术服务公司、阿 尔卡特－亚太研发中心、Achievo大展科技等全球领先海外IT公司，历任研发工程师、项目经理、技术总</w:t>
      </w:r>
    </w:p>
    <w:p>
      <w:pPr>
        <w:spacing w:after="0" w:line="350" w:lineRule="auto"/>
        <w:jc w:val="left"/>
        <w:sectPr>
          <w:footerReference w:type="default" r:id="rId20"/>
          <w:pgSz w:w="11910" w:h="16840"/>
          <w:pgMar w:footer="982" w:header="877" w:top="1100" w:bottom="1180" w:left="980" w:right="920"/>
          <w:pgNumType w:start="55"/>
        </w:sectPr>
      </w:pPr>
    </w:p>
    <w:p>
      <w:pPr>
        <w:spacing w:line="240" w:lineRule="auto" w:before="7"/>
        <w:rPr>
          <w:rFonts w:ascii="宋体" w:hAnsi="宋体" w:cs="宋体" w:eastAsia="宋体" w:hint="default"/>
          <w:sz w:val="27"/>
          <w:szCs w:val="27"/>
        </w:rPr>
      </w:pPr>
    </w:p>
    <w:p>
      <w:pPr>
        <w:pStyle w:val="BodyText"/>
        <w:spacing w:line="348" w:lineRule="auto" w:before="35"/>
        <w:ind w:right="215"/>
        <w:jc w:val="left"/>
      </w:pPr>
      <w:r>
        <w:rPr/>
        <w:t>监等；2009年至今任蓝盾信息安全技术股份有限公司技术总监；2012年8月至2012年12月任蓝盾信息安全 技术股份有限公司副总经理；2012年12月至今任广东蓝盾乐庚信息技术有限公司董事。</w:t>
      </w:r>
    </w:p>
    <w:p>
      <w:pPr>
        <w:pStyle w:val="BodyText"/>
        <w:spacing w:line="350" w:lineRule="auto" w:before="31"/>
        <w:ind w:right="135" w:firstLine="423"/>
        <w:jc w:val="left"/>
      </w:pPr>
      <w:r>
        <w:rPr>
          <w:spacing w:val="-1"/>
        </w:rPr>
        <w:t>韩炜：女，1976年出生，中国国籍，无境外永久居留权。2006年毕业于石家庄陆军学院法律系，获学</w:t>
      </w:r>
      <w:r>
        <w:rPr/>
        <w:t> </w:t>
      </w:r>
      <w:r>
        <w:rPr>
          <w:spacing w:val="-5"/>
        </w:rPr>
        <w:t>士学位，注册信息安全专业人员。曾任职于石家庄市邮政局，河北电信公司，广东电信实业公司，安盟（中</w:t>
      </w:r>
      <w:r>
        <w:rPr/>
        <w:t> </w:t>
      </w:r>
      <w:r>
        <w:rPr>
          <w:spacing w:val="-1"/>
        </w:rPr>
        <w:t>国）信息安全有限公司，广东天海威数码技术有限公司，2009年至今在蓝盾信息安全技术股份有限公司任</w:t>
      </w:r>
      <w:r>
        <w:rPr>
          <w:spacing w:val="-83"/>
        </w:rPr>
        <w:t> </w:t>
      </w:r>
      <w:r>
        <w:rPr>
          <w:spacing w:val="-83"/>
        </w:rPr>
      </w:r>
      <w:r>
        <w:rPr/>
        <w:t>市场总监兼培训中心主任，2012年8月至今任蓝盾信息安全技术股份有限公司副总经理，2012年12月至今</w:t>
      </w:r>
      <w:r>
        <w:rPr/>
        <w:t> 任广东省蓝盾职业培训学院院长。</w:t>
      </w:r>
    </w:p>
    <w:p>
      <w:pPr>
        <w:pStyle w:val="BodyText"/>
        <w:spacing w:line="331" w:lineRule="auto" w:before="28"/>
        <w:ind w:left="153" w:right="111" w:firstLine="423"/>
        <w:jc w:val="left"/>
      </w:pPr>
      <w:r>
        <w:rPr>
          <w:spacing w:val="-1"/>
        </w:rPr>
        <w:t>魏树华：男，</w:t>
      </w:r>
      <w:r>
        <w:rPr>
          <w:rFonts w:ascii="Times New Roman" w:hAnsi="Times New Roman" w:cs="Times New Roman" w:eastAsia="Times New Roman" w:hint="default"/>
          <w:spacing w:val="-1"/>
        </w:rPr>
        <w:t>1972</w:t>
      </w:r>
      <w:r>
        <w:rPr>
          <w:spacing w:val="-1"/>
        </w:rPr>
        <w:t>年出生，中国国籍，无境外永久居留权，高级会计师，中国注册会计师；注册税务</w:t>
      </w:r>
      <w:r>
        <w:rPr/>
        <w:t> 师，</w:t>
      </w:r>
      <w:r>
        <w:rPr>
          <w:rFonts w:ascii="Times New Roman" w:hAnsi="Times New Roman" w:cs="Times New Roman" w:eastAsia="Times New Roman" w:hint="default"/>
        </w:rPr>
        <w:t>2005</w:t>
      </w:r>
      <w:r>
        <w:rPr/>
        <w:t>毕业于暨南大学会计专业，</w:t>
      </w:r>
      <w:r>
        <w:rPr>
          <w:rFonts w:ascii="Times New Roman" w:hAnsi="Times New Roman" w:cs="Times New Roman" w:eastAsia="Times New Roman" w:hint="default"/>
        </w:rPr>
        <w:t>2010</w:t>
      </w:r>
      <w:r>
        <w:rPr/>
        <w:t>年获中山大学</w:t>
      </w:r>
      <w:r>
        <w:rPr>
          <w:rFonts w:ascii="Times New Roman" w:hAnsi="Times New Roman" w:cs="Times New Roman" w:eastAsia="Times New Roman" w:hint="default"/>
        </w:rPr>
        <w:t>MPACC</w:t>
      </w:r>
      <w:r>
        <w:rPr/>
        <w:t>会计硕士学位；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 任广州杰赛科技股份有限公司财务部总经理助理；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月，任广东天海威数码技术有限 公司财务总监；</w:t>
      </w:r>
      <w:r>
        <w:rPr>
          <w:rFonts w:ascii="Times New Roman" w:hAnsi="Times New Roman" w:cs="Times New Roman" w:eastAsia="Times New Roman" w:hint="default"/>
        </w:rPr>
        <w:t>2009</w:t>
      </w:r>
      <w:r>
        <w:rPr/>
        <w:t>年至今，任蓝盾信息安全技术股份有限公司财务总监。</w:t>
      </w:r>
    </w:p>
    <w:p>
      <w:pPr>
        <w:spacing w:line="240" w:lineRule="auto" w:before="9"/>
        <w:rPr>
          <w:rFonts w:ascii="宋体" w:hAnsi="宋体" w:cs="宋体" w:eastAsia="宋体" w:hint="default"/>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52"/>
        <w:gridCol w:w="1208"/>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6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广州普邦园林股份有限公司</w:t>
            </w:r>
          </w:p>
        </w:tc>
        <w:tc>
          <w:tcPr>
            <w:tcW w:w="1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北京爱创科技股份有限公司</w:t>
            </w:r>
          </w:p>
        </w:tc>
        <w:tc>
          <w:tcPr>
            <w:tcW w:w="1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江苏通达动力科技股份有限公司</w:t>
            </w:r>
          </w:p>
        </w:tc>
        <w:tc>
          <w:tcPr>
            <w:tcW w:w="1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珠海格力电器股份有限公司</w:t>
            </w:r>
          </w:p>
        </w:tc>
        <w:tc>
          <w:tcPr>
            <w:tcW w:w="1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中山达华智能科技股份有限公司</w:t>
            </w:r>
          </w:p>
        </w:tc>
        <w:tc>
          <w:tcPr>
            <w:tcW w:w="1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2"/>
      </w:tblGrid>
      <w:tr>
        <w:trPr>
          <w:trHeight w:val="1338"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
              <w:jc w:val="both"/>
              <w:rPr>
                <w:rFonts w:ascii="宋体" w:hAnsi="宋体" w:cs="宋体" w:eastAsia="宋体" w:hint="default"/>
                <w:sz w:val="18"/>
                <w:szCs w:val="18"/>
              </w:rPr>
            </w:pPr>
            <w:r>
              <w:rPr>
                <w:rFonts w:ascii="宋体" w:hAnsi="宋体" w:cs="宋体" w:eastAsia="宋体" w:hint="default"/>
                <w:spacing w:val="-1"/>
                <w:sz w:val="18"/>
                <w:szCs w:val="18"/>
              </w:rPr>
              <w:t>公司薪酬与考核委员会根据董事及高级管理人员岗位的主要范围、职责、重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要性以及其他相关企业相关岗位的薪酬水平制定薪酬计划或方案；其提出的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公司董事的薪酬计划，报经董事会同意后，提交股东大会审议通过后实施； 公司高级管理人员的薪酬分配方案须报董事会审议批准。</w:t>
            </w:r>
          </w:p>
        </w:tc>
      </w:tr>
      <w:tr>
        <w:trPr>
          <w:trHeight w:val="71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董事及高级管理人员岗位的主要范围、职责、重要性以及其他相关企业相关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岗位的薪酬水平</w:t>
            </w:r>
          </w:p>
        </w:tc>
      </w:tr>
      <w:tr>
        <w:trPr>
          <w:trHeight w:val="71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5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根据相关决策程序审议通过后的薪酬方案进行支付，并按照税法规定代扣代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缴个人所得税。</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b/>
          <w:bCs/>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83"/>
        <w:gridCol w:w="1208"/>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副董事长、总 经理</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李根森</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杨育斌</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451.15</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四、公司董事、监事、高级管理人员变动情况</w:t>
      </w:r>
      <w:r>
        <w:rPr>
          <w:b w:val="0"/>
          <w:bCs w:val="0"/>
        </w:rPr>
      </w:r>
    </w:p>
    <w:p>
      <w:pPr>
        <w:spacing w:after="0" w:line="240" w:lineRule="auto"/>
        <w:jc w:val="left"/>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591"/>
        <w:gridCol w:w="397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杨育斌</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spacing w:line="477" w:lineRule="auto" w:before="26"/>
        <w:ind w:left="154" w:right="819" w:firstLine="0"/>
        <w:jc w:val="both"/>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spacing w:val="1"/>
          <w:w w:val="99"/>
          <w:sz w:val="24"/>
          <w:szCs w:val="24"/>
        </w:rPr>
        <w:t> </w:t>
      </w:r>
      <w:r>
        <w:rPr>
          <w:rFonts w:ascii="宋体" w:hAnsi="宋体" w:cs="宋体" w:eastAsia="宋体" w:hint="default"/>
          <w:spacing w:val="-1"/>
          <w:sz w:val="23"/>
          <w:szCs w:val="23"/>
        </w:rPr>
        <w:t>报告期内，公司核心技术团队或关键人员（非董事、监事、高级管理人员）无重大变化。</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b/>
          <w:bCs/>
          <w:sz w:val="24"/>
          <w:szCs w:val="24"/>
        </w:rPr>
        <w:t>六、公司员工情况</w:t>
      </w:r>
      <w:r>
        <w:rPr>
          <w:rFonts w:ascii="宋体" w:hAnsi="宋体" w:cs="宋体" w:eastAsia="宋体" w:hint="default"/>
          <w:sz w:val="24"/>
          <w:szCs w:val="24"/>
        </w:rPr>
      </w:r>
    </w:p>
    <w:p>
      <w:pPr>
        <w:pStyle w:val="BodyText"/>
        <w:spacing w:line="285" w:lineRule="exact"/>
        <w:ind w:right="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日，公司及全资子公司共有员工</w:t>
      </w:r>
      <w:r>
        <w:rPr>
          <w:rFonts w:ascii="Times New Roman" w:hAnsi="Times New Roman" w:cs="Times New Roman" w:eastAsia="Times New Roman" w:hint="default"/>
        </w:rPr>
        <w:t>633</w:t>
      </w:r>
      <w:r>
        <w:rPr/>
        <w:t>人，员工构成情况如下：</w:t>
      </w:r>
    </w:p>
    <w:p>
      <w:pPr>
        <w:pStyle w:val="BodyText"/>
        <w:spacing w:line="240" w:lineRule="auto" w:before="110"/>
        <w:ind w:right="0"/>
        <w:jc w:val="both"/>
      </w:pPr>
      <w:r>
        <w:rPr>
          <w:rFonts w:ascii="Times New Roman" w:hAnsi="Times New Roman" w:cs="Times New Roman" w:eastAsia="Times New Roman" w:hint="default"/>
        </w:rPr>
        <w:t>1</w:t>
      </w:r>
      <w:r>
        <w:rPr/>
        <w:t>、按专业划分</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60"/>
        <w:gridCol w:w="2635"/>
        <w:gridCol w:w="2694"/>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专业</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84" w:right="0"/>
              <w:jc w:val="left"/>
              <w:rPr>
                <w:rFonts w:ascii="宋体" w:hAnsi="宋体" w:cs="宋体" w:eastAsia="宋体" w:hint="default"/>
                <w:sz w:val="21"/>
                <w:szCs w:val="21"/>
              </w:rPr>
            </w:pPr>
            <w:r>
              <w:rPr>
                <w:rFonts w:ascii="宋体" w:hAnsi="宋体" w:cs="宋体" w:eastAsia="宋体" w:hint="default"/>
                <w:sz w:val="21"/>
                <w:szCs w:val="21"/>
              </w:rPr>
              <w:t>人数（人）</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01" w:right="0"/>
              <w:jc w:val="left"/>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64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10.11%</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0.32%</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232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36.65%</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315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49.76%</w:t>
            </w:r>
          </w:p>
        </w:tc>
      </w:tr>
      <w:tr>
        <w:trPr>
          <w:trHeight w:val="42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z w:val="21"/>
              </w:rPr>
              <w:t>20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21"/>
                <w:szCs w:val="21"/>
              </w:rPr>
            </w:pPr>
            <w:r>
              <w:rPr>
                <w:rFonts w:ascii="Times New Roman"/>
                <w:spacing w:val="-1"/>
                <w:sz w:val="21"/>
              </w:rPr>
              <w:t>3.16%</w:t>
            </w:r>
          </w:p>
        </w:tc>
      </w:tr>
      <w:tr>
        <w:trPr>
          <w:trHeight w:val="42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633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r>
        <w:rPr>
          <w:rFonts w:ascii="Times New Roman" w:hAnsi="Times New Roman" w:cs="Times New Roman" w:eastAsia="Times New Roman" w:hint="default"/>
        </w:rPr>
        <w:t>2</w:t>
      </w:r>
      <w:r>
        <w:rPr/>
        <w:t>、按教育程度划分</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60"/>
        <w:gridCol w:w="2635"/>
        <w:gridCol w:w="2694"/>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学历</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84" w:right="0"/>
              <w:jc w:val="left"/>
              <w:rPr>
                <w:rFonts w:ascii="宋体" w:hAnsi="宋体" w:cs="宋体" w:eastAsia="宋体" w:hint="default"/>
                <w:sz w:val="21"/>
                <w:szCs w:val="21"/>
              </w:rPr>
            </w:pPr>
            <w:r>
              <w:rPr>
                <w:rFonts w:ascii="宋体" w:hAnsi="宋体" w:cs="宋体" w:eastAsia="宋体" w:hint="default"/>
                <w:sz w:val="21"/>
                <w:szCs w:val="21"/>
              </w:rPr>
              <w:t>人数（人）</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01" w:right="0"/>
              <w:jc w:val="left"/>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5.53%</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306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48.34%</w:t>
            </w:r>
          </w:p>
        </w:tc>
      </w:tr>
      <w:tr>
        <w:trPr>
          <w:trHeight w:val="42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21"/>
                <w:szCs w:val="21"/>
              </w:rPr>
            </w:pPr>
            <w:r>
              <w:rPr>
                <w:rFonts w:ascii="Times New Roman"/>
                <w:spacing w:val="-1"/>
                <w:sz w:val="21"/>
              </w:rPr>
              <w:t>31.44%</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93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14.69%</w:t>
            </w:r>
          </w:p>
        </w:tc>
      </w:tr>
      <w:tr>
        <w:trPr>
          <w:trHeight w:val="42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633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40" w:lineRule="auto" w:before="26"/>
        <w:ind w:right="0"/>
        <w:jc w:val="left"/>
      </w:pPr>
      <w:r>
        <w:rPr>
          <w:rFonts w:ascii="Times New Roman" w:hAnsi="Times New Roman" w:cs="Times New Roman" w:eastAsia="Times New Roman" w:hint="default"/>
        </w:rPr>
        <w:t>3</w:t>
      </w:r>
      <w:r>
        <w:rPr/>
        <w:t>、按年龄划分</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60"/>
        <w:gridCol w:w="2635"/>
        <w:gridCol w:w="2694"/>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84" w:right="0"/>
              <w:jc w:val="left"/>
              <w:rPr>
                <w:rFonts w:ascii="宋体" w:hAnsi="宋体" w:cs="宋体" w:eastAsia="宋体" w:hint="default"/>
                <w:sz w:val="21"/>
                <w:szCs w:val="21"/>
              </w:rPr>
            </w:pPr>
            <w:r>
              <w:rPr>
                <w:rFonts w:ascii="宋体" w:hAnsi="宋体" w:cs="宋体" w:eastAsia="宋体" w:hint="default"/>
                <w:sz w:val="21"/>
                <w:szCs w:val="21"/>
              </w:rPr>
              <w:t>人数（人）</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01" w:right="0"/>
              <w:jc w:val="left"/>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0.79%</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41-50</w:t>
            </w:r>
            <w:r>
              <w:rPr>
                <w:rFonts w:ascii="宋体" w:hAnsi="宋体" w:cs="宋体" w:eastAsia="宋体" w:hint="default"/>
                <w:sz w:val="21"/>
                <w:szCs w:val="21"/>
              </w:rPr>
              <w:t>岁</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4.90%</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宋体" w:hAnsi="宋体" w:cs="宋体" w:eastAsia="宋体" w:hint="default"/>
                <w:sz w:val="21"/>
                <w:szCs w:val="21"/>
              </w:rPr>
              <w:t>岁</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29.38%</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411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64.93%</w:t>
            </w:r>
          </w:p>
        </w:tc>
      </w:tr>
      <w:tr>
        <w:trPr>
          <w:trHeight w:val="42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633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40" w:lineRule="auto" w:before="26"/>
        <w:ind w:right="0"/>
        <w:jc w:val="left"/>
      </w:pPr>
      <w:r>
        <w:rPr/>
        <w:t>公司实行全员聘用制，无需承担离退休职工的费用，离退休职工由社保基金统筹解决。</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pStyle w:val="Heading1"/>
        <w:spacing w:line="240" w:lineRule="auto" w:before="175"/>
        <w:ind w:left="3751" w:right="380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ind w:right="92" w:firstLine="498"/>
        <w:jc w:val="left"/>
      </w:pPr>
      <w:r>
        <w:rPr/>
        <w:t>公司根据《公司法》、《上市公司治理准则》、《上市公司章程指引》、《上市公司股东大会规则》 及其他相关法律、法规的要求，确立了由股东大会、董事会、监事会和经营管理层组成的公司治理结构， 建立健全了股东大会、董事会、监事会、独立董事、董事会秘书等相关制度，并在公司董事会下设立了战 略、审计、提名、薪酬与考核等专门委员会。</w:t>
      </w:r>
    </w:p>
    <w:p>
      <w:pPr>
        <w:pStyle w:val="BodyText"/>
        <w:spacing w:line="350" w:lineRule="auto" w:before="29"/>
        <w:ind w:right="184" w:firstLine="423"/>
        <w:jc w:val="both"/>
      </w:pPr>
      <w:r>
        <w:rPr/>
        <w:t>报告期内，公司建立了规范的公司治理结构，股东大会、董事会及专门委员会、监事会、独立董事、 </w:t>
      </w:r>
      <w:r>
        <w:rPr>
          <w:spacing w:val="-1"/>
        </w:rPr>
        <w:t>董事会秘书和管理层均严格按照《公司法》、《证券法》、《上市公司治理准则》、《深圳证券交易所创</w:t>
      </w:r>
      <w:r>
        <w:rPr>
          <w:spacing w:val="-85"/>
        </w:rPr>
        <w:t> </w:t>
      </w:r>
      <w:r>
        <w:rPr>
          <w:spacing w:val="-85"/>
        </w:rPr>
      </w:r>
      <w:r>
        <w:rPr/>
        <w:t>业板股票上市规则》、《深圳证券交易所创业板上市公司规范运作指引》等法律、法规和中国证监会有关</w:t>
      </w:r>
      <w:r>
        <w:rPr/>
        <w:t> 法律法规等的要求，履行各自的权利和义务，公司重大生产经营决策、投资决策及财务决策均按照《公司 章程》及有关内控制度规定的程序和规则进行，截至报告期末，上述机构和人员依法运作，未出现违法、 </w:t>
      </w:r>
      <w:r>
        <w:rPr>
          <w:spacing w:val="-1"/>
        </w:rPr>
        <w:t>违规现象，能够切实履行应尽的职责和义务，公司治理的实际状况符合《上市公司治理准则》和《深圳证</w:t>
      </w:r>
      <w:r>
        <w:rPr>
          <w:spacing w:val="-83"/>
        </w:rPr>
        <w:t> </w:t>
      </w:r>
      <w:r>
        <w:rPr>
          <w:spacing w:val="-83"/>
        </w:rPr>
      </w:r>
      <w:r>
        <w:rPr/>
        <w:t>券交易所创业板上市公司规范运作指引》的要求。</w:t>
      </w:r>
    </w:p>
    <w:p>
      <w:pPr>
        <w:pStyle w:val="BodyText"/>
        <w:spacing w:line="348" w:lineRule="auto" w:before="28"/>
        <w:ind w:left="577" w:right="102"/>
        <w:jc w:val="left"/>
      </w:pPr>
      <w:r>
        <w:rPr/>
        <w:t>（一）关于股东与股东大会 </w:t>
      </w:r>
      <w:r>
        <w:rPr>
          <w:spacing w:val="-1"/>
        </w:rPr>
        <w:t>公司严格按照《上市公司股东大会规则》、《公司章程》、《股东大会议事规则》等规定和要求，规</w:t>
      </w:r>
    </w:p>
    <w:p>
      <w:pPr>
        <w:pStyle w:val="BodyText"/>
        <w:spacing w:line="240" w:lineRule="auto" w:before="31"/>
        <w:ind w:right="0"/>
        <w:jc w:val="both"/>
      </w:pPr>
      <w:r>
        <w:rPr/>
        <w:t>范地召集、召开股东大会，对公司的相关事项做出了决策，程序规范，决策科学，效果良好。</w:t>
      </w:r>
    </w:p>
    <w:p>
      <w:pPr>
        <w:pStyle w:val="BodyText"/>
        <w:spacing w:line="348" w:lineRule="auto" w:before="125"/>
        <w:ind w:left="577" w:right="102"/>
        <w:jc w:val="left"/>
      </w:pPr>
      <w:r>
        <w:rPr/>
        <w:t>（二）关于公司与控股股东 </w:t>
      </w:r>
      <w:r>
        <w:rPr>
          <w:spacing w:val="-1"/>
        </w:rPr>
        <w:t>公司控股股东严格规范自身行为，没有直接或间接干预公司的决策和经营活动情况。公司在业务、人</w:t>
      </w:r>
    </w:p>
    <w:p>
      <w:pPr>
        <w:pStyle w:val="BodyText"/>
        <w:spacing w:line="348" w:lineRule="auto" w:before="31"/>
        <w:ind w:right="209"/>
        <w:jc w:val="both"/>
      </w:pPr>
      <w:r>
        <w:rPr>
          <w:spacing w:val="-1"/>
        </w:rPr>
        <w:t>员、资产、机构、财务上独立于控股股东，有独立完整的业务和自主经营能力，公司董事会、监事会和内</w:t>
      </w:r>
      <w:r>
        <w:rPr>
          <w:spacing w:val="-83"/>
        </w:rPr>
        <w:t> </w:t>
      </w:r>
      <w:r>
        <w:rPr>
          <w:spacing w:val="-83"/>
        </w:rPr>
      </w:r>
      <w:r>
        <w:rPr/>
        <w:t>部机构独立运作。</w:t>
      </w:r>
    </w:p>
    <w:p>
      <w:pPr>
        <w:pStyle w:val="BodyText"/>
        <w:spacing w:line="350" w:lineRule="auto" w:before="30"/>
        <w:ind w:left="577" w:right="167"/>
        <w:jc w:val="left"/>
      </w:pPr>
      <w:r>
        <w:rPr/>
        <w:t>（三）关于董事和董事会 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w:t>
      </w:r>
    </w:p>
    <w:p>
      <w:pPr>
        <w:pStyle w:val="BodyText"/>
        <w:spacing w:line="350" w:lineRule="auto" w:before="2"/>
        <w:ind w:right="209"/>
        <w:jc w:val="both"/>
      </w:pPr>
      <w:r>
        <w:rPr>
          <w:spacing w:val="-1"/>
        </w:rPr>
        <w:t>的要求。各董事能够依据《公司法》、《深圳证券交易所创业板上市公司规范运作指引》、《公司董事会</w:t>
      </w:r>
      <w:r>
        <w:rPr>
          <w:spacing w:val="-84"/>
        </w:rPr>
        <w:t> </w:t>
      </w:r>
      <w:r>
        <w:rPr>
          <w:spacing w:val="-84"/>
        </w:rPr>
      </w:r>
      <w:r>
        <w:rPr>
          <w:spacing w:val="-1"/>
        </w:rPr>
        <w:t>议事规则》等法律法规、规章制度开展工作，出席董事会和股东大会，勤勉尽责地履行职责和义务，同时</w:t>
      </w:r>
      <w:r>
        <w:rPr>
          <w:spacing w:val="-83"/>
        </w:rPr>
        <w:t> </w:t>
      </w:r>
      <w:r>
        <w:rPr>
          <w:spacing w:val="-83"/>
        </w:rPr>
      </w:r>
      <w:r>
        <w:rPr/>
        <w:t>积极参加相关培训，熟悉相关法律法规。</w:t>
      </w:r>
    </w:p>
    <w:p>
      <w:pPr>
        <w:pStyle w:val="BodyText"/>
        <w:spacing w:line="348" w:lineRule="auto" w:before="28"/>
        <w:ind w:left="577" w:right="102"/>
        <w:jc w:val="left"/>
      </w:pPr>
      <w:r>
        <w:rPr/>
        <w:t>（四）关于监事和监事会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名，监事会的人数和构成符合法律、法规的要求。各位监事能</w:t>
      </w:r>
    </w:p>
    <w:p>
      <w:pPr>
        <w:pStyle w:val="BodyText"/>
        <w:spacing w:line="348" w:lineRule="auto" w:before="5"/>
        <w:ind w:right="209"/>
        <w:jc w:val="both"/>
      </w:pPr>
      <w:r>
        <w:rPr>
          <w:spacing w:val="-1"/>
        </w:rPr>
        <w:t>够按照《公司监事会议事规则》的要求，认真履行自己的职责，对公司重大事项、关联交易、财务状况以</w:t>
      </w:r>
      <w:r>
        <w:rPr>
          <w:spacing w:val="-83"/>
        </w:rPr>
        <w:t> </w:t>
      </w:r>
      <w:r>
        <w:rPr>
          <w:spacing w:val="-83"/>
        </w:rPr>
      </w:r>
      <w:r>
        <w:rPr/>
        <w:t>及董事、高级管理人员履行职责的合法合规性进行监督。</w:t>
      </w:r>
    </w:p>
    <w:p>
      <w:pPr>
        <w:pStyle w:val="BodyText"/>
        <w:spacing w:line="350" w:lineRule="auto" w:before="30"/>
        <w:ind w:left="577" w:right="167"/>
        <w:jc w:val="left"/>
      </w:pPr>
      <w:r>
        <w:rPr/>
        <w:t>（五）关于绩效评价与激励约束机制 公司已建立企业绩效评价激励体系，经营者的收入与企业经营业绩挂钩，高级管理人员的聘任公开、</w:t>
      </w:r>
    </w:p>
    <w:p>
      <w:pPr>
        <w:pStyle w:val="BodyText"/>
        <w:spacing w:line="240" w:lineRule="auto" w:before="28"/>
        <w:ind w:right="0"/>
        <w:jc w:val="both"/>
      </w:pPr>
      <w:r>
        <w:rPr/>
        <w:t>透明，符合法律、法规的规定。公司董事会下设的薪酬和考核委员会负责对公司董事及高级管理人员进行</w:t>
      </w:r>
    </w:p>
    <w:p>
      <w:pPr>
        <w:spacing w:after="0" w:line="240" w:lineRule="auto"/>
        <w:jc w:val="both"/>
        <w:sectPr>
          <w:pgSz w:w="11910" w:h="16840"/>
          <w:pgMar w:header="877" w:footer="982" w:top="1100" w:bottom="1180" w:left="980" w:right="92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绩效考核，董事、监事和高级管理人员的津贴标准由公司股东大会批准。</w:t>
      </w:r>
    </w:p>
    <w:p>
      <w:pPr>
        <w:pStyle w:val="BodyText"/>
        <w:spacing w:line="350" w:lineRule="auto" w:before="125"/>
        <w:ind w:left="577" w:right="92"/>
        <w:jc w:val="left"/>
      </w:pPr>
      <w:r>
        <w:rPr/>
        <w:t>（六）关于信息披露与透明度 </w:t>
      </w:r>
      <w:r>
        <w:rPr>
          <w:spacing w:val="-3"/>
        </w:rPr>
        <w:t>公司严格按照《上市公司信息披露管理办法》《公司投资者关系管理制度》等规章制度的要求，真实、</w:t>
      </w:r>
    </w:p>
    <w:p>
      <w:pPr>
        <w:pStyle w:val="BodyText"/>
        <w:spacing w:line="343" w:lineRule="auto" w:before="28"/>
        <w:ind w:left="153" w:right="211"/>
        <w:jc w:val="both"/>
      </w:pPr>
      <w:r>
        <w:rPr>
          <w:spacing w:val="-1"/>
        </w:rPr>
        <w:t>准确、及时、公平、完整地披露有关信息。公司指定董事会秘书负责信息披露工作，协调公司与投资者的</w:t>
      </w:r>
      <w:r>
        <w:rPr>
          <w:spacing w:val="-83"/>
        </w:rPr>
        <w:t> </w:t>
      </w:r>
      <w:r>
        <w:rPr>
          <w:spacing w:val="-83"/>
        </w:rPr>
      </w:r>
      <w:r>
        <w:rPr>
          <w:spacing w:val="-1"/>
        </w:rPr>
        <w:t>关系，回答投资者咨询，接待投资者来访，向投资者提供公司已披露的资料；并指定《证券时报》《中国</w:t>
      </w:r>
      <w:r>
        <w:rPr>
          <w:spacing w:val="-85"/>
        </w:rPr>
        <w:t> </w:t>
      </w:r>
      <w:r>
        <w:rPr>
          <w:spacing w:val="-85"/>
        </w:rPr>
      </w:r>
      <w:r>
        <w:rPr/>
        <w:t>证券报》《上海证券报》和巨潮资讯网</w:t>
      </w:r>
      <w:r>
        <w:rPr>
          <w:rFonts w:ascii="Times New Roman" w:hAnsi="Times New Roman" w:cs="Times New Roman" w:eastAsia="Times New Roman" w:hint="default"/>
        </w:rPr>
        <w:t>(www.cninfo.com.cn)</w:t>
      </w:r>
      <w:r>
        <w:rPr/>
        <w:t>为公司信息披露的指定报纸和网站，确保公司 所有股东能够以平等的机会获得信息。</w:t>
      </w:r>
    </w:p>
    <w:p>
      <w:pPr>
        <w:pStyle w:val="BodyText"/>
        <w:spacing w:line="350" w:lineRule="auto" w:before="34"/>
        <w:ind w:left="577" w:right="102"/>
        <w:jc w:val="left"/>
      </w:pPr>
      <w:r>
        <w:rPr/>
        <w:t>（七）关于相关利益者 </w:t>
      </w:r>
      <w:r>
        <w:rPr>
          <w:spacing w:val="-1"/>
        </w:rPr>
        <w:t>公司充分尊重和维护相关利益者的合法权益，实现股东、员工、社会等各方利益的协调平衡，共同推</w:t>
      </w:r>
    </w:p>
    <w:p>
      <w:pPr>
        <w:pStyle w:val="BodyText"/>
        <w:spacing w:line="240" w:lineRule="auto" w:before="28"/>
        <w:ind w:left="153" w:right="0"/>
        <w:jc w:val="both"/>
      </w:pPr>
      <w:r>
        <w:rPr/>
        <w:t>动公司持续、健康的发展。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102"/>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102"/>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第一届董事会第十五次会议</w:t>
            </w:r>
          </w:p>
        </w:tc>
        <w:tc>
          <w:tcPr>
            <w:tcW w:w="239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第一届董事会第十六次会议</w:t>
            </w:r>
          </w:p>
        </w:tc>
        <w:tc>
          <w:tcPr>
            <w:tcW w:w="239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第一届董事会第十七次会议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第一届董事会第二十一次会 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第二届董事会第三次（临时） 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第二届董事会第四次（临时） 会议</w:t>
            </w:r>
          </w:p>
        </w:tc>
        <w:tc>
          <w:tcPr>
            <w:tcW w:w="24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ind w:right="150" w:firstLine="420"/>
        <w:jc w:val="both"/>
      </w:pPr>
      <w:r>
        <w:rPr>
          <w:spacing w:val="-1"/>
        </w:rPr>
        <w:t>公司第一届董事会第十七次会议审议通过了关于制定《蓝盾信息安全技术股份有限公司年度报告信息</w:t>
      </w:r>
      <w:r>
        <w:rPr/>
        <w:t> </w:t>
      </w:r>
      <w:r>
        <w:rPr>
          <w:spacing w:val="-1"/>
        </w:rPr>
        <w:t>披露重大差错责任追究管理制度》的议案。公司年度报告严格按照相关规定编制，报告期未发生重大会计</w:t>
      </w:r>
      <w:r>
        <w:rPr>
          <w:spacing w:val="-83"/>
        </w:rPr>
        <w:t> </w:t>
      </w:r>
      <w:r>
        <w:rPr>
          <w:spacing w:val="-83"/>
        </w:rPr>
      </w:r>
      <w:r>
        <w:rPr/>
        <w:t>差错更正、重大遗漏信息补充以及业绩预告修正等情况。</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7"/>
        <w:ind w:right="0"/>
        <w:jc w:val="left"/>
      </w:pPr>
      <w:r>
        <w:rPr/>
        <w:t>公司监事会对报告期内的监督事项无异议。</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pStyle w:val="Heading1"/>
        <w:spacing w:line="240" w:lineRule="auto" w:before="175"/>
        <w:ind w:right="2421"/>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[2013]004711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bl>
    <w:p>
      <w:pPr>
        <w:spacing w:line="240" w:lineRule="auto" w:before="6"/>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77" w:footer="982" w:top="1100" w:bottom="1180" w:left="980" w:right="980"/>
        </w:sectPr>
      </w:pPr>
    </w:p>
    <w:p>
      <w:pPr>
        <w:pStyle w:val="BodyText"/>
        <w:spacing w:line="240" w:lineRule="auto" w:before="35"/>
        <w:ind w:right="-20"/>
        <w:jc w:val="left"/>
      </w:pPr>
      <w:r>
        <w:rPr/>
        <w:t>审计报告正文</w:t>
      </w:r>
    </w:p>
    <w:p>
      <w:pPr>
        <w:spacing w:line="240" w:lineRule="auto" w:before="0"/>
        <w:rPr>
          <w:rFonts w:ascii="宋体" w:hAnsi="宋体" w:cs="宋体" w:eastAsia="宋体" w:hint="default"/>
          <w:sz w:val="20"/>
          <w:szCs w:val="20"/>
        </w:rPr>
      </w:pPr>
      <w:r>
        <w:rPr/>
        <w:br w:type="column"/>
      </w:r>
      <w:r>
        <w:rPr>
          <w:rFonts w:ascii="宋体"/>
          <w:sz w:val="20"/>
        </w:rPr>
      </w:r>
    </w:p>
    <w:p>
      <w:pPr>
        <w:pStyle w:val="Heading3"/>
        <w:spacing w:line="240" w:lineRule="auto" w:before="143"/>
        <w:ind w:left="153" w:right="-18"/>
        <w:jc w:val="left"/>
        <w:rPr>
          <w:b w:val="0"/>
          <w:bCs w:val="0"/>
        </w:rPr>
      </w:pPr>
      <w:r>
        <w:rPr/>
        <w:t>审计报告</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pStyle w:val="Heading3"/>
        <w:spacing w:line="240" w:lineRule="auto" w:before="189"/>
        <w:ind w:left="153" w:right="0"/>
        <w:jc w:val="left"/>
        <w:rPr>
          <w:b w:val="0"/>
          <w:bCs w:val="0"/>
        </w:rPr>
      </w:pPr>
      <w:r>
        <w:rPr/>
        <w:t>大华审字</w:t>
      </w:r>
      <w:r>
        <w:rPr>
          <w:rFonts w:ascii="Times New Roman" w:hAnsi="Times New Roman" w:cs="Times New Roman" w:eastAsia="Times New Roman" w:hint="default"/>
        </w:rPr>
        <w:t>[2013]004711</w:t>
      </w:r>
      <w:r>
        <w:rPr/>
        <w:t>号</w:t>
      </w:r>
      <w:r>
        <w:rPr>
          <w:b w:val="0"/>
          <w:bCs w:val="0"/>
        </w:rPr>
      </w:r>
    </w:p>
    <w:p>
      <w:pPr>
        <w:spacing w:after="0" w:line="240" w:lineRule="auto"/>
        <w:jc w:val="left"/>
        <w:sectPr>
          <w:type w:val="continuous"/>
          <w:pgSz w:w="11910" w:h="16840"/>
          <w:pgMar w:top="1060" w:bottom="1180" w:left="980" w:right="980"/>
          <w:cols w:num="3" w:equalWidth="0">
            <w:col w:w="1415" w:space="2982"/>
            <w:col w:w="999" w:space="2000"/>
            <w:col w:w="2554"/>
          </w:cols>
        </w:sectPr>
      </w:pPr>
    </w:p>
    <w:p>
      <w:pPr>
        <w:spacing w:line="240" w:lineRule="auto" w:before="0"/>
        <w:rPr>
          <w:rFonts w:ascii="宋体" w:hAnsi="宋体" w:cs="宋体" w:eastAsia="宋体" w:hint="default"/>
          <w:b/>
          <w:bCs/>
          <w:sz w:val="20"/>
          <w:szCs w:val="20"/>
        </w:rPr>
      </w:pPr>
    </w:p>
    <w:p>
      <w:pPr>
        <w:spacing w:line="314" w:lineRule="auto" w:before="167"/>
        <w:ind w:left="633" w:right="0" w:hanging="48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蓝盾信息安全技术股份有限公司全体股东：</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我们审计了后附的蓝盾信息安全技术股份有限公司(以下简称贵公司)财务报表，包括</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z w:val="21"/>
          <w:szCs w:val="21"/>
        </w:rPr>
      </w:r>
    </w:p>
    <w:p>
      <w:pPr>
        <w:pStyle w:val="BodyText"/>
        <w:spacing w:line="297" w:lineRule="auto"/>
        <w:ind w:left="153" w:right="0"/>
        <w:jc w:val="left"/>
      </w:pPr>
      <w:r>
        <w:rPr>
          <w:spacing w:val="-1"/>
        </w:rPr>
        <w:t>日的合并及母公司资产负债表，</w:t>
      </w:r>
      <w:r>
        <w:rPr>
          <w:rFonts w:ascii="Times New Roman" w:hAnsi="Times New Roman" w:cs="Times New Roman" w:eastAsia="Times New Roman" w:hint="default"/>
          <w:spacing w:val="-1"/>
        </w:rPr>
        <w:t>2012</w:t>
      </w:r>
      <w:r>
        <w:rPr>
          <w:spacing w:val="-1"/>
        </w:rPr>
        <w:t>年度的合并及母公司利润表、合并及母公司现金流量表、合并及母公</w:t>
      </w:r>
      <w:r>
        <w:rPr>
          <w:spacing w:val="-85"/>
        </w:rPr>
        <w:t> </w:t>
      </w:r>
      <w:r>
        <w:rPr>
          <w:spacing w:val="-85"/>
        </w:rPr>
      </w:r>
      <w:r>
        <w:rPr/>
        <w:t>司股东权益变动表，以及财务报表附注。</w:t>
      </w:r>
    </w:p>
    <w:p>
      <w:pPr>
        <w:spacing w:line="314" w:lineRule="auto" w:before="34"/>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编制和公允列报财务报表是贵公司管理层的责任，这种责任包括：（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）按照企业会计准则的规定编</w:t>
      </w:r>
    </w:p>
    <w:p>
      <w:pPr>
        <w:pStyle w:val="BodyText"/>
        <w:spacing w:line="297" w:lineRule="auto"/>
        <w:ind w:left="153"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34"/>
        </w:rPr>
        <w:t> </w:t>
      </w:r>
      <w:r>
        <w:rPr>
          <w:spacing w:val="-34"/>
        </w:rPr>
      </w:r>
      <w:r>
        <w:rPr/>
        <w:t>舞弊或错误导致的重大错报。</w:t>
      </w:r>
    </w:p>
    <w:p>
      <w:pPr>
        <w:pStyle w:val="BodyText"/>
        <w:spacing w:line="314" w:lineRule="auto" w:before="34"/>
        <w:ind w:left="633" w:right="139"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BodyText"/>
        <w:spacing w:line="314" w:lineRule="auto" w:before="20"/>
        <w:ind w:left="153" w:right="0"/>
        <w:jc w:val="left"/>
      </w:pP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314" w:lineRule="auto" w:before="20"/>
        <w:ind w:left="153" w:right="150"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314" w:lineRule="auto" w:before="20"/>
        <w:ind w:left="636" w:right="1941"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97" w:lineRule="auto" w:before="20"/>
        <w:ind w:left="153" w:right="151" w:firstLine="480"/>
        <w:jc w:val="both"/>
      </w:pPr>
      <w:r>
        <w:rPr>
          <w:spacing w:val="-2"/>
        </w:rPr>
        <w:t>我们认为，贵公司的财务报表在所有重大方面按照企业会计准则的规定编制，公允反映了贵公司</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tabs>
          <w:tab w:pos="5569" w:val="left" w:leader="none"/>
        </w:tabs>
        <w:spacing w:line="290" w:lineRule="auto"/>
        <w:ind w:left="2671" w:right="2062" w:hanging="1049"/>
        <w:jc w:val="left"/>
      </w:pPr>
      <w:r>
        <w:rPr>
          <w:spacing w:val="-1"/>
        </w:rPr>
        <w:t>大华会计师事务所(特殊普通合伙)</w:t>
        <w:tab/>
      </w:r>
      <w:r>
        <w:rPr/>
        <w:t>中国注册会计师：张晓辉</w:t>
      </w:r>
      <w:r>
        <w:rPr/>
        <w:t> 中国</w:t>
      </w:r>
      <w:r>
        <w:rPr>
          <w:rFonts w:ascii="宋体" w:hAnsi="宋体" w:cs="宋体" w:eastAsia="宋体" w:hint="default"/>
          <w:b/>
          <w:bCs/>
        </w:rPr>
        <w:t>·</w:t>
      </w:r>
      <w:r>
        <w:rPr/>
        <w:t>北京</w:t>
        <w:tab/>
        <w:t>中国注册会计师：王玉芳</w:t>
      </w:r>
    </w:p>
    <w:p>
      <w:pPr>
        <w:pStyle w:val="BodyText"/>
        <w:spacing w:line="240" w:lineRule="auto" w:before="12"/>
        <w:ind w:left="5929" w:right="0"/>
        <w:jc w:val="left"/>
      </w:pPr>
      <w:r>
        <w:rPr/>
        <w:t>二〇一三年四月十九日</w:t>
      </w:r>
    </w:p>
    <w:p>
      <w:pPr>
        <w:spacing w:after="0" w:line="240" w:lineRule="auto"/>
        <w:jc w:val="left"/>
        <w:sectPr>
          <w:type w:val="continuous"/>
          <w:pgSz w:w="11910" w:h="16840"/>
          <w:pgMar w:top="1060" w:bottom="1180" w:left="980" w:right="98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before="167"/>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448,411,173.70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168,848,144.13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160,272,515.94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78,418,839.75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2,923,511.54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14,190,385.59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7,987,464.09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6,775,995.67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17,738,799.80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22,281,394.47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637,333,465.07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290,514,759.61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127,728,464.15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72,760,375.37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83,382,822.30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4,534,963.00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32,954,470.65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27,739,768.50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18,125,375.04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5,187,291.70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4,367,798.87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3,846,304.11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33,720,830.00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305,467,052.71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108,881,410.98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942,800,517.78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399,396,170.59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3,119,184.00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57,663,826.26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18,709,726.49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14,640,567.90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18,546,106.65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3,295,900.37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11,518,410.26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7,670,501.28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336,508.34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193,883.34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560,972.83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190,688,100.15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138,181,190.59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286,018,100.15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150,561,190.59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410,243,231.67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81,986,568.17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16,335,852.57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10,804,841.18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130,203,333.39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654,782,417.63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656,782,417.63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942,800,517.78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399,396,170.59</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394,825,152.23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168,848,144.13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150,415,447.61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78,418,839.75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2,590,340.54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14,190,385.59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7,814,245.84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6,775,995.67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15,855,493.90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22,281,394.47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571,500,680.12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290,514,759.61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114,540,086.07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72,760,375.37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83,382,822.30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4,534,963.00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30,832,722.18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27,739,768.50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16,792,793.81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5,187,291.70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4,182,357.58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3,846,304.11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33,720,830.00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357,638,903.64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108,881,410.98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929,139,583.76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399,396,170.59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3,119,184.00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48,467,294.57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18,709,726.49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14,328,567.90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18,546,106.65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2,912,045.66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12,570,522.83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7,670,501.28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336,508.34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193,883.34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560,972.83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181,807,826.32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138,181,190.59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277,137,826.32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150,561,190.59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410,243,231.67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81,986,568.17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16,335,852.57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10,804,841.18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36"/>
        <w:gridCol w:w="3331"/>
        <w:gridCol w:w="3300"/>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127,422,673.20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31"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652,001,757.44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714" w:hRule="exact"/>
        </w:trPr>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929,139,583.76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399,396,170.59</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939"/>
        <w:gridCol w:w="3312"/>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345,203,862.94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278,770,826.35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345,203,862.94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278,770,826.35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294,268,714.08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231,905,076.28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192,196,870.75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153,335,027.21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3,924,828.49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4,174,381.76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31,272,929.26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19,823,233.80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57,223,331.43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47,015,737.55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3,318,338.82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5,804,560.16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6,332,415.33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1,752,135.80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6"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50,935,148.86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46,865,750.07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16,912,944.60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13,999,285.47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67,789,424.88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60,345,035.54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9,698,650.75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8,024,645.22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58,090,774.13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58,090,774.13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58,090,774.13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58,090,774.13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63" w:val="left" w:leader="none"/>
          <w:tab w:pos="7893" w:val="left" w:leader="none"/>
        </w:tabs>
        <w:spacing w:before="141"/>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321,095,073.73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278,770,826.35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176,251,701.06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153,335,027.21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3,636,032.44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4,174,381.76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29,844,726.56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19,823,233.80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54,821,796.83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47,015,737.55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3,527,685.64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5,804,560.16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5,804,505.51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1,752,135.80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47,208,625.69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46,865,750.07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16,912,944.60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13,999,285.47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64,062,901.71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60,345,035.54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8,752,787.77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8,024,645.22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55,310,113.94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55,310,113.94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298,902,701.13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295,785,300.49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5,980,658.07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8,419,440.72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18,499,553.60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17,863,543.98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323,382,912.80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322,068,285.19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165,448,307.91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166,971,754.39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34,480,445.31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25,401,367.58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27,322,178.87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24,272,431.09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60,659,453.88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34,870,362.69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287,910,385.97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251,515,915.75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35,472,526.83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70,552,369.44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198,181,365.89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48,127,793.77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198,181,365.89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48,127,793.77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-198,181,365.89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-48,127,793.77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563,610.77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542,623,610.77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10,946,548.82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21,388,481.07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107,445,048.82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164,388,481.07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435,178,561.95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45,611,518.93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272,469,722.89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68,036,094.60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168,061,067.18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100,024,972.58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440,530,790.07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168,061,067.18</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282,095,157.81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295,785,300.49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5,980,658.07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8,419,440.72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18,060,569.22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17,863,543.98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306,136,385.10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322,068,285.19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151,504,431.93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166,971,754.39</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32,717,797.35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25,401,367.58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25,815,184.04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24,272,431.09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58,627,653.56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34,870,362.69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268,665,066.88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251,515,915.75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37,471,318.22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70,552,369.44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182,766,178.75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48,127,793.77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251,766,178.75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48,127,793.77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-251,766,178.75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-48,127,793.77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360,060,000.00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563,610.77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540,623,610.77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10,946,548.82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21,388,481.07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107,445,048.82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164,388,481.07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433,178,561.95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45,611,518.93</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218,883,701.42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68,036,094.60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168,061,067.18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100,024,972.58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386,944,768.60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168,061,067.18</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
          <w:szCs w:val="2"/>
        </w:rPr>
      </w:pP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89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headerReference w:type="default" r:id="rId21"/>
          <w:footerReference w:type="default" r:id="rId22"/>
          <w:pgSz w:w="16840" w:h="11910" w:orient="landscape"/>
          <w:pgMar w:header="867" w:footer="978" w:top="1060" w:bottom="1160" w:left="540" w:right="520"/>
          <w:pgNumType w:start="75"/>
        </w:sectPr>
      </w:pPr>
    </w:p>
    <w:p>
      <w:pPr>
        <w:spacing w:line="357" w:lineRule="auto" w:before="44"/>
        <w:ind w:left="899" w:right="-2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880" w:right="997"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80" w:left="540" w:right="520"/>
          <w:cols w:num="2" w:equalWidth="0">
            <w:col w:w="4320" w:space="8821"/>
            <w:col w:w="2639"/>
          </w:cols>
        </w:sectPr>
      </w:pPr>
    </w:p>
    <w:p>
      <w:pPr>
        <w:spacing w:line="240" w:lineRule="auto" w:before="13"/>
        <w:rPr>
          <w:rFonts w:ascii="宋体" w:hAnsi="宋体" w:cs="宋体" w:eastAsia="宋体" w:hint="default"/>
          <w:sz w:val="7"/>
          <w:szCs w:val="7"/>
        </w:rPr>
      </w:pPr>
      <w:r>
        <w:rPr/>
        <w:pict>
          <v:group style="position:absolute;margin-left:207.831009pt;margin-top:291.809998pt;width:76.350pt;height:20.8pt;mso-position-horizontal-relative:page;mso-position-vertical-relative:page;z-index:-689608" coordorigin="4157,5836" coordsize="1527,416">
            <v:group style="position:absolute;left:4168;top:5848;width:2;height:393" coordorigin="4168,5848" coordsize="2,393">
              <v:shape style="position:absolute;left:4168;top:5848;width:2;height:393" coordorigin="4168,5848" coordsize="0,393" path="m4168,5848l4168,6240e" filled="false" stroked="true" strokeweight="1.140pt" strokecolor="#ffffff">
                <v:path arrowok="t"/>
              </v:shape>
            </v:group>
            <v:group style="position:absolute;left:4179;top:5848;width:1504;height:393" coordorigin="4179,5848" coordsize="1504,393">
              <v:shape style="position:absolute;left:4179;top:5848;width:1504;height:393" coordorigin="4179,5848" coordsize="1504,393" path="m4179,5848l5683,5848,5683,6240,4179,6240,4179,5848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3484"/>
        <w:gridCol w:w="1570"/>
        <w:gridCol w:w="1418"/>
        <w:gridCol w:w="949"/>
        <w:gridCol w:w="850"/>
        <w:gridCol w:w="1180"/>
        <w:gridCol w:w="1230"/>
        <w:gridCol w:w="1397"/>
        <w:gridCol w:w="685"/>
        <w:gridCol w:w="1298"/>
        <w:gridCol w:w="1474"/>
      </w:tblGrid>
      <w:tr>
        <w:trPr>
          <w:trHeight w:val="402" w:hRule="exact"/>
        </w:trPr>
        <w:tc>
          <w:tcPr>
            <w:tcW w:w="34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5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06" w:hRule="exact"/>
        </w:trPr>
        <w:tc>
          <w:tcPr>
            <w:tcW w:w="34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279"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7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3484" w:type="dxa"/>
            <w:vMerge/>
            <w:tcBorders>
              <w:left w:val="single" w:sz="4" w:space="0" w:color="000000"/>
              <w:bottom w:val="nil" w:sz="6" w:space="0" w:color="auto"/>
              <w:right w:val="single" w:sz="4" w:space="0" w:color="000000"/>
            </w:tcBorders>
            <w:shd w:val="clear" w:color="auto" w:fill="D3D3D3"/>
          </w:tcPr>
          <w:p>
            <w:pPr/>
          </w:p>
        </w:tc>
        <w:tc>
          <w:tcPr>
            <w:tcW w:w="9279" w:type="dxa"/>
            <w:gridSpan w:val="8"/>
            <w:vMerge/>
            <w:tcBorders>
              <w:left w:val="single" w:sz="4" w:space="0" w:color="000000"/>
              <w:bottom w:val="single" w:sz="4" w:space="0" w:color="000000"/>
              <w:right w:val="single" w:sz="4" w:space="0" w:color="000000"/>
            </w:tcBorders>
            <w:shd w:val="clear" w:color="auto" w:fill="D3D3D3"/>
          </w:tcPr>
          <w:p>
            <w:pP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3484" w:type="dxa"/>
            <w:vMerge w:val="restart"/>
            <w:tcBorders>
              <w:top w:val="nil" w:sz="6" w:space="0" w:color="auto"/>
              <w:left w:val="single" w:sz="4" w:space="0" w:color="000000"/>
              <w:right w:val="single" w:sz="4" w:space="0" w:color="000000"/>
            </w:tcBorders>
            <w:shd w:val="clear" w:color="auto" w:fill="D3D3D3"/>
          </w:tcPr>
          <w:p>
            <w:pPr/>
          </w:p>
        </w:tc>
        <w:tc>
          <w:tcPr>
            <w:tcW w:w="15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pacing w:val="-4"/>
                <w:sz w:val="18"/>
                <w:szCs w:val="18"/>
              </w:rPr>
              <w:t>实收资本（或股本</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tabs>
                <w:tab w:pos="343" w:val="left" w:leader="none"/>
              </w:tabs>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tab/>
              <w:t>资本公积</w:t>
            </w:r>
          </w:p>
        </w:tc>
        <w:tc>
          <w:tcPr>
            <w:tcW w:w="9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8" w:type="dxa"/>
            <w:vMerge/>
            <w:tcBorders>
              <w:left w:val="single" w:sz="4" w:space="0" w:color="000000"/>
              <w:bottom w:val="nil" w:sz="6" w:space="0" w:color="auto"/>
              <w:right w:val="single" w:sz="4" w:space="0" w:color="000000"/>
            </w:tcBorders>
            <w:shd w:val="clear" w:color="auto" w:fill="D3D3D3"/>
          </w:tcPr>
          <w:p>
            <w:pPr/>
          </w:p>
        </w:tc>
        <w:tc>
          <w:tcPr>
            <w:tcW w:w="147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3484" w:type="dxa"/>
            <w:vMerge/>
            <w:tcBorders>
              <w:left w:val="single" w:sz="4" w:space="0" w:color="000000"/>
              <w:bottom w:val="single" w:sz="4" w:space="0" w:color="000000"/>
              <w:right w:val="single" w:sz="4" w:space="0" w:color="000000"/>
            </w:tcBorders>
            <w:shd w:val="clear" w:color="auto" w:fill="D3D3D3"/>
          </w:tcPr>
          <w:p>
            <w:pPr/>
          </w:p>
        </w:tc>
        <w:tc>
          <w:tcPr>
            <w:tcW w:w="1570"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949"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180" w:type="dxa"/>
            <w:vMerge/>
            <w:tcBorders>
              <w:left w:val="single" w:sz="4" w:space="0" w:color="000000"/>
              <w:bottom w:val="single" w:sz="4" w:space="0" w:color="000000"/>
              <w:right w:val="single" w:sz="4" w:space="0" w:color="000000"/>
            </w:tcBorders>
            <w:shd w:val="clear" w:color="auto" w:fill="D3D3D3"/>
          </w:tcPr>
          <w:p>
            <w:pPr/>
          </w:p>
        </w:tc>
        <w:tc>
          <w:tcPr>
            <w:tcW w:w="1230" w:type="dxa"/>
            <w:vMerge/>
            <w:tcBorders>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10,804,841.18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0" w:type="dxa"/>
            <w:tcBorders>
              <w:top w:val="single" w:sz="4" w:space="0" w:color="000000"/>
              <w:left w:val="single" w:sz="13"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10,804,841.18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70" w:type="dxa"/>
            <w:tcBorders>
              <w:top w:val="single" w:sz="4" w:space="0" w:color="000000"/>
              <w:left w:val="single" w:sz="9" w:space="0" w:color="D3D3D3"/>
              <w:bottom w:val="single" w:sz="4" w:space="0" w:color="000000"/>
              <w:right w:val="single" w:sz="4" w:space="0" w:color="000000"/>
            </w:tcBorders>
          </w:tcPr>
          <w:p>
            <w:pPr>
              <w:pStyle w:val="TableParagraph"/>
              <w:tabs>
                <w:tab w:pos="495" w:val="left" w:leader="none"/>
              </w:tabs>
              <w:spacing w:line="240" w:lineRule="auto" w:before="51"/>
              <w:ind w:left="-118"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24,500,000.00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47,659,762.74</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407,947,437.63</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58,090,774.13</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58,090,774.13</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58,090,774.13</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58,090,774.13</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354,756,663.50</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354,756,663.50</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-10,431,011.39</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70" w:type="dxa"/>
            <w:tcBorders>
              <w:top w:val="single" w:sz="4" w:space="0" w:color="000000"/>
              <w:left w:val="single" w:sz="9"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540" w:right="520"/>
        </w:sectPr>
      </w:pPr>
    </w:p>
    <w:p>
      <w:pPr>
        <w:spacing w:line="240" w:lineRule="auto" w:before="12"/>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507"/>
        <w:gridCol w:w="1559"/>
        <w:gridCol w:w="1418"/>
        <w:gridCol w:w="949"/>
        <w:gridCol w:w="850"/>
        <w:gridCol w:w="1180"/>
        <w:gridCol w:w="1230"/>
        <w:gridCol w:w="1397"/>
        <w:gridCol w:w="685"/>
        <w:gridCol w:w="1298"/>
        <w:gridCol w:w="1474"/>
      </w:tblGrid>
      <w:tr>
        <w:trPr>
          <w:trHeight w:val="416" w:hRule="exact"/>
        </w:trPr>
        <w:tc>
          <w:tcPr>
            <w:tcW w:w="3507"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94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80" w:type="dxa"/>
            <w:tcBorders>
              <w:top w:val="single" w:sz="15" w:space="0" w:color="000000"/>
              <w:left w:val="single" w:sz="4" w:space="0" w:color="000000"/>
              <w:bottom w:val="single" w:sz="4" w:space="0" w:color="000000"/>
              <w:right w:val="single" w:sz="4" w:space="0" w:color="000000"/>
            </w:tcBorders>
          </w:tcPr>
          <w:p>
            <w:pPr/>
          </w:p>
        </w:tc>
        <w:tc>
          <w:tcPr>
            <w:tcW w:w="1230" w:type="dxa"/>
            <w:tcBorders>
              <w:top w:val="single" w:sz="15" w:space="0" w:color="000000"/>
              <w:left w:val="single" w:sz="4" w:space="0" w:color="000000"/>
              <w:bottom w:val="single" w:sz="4" w:space="0" w:color="000000"/>
              <w:right w:val="single" w:sz="4" w:space="0" w:color="000000"/>
            </w:tcBorders>
          </w:tcPr>
          <w:p>
            <w:pPr/>
          </w:p>
        </w:tc>
        <w:tc>
          <w:tcPr>
            <w:tcW w:w="1397" w:type="dxa"/>
            <w:tcBorders>
              <w:top w:val="single" w:sz="15" w:space="0" w:color="000000"/>
              <w:left w:val="single" w:sz="4" w:space="0" w:color="000000"/>
              <w:bottom w:val="single" w:sz="4" w:space="0" w:color="000000"/>
              <w:right w:val="single" w:sz="4" w:space="0" w:color="000000"/>
            </w:tcBorders>
          </w:tcPr>
          <w:p>
            <w:pPr/>
          </w:p>
        </w:tc>
        <w:tc>
          <w:tcPr>
            <w:tcW w:w="685"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98,000,000.00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410,243,231.67</w:t>
            </w:r>
          </w:p>
        </w:tc>
        <w:tc>
          <w:tcPr>
            <w:tcW w:w="9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16,335,852.57</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130,203,333.39</w:t>
            </w:r>
          </w:p>
        </w:tc>
        <w:tc>
          <w:tcPr>
            <w:tcW w:w="68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2,000,000.00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656,782,417.63</w:t>
            </w:r>
          </w:p>
        </w:tc>
      </w:tr>
    </w:tbl>
    <w:p>
      <w:pPr>
        <w:spacing w:before="51"/>
        <w:ind w:left="93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05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586"/>
        <w:gridCol w:w="1614"/>
        <w:gridCol w:w="1418"/>
        <w:gridCol w:w="991"/>
        <w:gridCol w:w="992"/>
        <w:gridCol w:w="1178"/>
        <w:gridCol w:w="1292"/>
        <w:gridCol w:w="1300"/>
        <w:gridCol w:w="685"/>
        <w:gridCol w:w="817"/>
        <w:gridCol w:w="1757"/>
      </w:tblGrid>
      <w:tr>
        <w:trPr>
          <w:trHeight w:val="402" w:hRule="exact"/>
        </w:trPr>
        <w:tc>
          <w:tcPr>
            <w:tcW w:w="3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4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6" w:hRule="exact"/>
        </w:trPr>
        <w:tc>
          <w:tcPr>
            <w:tcW w:w="3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72"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75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3586" w:type="dxa"/>
            <w:vMerge/>
            <w:tcBorders>
              <w:left w:val="single" w:sz="4" w:space="0" w:color="000000"/>
              <w:bottom w:val="nil" w:sz="6" w:space="0" w:color="auto"/>
              <w:right w:val="single" w:sz="4" w:space="0" w:color="000000"/>
            </w:tcBorders>
            <w:shd w:val="clear" w:color="auto" w:fill="D3D3D3"/>
          </w:tcPr>
          <w:p>
            <w:pPr/>
          </w:p>
        </w:tc>
        <w:tc>
          <w:tcPr>
            <w:tcW w:w="9472"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17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3586" w:type="dxa"/>
            <w:vMerge w:val="restart"/>
            <w:tcBorders>
              <w:top w:val="nil" w:sz="6" w:space="0" w:color="auto"/>
              <w:left w:val="single" w:sz="4" w:space="0" w:color="000000"/>
              <w:right w:val="single" w:sz="4" w:space="0" w:color="000000"/>
            </w:tcBorders>
            <w:shd w:val="clear" w:color="auto" w:fill="D3D3D3"/>
          </w:tcPr>
          <w:p>
            <w:pPr/>
          </w:p>
        </w:tc>
        <w:tc>
          <w:tcPr>
            <w:tcW w:w="16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tabs>
                <w:tab w:pos="343" w:val="left" w:leader="none"/>
              </w:tabs>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w:t>
              <w:tab/>
              <w:t>资本公积</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1757"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3586" w:type="dxa"/>
            <w:vMerge/>
            <w:tcBorders>
              <w:left w:val="single" w:sz="4" w:space="0" w:color="000000"/>
              <w:bottom w:val="single" w:sz="4" w:space="0" w:color="000000"/>
              <w:right w:val="single" w:sz="4" w:space="0" w:color="000000"/>
            </w:tcBorders>
            <w:shd w:val="clear" w:color="auto" w:fill="D3D3D3"/>
          </w:tcPr>
          <w:p>
            <w:pPr/>
          </w:p>
        </w:tc>
        <w:tc>
          <w:tcPr>
            <w:tcW w:w="1614"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78" w:type="dxa"/>
            <w:vMerge/>
            <w:tcBorders>
              <w:left w:val="single" w:sz="4" w:space="0" w:color="000000"/>
              <w:bottom w:val="single" w:sz="4" w:space="0" w:color="000000"/>
              <w:right w:val="single" w:sz="4" w:space="0" w:color="000000"/>
            </w:tcBorders>
            <w:shd w:val="clear" w:color="auto" w:fill="D3D3D3"/>
          </w:tcPr>
          <w:p>
            <w:pPr/>
          </w:p>
        </w:tc>
        <w:tc>
          <w:tcPr>
            <w:tcW w:w="1292" w:type="dxa"/>
            <w:vMerge/>
            <w:tcBorders>
              <w:left w:val="single" w:sz="4" w:space="0" w:color="000000"/>
              <w:bottom w:val="single" w:sz="4" w:space="0" w:color="000000"/>
              <w:right w:val="single" w:sz="4" w:space="0" w:color="000000"/>
            </w:tcBorders>
            <w:shd w:val="clear" w:color="auto" w:fill="D3D3D3"/>
          </w:tcPr>
          <w:p>
            <w:pPr/>
          </w:p>
        </w:tc>
        <w:tc>
          <w:tcPr>
            <w:tcW w:w="1300"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175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5,572,802.15</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50,155,219.36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22" w:space="0" w:color="D3D3D3"/>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211,214,589.68</w:t>
            </w:r>
          </w:p>
        </w:tc>
      </w:tr>
      <w:tr>
        <w:trPr>
          <w:trHeight w:val="402"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加：同一控制下企业合并产生的追溯调整</w:t>
            </w:r>
          </w:p>
        </w:tc>
        <w:tc>
          <w:tcPr>
            <w:tcW w:w="1614" w:type="dxa"/>
            <w:tcBorders>
              <w:top w:val="single" w:sz="4" w:space="0" w:color="000000"/>
              <w:left w:val="single" w:sz="10"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14" w:type="dxa"/>
            <w:tcBorders>
              <w:top w:val="single" w:sz="4" w:space="0" w:color="000000"/>
              <w:left w:val="single" w:sz="10"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14" w:type="dxa"/>
            <w:tcBorders>
              <w:top w:val="single" w:sz="4" w:space="0" w:color="000000"/>
              <w:left w:val="single" w:sz="10"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4" w:type="dxa"/>
            <w:tcBorders>
              <w:top w:val="single" w:sz="4" w:space="0" w:color="000000"/>
              <w:left w:val="single" w:sz="10"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5,572,802.15</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50,155,219.36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211,214,589.68</w:t>
            </w:r>
          </w:p>
        </w:tc>
      </w:tr>
      <w:tr>
        <w:trPr>
          <w:trHeight w:val="403" w:hRule="exact"/>
        </w:trPr>
        <w:tc>
          <w:tcPr>
            <w:tcW w:w="3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1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14" w:type="dxa"/>
            <w:tcBorders>
              <w:top w:val="single" w:sz="4" w:space="0" w:color="000000"/>
              <w:left w:val="single" w:sz="10" w:space="0" w:color="D3D3D3"/>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32,388,351.29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37,620,390.32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500" w:right="480"/>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610"/>
        <w:gridCol w:w="1602"/>
        <w:gridCol w:w="1418"/>
        <w:gridCol w:w="991"/>
        <w:gridCol w:w="992"/>
        <w:gridCol w:w="1178"/>
        <w:gridCol w:w="1292"/>
        <w:gridCol w:w="1300"/>
        <w:gridCol w:w="685"/>
        <w:gridCol w:w="817"/>
        <w:gridCol w:w="1757"/>
      </w:tblGrid>
      <w:tr>
        <w:trPr>
          <w:trHeight w:val="416" w:hRule="exact"/>
        </w:trPr>
        <w:tc>
          <w:tcPr>
            <w:tcW w:w="361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02"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78" w:type="dxa"/>
            <w:tcBorders>
              <w:top w:val="single" w:sz="15" w:space="0" w:color="000000"/>
              <w:left w:val="single" w:sz="4" w:space="0" w:color="000000"/>
              <w:bottom w:val="single" w:sz="4" w:space="0" w:color="000000"/>
              <w:right w:val="single" w:sz="4" w:space="0" w:color="000000"/>
            </w:tcBorders>
          </w:tcPr>
          <w:p>
            <w:pPr/>
          </w:p>
        </w:tc>
        <w:tc>
          <w:tcPr>
            <w:tcW w:w="1292" w:type="dxa"/>
            <w:tcBorders>
              <w:top w:val="single" w:sz="15" w:space="0" w:color="000000"/>
              <w:left w:val="single" w:sz="4" w:space="0" w:color="000000"/>
              <w:bottom w:val="single" w:sz="4" w:space="0" w:color="000000"/>
              <w:right w:val="single" w:sz="4" w:space="0" w:color="000000"/>
            </w:tcBorders>
          </w:tcPr>
          <w:p>
            <w:pPr/>
          </w:p>
        </w:tc>
        <w:tc>
          <w:tcPr>
            <w:tcW w:w="13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52,320,390.32</w:t>
            </w:r>
          </w:p>
        </w:tc>
        <w:tc>
          <w:tcPr>
            <w:tcW w:w="685" w:type="dxa"/>
            <w:tcBorders>
              <w:top w:val="single" w:sz="15" w:space="0" w:color="000000"/>
              <w:left w:val="single" w:sz="4" w:space="0" w:color="000000"/>
              <w:bottom w:val="single" w:sz="4" w:space="0" w:color="000000"/>
              <w:right w:val="single" w:sz="4" w:space="0" w:color="000000"/>
            </w:tcBorders>
          </w:tcPr>
          <w:p>
            <w:pPr/>
          </w:p>
        </w:tc>
        <w:tc>
          <w:tcPr>
            <w:tcW w:w="817" w:type="dxa"/>
            <w:tcBorders>
              <w:top w:val="single" w:sz="15" w:space="0" w:color="000000"/>
              <w:left w:val="single" w:sz="4" w:space="0" w:color="000000"/>
              <w:bottom w:val="single" w:sz="4" w:space="0" w:color="000000"/>
              <w:right w:val="single" w:sz="4" w:space="0" w:color="000000"/>
            </w:tcBorders>
          </w:tcPr>
          <w:p>
            <w:pPr/>
          </w:p>
        </w:tc>
        <w:tc>
          <w:tcPr>
            <w:tcW w:w="17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52,320,390.32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-19,932,039.03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-5,232,039.03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73,500,000.00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81,986,568.17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10,804,841.18</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82,543,570.65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bl>
    <w:p>
      <w:pPr>
        <w:spacing w:line="240" w:lineRule="auto" w:before="6"/>
        <w:rPr>
          <w:rFonts w:ascii="宋体" w:hAnsi="宋体" w:cs="宋体" w:eastAsia="宋体" w:hint="default"/>
          <w:sz w:val="20"/>
          <w:szCs w:val="20"/>
        </w:rPr>
      </w:pPr>
    </w:p>
    <w:p>
      <w:pPr>
        <w:tabs>
          <w:tab w:pos="4469" w:val="left" w:leader="none"/>
          <w:tab w:pos="8699" w:val="left" w:leader="none"/>
        </w:tabs>
        <w:spacing w:before="44"/>
        <w:ind w:left="959"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after="0"/>
        <w:jc w:val="left"/>
        <w:rPr>
          <w:rFonts w:ascii="宋体" w:hAnsi="宋体" w:cs="宋体" w:eastAsia="宋体" w:hint="default"/>
          <w:sz w:val="18"/>
          <w:szCs w:val="18"/>
        </w:rPr>
        <w:sectPr>
          <w:pgSz w:w="16840" w:h="11910" w:orient="landscape"/>
          <w:pgMar w:header="867" w:footer="978" w:top="1060" w:bottom="1160" w:left="480" w:right="480"/>
        </w:sectPr>
      </w:pPr>
    </w:p>
    <w:p>
      <w:pPr>
        <w:spacing w:line="240" w:lineRule="auto" w:before="12"/>
        <w:rPr>
          <w:rFonts w:ascii="宋体" w:hAnsi="宋体" w:cs="宋体" w:eastAsia="宋体" w:hint="default"/>
          <w:sz w:val="2"/>
          <w:szCs w:val="2"/>
        </w:rPr>
      </w:pPr>
    </w:p>
    <w:p>
      <w:pPr>
        <w:spacing w:line="20" w:lineRule="exact"/>
        <w:ind w:left="6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5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6840" w:h="11910" w:orient="landscape"/>
          <w:pgMar w:header="867" w:footer="978" w:top="1060" w:bottom="1160" w:left="780" w:right="760"/>
        </w:sectPr>
      </w:pPr>
    </w:p>
    <w:p>
      <w:pPr>
        <w:spacing w:line="357" w:lineRule="auto" w:before="44"/>
        <w:ind w:left="659" w:right="-20"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65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780" w:right="760"/>
          <w:cols w:num="2" w:equalWidth="0">
            <w:col w:w="4080" w:space="9061"/>
            <w:col w:w="2159"/>
          </w:cols>
        </w:sectPr>
      </w:pPr>
    </w:p>
    <w:p>
      <w:pPr>
        <w:spacing w:line="240" w:lineRule="auto" w:before="13"/>
        <w:rPr>
          <w:rFonts w:ascii="宋体" w:hAnsi="宋体" w:cs="宋体" w:eastAsia="宋体" w:hint="default"/>
          <w:sz w:val="7"/>
          <w:szCs w:val="7"/>
        </w:rPr>
      </w:pPr>
      <w:r>
        <w:rPr/>
        <w:pict>
          <v:group style="position:absolute;margin-left:221.690994pt;margin-top:271.709991pt;width:94.35pt;height:20.8pt;mso-position-horizontal-relative:page;mso-position-vertical-relative:page;z-index:-689560" coordorigin="4434,5434" coordsize="1887,416">
            <v:group style="position:absolute;left:4445;top:5446;width:2;height:393" coordorigin="4445,5446" coordsize="2,393">
              <v:shape style="position:absolute;left:4445;top:5446;width:2;height:393" coordorigin="4445,5446" coordsize="0,393" path="m4445,5446l4445,5838e" filled="false" stroked="true" strokeweight="1.140pt" strokecolor="#ffffff">
                <v:path arrowok="t"/>
              </v:shape>
            </v:group>
            <v:group style="position:absolute;left:4457;top:5446;width:1864;height:393" coordorigin="4457,5446" coordsize="1864,393">
              <v:shape style="position:absolute;left:4457;top:5446;width:1864;height:393" coordorigin="4457,5446" coordsize="1864,393" path="m4457,5446l4457,5838,6320,5838,6320,5446,4457,5446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3520"/>
        <w:gridCol w:w="1931"/>
        <w:gridCol w:w="1559"/>
        <w:gridCol w:w="886"/>
        <w:gridCol w:w="886"/>
        <w:gridCol w:w="1489"/>
        <w:gridCol w:w="1418"/>
        <w:gridCol w:w="1666"/>
        <w:gridCol w:w="1700"/>
      </w:tblGrid>
      <w:tr>
        <w:trPr>
          <w:trHeight w:val="206" w:hRule="exact"/>
        </w:trPr>
        <w:tc>
          <w:tcPr>
            <w:tcW w:w="35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34"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1" w:hRule="exact"/>
        </w:trPr>
        <w:tc>
          <w:tcPr>
            <w:tcW w:w="35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34" w:type="dxa"/>
            <w:gridSpan w:val="8"/>
            <w:vMerge/>
            <w:tcBorders>
              <w:left w:val="single" w:sz="4" w:space="0" w:color="000000"/>
              <w:bottom w:val="single" w:sz="4" w:space="0" w:color="000000"/>
              <w:right w:val="single" w:sz="4" w:space="0" w:color="000000"/>
            </w:tcBorders>
            <w:shd w:val="clear" w:color="auto" w:fill="D3D3D3"/>
          </w:tcPr>
          <w:p>
            <w:pPr/>
          </w:p>
        </w:tc>
      </w:tr>
      <w:tr>
        <w:trPr>
          <w:trHeight w:val="200" w:hRule="exact"/>
        </w:trPr>
        <w:tc>
          <w:tcPr>
            <w:tcW w:w="3520" w:type="dxa"/>
            <w:vMerge/>
            <w:tcBorders>
              <w:left w:val="single" w:sz="4" w:space="0" w:color="000000"/>
              <w:bottom w:val="nil" w:sz="6" w:space="0" w:color="auto"/>
              <w:right w:val="single" w:sz="4" w:space="0" w:color="000000"/>
            </w:tcBorders>
            <w:shd w:val="clear" w:color="auto" w:fill="D3D3D3"/>
          </w:tcPr>
          <w:p>
            <w:pPr/>
          </w:p>
        </w:tc>
        <w:tc>
          <w:tcPr>
            <w:tcW w:w="1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5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3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3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2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6" w:hRule="exact"/>
        </w:trPr>
        <w:tc>
          <w:tcPr>
            <w:tcW w:w="35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31"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1489"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9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10,804,841.18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1"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9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10,804,841.18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31" w:type="dxa"/>
            <w:tcBorders>
              <w:top w:val="single" w:sz="4" w:space="0" w:color="000000"/>
              <w:left w:val="single" w:sz="10" w:space="0" w:color="D3D3D3"/>
              <w:bottom w:val="single" w:sz="4" w:space="0" w:color="000000"/>
              <w:right w:val="single" w:sz="4" w:space="0" w:color="000000"/>
            </w:tcBorders>
          </w:tcPr>
          <w:p>
            <w:pPr>
              <w:pStyle w:val="TableParagraph"/>
              <w:tabs>
                <w:tab w:pos="855" w:val="left" w:leader="none"/>
              </w:tabs>
              <w:spacing w:line="240" w:lineRule="auto" w:before="51"/>
              <w:ind w:left="-11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24,500,000.00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5,531,011.39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44,879,102.55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403,166,777.44</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931"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55,310,113.94</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931"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931"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55,310,113.94</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9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352,756,663.50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9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352,756,663.50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5,531,011.39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-10,431,011.39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5,531,011.39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31" w:type="dxa"/>
            <w:tcBorders>
              <w:top w:val="single" w:sz="4" w:space="0" w:color="000000"/>
              <w:left w:val="single" w:sz="13"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80" w:left="780" w:right="760"/>
        </w:sectPr>
      </w:pPr>
    </w:p>
    <w:p>
      <w:pPr>
        <w:spacing w:line="240" w:lineRule="auto" w:before="12"/>
        <w:rPr>
          <w:rFonts w:ascii="宋体" w:hAnsi="宋体" w:cs="宋体" w:eastAsia="宋体" w:hint="default"/>
          <w:sz w:val="2"/>
          <w:szCs w:val="2"/>
        </w:rPr>
      </w:pPr>
      <w:r>
        <w:rPr/>
        <w:pict>
          <v:group style="position:absolute;margin-left:220.431pt;margin-top:436.619995pt;width:101pt;height:19.6pt;mso-position-horizontal-relative:page;mso-position-vertical-relative:page;z-index:-689536" coordorigin="4409,8732" coordsize="2020,392">
            <v:shape style="position:absolute;left:4409;top:8732;width:2020;height:392" coordorigin="4409,8732" coordsize="2020,392" path="m4409,8732l4409,9124,6428,9124,6428,8732,4409,8732xe" filled="true" fillcolor="#ffffff" stroked="false">
              <v:path arrowok="t"/>
              <v:fill type="solid"/>
            </v:shape>
            <w10:wrap type="none"/>
          </v:group>
        </w:pict>
      </w:r>
    </w:p>
    <w:tbl>
      <w:tblPr>
        <w:tblW w:w="0" w:type="auto"/>
        <w:jc w:val="left"/>
        <w:tblInd w:w="140" w:type="dxa"/>
        <w:tblLayout w:type="fixed"/>
        <w:tblCellMar>
          <w:top w:w="0" w:type="dxa"/>
          <w:left w:w="0" w:type="dxa"/>
          <w:bottom w:w="0" w:type="dxa"/>
          <w:right w:w="0" w:type="dxa"/>
        </w:tblCellMar>
        <w:tblLook w:val="01E0"/>
      </w:tblPr>
      <w:tblGrid>
        <w:gridCol w:w="3544"/>
        <w:gridCol w:w="1919"/>
        <w:gridCol w:w="1559"/>
        <w:gridCol w:w="886"/>
        <w:gridCol w:w="886"/>
        <w:gridCol w:w="1489"/>
        <w:gridCol w:w="1418"/>
        <w:gridCol w:w="1666"/>
        <w:gridCol w:w="1700"/>
      </w:tblGrid>
      <w:tr>
        <w:trPr>
          <w:trHeight w:val="416" w:hRule="exact"/>
        </w:trPr>
        <w:tc>
          <w:tcPr>
            <w:tcW w:w="35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919"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148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666"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9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98,000,000.00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410,243,231.67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1" w:right="0"/>
              <w:jc w:val="left"/>
              <w:rPr>
                <w:rFonts w:ascii="Times New Roman" w:hAnsi="Times New Roman" w:cs="Times New Roman" w:eastAsia="Times New Roman" w:hint="default"/>
                <w:sz w:val="18"/>
                <w:szCs w:val="18"/>
              </w:rPr>
            </w:pPr>
            <w:r>
              <w:rPr>
                <w:rFonts w:ascii="Times New Roman"/>
                <w:sz w:val="18"/>
              </w:rPr>
              <w:t>16,335,852.57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127,422,673.20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652,001,757.44</w:t>
            </w:r>
          </w:p>
        </w:tc>
      </w:tr>
    </w:tbl>
    <w:p>
      <w:pPr>
        <w:spacing w:before="51"/>
        <w:ind w:left="69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81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520"/>
        <w:gridCol w:w="2087"/>
        <w:gridCol w:w="1843"/>
        <w:gridCol w:w="884"/>
        <w:gridCol w:w="884"/>
        <w:gridCol w:w="1208"/>
        <w:gridCol w:w="1356"/>
        <w:gridCol w:w="1667"/>
        <w:gridCol w:w="1700"/>
      </w:tblGrid>
      <w:tr>
        <w:trPr>
          <w:trHeight w:val="206" w:hRule="exact"/>
        </w:trPr>
        <w:tc>
          <w:tcPr>
            <w:tcW w:w="35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30"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6" w:hRule="exact"/>
        </w:trPr>
        <w:tc>
          <w:tcPr>
            <w:tcW w:w="35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0" w:type="dxa"/>
            <w:gridSpan w:val="8"/>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3520" w:type="dxa"/>
            <w:vMerge/>
            <w:tcBorders>
              <w:left w:val="single" w:sz="4" w:space="0" w:color="000000"/>
              <w:bottom w:val="nil" w:sz="6" w:space="0" w:color="auto"/>
              <w:right w:val="single" w:sz="4" w:space="0" w:color="000000"/>
            </w:tcBorders>
            <w:shd w:val="clear" w:color="auto" w:fill="D3D3D3"/>
          </w:tcPr>
          <w:p>
            <w:pPr/>
          </w:p>
        </w:tc>
        <w:tc>
          <w:tcPr>
            <w:tcW w:w="2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5" w:hRule="exact"/>
        </w:trPr>
        <w:tc>
          <w:tcPr>
            <w:tcW w:w="35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87" w:type="dxa"/>
            <w:vMerge/>
            <w:tcBorders>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1208"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0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5,572,802.15</w:t>
            </w: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50,155,219.36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211,214,589.68</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08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08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0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5,572,802.15</w:t>
            </w: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50,155,219.36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211,214,589.68</w:t>
            </w:r>
          </w:p>
        </w:tc>
      </w:tr>
      <w:tr>
        <w:trPr>
          <w:trHeight w:val="402" w:hRule="exact"/>
        </w:trPr>
        <w:tc>
          <w:tcPr>
            <w:tcW w:w="352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87"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5,232,039.03</w:t>
            </w: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32,388,351.29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37,620,390.32</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08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08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08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740" w:right="720"/>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544"/>
        <w:gridCol w:w="2075"/>
        <w:gridCol w:w="1843"/>
        <w:gridCol w:w="884"/>
        <w:gridCol w:w="884"/>
        <w:gridCol w:w="1208"/>
        <w:gridCol w:w="1356"/>
        <w:gridCol w:w="1667"/>
        <w:gridCol w:w="1700"/>
      </w:tblGrid>
      <w:tr>
        <w:trPr>
          <w:trHeight w:val="416" w:hRule="exact"/>
        </w:trPr>
        <w:tc>
          <w:tcPr>
            <w:tcW w:w="35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2075"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1208" w:type="dxa"/>
            <w:tcBorders>
              <w:top w:val="single" w:sz="15" w:space="0" w:color="000000"/>
              <w:left w:val="single" w:sz="4" w:space="0" w:color="000000"/>
              <w:bottom w:val="single" w:sz="4" w:space="0" w:color="000000"/>
              <w:right w:val="single" w:sz="4" w:space="0" w:color="000000"/>
            </w:tcBorders>
          </w:tcPr>
          <w:p>
            <w:pPr/>
          </w:p>
        </w:tc>
        <w:tc>
          <w:tcPr>
            <w:tcW w:w="1356" w:type="dxa"/>
            <w:tcBorders>
              <w:top w:val="single" w:sz="15" w:space="0" w:color="000000"/>
              <w:left w:val="single" w:sz="4" w:space="0" w:color="000000"/>
              <w:bottom w:val="single" w:sz="4" w:space="0" w:color="000000"/>
              <w:right w:val="single" w:sz="4" w:space="0" w:color="000000"/>
            </w:tcBorders>
          </w:tcPr>
          <w:p>
            <w:pPr/>
          </w:p>
        </w:tc>
        <w:tc>
          <w:tcPr>
            <w:tcW w:w="1667"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5,232,039.03</w:t>
            </w: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-19,932,039.03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5,232,039.03</w:t>
            </w: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207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73,500,000.00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81,986,568.17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10,804,841.18</w:t>
            </w:r>
          </w:p>
        </w:tc>
        <w:tc>
          <w:tcPr>
            <w:tcW w:w="135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82,543,570.65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248,834,980.00</w:t>
            </w:r>
          </w:p>
        </w:tc>
      </w:tr>
    </w:tbl>
    <w:p>
      <w:pPr>
        <w:spacing w:line="240" w:lineRule="auto" w:before="6"/>
        <w:rPr>
          <w:rFonts w:ascii="宋体" w:hAnsi="宋体" w:cs="宋体" w:eastAsia="宋体" w:hint="default"/>
          <w:sz w:val="20"/>
          <w:szCs w:val="20"/>
        </w:rPr>
      </w:pPr>
    </w:p>
    <w:p>
      <w:pPr>
        <w:tabs>
          <w:tab w:pos="4229" w:val="left" w:leader="none"/>
          <w:tab w:pos="8459" w:val="left" w:leader="none"/>
        </w:tabs>
        <w:spacing w:before="44"/>
        <w:ind w:left="719" w:right="0" w:firstLine="0"/>
        <w:jc w:val="lef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after="0"/>
        <w:jc w:val="left"/>
        <w:rPr>
          <w:rFonts w:ascii="宋体" w:hAnsi="宋体" w:cs="宋体" w:eastAsia="宋体" w:hint="default"/>
          <w:sz w:val="18"/>
          <w:szCs w:val="18"/>
        </w:rPr>
        <w:sectPr>
          <w:pgSz w:w="16840" w:h="11910" w:orient="landscape"/>
          <w:pgMar w:header="867" w:footer="978" w:top="1060" w:bottom="1160" w:left="720" w:right="7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2"/>
        <w:spacing w:line="240" w:lineRule="auto" w:before="26"/>
        <w:ind w:right="102"/>
        <w:jc w:val="left"/>
        <w:rPr>
          <w:b w:val="0"/>
          <w:bCs w:val="0"/>
        </w:rPr>
      </w:pPr>
      <w:r>
        <w:rPr/>
        <w:t>三、公司基本情况</w:t>
      </w:r>
      <w:r>
        <w:rPr>
          <w:b w:val="0"/>
          <w:bCs w:val="0"/>
        </w:rPr>
      </w:r>
    </w:p>
    <w:p>
      <w:pPr>
        <w:spacing w:line="240" w:lineRule="auto" w:before="10"/>
        <w:rPr>
          <w:rFonts w:ascii="宋体" w:hAnsi="宋体" w:cs="宋体" w:eastAsia="宋体" w:hint="default"/>
          <w:b/>
          <w:bCs/>
          <w:sz w:val="17"/>
          <w:szCs w:val="17"/>
        </w:rPr>
      </w:pPr>
    </w:p>
    <w:p>
      <w:pPr>
        <w:pStyle w:val="BodyText"/>
        <w:spacing w:line="331" w:lineRule="auto"/>
        <w:ind w:left="153" w:right="102" w:firstLine="411"/>
        <w:jc w:val="left"/>
      </w:pPr>
      <w:r>
        <w:rPr/>
        <w:t>蓝盾信息安全技术股份有限公司</w:t>
      </w:r>
      <w:r>
        <w:rPr>
          <w:rFonts w:ascii="Times New Roman" w:hAnsi="Times New Roman" w:cs="Times New Roman" w:eastAsia="Times New Roman" w:hint="default"/>
        </w:rPr>
        <w:t>(</w:t>
      </w:r>
      <w:r>
        <w:rPr/>
        <w:t>以下简称公司</w:t>
      </w:r>
      <w:r>
        <w:rPr>
          <w:rFonts w:ascii="Times New Roman" w:hAnsi="Times New Roman" w:cs="Times New Roman" w:eastAsia="Times New Roman" w:hint="default"/>
        </w:rPr>
        <w:t>)</w:t>
      </w:r>
      <w:r>
        <w:rPr/>
        <w:t>是由广东天海威数码技术有限公司(以下简称“天海威 公司”)全体股东作为发起人，以天海威公司整体变更方式设立的股份有限公司。公司已于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 </w:t>
      </w:r>
      <w:r>
        <w:rPr>
          <w:spacing w:val="-2"/>
        </w:rPr>
        <w:t>在广东省工商行政管理局注册登记并取得注册号为</w:t>
      </w:r>
      <w:r>
        <w:rPr>
          <w:rFonts w:ascii="Times New Roman" w:hAnsi="Times New Roman" w:cs="Times New Roman" w:eastAsia="Times New Roman" w:hint="default"/>
          <w:spacing w:val="-2"/>
        </w:rPr>
        <w:t>440000000030094</w:t>
      </w:r>
      <w:r>
        <w:rPr>
          <w:spacing w:val="-2"/>
        </w:rPr>
        <w:t>号企业法人营业执照，股本</w:t>
      </w:r>
      <w:r>
        <w:rPr>
          <w:rFonts w:ascii="Times New Roman" w:hAnsi="Times New Roman" w:cs="Times New Roman" w:eastAsia="Times New Roman" w:hint="default"/>
          <w:spacing w:val="-2"/>
        </w:rPr>
        <w:t>9,800</w:t>
      </w:r>
      <w:r>
        <w:rPr>
          <w:spacing w:val="-2"/>
        </w:rPr>
        <w:t>万元，</w:t>
      </w:r>
      <w:r>
        <w:rPr>
          <w:spacing w:val="-78"/>
        </w:rPr>
        <w:t> </w:t>
      </w:r>
      <w:r>
        <w:rPr>
          <w:spacing w:val="-78"/>
        </w:rPr>
      </w:r>
      <w:r>
        <w:rPr/>
        <w:t>法定代表人为柯宗贵。</w:t>
      </w:r>
    </w:p>
    <w:p>
      <w:pPr>
        <w:pStyle w:val="BodyText"/>
        <w:spacing w:line="328" w:lineRule="auto" w:before="45"/>
        <w:ind w:left="565" w:right="102" w:firstLine="1"/>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spacing w:val="1"/>
          <w:w w:val="99"/>
        </w:rPr>
        <w:t> </w:t>
      </w:r>
      <w:r>
        <w:rPr/>
        <w:t>公司前身天海威公司于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日在广东省工商行政管理局注册成立，注册资本为人民币</w:t>
      </w:r>
      <w:r>
        <w:rPr>
          <w:rFonts w:ascii="Times New Roman" w:hAnsi="Times New Roman" w:cs="Times New Roman" w:eastAsia="Times New Roman" w:hint="default"/>
        </w:rPr>
        <w:t>100</w:t>
      </w:r>
      <w:r>
        <w:rPr/>
        <w:t>万</w:t>
      </w:r>
    </w:p>
    <w:p>
      <w:pPr>
        <w:pStyle w:val="BodyText"/>
        <w:spacing w:line="328" w:lineRule="auto" w:before="24"/>
        <w:ind w:right="102"/>
        <w:jc w:val="left"/>
      </w:pPr>
      <w:r>
        <w:rPr/>
        <w:t>元，其中盘绍基以货币资金出资</w:t>
      </w:r>
      <w:r>
        <w:rPr>
          <w:rFonts w:ascii="Times New Roman" w:hAnsi="Times New Roman" w:cs="Times New Roman" w:eastAsia="Times New Roman" w:hint="default"/>
        </w:rPr>
        <w:t>60</w:t>
      </w:r>
      <w:r>
        <w:rPr/>
        <w:t>万元，持股</w:t>
      </w:r>
      <w:r>
        <w:rPr>
          <w:rFonts w:ascii="Times New Roman" w:hAnsi="Times New Roman" w:cs="Times New Roman" w:eastAsia="Times New Roman" w:hint="default"/>
        </w:rPr>
        <w:t>60%</w:t>
      </w:r>
      <w:r>
        <w:rPr/>
        <w:t>；李根森以货币资金出资</w:t>
      </w:r>
      <w:r>
        <w:rPr>
          <w:rFonts w:ascii="Times New Roman" w:hAnsi="Times New Roman" w:cs="Times New Roman" w:eastAsia="Times New Roman" w:hint="default"/>
        </w:rPr>
        <w:t>40</w:t>
      </w:r>
      <w:r>
        <w:rPr/>
        <w:t>万元，持股</w:t>
      </w:r>
      <w:r>
        <w:rPr>
          <w:rFonts w:ascii="Times New Roman" w:hAnsi="Times New Roman" w:cs="Times New Roman" w:eastAsia="Times New Roman" w:hint="default"/>
        </w:rPr>
        <w:t>40%</w:t>
      </w:r>
      <w:r>
        <w:rPr/>
        <w:t>。注册资本</w:t>
      </w:r>
      <w:r>
        <w:rPr>
          <w:spacing w:val="-68"/>
        </w:rPr>
        <w:t> </w:t>
      </w:r>
      <w:r>
        <w:rPr/>
        <w:t>人民币</w:t>
      </w:r>
      <w:r>
        <w:rPr>
          <w:rFonts w:ascii="Times New Roman" w:hAnsi="Times New Roman" w:cs="Times New Roman" w:eastAsia="Times New Roman" w:hint="default"/>
        </w:rPr>
        <w:t>100</w:t>
      </w:r>
      <w:r>
        <w:rPr/>
        <w:t>万元业经广东启明星会计师事务所粤启验字</w:t>
      </w:r>
      <w:r>
        <w:rPr>
          <w:rFonts w:ascii="Times New Roman" w:hAnsi="Times New Roman" w:cs="Times New Roman" w:eastAsia="Times New Roman" w:hint="default"/>
        </w:rPr>
        <w:t>[1999]875</w:t>
      </w:r>
      <w:r>
        <w:rPr/>
        <w:t>号验资报告验证。</w:t>
      </w:r>
    </w:p>
    <w:p>
      <w:pPr>
        <w:pStyle w:val="BodyText"/>
        <w:spacing w:line="240" w:lineRule="auto" w:before="23"/>
        <w:ind w:left="565" w:right="0"/>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日，盘绍基与柯宗贵签订股权转让协议，盘绍基将其持有天海威公司</w:t>
      </w:r>
      <w:r>
        <w:rPr>
          <w:rFonts w:ascii="Times New Roman" w:hAnsi="Times New Roman" w:cs="Times New Roman" w:eastAsia="Times New Roman" w:hint="default"/>
        </w:rPr>
        <w:t>60%</w:t>
      </w:r>
      <w:r>
        <w:rPr/>
        <w:t>的股权以人民币</w:t>
      </w:r>
    </w:p>
    <w:p>
      <w:pPr>
        <w:pStyle w:val="BodyText"/>
        <w:spacing w:line="240" w:lineRule="auto" w:before="110"/>
        <w:ind w:right="102"/>
        <w:jc w:val="left"/>
      </w:pPr>
      <w:r>
        <w:rPr>
          <w:rFonts w:ascii="Times New Roman" w:hAnsi="Times New Roman" w:cs="Times New Roman" w:eastAsia="Times New Roman" w:hint="default"/>
        </w:rPr>
        <w:t>60</w:t>
      </w:r>
      <w:r>
        <w:rPr/>
        <w:t>万元转让给柯宗贵。</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日完成工商变更。</w:t>
      </w:r>
    </w:p>
    <w:p>
      <w:pPr>
        <w:pStyle w:val="BodyText"/>
        <w:spacing w:line="240" w:lineRule="auto" w:before="109"/>
        <w:ind w:left="565" w:right="0"/>
        <w:jc w:val="left"/>
        <w:rPr>
          <w:rFonts w:ascii="Times New Roman" w:hAnsi="Times New Roman" w:cs="Times New Roman" w:eastAsia="Times New Roman" w:hint="default"/>
        </w:rPr>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日，李根森与柯宗庆签订股权转让协议，李根森将持有天海威公司</w:t>
      </w:r>
      <w:r>
        <w:rPr>
          <w:rFonts w:ascii="Times New Roman" w:hAnsi="Times New Roman" w:cs="Times New Roman" w:eastAsia="Times New Roman" w:hint="default"/>
        </w:rPr>
        <w:t>30%</w:t>
      </w:r>
      <w:r>
        <w:rPr/>
        <w:t>的股权以人民币</w:t>
      </w:r>
      <w:r>
        <w:rPr>
          <w:rFonts w:ascii="Times New Roman" w:hAnsi="Times New Roman" w:cs="Times New Roman" w:eastAsia="Times New Roman" w:hint="default"/>
        </w:rPr>
        <w:t>30</w:t>
      </w:r>
    </w:p>
    <w:p>
      <w:pPr>
        <w:pStyle w:val="BodyText"/>
        <w:spacing w:line="240" w:lineRule="auto" w:before="109"/>
        <w:ind w:right="102"/>
        <w:jc w:val="left"/>
      </w:pPr>
      <w:r>
        <w:rPr/>
        <w:t>万元转让给柯宗庆。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日完成工商变更。</w:t>
      </w:r>
    </w:p>
    <w:p>
      <w:pPr>
        <w:pStyle w:val="BodyText"/>
        <w:spacing w:line="331" w:lineRule="auto" w:before="110"/>
        <w:ind w:right="207" w:firstLine="411"/>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日，根据股东会决议，天海威公司注册资本增资至</w:t>
      </w:r>
      <w:r>
        <w:rPr>
          <w:rFonts w:ascii="Times New Roman" w:hAnsi="Times New Roman" w:cs="Times New Roman" w:eastAsia="Times New Roman" w:hint="default"/>
        </w:rPr>
        <w:t>500</w:t>
      </w:r>
      <w:r>
        <w:rPr/>
        <w:t>万元。其中柯宗庆增加</w:t>
      </w:r>
      <w:r>
        <w:rPr>
          <w:rFonts w:ascii="Times New Roman" w:hAnsi="Times New Roman" w:cs="Times New Roman" w:eastAsia="Times New Roman" w:hint="default"/>
        </w:rPr>
        <w:t>210</w:t>
      </w:r>
      <w:r>
        <w:rPr/>
        <w:t>万元， 柯宗贵增加</w:t>
      </w:r>
      <w:r>
        <w:rPr>
          <w:rFonts w:ascii="Times New Roman" w:hAnsi="Times New Roman" w:cs="Times New Roman" w:eastAsia="Times New Roman" w:hint="default"/>
        </w:rPr>
        <w:t>180</w:t>
      </w:r>
      <w:r>
        <w:rPr/>
        <w:t>万元，黄泽华增加</w:t>
      </w:r>
      <w:r>
        <w:rPr>
          <w:rFonts w:ascii="Times New Roman" w:hAnsi="Times New Roman" w:cs="Times New Roman" w:eastAsia="Times New Roman" w:hint="default"/>
        </w:rPr>
        <w:t>10</w:t>
      </w:r>
      <w:r>
        <w:rPr/>
        <w:t>万元，增资后柯宗庆持股</w:t>
      </w:r>
      <w:r>
        <w:rPr>
          <w:rFonts w:ascii="Times New Roman" w:hAnsi="Times New Roman" w:cs="Times New Roman" w:eastAsia="Times New Roman" w:hint="default"/>
        </w:rPr>
        <w:t>48%</w:t>
      </w:r>
      <w:r>
        <w:rPr/>
        <w:t>，柯宗贵持股</w:t>
      </w:r>
      <w:r>
        <w:rPr>
          <w:rFonts w:ascii="Times New Roman" w:hAnsi="Times New Roman" w:cs="Times New Roman" w:eastAsia="Times New Roman" w:hint="default"/>
        </w:rPr>
        <w:t>48%</w:t>
      </w:r>
      <w:r>
        <w:rPr/>
        <w:t>，李根森持股</w:t>
      </w:r>
      <w:r>
        <w:rPr>
          <w:rFonts w:ascii="Times New Roman" w:hAnsi="Times New Roman" w:cs="Times New Roman" w:eastAsia="Times New Roman" w:hint="default"/>
        </w:rPr>
        <w:t>2%</w:t>
      </w:r>
      <w:r>
        <w:rPr/>
        <w:t>，黄</w:t>
      </w:r>
      <w:r>
        <w:rPr>
          <w:spacing w:val="-40"/>
        </w:rPr>
        <w:t> </w:t>
      </w:r>
      <w:r>
        <w:rPr>
          <w:spacing w:val="-1"/>
        </w:rPr>
        <w:t>泽华持股</w:t>
      </w:r>
      <w:r>
        <w:rPr>
          <w:rFonts w:ascii="Times New Roman" w:hAnsi="Times New Roman" w:cs="Times New Roman" w:eastAsia="Times New Roman" w:hint="default"/>
          <w:spacing w:val="-1"/>
        </w:rPr>
        <w:t>2%</w:t>
      </w:r>
      <w:r>
        <w:rPr>
          <w:spacing w:val="-1"/>
        </w:rPr>
        <w:t>。该次增资人民币</w:t>
      </w:r>
      <w:r>
        <w:rPr>
          <w:rFonts w:ascii="Times New Roman" w:hAnsi="Times New Roman" w:cs="Times New Roman" w:eastAsia="Times New Roman" w:hint="default"/>
          <w:spacing w:val="-1"/>
        </w:rPr>
        <w:t>400</w:t>
      </w:r>
      <w:r>
        <w:rPr>
          <w:spacing w:val="-1"/>
        </w:rPr>
        <w:t>万元业经广州东辰会计师事务所出具的东辰验字</w:t>
      </w:r>
      <w:r>
        <w:rPr>
          <w:rFonts w:ascii="Times New Roman" w:hAnsi="Times New Roman" w:cs="Times New Roman" w:eastAsia="Times New Roman" w:hint="default"/>
          <w:spacing w:val="-1"/>
        </w:rPr>
        <w:t>[2003]</w:t>
      </w:r>
      <w:r>
        <w:rPr>
          <w:spacing w:val="-1"/>
        </w:rPr>
        <w:t>第</w:t>
      </w:r>
      <w:r>
        <w:rPr>
          <w:rFonts w:ascii="Times New Roman" w:hAnsi="Times New Roman" w:cs="Times New Roman" w:eastAsia="Times New Roman" w:hint="default"/>
          <w:spacing w:val="-1"/>
        </w:rPr>
        <w:t>237</w:t>
      </w:r>
      <w:r>
        <w:rPr>
          <w:spacing w:val="-1"/>
        </w:rPr>
        <w:t>号验资报告</w:t>
      </w:r>
      <w:r>
        <w:rPr>
          <w:spacing w:val="-84"/>
        </w:rPr>
        <w:t> </w:t>
      </w:r>
      <w:r>
        <w:rPr>
          <w:spacing w:val="-84"/>
        </w:rPr>
      </w:r>
      <w:r>
        <w:rPr/>
        <w:t>验证。</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日完成工商变更。</w:t>
      </w:r>
    </w:p>
    <w:p>
      <w:pPr>
        <w:pStyle w:val="BodyText"/>
        <w:spacing w:line="331" w:lineRule="auto" w:before="20"/>
        <w:ind w:right="207" w:firstLine="411"/>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日，根据股东会决议，柯宗庆、柯宗贵分别以无形资产增加出资</w:t>
      </w:r>
      <w:r>
        <w:rPr>
          <w:rFonts w:ascii="Times New Roman" w:hAnsi="Times New Roman" w:cs="Times New Roman" w:eastAsia="Times New Roman" w:hint="default"/>
        </w:rPr>
        <w:t>2,250</w:t>
      </w:r>
      <w:r>
        <w:rPr/>
        <w:t>万元，天海威公司</w:t>
      </w:r>
      <w:r>
        <w:rPr>
          <w:spacing w:val="1"/>
        </w:rPr>
        <w:t> </w:t>
      </w:r>
      <w:r>
        <w:rPr>
          <w:spacing w:val="-2"/>
        </w:rPr>
        <w:t>注册资本变更为</w:t>
      </w:r>
      <w:r>
        <w:rPr>
          <w:rFonts w:ascii="Times New Roman" w:hAnsi="Times New Roman" w:cs="Times New Roman" w:eastAsia="Times New Roman" w:hint="default"/>
          <w:spacing w:val="-2"/>
        </w:rPr>
        <w:t>5,000</w:t>
      </w:r>
      <w:r>
        <w:rPr>
          <w:spacing w:val="-2"/>
        </w:rPr>
        <w:t>万元，增资投入的无形资产于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日办理完毕产权过户手续，由广东华纳安会</w:t>
      </w:r>
      <w:r>
        <w:rPr>
          <w:spacing w:val="-88"/>
        </w:rPr>
        <w:t> </w:t>
      </w:r>
      <w:r>
        <w:rPr>
          <w:spacing w:val="-88"/>
        </w:rPr>
      </w:r>
      <w:r>
        <w:rPr/>
        <w:t>计师事务所出具华纳安评</w:t>
      </w:r>
      <w:r>
        <w:rPr>
          <w:rFonts w:ascii="Times New Roman" w:hAnsi="Times New Roman" w:cs="Times New Roman" w:eastAsia="Times New Roman" w:hint="default"/>
        </w:rPr>
        <w:t>(2005)G004</w:t>
      </w:r>
      <w:r>
        <w:rPr/>
        <w:t>号评估报告评估</w:t>
      </w:r>
      <w:r>
        <w:rPr>
          <w:rFonts w:ascii="Times New Roman" w:hAnsi="Times New Roman" w:cs="Times New Roman" w:eastAsia="Times New Roman" w:hint="default"/>
        </w:rPr>
        <w:t>,</w:t>
      </w:r>
      <w:r>
        <w:rPr/>
        <w:t>评估价值为</w:t>
      </w:r>
      <w:r>
        <w:rPr>
          <w:rFonts w:ascii="Times New Roman" w:hAnsi="Times New Roman" w:cs="Times New Roman" w:eastAsia="Times New Roman" w:hint="default"/>
        </w:rPr>
        <w:t>4,860</w:t>
      </w:r>
      <w:r>
        <w:rPr/>
        <w:t>万元，股东确认价值为</w:t>
      </w:r>
      <w:r>
        <w:rPr>
          <w:rFonts w:ascii="Times New Roman" w:hAnsi="Times New Roman" w:cs="Times New Roman" w:eastAsia="Times New Roman" w:hint="default"/>
        </w:rPr>
        <w:t>4,500</w:t>
      </w:r>
      <w:r>
        <w:rPr/>
        <w:t>万元，</w:t>
      </w:r>
      <w:r>
        <w:rPr>
          <w:spacing w:val="-68"/>
        </w:rPr>
        <w:t> </w:t>
      </w:r>
      <w:r>
        <w:rPr>
          <w:spacing w:val="-2"/>
        </w:rPr>
        <w:t>变更投资后柯宗庆持股</w:t>
      </w:r>
      <w:r>
        <w:rPr>
          <w:rFonts w:ascii="Times New Roman" w:hAnsi="Times New Roman" w:cs="Times New Roman" w:eastAsia="Times New Roman" w:hint="default"/>
          <w:spacing w:val="-2"/>
        </w:rPr>
        <w:t>49.80%</w:t>
      </w:r>
      <w:r>
        <w:rPr>
          <w:spacing w:val="-2"/>
        </w:rPr>
        <w:t>，柯宗贵持股</w:t>
      </w:r>
      <w:r>
        <w:rPr>
          <w:rFonts w:ascii="Times New Roman" w:hAnsi="Times New Roman" w:cs="Times New Roman" w:eastAsia="Times New Roman" w:hint="default"/>
          <w:spacing w:val="-2"/>
        </w:rPr>
        <w:t>49.80%</w:t>
      </w:r>
      <w:r>
        <w:rPr>
          <w:spacing w:val="-2"/>
        </w:rPr>
        <w:t>，李根森持股</w:t>
      </w:r>
      <w:r>
        <w:rPr>
          <w:rFonts w:ascii="Times New Roman" w:hAnsi="Times New Roman" w:cs="Times New Roman" w:eastAsia="Times New Roman" w:hint="default"/>
          <w:spacing w:val="-2"/>
        </w:rPr>
        <w:t>0.20%</w:t>
      </w:r>
      <w:r>
        <w:rPr>
          <w:spacing w:val="-2"/>
        </w:rPr>
        <w:t>，黄泽华持股</w:t>
      </w:r>
      <w:r>
        <w:rPr>
          <w:rFonts w:ascii="Times New Roman" w:hAnsi="Times New Roman" w:cs="Times New Roman" w:eastAsia="Times New Roman" w:hint="default"/>
          <w:spacing w:val="-2"/>
        </w:rPr>
        <w:t>0.20%</w:t>
      </w:r>
      <w:r>
        <w:rPr>
          <w:spacing w:val="-2"/>
        </w:rPr>
        <w:t>。该次增资人民</w:t>
      </w:r>
      <w:r>
        <w:rPr>
          <w:spacing w:val="-95"/>
        </w:rPr>
        <w:t> </w:t>
      </w:r>
      <w:r>
        <w:rPr>
          <w:spacing w:val="-95"/>
        </w:rPr>
      </w:r>
      <w:r>
        <w:rPr/>
        <w:t>币</w:t>
      </w:r>
      <w:r>
        <w:rPr>
          <w:rFonts w:ascii="Times New Roman" w:hAnsi="Times New Roman" w:cs="Times New Roman" w:eastAsia="Times New Roman" w:hint="default"/>
        </w:rPr>
        <w:t>4500</w:t>
      </w:r>
      <w:r>
        <w:rPr/>
        <w:t>万元业经广州信之杰会计师事务所出具的信验字</w:t>
      </w:r>
      <w:r>
        <w:rPr>
          <w:rFonts w:ascii="Times New Roman" w:hAnsi="Times New Roman" w:cs="Times New Roman" w:eastAsia="Times New Roman" w:hint="default"/>
        </w:rPr>
        <w:t>[2005]</w:t>
      </w:r>
      <w:r>
        <w:rPr/>
        <w:t>第</w:t>
      </w:r>
      <w:r>
        <w:rPr>
          <w:rFonts w:ascii="Times New Roman" w:hAnsi="Times New Roman" w:cs="Times New Roman" w:eastAsia="Times New Roman" w:hint="default"/>
        </w:rPr>
        <w:t>072</w:t>
      </w:r>
      <w:r>
        <w:rPr/>
        <w:t>号验资报告验证。</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日完成</w:t>
      </w:r>
      <w:r>
        <w:rPr>
          <w:spacing w:val="-74"/>
        </w:rPr>
        <w:t> </w:t>
      </w:r>
      <w:r>
        <w:rPr/>
        <w:t>工商变更。</w:t>
      </w:r>
    </w:p>
    <w:p>
      <w:pPr>
        <w:pStyle w:val="BodyText"/>
        <w:spacing w:line="331" w:lineRule="auto" w:before="45"/>
        <w:ind w:left="153" w:right="208" w:firstLine="411"/>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日，柯瑞强增加货币出资</w:t>
      </w:r>
      <w:r>
        <w:rPr>
          <w:rFonts w:ascii="Times New Roman" w:hAnsi="Times New Roman" w:cs="Times New Roman" w:eastAsia="Times New Roman" w:hint="default"/>
        </w:rPr>
        <w:t>10</w:t>
      </w:r>
      <w:r>
        <w:rPr/>
        <w:t>万元，天海威公司注册资本增至</w:t>
      </w:r>
      <w:r>
        <w:rPr>
          <w:rFonts w:ascii="Times New Roman" w:hAnsi="Times New Roman" w:cs="Times New Roman" w:eastAsia="Times New Roman" w:hint="default"/>
        </w:rPr>
        <w:t>5,010</w:t>
      </w:r>
      <w:r>
        <w:rPr/>
        <w:t>万元，增资后柯宗庆出</w:t>
      </w:r>
      <w:r>
        <w:rPr>
          <w:spacing w:val="1"/>
        </w:rPr>
        <w:t> </w:t>
      </w:r>
      <w:r>
        <w:rPr>
          <w:spacing w:val="-2"/>
        </w:rPr>
        <w:t>资</w:t>
      </w:r>
      <w:r>
        <w:rPr>
          <w:rFonts w:ascii="Times New Roman" w:hAnsi="Times New Roman" w:cs="Times New Roman" w:eastAsia="Times New Roman" w:hint="default"/>
          <w:spacing w:val="-2"/>
        </w:rPr>
        <w:t>2,490</w:t>
      </w:r>
      <w:r>
        <w:rPr>
          <w:spacing w:val="-2"/>
        </w:rPr>
        <w:t>万元，持股</w:t>
      </w:r>
      <w:r>
        <w:rPr>
          <w:rFonts w:ascii="Times New Roman" w:hAnsi="Times New Roman" w:cs="Times New Roman" w:eastAsia="Times New Roman" w:hint="default"/>
          <w:spacing w:val="-2"/>
        </w:rPr>
        <w:t>49.70%</w:t>
      </w:r>
      <w:r>
        <w:rPr>
          <w:spacing w:val="-2"/>
        </w:rPr>
        <w:t>；柯宗贵出资</w:t>
      </w:r>
      <w:r>
        <w:rPr>
          <w:rFonts w:ascii="Times New Roman" w:hAnsi="Times New Roman" w:cs="Times New Roman" w:eastAsia="Times New Roman" w:hint="default"/>
          <w:spacing w:val="-2"/>
        </w:rPr>
        <w:t>2,490</w:t>
      </w:r>
      <w:r>
        <w:rPr>
          <w:spacing w:val="-2"/>
        </w:rPr>
        <w:t>万元。持股</w:t>
      </w:r>
      <w:r>
        <w:rPr>
          <w:rFonts w:ascii="Times New Roman" w:hAnsi="Times New Roman" w:cs="Times New Roman" w:eastAsia="Times New Roman" w:hint="default"/>
          <w:spacing w:val="-2"/>
        </w:rPr>
        <w:t>49.70%</w:t>
      </w:r>
      <w:r>
        <w:rPr>
          <w:spacing w:val="-2"/>
        </w:rPr>
        <w:t>；李根森出资</w:t>
      </w:r>
      <w:r>
        <w:rPr>
          <w:rFonts w:ascii="Times New Roman" w:hAnsi="Times New Roman" w:cs="Times New Roman" w:eastAsia="Times New Roman" w:hint="default"/>
          <w:spacing w:val="-2"/>
        </w:rPr>
        <w:t>10</w:t>
      </w:r>
      <w:r>
        <w:rPr>
          <w:spacing w:val="-2"/>
        </w:rPr>
        <w:t>万元，持股</w:t>
      </w:r>
      <w:r>
        <w:rPr>
          <w:rFonts w:ascii="Times New Roman" w:hAnsi="Times New Roman" w:cs="Times New Roman" w:eastAsia="Times New Roman" w:hint="default"/>
          <w:spacing w:val="-2"/>
        </w:rPr>
        <w:t>0.20%</w:t>
      </w:r>
      <w:r>
        <w:rPr>
          <w:spacing w:val="-2"/>
        </w:rPr>
        <w:t>；黄泽华</w:t>
      </w:r>
      <w:r>
        <w:rPr>
          <w:spacing w:val="-82"/>
        </w:rPr>
        <w:t> </w:t>
      </w:r>
      <w:r>
        <w:rPr>
          <w:spacing w:val="-82"/>
        </w:rPr>
      </w:r>
      <w:r>
        <w:rPr>
          <w:spacing w:val="-2"/>
        </w:rPr>
        <w:t>出资</w:t>
      </w:r>
      <w:r>
        <w:rPr>
          <w:rFonts w:ascii="Times New Roman" w:hAnsi="Times New Roman" w:cs="Times New Roman" w:eastAsia="Times New Roman" w:hint="default"/>
          <w:spacing w:val="-2"/>
        </w:rPr>
        <w:t>10</w:t>
      </w:r>
      <w:r>
        <w:rPr>
          <w:spacing w:val="-2"/>
        </w:rPr>
        <w:t>万元，持股</w:t>
      </w:r>
      <w:r>
        <w:rPr>
          <w:rFonts w:ascii="Times New Roman" w:hAnsi="Times New Roman" w:cs="Times New Roman" w:eastAsia="Times New Roman" w:hint="default"/>
          <w:spacing w:val="-2"/>
        </w:rPr>
        <w:t>0.20%</w:t>
      </w:r>
      <w:r>
        <w:rPr>
          <w:spacing w:val="-2"/>
        </w:rPr>
        <w:t>；柯瑞强出资</w:t>
      </w:r>
      <w:r>
        <w:rPr>
          <w:rFonts w:ascii="Times New Roman" w:hAnsi="Times New Roman" w:cs="Times New Roman" w:eastAsia="Times New Roman" w:hint="default"/>
          <w:spacing w:val="-2"/>
        </w:rPr>
        <w:t>10</w:t>
      </w:r>
      <w:r>
        <w:rPr>
          <w:spacing w:val="-2"/>
        </w:rPr>
        <w:t>万元，持股</w:t>
      </w:r>
      <w:r>
        <w:rPr>
          <w:rFonts w:ascii="Times New Roman" w:hAnsi="Times New Roman" w:cs="Times New Roman" w:eastAsia="Times New Roman" w:hint="default"/>
          <w:spacing w:val="-2"/>
        </w:rPr>
        <w:t>0.20%</w:t>
      </w:r>
      <w:r>
        <w:rPr>
          <w:spacing w:val="-2"/>
        </w:rPr>
        <w:t>。该次增资人民币</w:t>
      </w:r>
      <w:r>
        <w:rPr>
          <w:rFonts w:ascii="Times New Roman" w:hAnsi="Times New Roman" w:cs="Times New Roman" w:eastAsia="Times New Roman" w:hint="default"/>
          <w:spacing w:val="-2"/>
        </w:rPr>
        <w:t>10</w:t>
      </w:r>
      <w:r>
        <w:rPr>
          <w:spacing w:val="-2"/>
        </w:rPr>
        <w:t>万元业经广东华纳安会计师</w:t>
      </w:r>
      <w:r>
        <w:rPr>
          <w:spacing w:val="-66"/>
        </w:rPr>
        <w:t> </w:t>
      </w:r>
      <w:r>
        <w:rPr>
          <w:spacing w:val="-66"/>
        </w:rPr>
      </w:r>
      <w:r>
        <w:rPr/>
        <w:t>事务所出具的华纳安验字</w:t>
      </w:r>
      <w:r>
        <w:rPr>
          <w:rFonts w:ascii="Times New Roman" w:hAnsi="Times New Roman" w:cs="Times New Roman" w:eastAsia="Times New Roman" w:hint="default"/>
        </w:rPr>
        <w:t>[2007]L06</w:t>
      </w:r>
      <w:r>
        <w:rPr/>
        <w:t>号验资报告验证。</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日完成工商变更。</w:t>
      </w:r>
    </w:p>
    <w:p>
      <w:pPr>
        <w:pStyle w:val="BodyText"/>
        <w:spacing w:line="331" w:lineRule="auto" w:before="20"/>
        <w:ind w:right="210" w:firstLine="411"/>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日，柯宗庆、柯宗贵分别将其出资额</w:t>
      </w:r>
      <w:r>
        <w:rPr>
          <w:rFonts w:ascii="Times New Roman" w:hAnsi="Times New Roman" w:cs="Times New Roman" w:eastAsia="Times New Roman" w:hint="default"/>
        </w:rPr>
        <w:t>178.70</w:t>
      </w:r>
      <w:r>
        <w:rPr/>
        <w:t>万元转让给张征，股权转让后，柯宗庆、柯</w:t>
      </w:r>
      <w:r>
        <w:rPr>
          <w:spacing w:val="1"/>
        </w:rPr>
        <w:t> </w:t>
      </w:r>
      <w:r>
        <w:rPr>
          <w:spacing w:val="-1"/>
        </w:rPr>
        <w:t>宗贵出资额均为</w:t>
      </w:r>
      <w:r>
        <w:rPr>
          <w:rFonts w:ascii="Times New Roman" w:hAnsi="Times New Roman" w:cs="Times New Roman" w:eastAsia="Times New Roman" w:hint="default"/>
          <w:spacing w:val="-1"/>
        </w:rPr>
        <w:t>2,311.30</w:t>
      </w:r>
      <w:r>
        <w:rPr>
          <w:spacing w:val="-1"/>
        </w:rPr>
        <w:t>万元，分别持股</w:t>
      </w:r>
      <w:r>
        <w:rPr>
          <w:rFonts w:ascii="Times New Roman" w:hAnsi="Times New Roman" w:cs="Times New Roman" w:eastAsia="Times New Roman" w:hint="default"/>
          <w:spacing w:val="-1"/>
        </w:rPr>
        <w:t>46.13%</w:t>
      </w:r>
      <w:r>
        <w:rPr>
          <w:spacing w:val="-1"/>
        </w:rPr>
        <w:t>；张征出资</w:t>
      </w:r>
      <w:r>
        <w:rPr>
          <w:rFonts w:ascii="Times New Roman" w:hAnsi="Times New Roman" w:cs="Times New Roman" w:eastAsia="Times New Roman" w:hint="default"/>
          <w:spacing w:val="-1"/>
        </w:rPr>
        <w:t>357.40</w:t>
      </w:r>
      <w:r>
        <w:rPr>
          <w:spacing w:val="-1"/>
        </w:rPr>
        <w:t>万元，持股</w:t>
      </w:r>
      <w:r>
        <w:rPr>
          <w:rFonts w:ascii="Times New Roman" w:hAnsi="Times New Roman" w:cs="Times New Roman" w:eastAsia="Times New Roman" w:hint="default"/>
          <w:spacing w:val="-1"/>
        </w:rPr>
        <w:t>7.14%</w:t>
      </w:r>
      <w:r>
        <w:rPr>
          <w:spacing w:val="-1"/>
        </w:rPr>
        <w:t>，其余股东出资及持股</w:t>
      </w:r>
      <w:r>
        <w:rPr>
          <w:spacing w:val="-66"/>
        </w:rPr>
        <w:t> </w:t>
      </w:r>
      <w:r>
        <w:rPr>
          <w:spacing w:val="-66"/>
        </w:rPr>
      </w:r>
      <w:r>
        <w:rPr/>
        <w:t>比例保持不变。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日完成工商变更。</w:t>
      </w:r>
    </w:p>
    <w:p>
      <w:pPr>
        <w:pStyle w:val="BodyText"/>
        <w:spacing w:line="331" w:lineRule="auto" w:before="20"/>
        <w:ind w:right="102" w:firstLine="411"/>
        <w:jc w:val="left"/>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日，根据股东会决议，张征增加货币出资</w:t>
      </w:r>
      <w:r>
        <w:rPr>
          <w:rFonts w:ascii="Times New Roman" w:hAnsi="Times New Roman" w:cs="Times New Roman" w:eastAsia="Times New Roman" w:hint="default"/>
          <w:spacing w:val="-2"/>
        </w:rPr>
        <w:t>400</w:t>
      </w:r>
      <w:r>
        <w:rPr>
          <w:spacing w:val="-2"/>
        </w:rPr>
        <w:t>万元，天海威公司注册资本增至</w:t>
      </w:r>
      <w:r>
        <w:rPr>
          <w:rFonts w:ascii="Times New Roman" w:hAnsi="Times New Roman" w:cs="Times New Roman" w:eastAsia="Times New Roman" w:hint="default"/>
          <w:spacing w:val="-2"/>
        </w:rPr>
        <w:t>5,410</w:t>
      </w:r>
      <w:r>
        <w:rPr>
          <w:spacing w:val="-2"/>
        </w:rPr>
        <w:t>万元，</w:t>
      </w:r>
      <w:r>
        <w:rPr>
          <w:spacing w:val="1"/>
        </w:rPr>
        <w:t> </w:t>
      </w:r>
      <w:r>
        <w:rPr/>
        <w:t>增资后柯宗庆、柯宗贵出资额均为</w:t>
      </w:r>
      <w:r>
        <w:rPr>
          <w:rFonts w:ascii="Times New Roman" w:hAnsi="Times New Roman" w:cs="Times New Roman" w:eastAsia="Times New Roman" w:hint="default"/>
        </w:rPr>
        <w:t>2,311.30</w:t>
      </w:r>
      <w:r>
        <w:rPr/>
        <w:t>万元，分别持股</w:t>
      </w:r>
      <w:r>
        <w:rPr>
          <w:rFonts w:ascii="Times New Roman" w:hAnsi="Times New Roman" w:cs="Times New Roman" w:eastAsia="Times New Roman" w:hint="default"/>
        </w:rPr>
        <w:t>42.73%</w:t>
      </w:r>
      <w:r>
        <w:rPr/>
        <w:t>；李根森出资</w:t>
      </w:r>
      <w:r>
        <w:rPr>
          <w:rFonts w:ascii="Times New Roman" w:hAnsi="Times New Roman" w:cs="Times New Roman" w:eastAsia="Times New Roman" w:hint="default"/>
        </w:rPr>
        <w:t>10</w:t>
      </w:r>
      <w:r>
        <w:rPr/>
        <w:t>万元，持股</w:t>
      </w:r>
      <w:r>
        <w:rPr>
          <w:rFonts w:ascii="Times New Roman" w:hAnsi="Times New Roman" w:cs="Times New Roman" w:eastAsia="Times New Roman" w:hint="default"/>
        </w:rPr>
        <w:t>0.18%</w:t>
      </w:r>
      <w:r>
        <w:rPr/>
        <w:t>；黄泽 华出资</w:t>
      </w:r>
      <w:r>
        <w:rPr>
          <w:rFonts w:ascii="Times New Roman" w:hAnsi="Times New Roman" w:cs="Times New Roman" w:eastAsia="Times New Roman" w:hint="default"/>
        </w:rPr>
        <w:t>10</w:t>
      </w:r>
      <w:r>
        <w:rPr/>
        <w:t>万元，持股</w:t>
      </w:r>
      <w:r>
        <w:rPr>
          <w:rFonts w:ascii="Times New Roman" w:hAnsi="Times New Roman" w:cs="Times New Roman" w:eastAsia="Times New Roman" w:hint="default"/>
        </w:rPr>
        <w:t>0.18%</w:t>
      </w:r>
      <w:r>
        <w:rPr/>
        <w:t>；柯瑞强出资</w:t>
      </w:r>
      <w:r>
        <w:rPr>
          <w:rFonts w:ascii="Times New Roman" w:hAnsi="Times New Roman" w:cs="Times New Roman" w:eastAsia="Times New Roman" w:hint="default"/>
        </w:rPr>
        <w:t>10</w:t>
      </w:r>
      <w:r>
        <w:rPr/>
        <w:t>万元，持股</w:t>
      </w:r>
      <w:r>
        <w:rPr>
          <w:rFonts w:ascii="Times New Roman" w:hAnsi="Times New Roman" w:cs="Times New Roman" w:eastAsia="Times New Roman" w:hint="default"/>
        </w:rPr>
        <w:t>0.18%</w:t>
      </w:r>
      <w:r>
        <w:rPr/>
        <w:t>；张征出资</w:t>
      </w:r>
      <w:r>
        <w:rPr>
          <w:rFonts w:ascii="Times New Roman" w:hAnsi="Times New Roman" w:cs="Times New Roman" w:eastAsia="Times New Roman" w:hint="default"/>
        </w:rPr>
        <w:t>757.40</w:t>
      </w:r>
      <w:r>
        <w:rPr/>
        <w:t>万元，持股</w:t>
      </w:r>
      <w:r>
        <w:rPr>
          <w:rFonts w:ascii="Times New Roman" w:hAnsi="Times New Roman" w:cs="Times New Roman" w:eastAsia="Times New Roman" w:hint="default"/>
        </w:rPr>
        <w:t>14%</w:t>
      </w:r>
      <w:r>
        <w:rPr/>
        <w:t>。该次增资</w:t>
      </w:r>
      <w:r>
        <w:rPr>
          <w:spacing w:val="-89"/>
        </w:rPr>
        <w:t> </w:t>
      </w:r>
      <w:r>
        <w:rPr>
          <w:spacing w:val="-89"/>
        </w:rPr>
      </w:r>
      <w:r>
        <w:rPr/>
        <w:t>人民币</w:t>
      </w:r>
      <w:r>
        <w:rPr>
          <w:rFonts w:ascii="Times New Roman" w:hAnsi="Times New Roman" w:cs="Times New Roman" w:eastAsia="Times New Roman" w:hint="default"/>
        </w:rPr>
        <w:t>400</w:t>
      </w:r>
      <w:r>
        <w:rPr/>
        <w:t>万元业经广东中创会计师事务所出具的中创验字</w:t>
      </w:r>
      <w:r>
        <w:rPr>
          <w:rFonts w:ascii="Times New Roman" w:hAnsi="Times New Roman" w:cs="Times New Roman" w:eastAsia="Times New Roman" w:hint="default"/>
        </w:rPr>
        <w:t>[2007]YZ386</w:t>
      </w:r>
      <w:r>
        <w:rPr/>
        <w:t>号验资报告验证。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p>
    <w:p>
      <w:pPr>
        <w:spacing w:after="0" w:line="331" w:lineRule="auto"/>
        <w:jc w:val="left"/>
        <w:sectPr>
          <w:headerReference w:type="default" r:id="rId23"/>
          <w:footerReference w:type="default" r:id="rId24"/>
          <w:pgSz w:w="11910" w:h="16840"/>
          <w:pgMar w:header="877" w:footer="982" w:top="1100" w:bottom="1180" w:left="980" w:right="920"/>
          <w:pgNumType w:start="81"/>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完成工商变更。</w:t>
      </w:r>
    </w:p>
    <w:p>
      <w:pPr>
        <w:pStyle w:val="BodyText"/>
        <w:spacing w:line="331" w:lineRule="auto" w:before="125"/>
        <w:ind w:left="153" w:right="208" w:firstLine="411"/>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日，根据股东会决议，同意深圳市博益投资发展有限公司货币出资</w:t>
      </w:r>
      <w:r>
        <w:rPr>
          <w:rFonts w:ascii="Times New Roman" w:hAnsi="Times New Roman" w:cs="Times New Roman" w:eastAsia="Times New Roman" w:hint="default"/>
        </w:rPr>
        <w:t>772.8572</w:t>
      </w:r>
      <w:r>
        <w:rPr/>
        <w:t>万元，天海威 </w:t>
      </w:r>
      <w:r>
        <w:rPr>
          <w:spacing w:val="-2"/>
        </w:rPr>
        <w:t>公司注册资本增至</w:t>
      </w:r>
      <w:r>
        <w:rPr>
          <w:rFonts w:ascii="Times New Roman" w:hAnsi="Times New Roman" w:cs="Times New Roman" w:eastAsia="Times New Roman" w:hint="default"/>
          <w:spacing w:val="-2"/>
        </w:rPr>
        <w:t>6,182.8572</w:t>
      </w:r>
      <w:r>
        <w:rPr>
          <w:spacing w:val="-2"/>
        </w:rPr>
        <w:t>万元，增资后柯宗庆、柯宗贵出资额均为</w:t>
      </w:r>
      <w:r>
        <w:rPr>
          <w:rFonts w:ascii="Times New Roman" w:hAnsi="Times New Roman" w:cs="Times New Roman" w:eastAsia="Times New Roman" w:hint="default"/>
          <w:spacing w:val="-2"/>
        </w:rPr>
        <w:t>2,311.30</w:t>
      </w:r>
      <w:r>
        <w:rPr>
          <w:spacing w:val="-2"/>
        </w:rPr>
        <w:t>万元，分别持股</w:t>
      </w:r>
      <w:r>
        <w:rPr>
          <w:rFonts w:ascii="Times New Roman" w:hAnsi="Times New Roman" w:cs="Times New Roman" w:eastAsia="Times New Roman" w:hint="default"/>
          <w:spacing w:val="-2"/>
        </w:rPr>
        <w:t>37.38%</w:t>
      </w:r>
      <w:r>
        <w:rPr>
          <w:spacing w:val="-2"/>
        </w:rPr>
        <w:t>；李</w:t>
      </w:r>
      <w:r>
        <w:rPr>
          <w:spacing w:val="-48"/>
        </w:rPr>
        <w:t> </w:t>
      </w:r>
      <w:r>
        <w:rPr/>
        <w:t>根森出资</w:t>
      </w:r>
      <w:r>
        <w:rPr>
          <w:rFonts w:ascii="Times New Roman" w:hAnsi="Times New Roman" w:cs="Times New Roman" w:eastAsia="Times New Roman" w:hint="default"/>
        </w:rPr>
        <w:t>10</w:t>
      </w:r>
      <w:r>
        <w:rPr/>
        <w:t>万元，持股</w:t>
      </w:r>
      <w:r>
        <w:rPr>
          <w:rFonts w:ascii="Times New Roman" w:hAnsi="Times New Roman" w:cs="Times New Roman" w:eastAsia="Times New Roman" w:hint="default"/>
        </w:rPr>
        <w:t>0.16%</w:t>
      </w:r>
      <w:r>
        <w:rPr/>
        <w:t>；黄泽华出资</w:t>
      </w:r>
      <w:r>
        <w:rPr>
          <w:rFonts w:ascii="Times New Roman" w:hAnsi="Times New Roman" w:cs="Times New Roman" w:eastAsia="Times New Roman" w:hint="default"/>
        </w:rPr>
        <w:t>10</w:t>
      </w:r>
      <w:r>
        <w:rPr/>
        <w:t>万元，持股</w:t>
      </w:r>
      <w:r>
        <w:rPr>
          <w:rFonts w:ascii="Times New Roman" w:hAnsi="Times New Roman" w:cs="Times New Roman" w:eastAsia="Times New Roman" w:hint="default"/>
        </w:rPr>
        <w:t>0.16%</w:t>
      </w:r>
      <w:r>
        <w:rPr/>
        <w:t>；柯瑞强出资</w:t>
      </w:r>
      <w:r>
        <w:rPr>
          <w:rFonts w:ascii="Times New Roman" w:hAnsi="Times New Roman" w:cs="Times New Roman" w:eastAsia="Times New Roman" w:hint="default"/>
        </w:rPr>
        <w:t>10</w:t>
      </w:r>
      <w:r>
        <w:rPr/>
        <w:t>万元，持股</w:t>
      </w:r>
      <w:r>
        <w:rPr>
          <w:rFonts w:ascii="Times New Roman" w:hAnsi="Times New Roman" w:cs="Times New Roman" w:eastAsia="Times New Roman" w:hint="default"/>
        </w:rPr>
        <w:t>0.16%</w:t>
      </w:r>
      <w:r>
        <w:rPr/>
        <w:t>；张征出</w:t>
      </w:r>
      <w:r>
        <w:rPr>
          <w:spacing w:val="-88"/>
        </w:rPr>
        <w:t> </w:t>
      </w:r>
      <w:r>
        <w:rPr/>
        <w:t>资</w:t>
      </w:r>
      <w:r>
        <w:rPr>
          <w:rFonts w:ascii="Times New Roman" w:hAnsi="Times New Roman" w:cs="Times New Roman" w:eastAsia="Times New Roman" w:hint="default"/>
        </w:rPr>
        <w:t>757.40</w:t>
      </w:r>
      <w:r>
        <w:rPr/>
        <w:t>万元，持股</w:t>
      </w:r>
      <w:r>
        <w:rPr>
          <w:rFonts w:ascii="Times New Roman" w:hAnsi="Times New Roman" w:cs="Times New Roman" w:eastAsia="Times New Roman" w:hint="default"/>
        </w:rPr>
        <w:t>12.26%</w:t>
      </w:r>
      <w:r>
        <w:rPr/>
        <w:t>；深圳市博益投资发展有限公司出资</w:t>
      </w:r>
      <w:r>
        <w:rPr>
          <w:rFonts w:ascii="Times New Roman" w:hAnsi="Times New Roman" w:cs="Times New Roman" w:eastAsia="Times New Roman" w:hint="default"/>
        </w:rPr>
        <w:t>772.8572</w:t>
      </w:r>
      <w:r>
        <w:rPr/>
        <w:t>万元，持股</w:t>
      </w:r>
      <w:r>
        <w:rPr>
          <w:rFonts w:ascii="Times New Roman" w:hAnsi="Times New Roman" w:cs="Times New Roman" w:eastAsia="Times New Roman" w:hint="default"/>
        </w:rPr>
        <w:t>12.50%</w:t>
      </w:r>
      <w:r>
        <w:rPr/>
        <w:t>。该次增资人</w:t>
      </w:r>
      <w:r>
        <w:rPr>
          <w:spacing w:val="-76"/>
        </w:rPr>
        <w:t> </w:t>
      </w:r>
      <w:r>
        <w:rPr>
          <w:spacing w:val="-76"/>
        </w:rPr>
      </w:r>
      <w:r>
        <w:rPr/>
        <w:t>民币</w:t>
      </w:r>
      <w:r>
        <w:rPr>
          <w:rFonts w:ascii="Times New Roman" w:hAnsi="Times New Roman" w:cs="Times New Roman" w:eastAsia="Times New Roman" w:hint="default"/>
        </w:rPr>
        <w:t>772.8572</w:t>
      </w:r>
      <w:r>
        <w:rPr/>
        <w:t>万元业经广州志信会计师事务所出具的穗志验字</w:t>
      </w:r>
      <w:r>
        <w:rPr>
          <w:rFonts w:ascii="Times New Roman" w:hAnsi="Times New Roman" w:cs="Times New Roman" w:eastAsia="Times New Roman" w:hint="default"/>
        </w:rPr>
        <w:t>[2008]1084</w:t>
      </w:r>
      <w:r>
        <w:rPr/>
        <w:t>号验资报告验证。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20"/>
        </w:rPr>
        <w:t> </w:t>
      </w:r>
      <w:r>
        <w:rPr/>
        <w:t>日完成工商变更。</w:t>
      </w:r>
    </w:p>
    <w:p>
      <w:pPr>
        <w:pStyle w:val="BodyText"/>
        <w:spacing w:line="240" w:lineRule="auto" w:before="45"/>
        <w:ind w:left="565" w:right="102"/>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日，根据股权转让协议，柯宗庆、柯宗贵各将其出资额</w:t>
      </w:r>
      <w:r>
        <w:rPr>
          <w:rFonts w:ascii="Times New Roman" w:hAnsi="Times New Roman" w:cs="Times New Roman" w:eastAsia="Times New Roman" w:hint="default"/>
          <w:spacing w:val="2"/>
        </w:rPr>
        <w:t>197.9751</w:t>
      </w:r>
      <w:r>
        <w:rPr>
          <w:spacing w:val="2"/>
        </w:rPr>
        <w:t>万元、黄泽华将其出资</w:t>
      </w:r>
    </w:p>
    <w:p>
      <w:pPr>
        <w:pStyle w:val="BodyText"/>
        <w:spacing w:line="331" w:lineRule="auto" w:before="110"/>
        <w:ind w:left="153" w:right="152" w:hanging="1"/>
        <w:jc w:val="both"/>
      </w:pPr>
      <w:r>
        <w:rPr>
          <w:rFonts w:ascii="Times New Roman" w:hAnsi="Times New Roman" w:cs="Times New Roman" w:eastAsia="Times New Roman" w:hint="default"/>
        </w:rPr>
        <w:t>0.7419</w:t>
      </w:r>
      <w:r>
        <w:rPr/>
        <w:t>万元、柯瑞强将其出资额</w:t>
      </w:r>
      <w:r>
        <w:rPr>
          <w:rFonts w:ascii="Times New Roman" w:hAnsi="Times New Roman" w:cs="Times New Roman" w:eastAsia="Times New Roman" w:hint="default"/>
        </w:rPr>
        <w:t>0.7419</w:t>
      </w:r>
      <w:r>
        <w:rPr/>
        <w:t>万元、李根森将其出资额</w:t>
      </w:r>
      <w:r>
        <w:rPr>
          <w:rFonts w:ascii="Times New Roman" w:hAnsi="Times New Roman" w:cs="Times New Roman" w:eastAsia="Times New Roman" w:hint="default"/>
        </w:rPr>
        <w:t>0.7419</w:t>
      </w:r>
      <w:r>
        <w:rPr/>
        <w:t>万元、张征将其出资额</w:t>
      </w:r>
      <w:r>
        <w:rPr>
          <w:rFonts w:ascii="Times New Roman" w:hAnsi="Times New Roman" w:cs="Times New Roman" w:eastAsia="Times New Roman" w:hint="default"/>
        </w:rPr>
        <w:t>65.5383</w:t>
      </w:r>
      <w:r>
        <w:rPr/>
        <w:t>万元</w:t>
      </w:r>
      <w:r>
        <w:rPr>
          <w:spacing w:val="-43"/>
        </w:rPr>
        <w:t> </w:t>
      </w:r>
      <w:r>
        <w:rPr/>
        <w:t>分别转让给深圳市博益投资发展有限公司，变更后股权比例为：柯宗庆持股</w:t>
      </w:r>
      <w:r>
        <w:rPr>
          <w:rFonts w:ascii="Times New Roman" w:hAnsi="Times New Roman" w:cs="Times New Roman" w:eastAsia="Times New Roman" w:hint="default"/>
        </w:rPr>
        <w:t>34.18%</w:t>
      </w:r>
      <w:r>
        <w:rPr/>
        <w:t>；柯宗贵持股</w:t>
      </w:r>
      <w:r>
        <w:rPr>
          <w:rFonts w:ascii="Times New Roman" w:hAnsi="Times New Roman" w:cs="Times New Roman" w:eastAsia="Times New Roman" w:hint="default"/>
        </w:rPr>
        <w:t>34.18%</w:t>
      </w:r>
      <w:r>
        <w:rPr/>
        <w:t>； 黄泽华持股</w:t>
      </w:r>
      <w:r>
        <w:rPr>
          <w:rFonts w:ascii="Times New Roman" w:hAnsi="Times New Roman" w:cs="Times New Roman" w:eastAsia="Times New Roman" w:hint="default"/>
        </w:rPr>
        <w:t>0.15%</w:t>
      </w:r>
      <w:r>
        <w:rPr/>
        <w:t>；柯瑞强持股</w:t>
      </w:r>
      <w:r>
        <w:rPr>
          <w:rFonts w:ascii="Times New Roman" w:hAnsi="Times New Roman" w:cs="Times New Roman" w:eastAsia="Times New Roman" w:hint="default"/>
        </w:rPr>
        <w:t>0.15%</w:t>
      </w:r>
      <w:r>
        <w:rPr/>
        <w:t>；李根森持股</w:t>
      </w:r>
      <w:r>
        <w:rPr>
          <w:rFonts w:ascii="Times New Roman" w:hAnsi="Times New Roman" w:cs="Times New Roman" w:eastAsia="Times New Roman" w:hint="default"/>
        </w:rPr>
        <w:t>0.15%</w:t>
      </w:r>
      <w:r>
        <w:rPr/>
        <w:t>；张征持股</w:t>
      </w:r>
      <w:r>
        <w:rPr>
          <w:rFonts w:ascii="Times New Roman" w:hAnsi="Times New Roman" w:cs="Times New Roman" w:eastAsia="Times New Roman" w:hint="default"/>
        </w:rPr>
        <w:t>11.19%</w:t>
      </w:r>
      <w:r>
        <w:rPr/>
        <w:t>；深圳市博益投资发展有限公 司持股</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日完成工商变更。</w:t>
      </w:r>
    </w:p>
    <w:p>
      <w:pPr>
        <w:pStyle w:val="BodyText"/>
        <w:spacing w:line="331" w:lineRule="auto" w:before="20"/>
        <w:ind w:left="153" w:right="201" w:firstLine="411"/>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t>根据股东会决议，天海威公司增加注册资本</w:t>
      </w:r>
      <w:r>
        <w:rPr>
          <w:rFonts w:ascii="Times New Roman" w:hAnsi="Times New Roman" w:cs="Times New Roman" w:eastAsia="Times New Roman" w:hint="default"/>
        </w:rPr>
        <w:t>317.1428</w:t>
      </w:r>
      <w:r>
        <w:rPr/>
        <w:t>万元，全体股东按照原有的出资 比例以货币出资方式增资</w:t>
      </w:r>
      <w:r>
        <w:rPr>
          <w:rFonts w:ascii="Times New Roman" w:hAnsi="Times New Roman" w:cs="Times New Roman" w:eastAsia="Times New Roman" w:hint="default"/>
        </w:rPr>
        <w:t>,</w:t>
      </w:r>
      <w:r>
        <w:rPr/>
        <w:t>变更后的注册资本为</w:t>
      </w:r>
      <w:r>
        <w:rPr>
          <w:rFonts w:ascii="Times New Roman" w:hAnsi="Times New Roman" w:cs="Times New Roman" w:eastAsia="Times New Roman" w:hint="default"/>
        </w:rPr>
        <w:t>6,500</w:t>
      </w:r>
      <w:r>
        <w:rPr/>
        <w:t>万元。变更后各股东出资额具体如下：柯宗庆、柯宗</w:t>
      </w:r>
      <w:r>
        <w:rPr>
          <w:spacing w:val="-35"/>
        </w:rPr>
        <w:t> </w:t>
      </w:r>
      <w:r>
        <w:rPr>
          <w:spacing w:val="-35"/>
        </w:rPr>
      </w:r>
      <w:r>
        <w:rPr>
          <w:spacing w:val="-2"/>
        </w:rPr>
        <w:t>贵分别出资</w:t>
      </w:r>
      <w:r>
        <w:rPr>
          <w:rFonts w:ascii="Times New Roman" w:hAnsi="Times New Roman" w:cs="Times New Roman" w:eastAsia="Times New Roman" w:hint="default"/>
          <w:spacing w:val="-2"/>
        </w:rPr>
        <w:t>2,221.57</w:t>
      </w:r>
      <w:r>
        <w:rPr>
          <w:spacing w:val="-2"/>
        </w:rPr>
        <w:t>万元；黄泽华出资</w:t>
      </w:r>
      <w:r>
        <w:rPr>
          <w:rFonts w:ascii="Times New Roman" w:hAnsi="Times New Roman" w:cs="Times New Roman" w:eastAsia="Times New Roman" w:hint="default"/>
          <w:spacing w:val="-2"/>
        </w:rPr>
        <w:t>9.62</w:t>
      </w:r>
      <w:r>
        <w:rPr>
          <w:spacing w:val="-2"/>
        </w:rPr>
        <w:t>万元；柯瑞强出资</w:t>
      </w:r>
      <w:r>
        <w:rPr>
          <w:rFonts w:ascii="Times New Roman" w:hAnsi="Times New Roman" w:cs="Times New Roman" w:eastAsia="Times New Roman" w:hint="default"/>
          <w:spacing w:val="-2"/>
        </w:rPr>
        <w:t>9.62</w:t>
      </w:r>
      <w:r>
        <w:rPr>
          <w:spacing w:val="-2"/>
        </w:rPr>
        <w:t>万元；李根森出资</w:t>
      </w:r>
      <w:r>
        <w:rPr>
          <w:rFonts w:ascii="Times New Roman" w:hAnsi="Times New Roman" w:cs="Times New Roman" w:eastAsia="Times New Roman" w:hint="default"/>
          <w:spacing w:val="-2"/>
        </w:rPr>
        <w:t>9.62</w:t>
      </w:r>
      <w:r>
        <w:rPr>
          <w:spacing w:val="-2"/>
        </w:rPr>
        <w:t>万元；张征出资</w:t>
      </w:r>
      <w:r>
        <w:rPr>
          <w:rFonts w:ascii="Times New Roman" w:hAnsi="Times New Roman" w:cs="Times New Roman" w:eastAsia="Times New Roman" w:hint="default"/>
          <w:spacing w:val="-2"/>
        </w:rPr>
        <w:t>728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6"/>
        </w:rPr>
        <w:t>万元；深圳市博益投资发展有限公司出资额为</w:t>
      </w:r>
      <w:r>
        <w:rPr>
          <w:rFonts w:ascii="Times New Roman" w:hAnsi="Times New Roman" w:cs="Times New Roman" w:eastAsia="Times New Roman" w:hint="default"/>
          <w:spacing w:val="6"/>
        </w:rPr>
        <w:t>1300</w:t>
      </w:r>
      <w:r>
        <w:rPr>
          <w:spacing w:val="6"/>
        </w:rPr>
        <w:t>万元。全体股东缴纳的投资款合计</w:t>
      </w:r>
      <w:r>
        <w:rPr>
          <w:rFonts w:ascii="Times New Roman" w:hAnsi="Times New Roman" w:cs="Times New Roman" w:eastAsia="Times New Roman" w:hint="default"/>
          <w:spacing w:val="6"/>
        </w:rPr>
        <w:t>3,500</w:t>
      </w:r>
      <w:r>
        <w:rPr>
          <w:spacing w:val="6"/>
        </w:rPr>
        <w:t>万元，其中</w:t>
      </w:r>
      <w:r>
        <w:rPr>
          <w:spacing w:val="-67"/>
        </w:rPr>
        <w:t> </w:t>
      </w:r>
      <w:r>
        <w:rPr>
          <w:spacing w:val="-67"/>
        </w:rPr>
      </w:r>
      <w:r>
        <w:rPr>
          <w:rFonts w:ascii="Times New Roman" w:hAnsi="Times New Roman" w:cs="Times New Roman" w:eastAsia="Times New Roman" w:hint="default"/>
          <w:spacing w:val="-1"/>
        </w:rPr>
        <w:t>317.1428</w:t>
      </w:r>
      <w:r>
        <w:rPr>
          <w:spacing w:val="-1"/>
        </w:rPr>
        <w:t>万元为新增注册资本，其余</w:t>
      </w:r>
      <w:r>
        <w:rPr>
          <w:rFonts w:ascii="Times New Roman" w:hAnsi="Times New Roman" w:cs="Times New Roman" w:eastAsia="Times New Roman" w:hint="default"/>
          <w:spacing w:val="-1"/>
        </w:rPr>
        <w:t>3,182.8572</w:t>
      </w:r>
      <w:r>
        <w:rPr>
          <w:spacing w:val="-1"/>
        </w:rPr>
        <w:t>万元转作资本公积。该次增资人民币</w:t>
      </w:r>
      <w:r>
        <w:rPr>
          <w:rFonts w:ascii="Times New Roman" w:hAnsi="Times New Roman" w:cs="Times New Roman" w:eastAsia="Times New Roman" w:hint="default"/>
          <w:spacing w:val="-1"/>
        </w:rPr>
        <w:t>317.1428</w:t>
      </w:r>
      <w:r>
        <w:rPr>
          <w:spacing w:val="-1"/>
        </w:rPr>
        <w:t>万元业经广东</w:t>
      </w:r>
      <w:r>
        <w:rPr>
          <w:spacing w:val="-83"/>
        </w:rPr>
        <w:t> </w:t>
      </w:r>
      <w:r>
        <w:rPr>
          <w:spacing w:val="-83"/>
        </w:rPr>
      </w:r>
      <w:r>
        <w:rPr/>
        <w:t>正中珠江会计师事务所有限公司出具的广会所验字</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rFonts w:ascii="Times New Roman" w:hAnsi="Times New Roman" w:cs="Times New Roman" w:eastAsia="Times New Roman" w:hint="default"/>
        </w:rPr>
        <w:t>09001820021</w:t>
      </w:r>
      <w:r>
        <w:rPr/>
        <w:t>号验资报告验证。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日完 成工商变更。</w:t>
      </w:r>
    </w:p>
    <w:p>
      <w:pPr>
        <w:pStyle w:val="BodyText"/>
        <w:spacing w:line="331" w:lineRule="auto" w:before="45"/>
        <w:ind w:left="153" w:right="207" w:firstLine="411"/>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日，根据股权转让协议，柯宗庆、柯宗贵分别将其出资额</w:t>
      </w:r>
      <w:r>
        <w:rPr>
          <w:rFonts w:ascii="Times New Roman" w:hAnsi="Times New Roman" w:cs="Times New Roman" w:eastAsia="Times New Roman" w:hint="default"/>
          <w:spacing w:val="-2"/>
        </w:rPr>
        <w:t>97.5</w:t>
      </w:r>
      <w:r>
        <w:rPr>
          <w:spacing w:val="-2"/>
        </w:rPr>
        <w:t>万元转让给广州欣晟投资咨</w:t>
      </w:r>
      <w:r>
        <w:rPr/>
        <w:t> </w:t>
      </w:r>
      <w:r>
        <w:rPr>
          <w:spacing w:val="-3"/>
        </w:rPr>
        <w:t>询有限公司、将其出资额</w:t>
      </w:r>
      <w:r>
        <w:rPr>
          <w:rFonts w:ascii="Times New Roman" w:hAnsi="Times New Roman" w:cs="Times New Roman" w:eastAsia="Times New Roman" w:hint="default"/>
          <w:spacing w:val="-3"/>
        </w:rPr>
        <w:t>32.5</w:t>
      </w:r>
      <w:r>
        <w:rPr>
          <w:spacing w:val="-3"/>
        </w:rPr>
        <w:t>万元出资额罗伟广、将其出资额</w:t>
      </w:r>
      <w:r>
        <w:rPr>
          <w:rFonts w:ascii="Times New Roman" w:hAnsi="Times New Roman" w:cs="Times New Roman" w:eastAsia="Times New Roman" w:hint="default"/>
          <w:spacing w:val="-3"/>
        </w:rPr>
        <w:t>65</w:t>
      </w:r>
      <w:r>
        <w:rPr>
          <w:spacing w:val="-3"/>
        </w:rPr>
        <w:t>万元出资额转让给谭云亮、将其出资额</w:t>
      </w:r>
      <w:r>
        <w:rPr>
          <w:rFonts w:ascii="Times New Roman" w:hAnsi="Times New Roman" w:cs="Times New Roman" w:eastAsia="Times New Roman" w:hint="default"/>
          <w:spacing w:val="-3"/>
        </w:rPr>
        <w:t>97.5</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7"/>
        </w:rPr>
        <w:t>万元转让给马美容、将其出资额</w:t>
      </w:r>
      <w:r>
        <w:rPr>
          <w:rFonts w:ascii="Times New Roman" w:hAnsi="Times New Roman" w:cs="Times New Roman" w:eastAsia="Times New Roman" w:hint="default"/>
          <w:spacing w:val="-7"/>
        </w:rPr>
        <w:t>60</w:t>
      </w:r>
      <w:r>
        <w:rPr>
          <w:spacing w:val="-7"/>
        </w:rPr>
        <w:t>万元转让给王廉君，变更后股权结构为：柯宗庆、柯宗贵分别出资</w:t>
      </w:r>
      <w:r>
        <w:rPr>
          <w:rFonts w:ascii="Times New Roman" w:hAnsi="Times New Roman" w:cs="Times New Roman" w:eastAsia="Times New Roman" w:hint="default"/>
          <w:spacing w:val="-7"/>
        </w:rPr>
        <w:t>1,869.07</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2"/>
        </w:rPr>
        <w:t>万元，持股</w:t>
      </w:r>
      <w:r>
        <w:rPr>
          <w:rFonts w:ascii="Times New Roman" w:hAnsi="Times New Roman" w:cs="Times New Roman" w:eastAsia="Times New Roman" w:hint="default"/>
          <w:spacing w:val="-2"/>
        </w:rPr>
        <w:t>28.755%</w:t>
      </w:r>
      <w:r>
        <w:rPr>
          <w:spacing w:val="-2"/>
        </w:rPr>
        <w:t>；李根森出资</w:t>
      </w:r>
      <w:r>
        <w:rPr>
          <w:rFonts w:ascii="Times New Roman" w:hAnsi="Times New Roman" w:cs="Times New Roman" w:eastAsia="Times New Roman" w:hint="default"/>
          <w:spacing w:val="-2"/>
        </w:rPr>
        <w:t>9.62</w:t>
      </w:r>
      <w:r>
        <w:rPr>
          <w:spacing w:val="-2"/>
        </w:rPr>
        <w:t>万元，持股</w:t>
      </w:r>
      <w:r>
        <w:rPr>
          <w:rFonts w:ascii="Times New Roman" w:hAnsi="Times New Roman" w:cs="Times New Roman" w:eastAsia="Times New Roman" w:hint="default"/>
          <w:spacing w:val="-2"/>
        </w:rPr>
        <w:t>0.148%</w:t>
      </w:r>
      <w:r>
        <w:rPr>
          <w:spacing w:val="-2"/>
        </w:rPr>
        <w:t>；柯瑞强出资</w:t>
      </w:r>
      <w:r>
        <w:rPr>
          <w:rFonts w:ascii="Times New Roman" w:hAnsi="Times New Roman" w:cs="Times New Roman" w:eastAsia="Times New Roman" w:hint="default"/>
          <w:spacing w:val="-2"/>
        </w:rPr>
        <w:t>9.62</w:t>
      </w:r>
      <w:r>
        <w:rPr>
          <w:spacing w:val="-2"/>
        </w:rPr>
        <w:t>万元，持股</w:t>
      </w:r>
      <w:r>
        <w:rPr>
          <w:rFonts w:ascii="Times New Roman" w:hAnsi="Times New Roman" w:cs="Times New Roman" w:eastAsia="Times New Roman" w:hint="default"/>
          <w:spacing w:val="-2"/>
        </w:rPr>
        <w:t>0.148%</w:t>
      </w:r>
      <w:r>
        <w:rPr>
          <w:spacing w:val="-2"/>
        </w:rPr>
        <w:t>；黄泽华出资</w:t>
      </w:r>
      <w:r>
        <w:rPr>
          <w:spacing w:val="-78"/>
        </w:rPr>
        <w:t> </w:t>
      </w:r>
      <w:r>
        <w:rPr>
          <w:spacing w:val="-78"/>
        </w:rPr>
      </w:r>
      <w:r>
        <w:rPr>
          <w:rFonts w:ascii="Times New Roman" w:hAnsi="Times New Roman" w:cs="Times New Roman" w:eastAsia="Times New Roman" w:hint="default"/>
        </w:rPr>
        <w:t>9.62</w:t>
      </w:r>
      <w:r>
        <w:rPr/>
        <w:t>万元，持股</w:t>
      </w:r>
      <w:r>
        <w:rPr>
          <w:rFonts w:ascii="Times New Roman" w:hAnsi="Times New Roman" w:cs="Times New Roman" w:eastAsia="Times New Roman" w:hint="default"/>
        </w:rPr>
        <w:t>0.148%</w:t>
      </w:r>
      <w:r>
        <w:rPr/>
        <w:t>；张征出资</w:t>
      </w:r>
      <w:r>
        <w:rPr>
          <w:rFonts w:ascii="Times New Roman" w:hAnsi="Times New Roman" w:cs="Times New Roman" w:eastAsia="Times New Roman" w:hint="default"/>
        </w:rPr>
        <w:t>728</w:t>
      </w:r>
      <w:r>
        <w:rPr/>
        <w:t>万元，持股</w:t>
      </w:r>
      <w:r>
        <w:rPr>
          <w:rFonts w:ascii="Times New Roman" w:hAnsi="Times New Roman" w:cs="Times New Roman" w:eastAsia="Times New Roman" w:hint="default"/>
        </w:rPr>
        <w:t>11.20%</w:t>
      </w:r>
      <w:r>
        <w:rPr/>
        <w:t>；王廉君出资 </w:t>
      </w:r>
      <w:r>
        <w:rPr>
          <w:rFonts w:ascii="Times New Roman" w:hAnsi="Times New Roman" w:cs="Times New Roman" w:eastAsia="Times New Roman" w:hint="default"/>
        </w:rPr>
        <w:t>120</w:t>
      </w:r>
      <w:r>
        <w:rPr/>
        <w:t>万元，持股</w:t>
      </w:r>
      <w:r>
        <w:rPr>
          <w:rFonts w:ascii="Times New Roman" w:hAnsi="Times New Roman" w:cs="Times New Roman" w:eastAsia="Times New Roman" w:hint="default"/>
        </w:rPr>
        <w:t>1.846%</w:t>
      </w:r>
      <w:r>
        <w:rPr/>
        <w:t>；罗伟广出</w:t>
      </w:r>
      <w:r>
        <w:rPr>
          <w:spacing w:val="-49"/>
        </w:rPr>
        <w:t> </w:t>
      </w:r>
      <w:r>
        <w:rPr>
          <w:spacing w:val="-49"/>
        </w:rPr>
      </w:r>
      <w:r>
        <w:rPr/>
        <w:t>资 </w:t>
      </w:r>
      <w:r>
        <w:rPr>
          <w:rFonts w:ascii="Times New Roman" w:hAnsi="Times New Roman" w:cs="Times New Roman" w:eastAsia="Times New Roman" w:hint="default"/>
        </w:rPr>
        <w:t>65</w:t>
      </w:r>
      <w:r>
        <w:rPr/>
        <w:t>万元，持股</w:t>
      </w:r>
      <w:r>
        <w:rPr>
          <w:rFonts w:ascii="Times New Roman" w:hAnsi="Times New Roman" w:cs="Times New Roman" w:eastAsia="Times New Roman" w:hint="default"/>
        </w:rPr>
        <w:t>1%</w:t>
      </w:r>
      <w:r>
        <w:rPr/>
        <w:t>；谭云亮出资</w:t>
      </w:r>
      <w:r>
        <w:rPr>
          <w:rFonts w:ascii="Times New Roman" w:hAnsi="Times New Roman" w:cs="Times New Roman" w:eastAsia="Times New Roman" w:hint="default"/>
        </w:rPr>
        <w:t>130</w:t>
      </w:r>
      <w:r>
        <w:rPr/>
        <w:t>万元，持股</w:t>
      </w:r>
      <w:r>
        <w:rPr>
          <w:rFonts w:ascii="Times New Roman" w:hAnsi="Times New Roman" w:cs="Times New Roman" w:eastAsia="Times New Roman" w:hint="default"/>
        </w:rPr>
        <w:t>2%</w:t>
      </w:r>
      <w:r>
        <w:rPr/>
        <w:t>；马美容出资</w:t>
      </w:r>
      <w:r>
        <w:rPr>
          <w:rFonts w:ascii="Times New Roman" w:hAnsi="Times New Roman" w:cs="Times New Roman" w:eastAsia="Times New Roman" w:hint="default"/>
        </w:rPr>
        <w:t>195</w:t>
      </w:r>
      <w:r>
        <w:rPr/>
        <w:t>万元，持股</w:t>
      </w:r>
      <w:r>
        <w:rPr>
          <w:rFonts w:ascii="Times New Roman" w:hAnsi="Times New Roman" w:cs="Times New Roman" w:eastAsia="Times New Roman" w:hint="default"/>
        </w:rPr>
        <w:t>3%</w:t>
      </w:r>
      <w:r>
        <w:rPr/>
        <w:t>；深圳市博益投资发</w:t>
      </w:r>
      <w:r>
        <w:rPr>
          <w:spacing w:val="-42"/>
        </w:rPr>
        <w:t> </w:t>
      </w:r>
      <w:r>
        <w:rPr>
          <w:spacing w:val="-42"/>
        </w:rPr>
      </w:r>
      <w:r>
        <w:rPr/>
        <w:t>展有限公司出资</w:t>
      </w:r>
      <w:r>
        <w:rPr>
          <w:rFonts w:ascii="Times New Roman" w:hAnsi="Times New Roman" w:cs="Times New Roman" w:eastAsia="Times New Roman" w:hint="default"/>
        </w:rPr>
        <w:t>1,300</w:t>
      </w:r>
      <w:r>
        <w:rPr/>
        <w:t>万元，持股</w:t>
      </w:r>
      <w:r>
        <w:rPr>
          <w:rFonts w:ascii="Times New Roman" w:hAnsi="Times New Roman" w:cs="Times New Roman" w:eastAsia="Times New Roman" w:hint="default"/>
        </w:rPr>
        <w:t>20%</w:t>
      </w:r>
      <w:r>
        <w:rPr/>
        <w:t>；广州欣晟投资咨询有限公司出资</w:t>
      </w:r>
      <w:r>
        <w:rPr>
          <w:rFonts w:ascii="Times New Roman" w:hAnsi="Times New Roman" w:cs="Times New Roman" w:eastAsia="Times New Roman" w:hint="default"/>
        </w:rPr>
        <w:t>195</w:t>
      </w:r>
      <w:r>
        <w:rPr/>
        <w:t>万元，持股</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t>日完成工商变更。</w:t>
      </w:r>
    </w:p>
    <w:p>
      <w:pPr>
        <w:pStyle w:val="Heading3"/>
        <w:spacing w:line="240" w:lineRule="auto" w:before="45"/>
        <w:ind w:left="566" w:right="102"/>
        <w:jc w:val="left"/>
        <w:rPr>
          <w:b w:val="0"/>
          <w:bCs w:val="0"/>
        </w:rPr>
      </w:pPr>
      <w:r>
        <w:rPr>
          <w:rFonts w:ascii="Times New Roman" w:hAnsi="Times New Roman" w:cs="Times New Roman" w:eastAsia="Times New Roman" w:hint="default"/>
        </w:rPr>
        <w:t>2</w:t>
      </w:r>
      <w:r>
        <w:rPr/>
        <w:t>、整体改制情况</w:t>
      </w:r>
      <w:r>
        <w:rPr>
          <w:b w:val="0"/>
          <w:bCs w:val="0"/>
        </w:rPr>
      </w:r>
    </w:p>
    <w:p>
      <w:pPr>
        <w:pStyle w:val="BodyText"/>
        <w:spacing w:line="336" w:lineRule="auto" w:before="109"/>
        <w:ind w:right="209" w:firstLine="411"/>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日，天海威股东会做出决议，以公司全体股东作为发起人，以截止</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日经审计</w:t>
      </w:r>
      <w:r>
        <w:rPr/>
        <w:t> </w:t>
      </w:r>
      <w:r>
        <w:rPr>
          <w:spacing w:val="-1"/>
        </w:rPr>
        <w:t>净资产作为折股依据，将天海威公司整体变更为股份有限公司。该次股份制改制业经广东正中珠江会计师</w:t>
      </w:r>
      <w:r>
        <w:rPr>
          <w:spacing w:val="-81"/>
        </w:rPr>
        <w:t> </w:t>
      </w:r>
      <w:r>
        <w:rPr>
          <w:spacing w:val="-81"/>
        </w:rPr>
      </w:r>
      <w:r>
        <w:rPr>
          <w:spacing w:val="-2"/>
        </w:rPr>
        <w:t>事务所有限公司出具的广会所验字</w:t>
      </w:r>
      <w:r>
        <w:rPr>
          <w:rFonts w:ascii="Times New Roman" w:hAnsi="Times New Roman" w:cs="Times New Roman" w:eastAsia="Times New Roman" w:hint="default"/>
          <w:spacing w:val="-2"/>
        </w:rPr>
        <w:t>[2009]</w:t>
      </w:r>
      <w:r>
        <w:rPr>
          <w:spacing w:val="-2"/>
        </w:rPr>
        <w:t>第</w:t>
      </w:r>
      <w:r>
        <w:rPr>
          <w:rFonts w:ascii="Times New Roman" w:hAnsi="Times New Roman" w:cs="Times New Roman" w:eastAsia="Times New Roman" w:hint="default"/>
          <w:spacing w:val="-2"/>
        </w:rPr>
        <w:t>09001820055</w:t>
      </w:r>
      <w:r>
        <w:rPr>
          <w:spacing w:val="-2"/>
        </w:rPr>
        <w:t>号验资报告验证。该次股份制改制后公司股本为人</w:t>
      </w:r>
      <w:r>
        <w:rPr>
          <w:spacing w:val="-62"/>
        </w:rPr>
        <w:t> </w:t>
      </w:r>
      <w:r>
        <w:rPr>
          <w:spacing w:val="-62"/>
        </w:rPr>
      </w:r>
      <w:r>
        <w:rPr/>
        <w:t>民币</w:t>
      </w:r>
      <w:r>
        <w:rPr>
          <w:rFonts w:ascii="Times New Roman" w:hAnsi="Times New Roman" w:cs="Times New Roman" w:eastAsia="Times New Roman" w:hint="default"/>
        </w:rPr>
        <w:t>6,500</w:t>
      </w:r>
      <w:r>
        <w:rPr/>
        <w:t>万元。</w:t>
      </w:r>
    </w:p>
    <w:p>
      <w:pPr>
        <w:pStyle w:val="BodyText"/>
        <w:spacing w:line="240" w:lineRule="auto" w:before="17"/>
        <w:ind w:left="565" w:right="102"/>
        <w:jc w:val="left"/>
      </w:pPr>
      <w:r>
        <w:rPr/>
        <w:t>股份公司设立至今的股本变动情况：</w:t>
      </w:r>
    </w:p>
    <w:p>
      <w:pPr>
        <w:pStyle w:val="BodyText"/>
        <w:spacing w:line="240" w:lineRule="auto" w:before="125"/>
        <w:ind w:left="56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2"/>
        </w:rPr>
        <w:t>年</w:t>
      </w:r>
      <w:r>
        <w:rPr>
          <w:rFonts w:ascii="Times New Roman" w:hAnsi="Times New Roman" w:cs="Times New Roman" w:eastAsia="Times New Roman" w:hint="default"/>
        </w:rPr>
        <w:t>12</w:t>
      </w:r>
      <w:r>
        <w:rPr>
          <w:spacing w:val="-2"/>
        </w:rPr>
        <w:t>月</w:t>
      </w:r>
      <w:r>
        <w:rPr>
          <w:rFonts w:ascii="Times New Roman" w:hAnsi="Times New Roman" w:cs="Times New Roman" w:eastAsia="Times New Roman" w:hint="default"/>
          <w:spacing w:val="-1"/>
        </w:rPr>
        <w:t>2</w:t>
      </w:r>
      <w:r>
        <w:rPr/>
        <w:t>日</w:t>
      </w:r>
      <w:r>
        <w:rPr>
          <w:spacing w:val="-86"/>
        </w:rPr>
        <w:t>，</w:t>
      </w:r>
      <w:r>
        <w:rPr/>
        <w:t>根据股东大会决议和修改后章程的规定</w:t>
      </w:r>
      <w:r>
        <w:rPr>
          <w:rFonts w:ascii="Times New Roman" w:hAnsi="Times New Roman" w:cs="Times New Roman" w:eastAsia="Times New Roman" w:hint="default"/>
        </w:rPr>
        <w:t>,</w:t>
      </w:r>
      <w:r>
        <w:rPr/>
        <w:t>公司向新增股东增资扩股</w:t>
      </w:r>
      <w:r>
        <w:rPr>
          <w:rFonts w:ascii="Times New Roman" w:hAnsi="Times New Roman" w:cs="Times New Roman" w:eastAsia="Times New Roman" w:hint="default"/>
        </w:rPr>
        <w:t>8</w:t>
      </w:r>
      <w:r>
        <w:rPr>
          <w:rFonts w:ascii="Times New Roman" w:hAnsi="Times New Roman" w:cs="Times New Roman" w:eastAsia="Times New Roman" w:hint="default"/>
          <w:spacing w:val="-1"/>
        </w:rPr>
        <w:t>50</w:t>
      </w:r>
      <w:r>
        <w:rPr/>
        <w:t>万元</w:t>
      </w:r>
      <w:r>
        <w:rPr>
          <w:spacing w:val="-86"/>
        </w:rPr>
        <w:t>。</w:t>
      </w:r>
      <w:r>
        <w:rPr/>
        <w:t>具体如下：</w:t>
      </w:r>
    </w:p>
    <w:p>
      <w:pPr>
        <w:spacing w:after="0" w:line="240" w:lineRule="auto"/>
        <w:jc w:val="left"/>
        <w:sectPr>
          <w:pgSz w:w="11910" w:h="16840"/>
          <w:pgMar w:header="877" w:footer="982" w:top="1100" w:bottom="1180" w:left="980" w:right="920"/>
        </w:sectPr>
      </w:pPr>
    </w:p>
    <w:p>
      <w:pPr>
        <w:spacing w:line="240" w:lineRule="auto" w:before="7"/>
        <w:rPr>
          <w:rFonts w:ascii="宋体" w:hAnsi="宋体" w:cs="宋体" w:eastAsia="宋体" w:hint="default"/>
          <w:sz w:val="27"/>
          <w:szCs w:val="27"/>
        </w:rPr>
      </w:pPr>
    </w:p>
    <w:p>
      <w:pPr>
        <w:pStyle w:val="BodyText"/>
        <w:spacing w:line="331" w:lineRule="auto" w:before="35"/>
        <w:ind w:left="153" w:right="102"/>
        <w:jc w:val="left"/>
      </w:pPr>
      <w:r>
        <w:rPr>
          <w:spacing w:val="-4"/>
        </w:rPr>
        <w:t>深圳市宝德投资控股有限公司投入现金</w:t>
      </w:r>
      <w:r>
        <w:rPr>
          <w:rFonts w:ascii="Times New Roman" w:hAnsi="Times New Roman" w:cs="Times New Roman" w:eastAsia="Times New Roman" w:hint="default"/>
          <w:spacing w:val="-4"/>
        </w:rPr>
        <w:t>1,225</w:t>
      </w:r>
      <w:r>
        <w:rPr>
          <w:spacing w:val="-4"/>
        </w:rPr>
        <w:t>万元，其中</w:t>
      </w:r>
      <w:r>
        <w:rPr>
          <w:rFonts w:ascii="Times New Roman" w:hAnsi="Times New Roman" w:cs="Times New Roman" w:eastAsia="Times New Roman" w:hint="default"/>
          <w:spacing w:val="-4"/>
        </w:rPr>
        <w:t>350</w:t>
      </w:r>
      <w:r>
        <w:rPr>
          <w:spacing w:val="-4"/>
        </w:rPr>
        <w:t>万元作为新增股本，其余</w:t>
      </w:r>
      <w:r>
        <w:rPr>
          <w:rFonts w:ascii="Times New Roman" w:hAnsi="Times New Roman" w:cs="Times New Roman" w:eastAsia="Times New Roman" w:hint="default"/>
          <w:spacing w:val="-4"/>
        </w:rPr>
        <w:t>875</w:t>
      </w:r>
      <w:r>
        <w:rPr>
          <w:spacing w:val="-4"/>
        </w:rPr>
        <w:t>万元计入资本公积；</w:t>
      </w:r>
      <w:r>
        <w:rPr>
          <w:spacing w:val="-80"/>
        </w:rPr>
        <w:t> </w:t>
      </w:r>
      <w:r>
        <w:rPr>
          <w:spacing w:val="-80"/>
        </w:rPr>
      </w:r>
      <w:r>
        <w:rPr/>
        <w:t>华软创业投资无锡合伙企业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投入现金</w:t>
      </w:r>
      <w:r>
        <w:rPr>
          <w:rFonts w:ascii="Times New Roman" w:hAnsi="Times New Roman" w:cs="Times New Roman" w:eastAsia="Times New Roman" w:hint="default"/>
        </w:rPr>
        <w:t>1,050</w:t>
      </w:r>
      <w:r>
        <w:rPr/>
        <w:t>万元，其中</w:t>
      </w:r>
      <w:r>
        <w:rPr>
          <w:rFonts w:ascii="Times New Roman" w:hAnsi="Times New Roman" w:cs="Times New Roman" w:eastAsia="Times New Roman" w:hint="default"/>
        </w:rPr>
        <w:t>300</w:t>
      </w:r>
      <w:r>
        <w:rPr/>
        <w:t>万元作为新增股本，其余</w:t>
      </w:r>
      <w:r>
        <w:rPr>
          <w:rFonts w:ascii="Times New Roman" w:hAnsi="Times New Roman" w:cs="Times New Roman" w:eastAsia="Times New Roman" w:hint="default"/>
        </w:rPr>
        <w:t>750</w:t>
      </w:r>
      <w:r>
        <w:rPr/>
        <w:t>万元计入 资本公积；深圳瑞华信投资有限公司投入现金</w:t>
      </w:r>
      <w:r>
        <w:rPr>
          <w:rFonts w:ascii="Times New Roman" w:hAnsi="Times New Roman" w:cs="Times New Roman" w:eastAsia="Times New Roman" w:hint="default"/>
        </w:rPr>
        <w:t>700</w:t>
      </w:r>
      <w:r>
        <w:rPr/>
        <w:t>万元，其中</w:t>
      </w:r>
      <w:r>
        <w:rPr>
          <w:rFonts w:ascii="Times New Roman" w:hAnsi="Times New Roman" w:cs="Times New Roman" w:eastAsia="Times New Roman" w:hint="default"/>
        </w:rPr>
        <w:t>200</w:t>
      </w:r>
      <w:r>
        <w:rPr/>
        <w:t>万元作为新增股本，其余</w:t>
      </w:r>
      <w:r>
        <w:rPr>
          <w:rFonts w:ascii="Times New Roman" w:hAnsi="Times New Roman" w:cs="Times New Roman" w:eastAsia="Times New Roman" w:hint="default"/>
        </w:rPr>
        <w:t>500</w:t>
      </w:r>
      <w:r>
        <w:rPr/>
        <w:t>万元计入资</w:t>
      </w:r>
      <w:r>
        <w:rPr>
          <w:spacing w:val="-41"/>
        </w:rPr>
        <w:t> </w:t>
      </w:r>
      <w:r>
        <w:rPr>
          <w:spacing w:val="-41"/>
        </w:rPr>
      </w:r>
      <w:r>
        <w:rPr>
          <w:spacing w:val="22"/>
        </w:rPr>
        <w:t>本公积。该</w:t>
      </w:r>
      <w:r>
        <w:rPr>
          <w:spacing w:val="-75"/>
        </w:rPr>
        <w:t> </w:t>
      </w:r>
      <w:r>
        <w:rPr>
          <w:spacing w:val="22"/>
        </w:rPr>
        <w:t>次增资人民</w:t>
      </w:r>
      <w:r>
        <w:rPr>
          <w:spacing w:val="-75"/>
        </w:rPr>
        <w:t> </w:t>
      </w:r>
      <w:r>
        <w:rPr/>
        <w:t>币</w:t>
      </w:r>
      <w:r>
        <w:rPr>
          <w:spacing w:val="-77"/>
        </w:rPr>
        <w:t> </w:t>
      </w:r>
      <w:r>
        <w:rPr>
          <w:rFonts w:ascii="Times New Roman" w:hAnsi="Times New Roman" w:cs="Times New Roman" w:eastAsia="Times New Roman" w:hint="default"/>
        </w:rPr>
        <w:t>850</w:t>
      </w:r>
      <w:r>
        <w:rPr>
          <w:rFonts w:ascii="Times New Roman" w:hAnsi="Times New Roman" w:cs="Times New Roman" w:eastAsia="Times New Roman" w:hint="default"/>
          <w:spacing w:val="-24"/>
        </w:rPr>
        <w:t> </w:t>
      </w:r>
      <w:r>
        <w:rPr>
          <w:spacing w:val="14"/>
        </w:rPr>
        <w:t>万元</w:t>
      </w:r>
      <w:r>
        <w:rPr>
          <w:spacing w:val="-78"/>
        </w:rPr>
        <w:t> </w:t>
      </w:r>
      <w:r>
        <w:rPr>
          <w:spacing w:val="22"/>
        </w:rPr>
        <w:t>业经广东正</w:t>
      </w:r>
      <w:r>
        <w:rPr>
          <w:spacing w:val="-75"/>
        </w:rPr>
        <w:t> </w:t>
      </w:r>
      <w:r>
        <w:rPr>
          <w:spacing w:val="22"/>
        </w:rPr>
        <w:t>中珠江会计</w:t>
      </w:r>
      <w:r>
        <w:rPr>
          <w:spacing w:val="-75"/>
        </w:rPr>
        <w:t> </w:t>
      </w:r>
      <w:r>
        <w:rPr>
          <w:spacing w:val="22"/>
        </w:rPr>
        <w:t>师事务所有</w:t>
      </w:r>
      <w:r>
        <w:rPr>
          <w:spacing w:val="-75"/>
        </w:rPr>
        <w:t> </w:t>
      </w:r>
      <w:r>
        <w:rPr>
          <w:spacing w:val="22"/>
        </w:rPr>
        <w:t>限公司出具</w:t>
      </w:r>
      <w:r>
        <w:rPr>
          <w:spacing w:val="-75"/>
        </w:rPr>
        <w:t> </w:t>
      </w:r>
      <w:r>
        <w:rPr>
          <w:spacing w:val="22"/>
        </w:rPr>
        <w:t>的广会所验</w:t>
      </w:r>
      <w:r>
        <w:rPr>
          <w:spacing w:val="-75"/>
        </w:rPr>
        <w:t> </w:t>
      </w:r>
      <w:r>
        <w:rPr/>
        <w:t>字</w:t>
      </w:r>
      <w:r>
        <w:rPr>
          <w:spacing w:val="-101"/>
        </w:rPr>
        <w:t> </w:t>
      </w:r>
      <w:r>
        <w:rPr>
          <w:spacing w:val="-101"/>
        </w:rPr>
      </w:r>
      <w:r>
        <w:rPr>
          <w:rFonts w:ascii="Times New Roman" w:hAnsi="Times New Roman" w:cs="Times New Roman" w:eastAsia="Times New Roman" w:hint="default"/>
          <w:spacing w:val="-1"/>
        </w:rPr>
        <w:t>[2009]09005940018</w:t>
      </w:r>
      <w:r>
        <w:rPr>
          <w:spacing w:val="-1"/>
        </w:rPr>
        <w:t>号验资报告验证。</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17</w:t>
      </w:r>
      <w:r>
        <w:rPr>
          <w:spacing w:val="-1"/>
        </w:rPr>
        <w:t>日完成工商变更。该次增资后股本变更为</w:t>
      </w:r>
      <w:r>
        <w:rPr>
          <w:rFonts w:ascii="Times New Roman" w:hAnsi="Times New Roman" w:cs="Times New Roman" w:eastAsia="Times New Roman" w:hint="default"/>
          <w:spacing w:val="-1"/>
        </w:rPr>
        <w:t>7,350</w:t>
      </w:r>
      <w:r>
        <w:rPr>
          <w:spacing w:val="-1"/>
        </w:rPr>
        <w:t>万元整。</w:t>
      </w:r>
    </w:p>
    <w:p>
      <w:pPr>
        <w:pStyle w:val="BodyText"/>
        <w:spacing w:line="331" w:lineRule="auto" w:before="21"/>
        <w:ind w:right="102" w:firstLine="411"/>
        <w:jc w:val="left"/>
      </w:pPr>
      <w:r>
        <w:rPr/>
        <w:t>中国证券监督管理委员会证监许可</w:t>
      </w:r>
      <w:r>
        <w:rPr>
          <w:rFonts w:ascii="Times New Roman" w:hAnsi="Times New Roman" w:cs="Times New Roman" w:eastAsia="Times New Roman" w:hint="default"/>
        </w:rPr>
        <w:t>[2012]41</w:t>
      </w:r>
      <w:r>
        <w:rPr/>
        <w:t>号文《关于核准蓝盾信息安全技术股份有限公司首次公开</w:t>
      </w:r>
      <w:r>
        <w:rPr>
          <w:spacing w:val="1"/>
        </w:rPr>
        <w:t> </w:t>
      </w:r>
      <w:r>
        <w:rPr/>
        <w:t>发行股票并在创业板上市的批复》，核准本公司公开发行人民币普通股股票</w:t>
      </w:r>
      <w:r>
        <w:rPr>
          <w:rFonts w:ascii="Times New Roman" w:hAnsi="Times New Roman" w:cs="Times New Roman" w:eastAsia="Times New Roman" w:hint="default"/>
        </w:rPr>
        <w:t>2,450</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34"/>
        </w:rPr>
        <w:t> </w:t>
      </w:r>
      <w:r>
        <w:rPr>
          <w:spacing w:val="-2"/>
        </w:rPr>
        <w:t>日在深圳证券交易所上市（股票简称</w:t>
      </w:r>
      <w:r>
        <w:rPr>
          <w:rFonts w:ascii="Times New Roman" w:hAnsi="Times New Roman" w:cs="Times New Roman" w:eastAsia="Times New Roman" w:hint="default"/>
          <w:spacing w:val="-2"/>
        </w:rPr>
        <w:t>“</w:t>
      </w:r>
      <w:r>
        <w:rPr>
          <w:spacing w:val="-2"/>
        </w:rPr>
        <w:t>蓝盾股份</w:t>
      </w:r>
      <w:r>
        <w:rPr>
          <w:rFonts w:ascii="Times New Roman" w:hAnsi="Times New Roman" w:cs="Times New Roman" w:eastAsia="Times New Roman" w:hint="default"/>
          <w:spacing w:val="-2"/>
        </w:rPr>
        <w:t>”</w:t>
      </w:r>
      <w:r>
        <w:rPr>
          <w:spacing w:val="-2"/>
        </w:rPr>
        <w:t>，股票代码</w:t>
      </w:r>
      <w:r>
        <w:rPr>
          <w:rFonts w:ascii="Times New Roman" w:hAnsi="Times New Roman" w:cs="Times New Roman" w:eastAsia="Times New Roman" w:hint="default"/>
          <w:spacing w:val="-2"/>
        </w:rPr>
        <w:t>“300297”</w:t>
      </w:r>
      <w:r>
        <w:rPr>
          <w:spacing w:val="-2"/>
        </w:rPr>
        <w:t>）。公司首次公开发行股票并上市后，</w:t>
      </w:r>
      <w:r>
        <w:rPr>
          <w:spacing w:val="-89"/>
        </w:rPr>
        <w:t> </w:t>
      </w:r>
      <w:r>
        <w:rPr>
          <w:spacing w:val="-89"/>
        </w:rPr>
      </w:r>
      <w:r>
        <w:rPr/>
        <w:t>公司总股份由</w:t>
      </w:r>
      <w:r>
        <w:rPr>
          <w:rFonts w:ascii="Times New Roman" w:hAnsi="Times New Roman" w:cs="Times New Roman" w:eastAsia="Times New Roman" w:hint="default"/>
        </w:rPr>
        <w:t>7,350.00</w:t>
      </w:r>
      <w:r>
        <w:rPr/>
        <w:t>万股增加到</w:t>
      </w:r>
      <w:r>
        <w:rPr>
          <w:rFonts w:ascii="Times New Roman" w:hAnsi="Times New Roman" w:cs="Times New Roman" w:eastAsia="Times New Roman" w:hint="default"/>
        </w:rPr>
        <w:t>9,800.00</w:t>
      </w:r>
      <w:r>
        <w:rPr/>
        <w:t>万股。</w:t>
      </w:r>
    </w:p>
    <w:p>
      <w:pPr>
        <w:spacing w:line="340" w:lineRule="auto" w:before="20"/>
        <w:ind w:left="574" w:right="74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、公司所属行业性质</w:t>
      </w:r>
      <w:r>
        <w:rPr>
          <w:rFonts w:ascii="宋体" w:hAnsi="宋体" w:cs="宋体" w:eastAsia="宋体" w:hint="default"/>
          <w:b/>
          <w:bCs/>
          <w:spacing w:val="1"/>
          <w:w w:val="99"/>
          <w:sz w:val="21"/>
          <w:szCs w:val="21"/>
        </w:rPr>
        <w:t> </w:t>
      </w:r>
      <w:r>
        <w:rPr>
          <w:rFonts w:ascii="宋体" w:hAnsi="宋体" w:cs="宋体" w:eastAsia="宋体" w:hint="default"/>
          <w:sz w:val="21"/>
          <w:szCs w:val="21"/>
        </w:rPr>
        <w:t>信息技术业。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、公司经营范围</w:t>
      </w:r>
      <w:r>
        <w:rPr>
          <w:rFonts w:ascii="宋体" w:hAnsi="宋体" w:cs="宋体" w:eastAsia="宋体" w:hint="default"/>
          <w:sz w:val="21"/>
          <w:szCs w:val="21"/>
        </w:rPr>
      </w:r>
    </w:p>
    <w:p>
      <w:pPr>
        <w:pStyle w:val="BodyText"/>
        <w:spacing w:line="350" w:lineRule="auto" w:before="11"/>
        <w:ind w:right="209" w:firstLine="420"/>
        <w:jc w:val="both"/>
      </w:pPr>
      <w:r>
        <w:rPr>
          <w:spacing w:val="-1"/>
        </w:rPr>
        <w:t>公司经营范围为：计算机软、硬件开发、计算机信息系统集成、布线，承接网络工程建设项目，信息</w:t>
      </w:r>
      <w:r>
        <w:rPr/>
        <w:t> </w:t>
      </w:r>
      <w:r>
        <w:rPr>
          <w:spacing w:val="-1"/>
        </w:rPr>
        <w:t>技术、数码技术开发、服务，计算机网络技术服务，网络安全信息咨询；销售计算机及其配套设备，文化</w:t>
      </w:r>
      <w:r>
        <w:rPr>
          <w:spacing w:val="-83"/>
        </w:rPr>
        <w:t> </w:t>
      </w:r>
      <w:r>
        <w:rPr>
          <w:spacing w:val="-83"/>
        </w:rPr>
      </w:r>
      <w:r>
        <w:rPr/>
        <w:t>用品，电子产品、广播电视设备（不含卫星电视广播地面接收设备、发射设施）。</w:t>
      </w:r>
    </w:p>
    <w:p>
      <w:pPr>
        <w:spacing w:line="328" w:lineRule="auto" w:before="28"/>
        <w:ind w:left="574" w:right="521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、主要产品或提供的劳务</w:t>
      </w:r>
      <w:r>
        <w:rPr>
          <w:rFonts w:ascii="宋体" w:hAnsi="宋体" w:cs="宋体" w:eastAsia="宋体" w:hint="default"/>
          <w:b/>
          <w:bCs/>
          <w:w w:val="99"/>
          <w:sz w:val="21"/>
          <w:szCs w:val="21"/>
        </w:rPr>
        <w:t> </w:t>
      </w:r>
      <w:r>
        <w:rPr>
          <w:rFonts w:ascii="宋体" w:hAnsi="宋体" w:cs="宋体" w:eastAsia="宋体" w:hint="default"/>
          <w:sz w:val="21"/>
          <w:szCs w:val="21"/>
        </w:rPr>
        <w:t>公司业务主要涉及信息安全领域，主要包括：</w:t>
      </w:r>
    </w:p>
    <w:p>
      <w:pPr>
        <w:pStyle w:val="BodyText"/>
        <w:spacing w:line="338" w:lineRule="auto" w:before="48"/>
        <w:ind w:right="207" w:firstLine="420"/>
        <w:jc w:val="both"/>
      </w:pPr>
      <w:r>
        <w:rPr/>
        <w:t>（</w:t>
      </w:r>
      <w:r>
        <w:rPr>
          <w:rFonts w:ascii="Times New Roman" w:hAnsi="Times New Roman" w:cs="Times New Roman" w:eastAsia="Times New Roman" w:hint="default"/>
        </w:rPr>
        <w:t>1</w:t>
      </w:r>
      <w:r>
        <w:rPr/>
        <w:t>）安全产品：应用于计算机网络环境中，能够针对网络和系统提供保护和控制，保证网络和系统</w:t>
      </w:r>
      <w:r>
        <w:rPr>
          <w:spacing w:val="2"/>
        </w:rPr>
        <w:t> </w:t>
      </w:r>
      <w:r>
        <w:rPr>
          <w:spacing w:val="-1"/>
        </w:rPr>
        <w:t>的完整性、可用性的产品。包括防火墙、入侵检测系统、安全扫描系统、安全审计等自行研发的信息安全</w:t>
      </w:r>
      <w:r>
        <w:rPr>
          <w:spacing w:val="-83"/>
        </w:rPr>
        <w:t> </w:t>
      </w:r>
      <w:r>
        <w:rPr>
          <w:spacing w:val="-83"/>
        </w:rPr>
      </w:r>
      <w:r>
        <w:rPr/>
        <w:t>产品。</w:t>
      </w:r>
    </w:p>
    <w:p>
      <w:pPr>
        <w:pStyle w:val="BodyText"/>
        <w:spacing w:line="328" w:lineRule="auto" w:before="40"/>
        <w:ind w:right="207" w:firstLine="420"/>
        <w:jc w:val="both"/>
      </w:pPr>
      <w:r>
        <w:rPr/>
        <w:t>（</w:t>
      </w:r>
      <w:r>
        <w:rPr>
          <w:rFonts w:ascii="Times New Roman" w:hAnsi="Times New Roman" w:cs="Times New Roman" w:eastAsia="Times New Roman" w:hint="default"/>
        </w:rPr>
        <w:t>2</w:t>
      </w:r>
      <w:r>
        <w:rPr/>
        <w:t>）安全集成：基于客户个性化需求，设置或组建信息安全系统。安全集成所需的安全产品及其配</w:t>
      </w:r>
      <w:r>
        <w:rPr>
          <w:spacing w:val="2"/>
        </w:rPr>
        <w:t> </w:t>
      </w:r>
      <w:r>
        <w:rPr/>
        <w:t>套组件或产品可由公司提供或向第三方采购，安全集成需要较长的安装与测试过程。</w:t>
      </w:r>
    </w:p>
    <w:p>
      <w:pPr>
        <w:pStyle w:val="BodyText"/>
        <w:spacing w:line="331" w:lineRule="auto" w:before="47"/>
        <w:ind w:right="207" w:firstLine="420"/>
        <w:jc w:val="both"/>
      </w:pPr>
      <w:r>
        <w:rPr/>
        <w:t>（</w:t>
      </w:r>
      <w:r>
        <w:rPr>
          <w:rFonts w:ascii="Times New Roman" w:hAnsi="Times New Roman" w:cs="Times New Roman" w:eastAsia="Times New Roman" w:hint="default"/>
        </w:rPr>
        <w:t>3</w:t>
      </w:r>
      <w:r>
        <w:rPr/>
        <w:t>）安全服务：根据客户需求提供与信息安全相关的安全测评、技术支持、安全管理咨询、系统维</w:t>
      </w:r>
      <w:r>
        <w:rPr>
          <w:spacing w:val="2"/>
        </w:rPr>
        <w:t> </w:t>
      </w:r>
      <w:r>
        <w:rPr/>
        <w:t>护、运营管理、安全培训、安全托管等内容。</w:t>
      </w:r>
    </w:p>
    <w:p>
      <w:pPr>
        <w:spacing w:line="328" w:lineRule="auto" w:before="45"/>
        <w:ind w:left="574"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、公司的基本组织架构</w:t>
      </w:r>
      <w:r>
        <w:rPr>
          <w:rFonts w:ascii="宋体" w:hAnsi="宋体" w:cs="宋体" w:eastAsia="宋体" w:hint="default"/>
          <w:b/>
          <w:bCs/>
          <w:w w:val="99"/>
          <w:sz w:val="21"/>
          <w:szCs w:val="21"/>
        </w:rPr>
        <w:t> </w:t>
      </w:r>
      <w:r>
        <w:rPr>
          <w:rFonts w:ascii="宋体" w:hAnsi="宋体" w:cs="宋体" w:eastAsia="宋体" w:hint="default"/>
          <w:spacing w:val="-1"/>
          <w:sz w:val="21"/>
          <w:szCs w:val="21"/>
        </w:rPr>
        <w:t>公司已根据《公司法》和《章程》的规定，设置了股东大会、董事会、监事会等组织机构，股东大会</w:t>
      </w:r>
    </w:p>
    <w:p>
      <w:pPr>
        <w:spacing w:line="355" w:lineRule="auto" w:before="48"/>
        <w:ind w:left="573" w:right="5749" w:hanging="420"/>
        <w:jc w:val="left"/>
        <w:rPr>
          <w:rFonts w:ascii="宋体" w:hAnsi="宋体" w:cs="宋体" w:eastAsia="宋体" w:hint="default"/>
          <w:sz w:val="21"/>
          <w:szCs w:val="21"/>
        </w:rPr>
      </w:pPr>
      <w:r>
        <w:rPr>
          <w:rFonts w:ascii="宋体" w:hAnsi="宋体" w:cs="宋体" w:eastAsia="宋体" w:hint="default"/>
          <w:sz w:val="21"/>
          <w:szCs w:val="21"/>
        </w:rPr>
        <w:t>是公司的最高权力机构。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、公司的法定地址</w:t>
      </w:r>
      <w:r>
        <w:rPr>
          <w:rFonts w:ascii="宋体" w:hAnsi="宋体" w:cs="宋体" w:eastAsia="宋体" w:hint="default"/>
          <w:b/>
          <w:bCs/>
          <w:spacing w:val="1"/>
          <w:w w:val="99"/>
          <w:sz w:val="21"/>
          <w:szCs w:val="21"/>
        </w:rPr>
        <w:t> </w:t>
      </w:r>
      <w:r>
        <w:rPr>
          <w:rFonts w:ascii="宋体" w:hAnsi="宋体" w:cs="宋体" w:eastAsia="宋体" w:hint="default"/>
          <w:sz w:val="21"/>
          <w:szCs w:val="21"/>
        </w:rPr>
        <w:t>广州市天河区科韵路</w:t>
      </w:r>
      <w:r>
        <w:rPr>
          <w:rFonts w:ascii="Times New Roman" w:hAnsi="Times New Roman" w:cs="Times New Roman" w:eastAsia="Times New Roman" w:hint="default"/>
          <w:sz w:val="21"/>
          <w:szCs w:val="21"/>
        </w:rPr>
        <w:t>16</w:t>
      </w:r>
      <w:r>
        <w:rPr>
          <w:rFonts w:ascii="宋体" w:hAnsi="宋体" w:cs="宋体" w:eastAsia="宋体" w:hint="default"/>
          <w:sz w:val="21"/>
          <w:szCs w:val="21"/>
        </w:rPr>
        <w:t>号自编</w:t>
      </w:r>
      <w:r>
        <w:rPr>
          <w:rFonts w:ascii="Times New Roman" w:hAnsi="Times New Roman" w:cs="Times New Roman" w:eastAsia="Times New Roman" w:hint="default"/>
          <w:sz w:val="21"/>
          <w:szCs w:val="21"/>
        </w:rPr>
        <w:t>1</w:t>
      </w:r>
      <w:r>
        <w:rPr>
          <w:rFonts w:ascii="宋体" w:hAnsi="宋体" w:cs="宋体" w:eastAsia="宋体" w:hint="default"/>
          <w:sz w:val="21"/>
          <w:szCs w:val="21"/>
        </w:rPr>
        <w:t>栋</w:t>
      </w:r>
      <w:r>
        <w:rPr>
          <w:rFonts w:ascii="Times New Roman" w:hAnsi="Times New Roman" w:cs="Times New Roman" w:eastAsia="Times New Roman" w:hint="default"/>
          <w:sz w:val="21"/>
          <w:szCs w:val="21"/>
        </w:rPr>
        <w:t>2101</w:t>
      </w:r>
      <w:r>
        <w:rPr>
          <w:rFonts w:ascii="宋体" w:hAnsi="宋体" w:cs="宋体" w:eastAsia="宋体" w:hint="default"/>
          <w:sz w:val="21"/>
          <w:szCs w:val="21"/>
        </w:rPr>
        <w:t>。</w:t>
      </w:r>
    </w:p>
    <w:p>
      <w:pPr>
        <w:pStyle w:val="Heading2"/>
        <w:spacing w:line="240" w:lineRule="auto" w:before="184"/>
        <w:ind w:right="102"/>
        <w:jc w:val="left"/>
        <w:rPr>
          <w:b w:val="0"/>
          <w:bCs w:val="0"/>
        </w:rPr>
      </w:pPr>
      <w:r>
        <w:rPr/>
        <w:t>四、公司主要会计政策、会计估计和前期差错</w:t>
      </w:r>
      <w:r>
        <w:rPr>
          <w:b w:val="0"/>
          <w:bCs w:val="0"/>
        </w:rPr>
      </w:r>
    </w:p>
    <w:p>
      <w:pPr>
        <w:spacing w:line="430" w:lineRule="atLeast" w:before="183"/>
        <w:ind w:left="574" w:right="2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公司以持续经营为基础，根据实际发生的交易和事项，按照财政部于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日颁布的《企业会</w:t>
      </w:r>
    </w:p>
    <w:p>
      <w:pPr>
        <w:pStyle w:val="BodyText"/>
        <w:spacing w:line="256" w:lineRule="auto" w:before="21"/>
        <w:ind w:right="102"/>
        <w:jc w:val="left"/>
      </w:pPr>
      <w:r>
        <w:rPr>
          <w:spacing w:val="-1"/>
        </w:rPr>
        <w:t>计准则</w:t>
      </w:r>
      <w:r>
        <w:rPr>
          <w:rFonts w:ascii="Times New Roman" w:hAnsi="Times New Roman" w:cs="Times New Roman" w:eastAsia="Times New Roman" w:hint="default"/>
          <w:spacing w:val="-1"/>
        </w:rPr>
        <w:t>——</w:t>
      </w:r>
      <w:r>
        <w:rPr>
          <w:spacing w:val="-1"/>
        </w:rPr>
        <w:t>基本准则》和</w:t>
      </w:r>
      <w:r>
        <w:rPr>
          <w:rFonts w:ascii="Times New Roman" w:hAnsi="Times New Roman" w:cs="Times New Roman" w:eastAsia="Times New Roman" w:hint="default"/>
          <w:spacing w:val="-1"/>
        </w:rPr>
        <w:t>38</w:t>
      </w:r>
      <w:r>
        <w:rPr>
          <w:spacing w:val="-1"/>
        </w:rPr>
        <w:t>项具体会计准则、其后颁布的企业会计准则应用指南、企业会计准则解释及其</w:t>
      </w:r>
      <w:r>
        <w:rPr>
          <w:spacing w:val="-84"/>
        </w:rPr>
        <w:t> </w:t>
      </w:r>
      <w:r>
        <w:rPr>
          <w:spacing w:val="-84"/>
        </w:rPr>
      </w:r>
      <w:r>
        <w:rPr>
          <w:spacing w:val="-1"/>
        </w:rPr>
        <w:t>他相关规定(以下合称“企业会计准则”)、中国证券监督管理委员会《公开发行证券的公司信息披露编报</w:t>
      </w:r>
    </w:p>
    <w:p>
      <w:pPr>
        <w:spacing w:after="0" w:line="256"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right="102"/>
        <w:jc w:val="left"/>
      </w:pPr>
      <w:r>
        <w:rPr/>
        <w:t>规则第</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进行确认和计量，在此基础上编制财务报表。</w:t>
      </w:r>
    </w:p>
    <w:p>
      <w:pPr>
        <w:spacing w:line="590" w:lineRule="atLeast" w:before="23"/>
        <w:ind w:left="573" w:right="10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BodyText"/>
        <w:spacing w:line="240" w:lineRule="auto" w:before="37"/>
        <w:ind w:left="153" w:right="102"/>
        <w:jc w:val="left"/>
      </w:pPr>
      <w:r>
        <w:rPr/>
        <w:t>成果、现金流量等有关信息。</w:t>
      </w:r>
    </w:p>
    <w:p>
      <w:pPr>
        <w:spacing w:line="240" w:lineRule="auto" w:before="11"/>
        <w:rPr>
          <w:rFonts w:ascii="宋体" w:hAnsi="宋体" w:cs="宋体" w:eastAsia="宋体" w:hint="default"/>
          <w:sz w:val="25"/>
          <w:szCs w:val="25"/>
        </w:rPr>
      </w:pPr>
    </w:p>
    <w:p>
      <w:pPr>
        <w:pStyle w:val="Heading3"/>
        <w:spacing w:line="240" w:lineRule="auto"/>
        <w:ind w:left="153" w:right="102"/>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0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3"/>
        <w:spacing w:line="240" w:lineRule="auto"/>
        <w:ind w:left="153" w:right="10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02"/>
        <w:jc w:val="left"/>
      </w:pPr>
      <w:r>
        <w:rPr/>
        <w:t>采用人民币为记账本位币。</w:t>
      </w:r>
    </w:p>
    <w:p>
      <w:pPr>
        <w:spacing w:line="240" w:lineRule="auto" w:before="11"/>
        <w:rPr>
          <w:rFonts w:ascii="宋体" w:hAnsi="宋体" w:cs="宋体" w:eastAsia="宋体" w:hint="default"/>
          <w:sz w:val="25"/>
          <w:szCs w:val="25"/>
        </w:rPr>
      </w:pPr>
    </w:p>
    <w:p>
      <w:pPr>
        <w:pStyle w:val="Heading3"/>
        <w:spacing w:line="240" w:lineRule="auto"/>
        <w:ind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3"/>
        <w:ind w:left="57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对于同一控制下的企业合并，合并方在企业合并中取得的资产和负债，按照合并日在被合并方的账面</w:t>
      </w:r>
    </w:p>
    <w:p>
      <w:pPr>
        <w:pStyle w:val="BodyText"/>
        <w:spacing w:line="273" w:lineRule="auto" w:before="37"/>
        <w:ind w:right="102"/>
        <w:jc w:val="left"/>
      </w:pPr>
      <w:r>
        <w:rPr>
          <w:spacing w:val="-1"/>
        </w:rPr>
        <w:t>价值计量。合并方取得的净资产账面价值与支付的合并对价账面价值（或发行股份面值总额）的差额，调</w:t>
      </w:r>
      <w:r>
        <w:rPr>
          <w:spacing w:val="-82"/>
        </w:rPr>
        <w:t> </w:t>
      </w:r>
      <w:r>
        <w:rPr>
          <w:spacing w:val="-82"/>
        </w:rPr>
      </w:r>
      <w:r>
        <w:rPr/>
        <w:t>整资本公积；资本公积不足冲减的，调整留存收益。</w:t>
      </w:r>
    </w:p>
    <w:p>
      <w:pPr>
        <w:pStyle w:val="BodyText"/>
        <w:spacing w:line="273" w:lineRule="auto" w:before="7"/>
        <w:ind w:right="210" w:firstLine="336"/>
        <w:jc w:val="both"/>
      </w:pPr>
      <w:r>
        <w:rPr/>
        <w:t>被合并各方采用的会计政策与本公司不一致的，本公司在合并日按照本公司会计政策进行调整，在此</w:t>
      </w:r>
      <w:r>
        <w:rPr>
          <w:spacing w:val="1"/>
        </w:rPr>
        <w:t> </w:t>
      </w:r>
      <w:r>
        <w:rPr/>
        <w:t>基础上按照企业会计准则规定确认。</w:t>
      </w:r>
    </w:p>
    <w:p>
      <w:pPr>
        <w:spacing w:line="590" w:lineRule="atLeast" w:before="9"/>
        <w:ind w:left="57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对于非同一控制下的企业合并，合并成本为购买方在购买日为取得对被购买方的控制权而付出的资</w:t>
      </w:r>
    </w:p>
    <w:p>
      <w:pPr>
        <w:pStyle w:val="BodyText"/>
        <w:spacing w:line="273" w:lineRule="auto" w:before="37"/>
        <w:ind w:left="574" w:right="102" w:hanging="420"/>
        <w:jc w:val="left"/>
      </w:pPr>
      <w:r>
        <w:rPr/>
        <w:t>产、发生或承担的负债以及发行的权益性证券的公允价值。 </w:t>
      </w:r>
      <w:r>
        <w:rPr>
          <w:spacing w:val="-1"/>
        </w:rPr>
        <w:t>通过多次交换交易分步实现的非同一控制下企业合并，区分个别财务报表和合并财务报表进行相关会</w:t>
      </w:r>
    </w:p>
    <w:p>
      <w:pPr>
        <w:pStyle w:val="BodyText"/>
        <w:spacing w:line="240" w:lineRule="auto" w:before="7"/>
        <w:ind w:right="102"/>
        <w:jc w:val="left"/>
      </w:pPr>
      <w:r>
        <w:rPr/>
        <w:t>计处理：</w:t>
      </w:r>
    </w:p>
    <w:p>
      <w:pPr>
        <w:pStyle w:val="BodyText"/>
        <w:spacing w:line="266" w:lineRule="auto" w:before="37"/>
        <w:ind w:right="101" w:firstLine="420"/>
        <w:jc w:val="left"/>
      </w:pPr>
      <w:r>
        <w:rPr/>
        <w:t>（</w:t>
      </w:r>
      <w:r>
        <w:rPr>
          <w:rFonts w:ascii="Times New Roman" w:hAnsi="Times New Roman" w:cs="Times New Roman" w:eastAsia="Times New Roman" w:hint="default"/>
        </w:rPr>
        <w:t>1</w:t>
      </w:r>
      <w:r>
        <w:rPr/>
        <w:t>）在个别财务报表中，以购买日之前所持被购买方的股权投资的账面价值与购买日新增投资成本</w:t>
      </w:r>
      <w:r>
        <w:rPr>
          <w:spacing w:val="2"/>
        </w:rPr>
        <w:t> </w:t>
      </w:r>
      <w:r>
        <w:rPr/>
        <w:t>之和，作为该项投资的初始投资成本；购买日之前持有的被购买方的股权涉及其他综合收益的，在处置该</w:t>
      </w:r>
      <w:r>
        <w:rPr/>
        <w:t> </w:t>
      </w:r>
      <w:r>
        <w:rPr>
          <w:spacing w:val="-3"/>
        </w:rPr>
        <w:t>项投资时将与其相关的其他综合收益（例如，可供出售金融资产公允价值变动计入资本公积的部分，下同）</w:t>
      </w:r>
      <w:r>
        <w:rPr>
          <w:spacing w:val="-92"/>
        </w:rPr>
        <w:t> </w:t>
      </w:r>
      <w:r>
        <w:rPr>
          <w:spacing w:val="-92"/>
        </w:rPr>
      </w:r>
      <w:r>
        <w:rPr/>
        <w:t>转入当期投资收益。</w:t>
      </w:r>
    </w:p>
    <w:p>
      <w:pPr>
        <w:pStyle w:val="BodyText"/>
        <w:spacing w:line="264" w:lineRule="auto" w:before="14"/>
        <w:ind w:right="207" w:firstLine="420"/>
        <w:jc w:val="both"/>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w:t>
      </w:r>
      <w:r>
        <w:rPr>
          <w:spacing w:val="2"/>
        </w:rPr>
        <w:t> </w:t>
      </w:r>
      <w:r>
        <w:rPr>
          <w:spacing w:val="-1"/>
        </w:rPr>
        <w:t>进行重新计量，公允价值与其账面价值的差额计入当期投资收益；购买日之前持有的被购买方的股权涉及</w:t>
      </w:r>
      <w:r>
        <w:rPr>
          <w:spacing w:val="-81"/>
        </w:rPr>
        <w:t> </w:t>
      </w:r>
      <w:r>
        <w:rPr>
          <w:spacing w:val="-81"/>
        </w:rPr>
      </w:r>
      <w:r>
        <w:rPr/>
        <w:t>其他综合收益的，与其相关的其他综合收益转为购买日所属当期投资收益。</w:t>
      </w:r>
    </w:p>
    <w:p>
      <w:pPr>
        <w:pStyle w:val="BodyText"/>
        <w:spacing w:line="273" w:lineRule="auto" w:before="16"/>
        <w:ind w:right="211" w:firstLine="420"/>
        <w:jc w:val="both"/>
      </w:pPr>
      <w:r>
        <w:rPr>
          <w:spacing w:val="-1"/>
        </w:rPr>
        <w:t>购买方为进行企业合并发生的审计、法律服务、评估咨询等中介费用以及其他相关管理费用，于发生</w:t>
      </w:r>
      <w:r>
        <w:rPr/>
        <w:t> </w:t>
      </w:r>
      <w:r>
        <w:rPr>
          <w:spacing w:val="-1"/>
        </w:rPr>
        <w:t>时计入当期损益；购买方作为合并对价发行的权益性证券或债务性证券的交易费用，计入权益性证券或债</w:t>
      </w:r>
      <w:r>
        <w:rPr>
          <w:spacing w:val="-81"/>
        </w:rPr>
        <w:t> </w:t>
      </w:r>
      <w:r>
        <w:rPr>
          <w:spacing w:val="-81"/>
        </w:rPr>
      </w:r>
      <w:r>
        <w:rPr/>
        <w:t>务性证券的初始确认金额。</w:t>
      </w:r>
    </w:p>
    <w:p>
      <w:pPr>
        <w:pStyle w:val="BodyText"/>
        <w:spacing w:line="273" w:lineRule="auto" w:before="7"/>
        <w:ind w:right="210" w:firstLine="336"/>
        <w:jc w:val="both"/>
      </w:pPr>
      <w:r>
        <w:rPr/>
        <w:t>购买方对合并成本大于合并中取得的被购买方可辨认净资产公允价值份额的差额，确认为商誉。购买</w:t>
      </w:r>
      <w:r>
        <w:rPr>
          <w:spacing w:val="1"/>
        </w:rPr>
        <w:t> </w:t>
      </w:r>
      <w:r>
        <w:rPr>
          <w:spacing w:val="-1"/>
        </w:rPr>
        <w:t>方对合并成本小于合并中取得的被购买方可辨认净资产公允价值份额的，经复核后合并成本仍小于合并中</w:t>
      </w:r>
      <w:r>
        <w:rPr>
          <w:spacing w:val="-81"/>
        </w:rPr>
        <w:t> </w:t>
      </w:r>
      <w:r>
        <w:rPr>
          <w:spacing w:val="-81"/>
        </w:rPr>
      </w:r>
      <w:r>
        <w:rPr/>
        <w:t>取得的被购买方可辨认净资产公允价值份额的差额，计入当期损益。</w:t>
      </w:r>
    </w:p>
    <w:p>
      <w:pPr>
        <w:spacing w:after="0" w:line="273" w:lineRule="auto"/>
        <w:jc w:val="both"/>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102"/>
        <w:jc w:val="left"/>
      </w:pPr>
      <w:r>
        <w:rPr/>
        <w:t>公司合并财务报表的合并范围以控制为基础确定，所有子公司均纳入合并财务报表。 </w:t>
      </w:r>
      <w:r>
        <w:rPr>
          <w:spacing w:val="-1"/>
        </w:rPr>
        <w:t>所有纳入合并财务报表合并范围的子公司所采用的会计政策、会计期间与本公司一致，如子公司采用</w:t>
      </w:r>
    </w:p>
    <w:p>
      <w:pPr>
        <w:pStyle w:val="BodyText"/>
        <w:spacing w:line="273" w:lineRule="auto" w:before="7"/>
        <w:ind w:left="153" w:right="211"/>
        <w:jc w:val="both"/>
      </w:pPr>
      <w:r>
        <w:rPr>
          <w:spacing w:val="-1"/>
        </w:rPr>
        <w:t>的会计政策、会计期间与本公司不一致的，在编制合并财务报表时，按本公司的会计政策、会计期间进行</w:t>
      </w:r>
      <w:r>
        <w:rPr>
          <w:spacing w:val="-82"/>
        </w:rPr>
        <w:t> </w:t>
      </w:r>
      <w:r>
        <w:rPr>
          <w:spacing w:val="-82"/>
        </w:rPr>
      </w:r>
      <w:r>
        <w:rPr/>
        <w:t>必要的调整。</w:t>
      </w:r>
    </w:p>
    <w:p>
      <w:pPr>
        <w:pStyle w:val="BodyText"/>
        <w:spacing w:line="273" w:lineRule="auto" w:before="7"/>
        <w:ind w:left="153" w:right="211" w:firstLine="420"/>
        <w:jc w:val="both"/>
      </w:pPr>
      <w:r>
        <w:rPr>
          <w:spacing w:val="-1"/>
        </w:rPr>
        <w:t>合并财务报表以本公司及子公司的财务报表为基础，根据其他有关资料，按照权益法调整对子公司的</w:t>
      </w:r>
      <w:r>
        <w:rPr/>
        <w:t> 长期股权投资后，由本公司编制。</w:t>
      </w:r>
    </w:p>
    <w:p>
      <w:pPr>
        <w:pStyle w:val="BodyText"/>
        <w:spacing w:line="273" w:lineRule="auto" w:before="7"/>
        <w:ind w:left="153" w:right="210" w:firstLine="336"/>
        <w:jc w:val="both"/>
      </w:pPr>
      <w:r>
        <w:rPr/>
        <w:t>合并财务报表时抵销本公司与各子公司、各子公司相互之间发生的内部交易对合并资产负债表、合并</w:t>
      </w:r>
      <w:r>
        <w:rPr>
          <w:spacing w:val="1"/>
        </w:rPr>
        <w:t> </w:t>
      </w:r>
      <w:r>
        <w:rPr/>
        <w:t>利润表、合并现金流量表、合并所有者权益变动表的影响。</w:t>
      </w:r>
    </w:p>
    <w:p>
      <w:pPr>
        <w:pStyle w:val="BodyText"/>
        <w:spacing w:line="273" w:lineRule="auto" w:before="7"/>
        <w:ind w:left="153" w:right="210" w:firstLine="336"/>
        <w:jc w:val="both"/>
      </w:pPr>
      <w:r>
        <w:rPr/>
        <w:t>子公司少数股东分担的当期亏损超过了少数股东在该子公司期初所有者权益中所享有的份额的，其余</w:t>
      </w:r>
      <w:r>
        <w:rPr>
          <w:spacing w:val="1"/>
        </w:rPr>
        <w:t> </w:t>
      </w:r>
      <w:r>
        <w:rPr/>
        <w:t>额仍应当冲减少数股东权益。</w:t>
      </w:r>
    </w:p>
    <w:p>
      <w:pPr>
        <w:pStyle w:val="BodyText"/>
        <w:spacing w:line="273" w:lineRule="auto" w:before="7"/>
        <w:ind w:left="153" w:right="210" w:firstLine="420"/>
        <w:jc w:val="both"/>
      </w:pPr>
      <w:r>
        <w:rPr>
          <w:spacing w:val="-1"/>
        </w:rPr>
        <w:t>在报告期内，若因同一控制下企业合并增加子公司的，则调整合并资产负债表的期初数；将子公司合</w:t>
      </w:r>
      <w:r>
        <w:rPr/>
        <w:t> </w:t>
      </w:r>
      <w:r>
        <w:rPr>
          <w:spacing w:val="-1"/>
        </w:rPr>
        <w:t>并当期期初至报告期末的收入、费用、利润纳入合并利润表；将子公司合并当期期初至报告期末的现金流</w:t>
      </w:r>
      <w:r>
        <w:rPr>
          <w:spacing w:val="-83"/>
        </w:rPr>
        <w:t> </w:t>
      </w:r>
      <w:r>
        <w:rPr>
          <w:spacing w:val="-83"/>
        </w:rPr>
      </w:r>
      <w:r>
        <w:rPr/>
        <w:t>量纳入合并现金流量表。</w:t>
      </w:r>
    </w:p>
    <w:p>
      <w:pPr>
        <w:pStyle w:val="BodyText"/>
        <w:spacing w:line="273" w:lineRule="auto" w:before="7"/>
        <w:ind w:left="153" w:right="210" w:firstLine="420"/>
        <w:jc w:val="both"/>
      </w:pPr>
      <w:r>
        <w:rPr>
          <w:spacing w:val="-1"/>
        </w:rPr>
        <w:t>在报告期内，若因非同一控制下企业合并增加子公司的，则不调整合并资产负债表期初数；将子公司</w:t>
      </w:r>
      <w:r>
        <w:rPr/>
        <w:t> </w:t>
      </w:r>
      <w:r>
        <w:rPr>
          <w:spacing w:val="-1"/>
        </w:rPr>
        <w:t>自购买日至报告期末的收入、费用、利润纳入合并利润表；该子公司自购买日至报告期末的现金流量纳入</w:t>
      </w:r>
      <w:r>
        <w:rPr>
          <w:spacing w:val="-83"/>
        </w:rPr>
        <w:t> </w:t>
      </w:r>
      <w:r>
        <w:rPr>
          <w:spacing w:val="-83"/>
        </w:rPr>
      </w:r>
      <w:r>
        <w:rPr/>
        <w:t>合并现金流量表。</w:t>
      </w:r>
    </w:p>
    <w:p>
      <w:pPr>
        <w:pStyle w:val="BodyText"/>
        <w:spacing w:line="273" w:lineRule="auto" w:before="7"/>
        <w:ind w:left="153" w:right="211" w:firstLine="420"/>
        <w:jc w:val="both"/>
      </w:pPr>
      <w:r>
        <w:rPr>
          <w:spacing w:val="-1"/>
        </w:rPr>
        <w:t>在报告期内，本公司处置子公司，则该子公司期初至处置日的收入、费用、利润纳入合并利润表；该</w:t>
      </w:r>
      <w:r>
        <w:rPr/>
        <w:t> 子公司期初至处置日的现金流量纳入合并现金流量表。</w:t>
      </w:r>
    </w:p>
    <w:p>
      <w:pPr>
        <w:pStyle w:val="BodyText"/>
        <w:spacing w:line="273" w:lineRule="auto" w:before="7"/>
        <w:ind w:left="153" w:right="102" w:firstLine="336"/>
        <w:jc w:val="left"/>
      </w:pPr>
      <w:r>
        <w:rPr/>
        <w:t>企业因处置部分股权投资或其他原因丧失了对原有子公司控制权的，在合并财务报表中，对于剩余股</w:t>
      </w:r>
      <w:r>
        <w:rPr>
          <w:spacing w:val="1"/>
        </w:rPr>
        <w:t> </w:t>
      </w:r>
      <w:r>
        <w:rPr>
          <w:spacing w:val="-3"/>
        </w:rPr>
        <w:t>权，应当按照其在丧失控制权日的公允价值进行重新计量。处置股权取得的对价与剩余股权公允价值之和，</w:t>
      </w:r>
      <w:r>
        <w:rPr>
          <w:spacing w:val="-92"/>
        </w:rPr>
        <w:t> </w:t>
      </w:r>
      <w:r>
        <w:rPr>
          <w:spacing w:val="-92"/>
        </w:rPr>
      </w:r>
      <w:r>
        <w:rPr/>
        <w:t>减去按原持股比例计算应享有原有子公司自购买日开始持续计算的净资产的份额之间的差额，计入丧失控</w:t>
      </w:r>
      <w:r>
        <w:rPr/>
        <w:t> 制权当期的投资收益。与原有子公司股权投资相关的其他综合收益，应当在丧失控制权时转为当期投资收 益。</w:t>
      </w:r>
    </w:p>
    <w:p>
      <w:pPr>
        <w:spacing w:line="590" w:lineRule="atLeast" w:before="9"/>
        <w:ind w:left="573" w:right="10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273" w:lineRule="auto" w:before="37"/>
        <w:ind w:left="153" w:right="209"/>
        <w:jc w:val="both"/>
      </w:pPr>
      <w:r>
        <w:rPr>
          <w:spacing w:val="-1"/>
        </w:rPr>
        <w:t>短（一般从购买日起，三个月内到期）、流动性强、易于转换为已知现金、价值变动风险很小四个条件的</w:t>
      </w:r>
      <w:r>
        <w:rPr>
          <w:spacing w:val="-83"/>
        </w:rPr>
        <w:t> </w:t>
      </w:r>
      <w:r>
        <w:rPr>
          <w:spacing w:val="-83"/>
        </w:rPr>
      </w:r>
      <w:r>
        <w:rPr/>
        <w:t>投资，确定为现金等价物。</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7" w:right="102"/>
        <w:jc w:val="left"/>
      </w:pPr>
      <w:r>
        <w:rPr/>
        <w:t>外币业务采用交易发生日的即期汇率作为折算汇率折合成人民币记账。 </w:t>
      </w:r>
      <w:r>
        <w:rPr>
          <w:spacing w:val="-1"/>
        </w:rPr>
        <w:t>外币货币性项目余额按资产负债表日即期汇率折算，由此产生的汇兑差额，除属于与购建符合资本化</w:t>
      </w:r>
    </w:p>
    <w:p>
      <w:pPr>
        <w:pStyle w:val="BodyText"/>
        <w:spacing w:line="273" w:lineRule="auto" w:before="7"/>
        <w:ind w:left="153" w:right="210"/>
        <w:jc w:val="both"/>
      </w:pPr>
      <w:r>
        <w:rPr>
          <w:spacing w:val="-1"/>
        </w:rPr>
        <w:t>条件的资产相关的外币专门借款产生的汇兑差额按照借款费用资本化的原则处理外，均计入当期损益。以</w:t>
      </w:r>
      <w:r>
        <w:rPr>
          <w:spacing w:val="-81"/>
        </w:rPr>
        <w:t> </w:t>
      </w:r>
      <w:r>
        <w:rPr>
          <w:spacing w:val="-81"/>
        </w:rPr>
      </w:r>
      <w:r>
        <w:rPr>
          <w:spacing w:val="-1"/>
        </w:rPr>
        <w:t>历史成本计量的外币非货币性项目，仍采用交易发生日的即期汇率折算，不改变其记账本位币金额。以公</w:t>
      </w:r>
      <w:r>
        <w:rPr>
          <w:spacing w:val="-83"/>
        </w:rPr>
        <w:t> </w:t>
      </w:r>
      <w:r>
        <w:rPr>
          <w:spacing w:val="-83"/>
        </w:rPr>
      </w:r>
      <w:r>
        <w:rPr>
          <w:spacing w:val="-1"/>
        </w:rPr>
        <w:t>允价值计量的外币非货币性项目，采用公允价值确定日的即期汇率折算，由此产生的汇兑差额计入当期损</w:t>
      </w:r>
      <w:r>
        <w:rPr>
          <w:spacing w:val="-81"/>
        </w:rPr>
        <w:t> </w:t>
      </w:r>
      <w:r>
        <w:rPr>
          <w:spacing w:val="-81"/>
        </w:rPr>
      </w:r>
      <w:r>
        <w:rPr/>
        <w:t>益或资本公积。</w:t>
      </w:r>
    </w:p>
    <w:p>
      <w:pPr>
        <w:spacing w:after="0" w:line="273" w:lineRule="auto"/>
        <w:jc w:val="both"/>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145"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r>
        <w:rPr>
          <w:spacing w:val="2"/>
        </w:rPr>
        <w:t> </w:t>
      </w: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3"/>
        </w:rPr>
        <w:t> </w:t>
      </w:r>
      <w:r>
        <w:rPr>
          <w:spacing w:val="-23"/>
        </w:rPr>
      </w:r>
      <w:r>
        <w:rPr/>
        <w:t>汇率折算。按照上述折算产生的外币财务报表折算差额，在资产负债表所有者权益项目下单独列示。</w:t>
      </w:r>
    </w:p>
    <w:p>
      <w:pPr>
        <w:pStyle w:val="BodyText"/>
        <w:spacing w:line="273" w:lineRule="auto" w:before="22"/>
        <w:ind w:left="153" w:right="150" w:firstLine="336"/>
        <w:jc w:val="both"/>
      </w:pPr>
      <w:r>
        <w:rPr/>
        <w:t>处置境外经营时，将资产负债表中所有者权益项目下列示的、与该境外经营相关的外币财务报表折算</w:t>
      </w:r>
      <w:r>
        <w:rPr>
          <w:spacing w:val="1"/>
        </w:rPr>
        <w:t> </w:t>
      </w:r>
      <w:r>
        <w:rPr>
          <w:spacing w:val="-1"/>
        </w:rPr>
        <w:t>差额，自所有者权益项目转入处置当期损益；部分处置境外经营的，按处置的比例计算处置部分的外币财</w:t>
      </w:r>
      <w:r>
        <w:rPr>
          <w:spacing w:val="-83"/>
        </w:rPr>
        <w:t> </w:t>
      </w:r>
      <w:r>
        <w:rPr>
          <w:spacing w:val="-83"/>
        </w:rPr>
      </w:r>
      <w:r>
        <w:rPr/>
        <w:t>务报表折算差额，转入处置当期损益。</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r>
        <w:rPr>
          <w:rFonts w:ascii="Times New Roman" w:hAnsi="Times New Roman" w:cs="Times New Roman" w:eastAsia="Times New Roman" w:hint="default"/>
        </w:rPr>
        <w:t>9</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5"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万以上的应收账款和单项金额超过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 的其他应收款。</w:t>
            </w:r>
          </w:p>
        </w:tc>
      </w:tr>
      <w:tr>
        <w:trPr>
          <w:trHeight w:val="1027"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生减值的应收款项，将其归入相应组合计提坏账准备。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62" w:hRule="exact"/>
        </w:trPr>
        <w:tc>
          <w:tcPr>
            <w:tcW w:w="2599" w:type="dxa"/>
            <w:tcBorders>
              <w:top w:val="single" w:sz="4" w:space="0" w:color="000000"/>
              <w:left w:val="single" w:sz="4" w:space="0" w:color="000000"/>
              <w:bottom w:val="nil" w:sz="6" w:space="0" w:color="auto"/>
              <w:right w:val="single" w:sz="4" w:space="0" w:color="000000"/>
            </w:tcBorders>
            <w:shd w:val="clear" w:color="auto" w:fill="CCE8CF"/>
          </w:tcPr>
          <w:p>
            <w:pPr/>
          </w:p>
        </w:tc>
        <w:tc>
          <w:tcPr>
            <w:tcW w:w="2186" w:type="dxa"/>
            <w:tcBorders>
              <w:top w:val="single" w:sz="4" w:space="0" w:color="000000"/>
              <w:left w:val="single" w:sz="4" w:space="0" w:color="000000"/>
              <w:bottom w:val="nil" w:sz="6" w:space="0" w:color="auto"/>
              <w:right w:val="single" w:sz="4" w:space="0" w:color="000000"/>
            </w:tcBorders>
          </w:tcPr>
          <w:p>
            <w:pPr/>
          </w:p>
        </w:tc>
        <w:tc>
          <w:tcPr>
            <w:tcW w:w="478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按组合计提坏账准备应收款项包括除单项金额超过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w:t>
            </w:r>
          </w:p>
        </w:tc>
      </w:tr>
      <w:tr>
        <w:trPr>
          <w:trHeight w:val="620" w:hRule="exact"/>
        </w:trPr>
        <w:tc>
          <w:tcPr>
            <w:tcW w:w="259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6"/>
              <w:ind w:left="22" w:right="44"/>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 收账款</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00"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应收账款和单项金额超过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万的其他应收款外的单项金额不 重大应收款项，以及经单独测试未减值的单项金额重大的应</w:t>
            </w:r>
          </w:p>
        </w:tc>
      </w:tr>
      <w:tr>
        <w:trPr>
          <w:trHeight w:val="356" w:hRule="exact"/>
        </w:trPr>
        <w:tc>
          <w:tcPr>
            <w:tcW w:w="2599" w:type="dxa"/>
            <w:tcBorders>
              <w:top w:val="nil" w:sz="6" w:space="0" w:color="auto"/>
              <w:left w:val="single" w:sz="4" w:space="0" w:color="000000"/>
              <w:bottom w:val="single" w:sz="4" w:space="0" w:color="000000"/>
              <w:right w:val="single" w:sz="4" w:space="0" w:color="000000"/>
            </w:tcBorders>
            <w:shd w:val="clear" w:color="auto" w:fill="CCE8CF"/>
          </w:tcPr>
          <w:p>
            <w:pPr/>
          </w:p>
        </w:tc>
        <w:tc>
          <w:tcPr>
            <w:tcW w:w="2186" w:type="dxa"/>
            <w:tcBorders>
              <w:top w:val="nil" w:sz="6" w:space="0" w:color="auto"/>
              <w:left w:val="single" w:sz="4" w:space="0" w:color="000000"/>
              <w:bottom w:val="single" w:sz="4" w:space="0" w:color="000000"/>
              <w:right w:val="single" w:sz="4" w:space="0" w:color="000000"/>
            </w:tcBorders>
          </w:tcPr>
          <w:p>
            <w:pPr/>
          </w:p>
        </w:tc>
        <w:tc>
          <w:tcPr>
            <w:tcW w:w="478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收款项。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客户公司财务状况恶化、涉及诉讼且金额不属于重大的应收款项。</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单独进行减值测试，按预计未来现金流量现值低于其账面价值的差额计提坏账 准备，计入当期损益。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38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
          <w:w w:val="99"/>
          <w:sz w:val="21"/>
          <w:szCs w:val="21"/>
        </w:rPr>
        <w:t> </w:t>
      </w:r>
      <w:r>
        <w:rPr>
          <w:rFonts w:ascii="宋体" w:hAnsi="宋体" w:cs="宋体" w:eastAsia="宋体" w:hint="default"/>
          <w:sz w:val="21"/>
          <w:szCs w:val="21"/>
        </w:rPr>
        <w:t>存货分类为原材料、半成品、产成品、在产品、低值易耗品等。</w:t>
      </w:r>
    </w:p>
    <w:p>
      <w:pPr>
        <w:pStyle w:val="Heading3"/>
        <w:spacing w:line="240" w:lineRule="auto" w:before="105"/>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6200"/>
        <w:jc w:val="left"/>
      </w:pPr>
      <w:r>
        <w:rPr/>
        <w:t>计价方法：加权平均法 领用发出按月末一次加权平均法计价。</w:t>
      </w:r>
    </w:p>
    <w:p>
      <w:pPr>
        <w:spacing w:line="590" w:lineRule="atLeast" w:before="9"/>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公司于每年中期期末及期末在对存货进行全面盘点的基础上，对遭受损失，全部或部分陈旧过时或销</w:t>
      </w:r>
    </w:p>
    <w:p>
      <w:pPr>
        <w:pStyle w:val="BodyText"/>
        <w:spacing w:line="273" w:lineRule="auto" w:before="37"/>
        <w:ind w:left="574" w:right="0" w:hanging="420"/>
        <w:jc w:val="left"/>
      </w:pPr>
      <w:r>
        <w:rPr/>
        <w:t>售价格低于成本的存货，根据存货成本与可变现净值孰低计量。 </w:t>
      </w:r>
      <w:r>
        <w:rPr>
          <w:spacing w:val="-1"/>
        </w:rPr>
        <w:t>存货跌价准备按单个存货项目的成本与可变现净值计量，但如果某些存货与在同一地区生产和销售的</w:t>
      </w:r>
    </w:p>
    <w:p>
      <w:pPr>
        <w:pStyle w:val="BodyText"/>
        <w:spacing w:line="273" w:lineRule="auto" w:before="7"/>
        <w:ind w:right="0"/>
        <w:jc w:val="left"/>
      </w:pPr>
      <w:r>
        <w:rPr>
          <w:spacing w:val="-1"/>
        </w:rPr>
        <w:t>产品系列相关、具有相同或类似最终用途或目的，且难以与其他项目分开计量，可以合并计量成本与可变</w:t>
      </w:r>
      <w:r>
        <w:rPr>
          <w:spacing w:val="-83"/>
        </w:rPr>
        <w:t> </w:t>
      </w:r>
      <w:r>
        <w:rPr>
          <w:spacing w:val="-83"/>
        </w:rPr>
      </w:r>
      <w:r>
        <w:rPr/>
        <w:t>现净值；对于数量繁多、单价较低的存货，可以按照存货类别计量成本与可变现净值。</w:t>
      </w:r>
    </w:p>
    <w:p>
      <w:pPr>
        <w:pStyle w:val="BodyText"/>
        <w:spacing w:line="273" w:lineRule="auto" w:before="7"/>
        <w:ind w:right="128" w:firstLine="420"/>
        <w:jc w:val="both"/>
      </w:pPr>
      <w:r>
        <w:rPr>
          <w:spacing w:val="-1"/>
        </w:rPr>
        <w:t>可直接用于出售的存货，其可变现净值按该等存货的估计售价减去估计的销售费用和相关税费后的金</w:t>
      </w:r>
      <w:r>
        <w:rPr/>
        <w:t> </w:t>
      </w:r>
      <w:r>
        <w:rPr>
          <w:spacing w:val="-1"/>
        </w:rPr>
        <w:t>额确定；用于生产而持有的存货，其可变现净值按所生产的产成品的估计售价减去至完工时估计将要发生</w:t>
      </w:r>
      <w:r>
        <w:rPr>
          <w:spacing w:val="-81"/>
        </w:rPr>
        <w:t> </w:t>
      </w:r>
      <w:r>
        <w:rPr>
          <w:spacing w:val="-81"/>
        </w:rPr>
      </w:r>
      <w:r>
        <w:rPr>
          <w:spacing w:val="-1"/>
        </w:rPr>
        <w:t>的成本、估计的销售费用和相关税费后的金额确定；为执行销售合同或者劳务合同而持有的存货，其可变</w:t>
      </w:r>
      <w:r>
        <w:rPr>
          <w:spacing w:val="-83"/>
        </w:rPr>
        <w:t> </w:t>
      </w:r>
      <w:r>
        <w:rPr>
          <w:spacing w:val="-83"/>
        </w:rPr>
      </w:r>
      <w:r>
        <w:rPr>
          <w:spacing w:val="-1"/>
        </w:rPr>
        <w:t>现净值以合同价格为基础计算；企业持有存货的数量多于销售合同订购数量的，超出部分的存货可变现净</w:t>
      </w:r>
      <w:r>
        <w:rPr>
          <w:spacing w:val="-81"/>
        </w:rPr>
        <w:t> </w:t>
      </w:r>
      <w:r>
        <w:rPr>
          <w:spacing w:val="-81"/>
        </w:rPr>
      </w:r>
      <w:r>
        <w:rPr/>
        <w:t>值以一般销售价格为基础计算。对于存货因遭受毁损、全部或部分陈旧过时或销售价格低于成本等原因， 预计其成本不可收回的部分，提取存货跌价准备。</w:t>
      </w:r>
    </w:p>
    <w:p>
      <w:pPr>
        <w:spacing w:line="590" w:lineRule="atLeast" w:before="9"/>
        <w:ind w:left="574" w:right="725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盘存制度：永续盘存制</w:t>
      </w:r>
    </w:p>
    <w:p>
      <w:pPr>
        <w:pStyle w:val="BodyText"/>
        <w:spacing w:line="256" w:lineRule="auto" w:before="37"/>
        <w:ind w:right="149" w:firstLine="420"/>
        <w:jc w:val="both"/>
      </w:pPr>
      <w:r>
        <w:rPr>
          <w:spacing w:val="-2"/>
        </w:rPr>
        <w:t>公司存货采用永续盘存制，并且定期对存货进行盘点</w:t>
      </w:r>
      <w:r>
        <w:rPr>
          <w:rFonts w:ascii="Times New Roman" w:hAnsi="Times New Roman" w:cs="Times New Roman" w:eastAsia="Times New Roman" w:hint="default"/>
          <w:spacing w:val="-2"/>
        </w:rPr>
        <w:t>,</w:t>
      </w:r>
      <w:r>
        <w:rPr>
          <w:spacing w:val="-2"/>
        </w:rPr>
        <w:t>盘点结果如与账面记录不符，根据管理权限报经</w:t>
      </w:r>
      <w:r>
        <w:rPr/>
        <w:t> 批准后，在年终结账前处理完毕，计入当期损益。</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4" w:right="7250"/>
        <w:jc w:val="left"/>
      </w:pPr>
      <w:r>
        <w:rPr/>
        <w:t>低值易耗品 摊销方法：一次摊销法 包装物 摊销方法：一次摊销法</w:t>
      </w:r>
    </w:p>
    <w:p>
      <w:pPr>
        <w:spacing w:after="0" w:line="273"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24"/>
          <w:szCs w:val="24"/>
        </w:rPr>
      </w:pPr>
    </w:p>
    <w:p>
      <w:pPr>
        <w:pStyle w:val="BodyText"/>
        <w:spacing w:line="290" w:lineRule="auto"/>
        <w:ind w:left="575" w:right="0" w:firstLine="28"/>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273" w:lineRule="auto"/>
        <w:ind w:right="0"/>
        <w:jc w:val="left"/>
      </w:pPr>
      <w:r>
        <w:rPr/>
        <w:t>为合并对价的，在合并日按照取得被合并方所有者权益账面价值的份额作为长期股权投资的初始投资成 </w:t>
      </w:r>
      <w:r>
        <w:rPr>
          <w:spacing w:val="-1"/>
        </w:rPr>
        <w:t>本。长期股权投资初始投资成本与支付合并对价之间的差额，调整资本公积；资本公积不足冲减的，调整</w:t>
      </w:r>
      <w:r>
        <w:rPr>
          <w:spacing w:val="-82"/>
        </w:rPr>
        <w:t> </w:t>
      </w:r>
      <w:r>
        <w:rPr>
          <w:spacing w:val="-82"/>
        </w:rPr>
      </w:r>
      <w:r>
        <w:rPr>
          <w:spacing w:val="-1"/>
        </w:rPr>
        <w:t>留存收益。合并发生的各项直接相关费用，包括为进行合并而支付的审计费用、评估费用、法律服务费用</w:t>
      </w:r>
      <w:r>
        <w:rPr>
          <w:spacing w:val="-82"/>
        </w:rPr>
        <w:t> </w:t>
      </w:r>
      <w:r>
        <w:rPr>
          <w:spacing w:val="-82"/>
        </w:rPr>
      </w:r>
      <w:r>
        <w:rPr>
          <w:spacing w:val="-1"/>
        </w:rPr>
        <w:t>等，于发生时计入当期损益。被合并方存在合并财务报表，则以合并日被合并方合并财务报表所有者权益</w:t>
      </w:r>
      <w:r>
        <w:rPr>
          <w:spacing w:val="-83"/>
        </w:rPr>
        <w:t> </w:t>
      </w:r>
      <w:r>
        <w:rPr>
          <w:spacing w:val="-83"/>
        </w:rPr>
      </w:r>
      <w:r>
        <w:rPr/>
        <w:t>为基础确定长期股权投资的初始投资成本。</w:t>
      </w:r>
    </w:p>
    <w:p>
      <w:pPr>
        <w:pStyle w:val="BodyText"/>
        <w:spacing w:line="273" w:lineRule="auto" w:before="47"/>
        <w:ind w:right="149" w:firstLine="421"/>
        <w:jc w:val="both"/>
      </w:pPr>
      <w:r>
        <w:rPr>
          <w:spacing w:val="-1"/>
        </w:rPr>
        <w:t>非同一控制下的企业合并：合并成本为购买日购买方为取得对被购买方的控制权而付出的资产、发生</w:t>
      </w:r>
      <w:r>
        <w:rPr/>
        <w:t> </w:t>
      </w:r>
      <w:r>
        <w:rPr>
          <w:spacing w:val="-1"/>
        </w:rPr>
        <w:t>或承担的负债以及发行的权益性证券的公允价值，本公司为进行企业合并而发生的各项直接相关费用，包</w:t>
      </w:r>
      <w:r>
        <w:rPr>
          <w:spacing w:val="-81"/>
        </w:rPr>
        <w:t> </w:t>
      </w:r>
      <w:r>
        <w:rPr>
          <w:spacing w:val="-81"/>
        </w:rPr>
      </w:r>
      <w:r>
        <w:rPr>
          <w:spacing w:val="-1"/>
        </w:rPr>
        <w:t>括为进行企业合并而支付的审计、法律服务、评估咨询等中介费用以及其他相关管理费用于发生时计入当</w:t>
      </w:r>
      <w:r>
        <w:rPr>
          <w:spacing w:val="-81"/>
        </w:rPr>
        <w:t> </w:t>
      </w:r>
      <w:r>
        <w:rPr>
          <w:spacing w:val="-81"/>
        </w:rPr>
      </w:r>
      <w:r>
        <w:rPr>
          <w:spacing w:val="-1"/>
        </w:rPr>
        <w:t>期损益，作为合并对价发行的权益性证券或债务性证券的交易费用，计入权益性证券或债务性证券的初始</w:t>
      </w:r>
      <w:r>
        <w:rPr>
          <w:spacing w:val="-81"/>
        </w:rPr>
        <w:t> </w:t>
      </w:r>
      <w:r>
        <w:rPr>
          <w:spacing w:val="-81"/>
        </w:rPr>
      </w:r>
      <w:r>
        <w:rPr/>
        <w:t>确认金额。</w:t>
      </w:r>
    </w:p>
    <w:p>
      <w:pPr>
        <w:pStyle w:val="BodyText"/>
        <w:spacing w:line="273" w:lineRule="auto" w:before="46"/>
        <w:ind w:right="151" w:firstLine="421"/>
        <w:jc w:val="both"/>
        <w:rPr>
          <w:rFonts w:ascii="Times New Roman" w:hAnsi="Times New Roman" w:cs="Times New Roman" w:eastAsia="Times New Roman" w:hint="default"/>
        </w:rPr>
      </w:pPr>
      <w:r>
        <w:rPr>
          <w:spacing w:val="-1"/>
        </w:rPr>
        <w:t>企业通过多次交易分步实现非同一控制下企业合并的，应当区分个别财务报表和合并财务报表进行相</w:t>
      </w:r>
      <w:r>
        <w:rPr/>
        <w:t> 关会计处理</w:t>
      </w:r>
      <w:r>
        <w:rPr>
          <w:rFonts w:ascii="Times New Roman" w:hAnsi="Times New Roman" w:cs="Times New Roman" w:eastAsia="Times New Roman" w:hint="default"/>
        </w:rPr>
        <w:t>:</w:t>
      </w:r>
    </w:p>
    <w:p>
      <w:pPr>
        <w:pStyle w:val="BodyText"/>
        <w:spacing w:line="268" w:lineRule="auto" w:before="27"/>
        <w:ind w:left="153" w:right="149" w:firstLine="421"/>
        <w:jc w:val="both"/>
      </w:pPr>
      <w:r>
        <w:rPr>
          <w:spacing w:val="-1"/>
        </w:rPr>
        <w:t>在个别财务报表中，应当以购买日之前所持被购买方的股权投资的账面价值与购买日新增投资成本之</w:t>
      </w:r>
      <w:r>
        <w:rPr/>
        <w:t> </w:t>
      </w:r>
      <w:r>
        <w:rPr>
          <w:spacing w:val="-1"/>
        </w:rPr>
        <w:t>和，作为该项投资的初始投资成本，购买日之前持有的被购买方的股权涉及其他综合收益的，应当在处置</w:t>
      </w:r>
      <w:r>
        <w:rPr>
          <w:spacing w:val="-83"/>
        </w:rPr>
        <w:t> </w:t>
      </w:r>
      <w:r>
        <w:rPr>
          <w:spacing w:val="-83"/>
        </w:rPr>
      </w:r>
      <w:r>
        <w:rPr>
          <w:spacing w:val="-4"/>
        </w:rPr>
        <w:t>该项投资时将与其相关的其他综合收益</w:t>
      </w:r>
      <w:r>
        <w:rPr>
          <w:rFonts w:ascii="Times New Roman" w:hAnsi="Times New Roman" w:cs="Times New Roman" w:eastAsia="Times New Roman" w:hint="default"/>
          <w:spacing w:val="-4"/>
        </w:rPr>
        <w:t>(</w:t>
      </w:r>
      <w:r>
        <w:rPr>
          <w:spacing w:val="-4"/>
        </w:rPr>
        <w:t>例如，可供出售金融资产公允价值变动计入资本公积的部分，下同</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4"/>
        </w:rPr>
        <w:t> </w:t>
      </w:r>
      <w:r>
        <w:rPr/>
        <w:t>转入当期投资收益。</w:t>
      </w:r>
    </w:p>
    <w:p>
      <w:pPr>
        <w:pStyle w:val="BodyText"/>
        <w:spacing w:line="273" w:lineRule="auto" w:before="51"/>
        <w:ind w:left="153" w:right="151" w:firstLine="421"/>
        <w:jc w:val="both"/>
      </w:pPr>
      <w:r>
        <w:rPr>
          <w:spacing w:val="-1"/>
        </w:rPr>
        <w:t>在合并财务报表中，对于购买日之前持有的被购买方的股权，应当按照该股权在购买日的公允价值进</w:t>
      </w:r>
      <w:r>
        <w:rPr/>
        <w:t> </w:t>
      </w:r>
      <w:r>
        <w:rPr>
          <w:spacing w:val="-1"/>
        </w:rPr>
        <w:t>行重新计量，公允价值与其账面价值的差额计入当期投资收益。购买日之前持有的被购买方的股权涉及其</w:t>
      </w:r>
      <w:r>
        <w:rPr>
          <w:spacing w:val="-81"/>
        </w:rPr>
        <w:t> </w:t>
      </w:r>
      <w:r>
        <w:rPr>
          <w:spacing w:val="-81"/>
        </w:rPr>
      </w:r>
      <w:r>
        <w:rPr>
          <w:spacing w:val="-1"/>
        </w:rPr>
        <w:t>他综合收益的，与其相关的其他综合收益应当转为购买日所属当期投资收益。在合并合同中对可能影响合</w:t>
      </w:r>
      <w:r>
        <w:rPr>
          <w:spacing w:val="-81"/>
        </w:rPr>
        <w:t> </w:t>
      </w:r>
      <w:r>
        <w:rPr>
          <w:spacing w:val="-81"/>
        </w:rPr>
      </w:r>
      <w:r>
        <w:rPr>
          <w:spacing w:val="-1"/>
        </w:rPr>
        <w:t>并成本的未来事项作出约定的，购买日如果估计未来事项很可能发生并且对合并成本的影响金额能够可靠</w:t>
      </w:r>
      <w:r>
        <w:rPr>
          <w:spacing w:val="-81"/>
        </w:rPr>
        <w:t> </w:t>
      </w:r>
      <w:r>
        <w:rPr>
          <w:spacing w:val="-81"/>
        </w:rPr>
      </w:r>
      <w:r>
        <w:rPr/>
        <w:t>计量的，也计入合并成本。</w:t>
      </w:r>
    </w:p>
    <w:p>
      <w:pPr>
        <w:pStyle w:val="BodyText"/>
        <w:spacing w:line="302" w:lineRule="auto" w:before="47"/>
        <w:ind w:left="575" w:right="0" w:hanging="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投资者投入的长期股权投资，按照投资合同或协议约定的价值（扣除已宣告但尚未发放的现金股利或</w:t>
      </w:r>
    </w:p>
    <w:p>
      <w:pPr>
        <w:pStyle w:val="BodyText"/>
        <w:spacing w:line="259" w:lineRule="exact"/>
        <w:ind w:right="0"/>
        <w:jc w:val="left"/>
      </w:pPr>
      <w:r>
        <w:rPr/>
        <w:t>利润）作为初始投资成本，但合同或协议约定价值不公允的除外。</w:t>
      </w:r>
    </w:p>
    <w:p>
      <w:pPr>
        <w:pStyle w:val="BodyText"/>
        <w:spacing w:line="273" w:lineRule="auto" w:before="75"/>
        <w:ind w:right="149" w:firstLine="421"/>
        <w:jc w:val="both"/>
      </w:pPr>
      <w:r>
        <w:rPr>
          <w:spacing w:val="-1"/>
        </w:rPr>
        <w:t>在非货币性资产交换具备商业实质和换入资产或换出资产的公允价值能够可靠计量的前提下，非货币</w:t>
      </w:r>
      <w:r>
        <w:rPr/>
        <w:t> </w:t>
      </w: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before="48"/>
        <w:ind w:left="575" w:right="0"/>
        <w:jc w:val="left"/>
      </w:pPr>
      <w:r>
        <w:rPr/>
        <w:t>通过债务重组取得的长期股权投资，其初始投资成本按照公允价值为基础确定。</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0"/>
        <w:rPr>
          <w:rFonts w:ascii="宋体" w:hAnsi="宋体" w:cs="宋体" w:eastAsia="宋体" w:hint="default"/>
          <w:b/>
          <w:bCs/>
          <w:sz w:val="24"/>
          <w:szCs w:val="24"/>
        </w:rPr>
      </w:pPr>
    </w:p>
    <w:p>
      <w:pPr>
        <w:pStyle w:val="BodyText"/>
        <w:spacing w:line="297" w:lineRule="auto"/>
        <w:ind w:left="575" w:right="0" w:firstLine="28"/>
        <w:jc w:val="left"/>
      </w:pPr>
      <w:r>
        <w:rPr/>
        <w:t>（</w:t>
      </w:r>
      <w:r>
        <w:rPr>
          <w:rFonts w:ascii="Times New Roman" w:hAnsi="Times New Roman" w:cs="Times New Roman" w:eastAsia="Times New Roman" w:hint="default"/>
        </w:rPr>
        <w:t>1</w:t>
      </w:r>
      <w:r>
        <w:rPr/>
        <w:t>）后续计量 公司对子公司的长期股权投资，采用成本法核算，编制合并财务报表时按照权益法进行调整。 </w:t>
      </w:r>
      <w:r>
        <w:rPr>
          <w:spacing w:val="-1"/>
        </w:rPr>
        <w:t>对被投资单位不具有共同控制或重大影响，并且在活跃市场中没有报价、公允价值不能可靠计量的长</w:t>
      </w:r>
    </w:p>
    <w:p>
      <w:pPr>
        <w:spacing w:after="0" w:line="297"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BodyText"/>
        <w:spacing w:line="307" w:lineRule="auto" w:before="35"/>
        <w:ind w:left="575" w:right="102" w:hanging="422"/>
        <w:jc w:val="left"/>
      </w:pPr>
      <w:r>
        <w:rPr/>
        <w:t>期股权投资，采用成本法核算。 </w:t>
      </w:r>
      <w:r>
        <w:rPr>
          <w:spacing w:val="-1"/>
        </w:rPr>
        <w:t>对被投资单位具有共同控制或重大影响的长期股权投资，采用权益法核算。初始投资成本大于投资时</w:t>
      </w:r>
    </w:p>
    <w:p>
      <w:pPr>
        <w:pStyle w:val="BodyText"/>
        <w:spacing w:line="253" w:lineRule="exact"/>
        <w:ind w:left="153" w:right="102"/>
        <w:jc w:val="left"/>
      </w:pPr>
      <w:r>
        <w:rPr/>
        <w:t>应享有被投资单位可辨认净资产公允价值份额的差额，不调整长期股权投资的初始投资成本；初始投资成</w:t>
      </w:r>
    </w:p>
    <w:p>
      <w:pPr>
        <w:pStyle w:val="BodyText"/>
        <w:spacing w:line="307" w:lineRule="auto" w:before="38"/>
        <w:ind w:left="575" w:right="102" w:hanging="422"/>
        <w:jc w:val="left"/>
      </w:pPr>
      <w:r>
        <w:rPr/>
        <w:t>本小于投资时应享有被投资单位可辨认净资产公允价值份额的差额，计入当期损益。 </w:t>
      </w:r>
      <w:r>
        <w:rPr>
          <w:spacing w:val="-1"/>
        </w:rPr>
        <w:t>被投资单位除净损益以外所有者权益其他变动的处理：对于被投资单位除净损益以外所有者权益的其</w:t>
      </w:r>
    </w:p>
    <w:p>
      <w:pPr>
        <w:pStyle w:val="BodyText"/>
        <w:spacing w:line="253" w:lineRule="exact"/>
        <w:ind w:left="153" w:right="102"/>
        <w:jc w:val="left"/>
      </w:pPr>
      <w:r>
        <w:rPr/>
        <w:t>他变动，在持股比例不变的情况下，公司按照持股比例计算应享有或承担的部分，调整长期股权投资的账</w:t>
      </w:r>
    </w:p>
    <w:p>
      <w:pPr>
        <w:pStyle w:val="BodyText"/>
        <w:spacing w:line="273" w:lineRule="auto" w:before="37"/>
        <w:ind w:right="295"/>
        <w:jc w:val="both"/>
      </w:pPr>
      <w:r>
        <w:rPr>
          <w:spacing w:val="-3"/>
        </w:rPr>
        <w:t>面价值，同时增加或减少资本公积（其他资本公积）。在持有投资期间，被投资单位能够提供合并财务报</w:t>
      </w:r>
      <w:r>
        <w:rPr>
          <w:spacing w:val="-74"/>
        </w:rPr>
        <w:t> </w:t>
      </w:r>
      <w:r>
        <w:rPr>
          <w:spacing w:val="-74"/>
        </w:rPr>
      </w:r>
      <w:r>
        <w:rPr/>
        <w:t>表的，应当以合并财务报表，净利润和其他投资变动为基础进行核算。</w:t>
      </w:r>
    </w:p>
    <w:p>
      <w:pPr>
        <w:pStyle w:val="BodyText"/>
        <w:spacing w:line="290" w:lineRule="auto" w:before="47"/>
        <w:ind w:left="575" w:right="102" w:hanging="1"/>
        <w:jc w:val="left"/>
      </w:pPr>
      <w:r>
        <w:rPr/>
        <w:t>（</w:t>
      </w:r>
      <w:r>
        <w:rPr>
          <w:rFonts w:ascii="Times New Roman" w:hAnsi="Times New Roman" w:cs="Times New Roman" w:eastAsia="Times New Roman" w:hint="default"/>
        </w:rPr>
        <w:t>2</w:t>
      </w:r>
      <w:r>
        <w:rPr/>
        <w:t>）损益确认 </w:t>
      </w:r>
      <w:r>
        <w:rPr>
          <w:spacing w:val="-1"/>
        </w:rPr>
        <w:t>成本法下，除取得投资时实际支付的价款或对价中包含的已宣告但尚未发放的现金股利或利润外，公</w:t>
      </w:r>
    </w:p>
    <w:p>
      <w:pPr>
        <w:pStyle w:val="BodyText"/>
        <w:spacing w:line="307" w:lineRule="auto"/>
        <w:ind w:left="575" w:right="102" w:hanging="422"/>
        <w:jc w:val="left"/>
      </w:pPr>
      <w:r>
        <w:rPr/>
        <w:t>司按照享有被投资单位宣告发放的现金股利或利润确认投资收益。 </w:t>
      </w:r>
      <w:r>
        <w:rPr>
          <w:spacing w:val="-1"/>
        </w:rPr>
        <w:t>权益法下，投资企业在确认应享有被投资单位的净利润或净亏损时，以取得投资时被投资单位各项可</w:t>
      </w:r>
    </w:p>
    <w:p>
      <w:pPr>
        <w:pStyle w:val="BodyText"/>
        <w:spacing w:line="253" w:lineRule="exact"/>
        <w:ind w:right="102"/>
        <w:jc w:val="left"/>
      </w:pPr>
      <w:r>
        <w:rPr/>
        <w:t>辨认资产等的公允价值为基础，对被投资单位的净利润进行调整后确认，投资企业与联营企业及合营企业</w:t>
      </w:r>
    </w:p>
    <w:p>
      <w:pPr>
        <w:pStyle w:val="BodyText"/>
        <w:spacing w:line="273" w:lineRule="auto" w:before="37"/>
        <w:ind w:right="209"/>
        <w:jc w:val="both"/>
      </w:pPr>
      <w:r>
        <w:rPr>
          <w:spacing w:val="-1"/>
        </w:rPr>
        <w:t>之间发生的内部交易损益按照持股比例计算归属于投资企业的部分，应当予以抵销，在此基础上确认投资</w:t>
      </w:r>
      <w:r>
        <w:rPr>
          <w:spacing w:val="-81"/>
        </w:rPr>
        <w:t> </w:t>
      </w:r>
      <w:r>
        <w:rPr>
          <w:spacing w:val="-81"/>
        </w:rPr>
      </w:r>
      <w:r>
        <w:rPr>
          <w:spacing w:val="-1"/>
        </w:rPr>
        <w:t>损益；在公司确认应分担被投资单位发生的亏损时，按照以下顺序进行处理：首先，冲减长期股权投资的</w:t>
      </w:r>
      <w:r>
        <w:rPr>
          <w:spacing w:val="-82"/>
        </w:rPr>
        <w:t> </w:t>
      </w:r>
      <w:r>
        <w:rPr>
          <w:spacing w:val="-82"/>
        </w:rPr>
      </w:r>
      <w:r>
        <w:rPr>
          <w:spacing w:val="-1"/>
        </w:rPr>
        <w:t>账面价值。其次，长期股权投资的账面价值不足以冲减的，以其他实质上构成对被投资单位净投资的长期</w:t>
      </w:r>
      <w:r>
        <w:rPr>
          <w:spacing w:val="-83"/>
        </w:rPr>
        <w:t> </w:t>
      </w:r>
      <w:r>
        <w:rPr>
          <w:spacing w:val="-83"/>
        </w:rPr>
      </w:r>
      <w:r>
        <w:rPr>
          <w:spacing w:val="-1"/>
        </w:rPr>
        <w:t>权益账面价值为限继续确认投资损失，冲减长期应收项目等的账面价值。最后，经过上述处理，按照投资</w:t>
      </w:r>
      <w:r>
        <w:rPr>
          <w:spacing w:val="-82"/>
        </w:rPr>
        <w:t> </w:t>
      </w:r>
      <w:r>
        <w:rPr>
          <w:spacing w:val="-82"/>
        </w:rPr>
      </w:r>
      <w:r>
        <w:rPr/>
        <w:t>合同或协议约定企业仍承担额外义务的，按预计承担的义务确认预计负债，计入当期投资损失。</w:t>
      </w:r>
    </w:p>
    <w:p>
      <w:pPr>
        <w:pStyle w:val="BodyText"/>
        <w:spacing w:line="273" w:lineRule="auto" w:before="46"/>
        <w:ind w:right="102" w:firstLine="315"/>
        <w:jc w:val="left"/>
      </w:pPr>
      <w:r>
        <w:rPr/>
        <w:t>被投资单位以后期间实现盈利的，公司在扣除未确认的亏损分担额后，按与上述相反的顺序处理，减 </w:t>
      </w:r>
      <w:r>
        <w:rPr>
          <w:spacing w:val="-1"/>
        </w:rPr>
        <w:t>记已确认预计负债的账面余额、恢复其他实质上构成对被投资单位净投资的长期权益及长期股权投资的账</w:t>
      </w:r>
      <w:r>
        <w:rPr>
          <w:spacing w:val="-81"/>
        </w:rPr>
        <w:t> </w:t>
      </w:r>
      <w:r>
        <w:rPr>
          <w:spacing w:val="-81"/>
        </w:rPr>
      </w:r>
      <w:r>
        <w:rPr/>
        <w:t>面价值，同时确认投资收益。</w:t>
      </w:r>
    </w:p>
    <w:p>
      <w:pPr>
        <w:spacing w:line="590" w:lineRule="atLeast" w:before="7"/>
        <w:ind w:left="514" w:right="230" w:hanging="3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z w:val="21"/>
          <w:szCs w:val="21"/>
        </w:rPr>
        <w:t>按照合同约定对某项经济活动所共有的控制，仅在与该项经济活动相关的重要财务和经营决策需要分</w:t>
      </w:r>
    </w:p>
    <w:p>
      <w:pPr>
        <w:pStyle w:val="BodyText"/>
        <w:spacing w:line="273" w:lineRule="auto" w:before="37"/>
        <w:ind w:left="153" w:right="211"/>
        <w:jc w:val="both"/>
      </w:pPr>
      <w:r>
        <w:rPr>
          <w:spacing w:val="-1"/>
        </w:rPr>
        <w:t>享控制权的投资方一致同意时存在，则视为与其他方对被投资单位实施共同控制；对一个企业的财务和经</w:t>
      </w:r>
      <w:r>
        <w:rPr>
          <w:spacing w:val="-81"/>
        </w:rPr>
        <w:t> </w:t>
      </w:r>
      <w:r>
        <w:rPr>
          <w:spacing w:val="-81"/>
        </w:rPr>
      </w:r>
      <w:r>
        <w:rPr>
          <w:spacing w:val="-1"/>
        </w:rPr>
        <w:t>营决策有参与决策的权力，但并不能够控制或者与其他方一起共同控制这些政策的制定，则视为投资企业</w:t>
      </w:r>
      <w:r>
        <w:rPr>
          <w:spacing w:val="-81"/>
        </w:rPr>
        <w:t> </w:t>
      </w:r>
      <w:r>
        <w:rPr>
          <w:spacing w:val="-81"/>
        </w:rPr>
      </w:r>
      <w:r>
        <w:rPr/>
        <w:t>能够对被投资单位施加重大影响。</w:t>
      </w:r>
    </w:p>
    <w:p>
      <w:pPr>
        <w:spacing w:line="590" w:lineRule="atLeast" w:before="7"/>
        <w:ind w:left="516" w:right="102" w:hanging="36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资产负债表日，若因市价持续下跌或被投资单位经营状况恶化等原因使长期股权投资存在减值迹象时，</w:t>
      </w:r>
    </w:p>
    <w:p>
      <w:pPr>
        <w:pStyle w:val="BodyText"/>
        <w:spacing w:line="273" w:lineRule="auto" w:before="37"/>
        <w:ind w:right="101"/>
        <w:jc w:val="left"/>
      </w:pPr>
      <w:r>
        <w:rPr/>
        <w:t>根据单项长期股权投资的公允价值减去处置费用后的净额与长期股权投资预计未来现金流量的现值两者 之间较高者确定长期股权投资的可收回金额。长期股权投资的可收回金额低于账面价值时，将资产的账面 </w:t>
      </w:r>
      <w:r>
        <w:rPr>
          <w:spacing w:val="-3"/>
        </w:rPr>
        <w:t>价值减记至可收回金额，减记的金额确认为资产减值损失，计入当期损益，同时计提相应的资产减值准备。</w:t>
      </w:r>
    </w:p>
    <w:p>
      <w:pPr>
        <w:pStyle w:val="BodyText"/>
        <w:spacing w:line="273" w:lineRule="auto" w:before="46"/>
        <w:ind w:right="102" w:firstLine="421"/>
        <w:jc w:val="left"/>
      </w:pPr>
      <w:r>
        <w:rPr>
          <w:spacing w:val="-1"/>
        </w:rPr>
        <w:t>重大影响以下的、在活跃市场中没有报价、公允价值不能可靠计量的长期股权投资，其减值损失是根</w:t>
      </w:r>
      <w:r>
        <w:rPr/>
        <w:t> 据其账面价值与按类似金融资产当时市场收益率对未来现金流量折现确定的现值之间的差额进行确定。</w:t>
      </w:r>
    </w:p>
    <w:p>
      <w:pPr>
        <w:pStyle w:val="BodyText"/>
        <w:spacing w:line="273" w:lineRule="auto" w:before="47"/>
        <w:ind w:right="379" w:firstLine="421"/>
        <w:jc w:val="left"/>
      </w:pPr>
      <w:r>
        <w:rPr/>
        <w:t>除因企业合并形成的商誉以外的存在减值迹象的其他长期股权投资，如果可收回金额的计量结果表 明，该长期股权投资的可收回金额低于其账面价值的，将差额确认为减值损失。</w:t>
      </w:r>
    </w:p>
    <w:p>
      <w:pPr>
        <w:pStyle w:val="BodyText"/>
        <w:spacing w:line="273" w:lineRule="auto" w:before="46"/>
        <w:ind w:right="102" w:firstLine="421"/>
        <w:jc w:val="left"/>
      </w:pPr>
      <w:r>
        <w:rPr>
          <w:spacing w:val="-1"/>
        </w:rPr>
        <w:t>采用成本法核算的长期股权投资，因被投资单位宣告分派现金股利或利润确认投资收益后，考虑长期</w:t>
      </w:r>
      <w:r>
        <w:rPr/>
        <w:t> 股权投资是否发生减值。</w:t>
      </w:r>
    </w:p>
    <w:p>
      <w:pPr>
        <w:pStyle w:val="BodyText"/>
        <w:spacing w:line="240" w:lineRule="auto" w:before="47"/>
        <w:ind w:left="575" w:right="102"/>
        <w:jc w:val="left"/>
      </w:pPr>
      <w:r>
        <w:rPr/>
        <w:t>长期股权投资减值损失一经确认，不再转回。</w:t>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Heading3"/>
        <w:spacing w:line="240" w:lineRule="auto" w:before="35"/>
        <w:ind w:right="102"/>
        <w:jc w:val="left"/>
        <w:rPr>
          <w:b w:val="0"/>
          <w:bCs w:val="0"/>
        </w:rPr>
      </w:pPr>
      <w:r>
        <w:rPr>
          <w:rFonts w:ascii="Times New Roman" w:hAnsi="Times New Roman" w:cs="Times New Roman" w:eastAsia="Times New Roman" w:hint="default"/>
        </w:rPr>
        <w:t>12</w:t>
      </w:r>
      <w:r>
        <w:rPr/>
        <w:t>、固定资产</w:t>
      </w:r>
      <w:r>
        <w:rPr>
          <w:b w:val="0"/>
          <w:bCs w:val="0"/>
        </w:rPr>
      </w:r>
    </w:p>
    <w:p>
      <w:pPr>
        <w:spacing w:line="590" w:lineRule="atLeast" w:before="24"/>
        <w:ind w:left="514" w:right="230" w:hanging="3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z w:val="21"/>
          <w:szCs w:val="21"/>
        </w:rPr>
        <w:t>固定资产是指使用寿命超过一个会计年度的为生产商品、提供劳务、出租或经营管理而持有的有形资</w:t>
      </w:r>
    </w:p>
    <w:p>
      <w:pPr>
        <w:pStyle w:val="BodyText"/>
        <w:spacing w:line="273" w:lineRule="auto" w:before="37"/>
        <w:ind w:left="153" w:right="210"/>
        <w:jc w:val="both"/>
      </w:pPr>
      <w:r>
        <w:rPr>
          <w:spacing w:val="-1"/>
        </w:rPr>
        <w:t>产。固定资产的确认条件：①该固定资产包含的经济利益很可能流入企业；②该固定资产的成本能够可靠</w:t>
      </w:r>
      <w:r>
        <w:rPr>
          <w:spacing w:val="-83"/>
        </w:rPr>
        <w:t> </w:t>
      </w:r>
      <w:r>
        <w:rPr>
          <w:spacing w:val="-83"/>
        </w:rPr>
      </w:r>
      <w:r>
        <w:rPr/>
        <w:t>计量。</w:t>
      </w:r>
    </w:p>
    <w:p>
      <w:pPr>
        <w:spacing w:line="590" w:lineRule="atLeast" w:before="7"/>
        <w:ind w:left="514" w:right="230" w:hanging="3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99"/>
          <w:sz w:val="21"/>
          <w:szCs w:val="21"/>
        </w:rPr>
        <w:t> </w:t>
      </w:r>
      <w:r>
        <w:rPr>
          <w:rFonts w:ascii="宋体" w:hAnsi="宋体" w:cs="宋体" w:eastAsia="宋体" w:hint="default"/>
          <w:sz w:val="21"/>
          <w:szCs w:val="21"/>
        </w:rPr>
        <w:t>固定资产通常按照实际成本作为初始计量。购买固定资产的价款超过正常信用条件延期支付，实质上</w:t>
      </w:r>
    </w:p>
    <w:p>
      <w:pPr>
        <w:pStyle w:val="BodyText"/>
        <w:spacing w:line="273" w:lineRule="auto" w:before="37"/>
        <w:ind w:left="153" w:right="211"/>
        <w:jc w:val="both"/>
      </w:pPr>
      <w:r>
        <w:rPr>
          <w:spacing w:val="-1"/>
        </w:rPr>
        <w:t>具有融资性质的，固定资产的成本以购买价款的现值为基础确定。债务重组取得债务人用以抵债的固定资</w:t>
      </w:r>
      <w:r>
        <w:rPr>
          <w:spacing w:val="-81"/>
        </w:rPr>
        <w:t> </w:t>
      </w:r>
      <w:r>
        <w:rPr>
          <w:spacing w:val="-81"/>
        </w:rPr>
      </w:r>
      <w:r>
        <w:rPr>
          <w:spacing w:val="-1"/>
        </w:rPr>
        <w:t>产，以该固定资产的公允价值为基础确定其入账价值，并将重组债务的账面价值与该用以抵债的固定资产</w:t>
      </w:r>
      <w:r>
        <w:rPr>
          <w:spacing w:val="-81"/>
        </w:rPr>
        <w:t> </w:t>
      </w:r>
      <w:r>
        <w:rPr>
          <w:spacing w:val="-81"/>
        </w:rPr>
      </w:r>
      <w:r>
        <w:rPr>
          <w:spacing w:val="-1"/>
        </w:rPr>
        <w:t>公允价值之间的差额，计入当期损益；在非货币性资产交换具备商业实质和换入资产或换出资产的公允价</w:t>
      </w:r>
      <w:r>
        <w:rPr>
          <w:spacing w:val="-81"/>
        </w:rPr>
        <w:t> </w:t>
      </w:r>
      <w:r>
        <w:rPr>
          <w:spacing w:val="-81"/>
        </w:rPr>
      </w:r>
      <w:r>
        <w:rPr>
          <w:spacing w:val="-1"/>
        </w:rPr>
        <w:t>值能够可靠计量的前提下，非货币性资产交换换入的固定资产通常以换出资产的公允价值为基础确定其入</w:t>
      </w:r>
      <w:r>
        <w:rPr>
          <w:spacing w:val="-81"/>
        </w:rPr>
        <w:t> </w:t>
      </w:r>
      <w:r>
        <w:rPr>
          <w:spacing w:val="-81"/>
        </w:rPr>
      </w:r>
      <w:r>
        <w:rPr>
          <w:spacing w:val="-1"/>
        </w:rPr>
        <w:t>账价值，除非有确凿证据表明换入资产的公允价值更加可靠；不满足上述前提的非货币性资产交换，以换</w:t>
      </w:r>
      <w:r>
        <w:rPr>
          <w:spacing w:val="-83"/>
        </w:rPr>
        <w:t> </w:t>
      </w:r>
      <w:r>
        <w:rPr>
          <w:spacing w:val="-83"/>
        </w:rPr>
      </w:r>
      <w:r>
        <w:rPr/>
        <w:t>出资产的账面价值和应支付的相关税费作为换入固定资产的成本，不确认损益。</w:t>
      </w:r>
    </w:p>
    <w:p>
      <w:pPr>
        <w:spacing w:line="240" w:lineRule="auto" w:before="7"/>
        <w:rPr>
          <w:rFonts w:ascii="宋体" w:hAnsi="宋体" w:cs="宋体" w:eastAsia="宋体" w:hint="default"/>
          <w:sz w:val="23"/>
          <w:szCs w:val="23"/>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7" w:right="97"/>
        <w:jc w:val="left"/>
      </w:pPr>
      <w:r>
        <w:rPr/>
        <w:t>固定资产折旧根据固定资产的原值和预计可使用年限及估计的剩余价值（原价的</w:t>
      </w:r>
      <w:r>
        <w:rPr>
          <w:rFonts w:ascii="Times New Roman" w:hAnsi="Times New Roman" w:cs="Times New Roman" w:eastAsia="Times New Roman" w:hint="default"/>
        </w:rPr>
        <w:t>5%</w:t>
      </w:r>
      <w:r>
        <w:rPr/>
        <w:t>）按直线法计提。 已计提减值准备的固定资产在计提折旧时，按照该项固定资产计提减值后的净额以及尚可使用年限重</w:t>
      </w:r>
    </w:p>
    <w:p>
      <w:pPr>
        <w:pStyle w:val="BodyText"/>
        <w:spacing w:line="240" w:lineRule="auto" w:before="22"/>
        <w:ind w:right="102"/>
        <w:jc w:val="left"/>
      </w:pPr>
      <w:r>
        <w:rPr/>
        <w:t>新计算确定折旧率和折旧额。</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489"/>
        <w:gridCol w:w="2110"/>
        <w:gridCol w:w="2232"/>
        <w:gridCol w:w="2725"/>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89"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40</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2489"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89"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2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5-10</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9.5%-19%</w:t>
            </w:r>
          </w:p>
        </w:tc>
      </w:tr>
    </w:tbl>
    <w:p>
      <w:pPr>
        <w:spacing w:line="240" w:lineRule="auto" w:before="2"/>
        <w:rPr>
          <w:rFonts w:ascii="宋体" w:hAnsi="宋体" w:cs="宋体" w:eastAsia="宋体" w:hint="default"/>
          <w:sz w:val="19"/>
          <w:szCs w:val="19"/>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02" w:firstLine="362"/>
        <w:jc w:val="left"/>
      </w:pPr>
      <w:r>
        <w:rPr/>
        <w:t>资产负债表日对固定资产逐项进行检查，如果由于市价持续下跌，或技术陈旧、损坏、长期闲置等原 </w:t>
      </w:r>
      <w:r>
        <w:rPr>
          <w:spacing w:val="-3"/>
        </w:rPr>
        <w:t>因导致其可回收金额低于账面价值的，则按照其差额计提固定资产减值准备，固定资产减值损失一经确认，</w:t>
      </w:r>
      <w:r>
        <w:rPr>
          <w:spacing w:val="-92"/>
        </w:rPr>
        <w:t> </w:t>
      </w:r>
      <w:r>
        <w:rPr>
          <w:spacing w:val="-92"/>
        </w:rPr>
      </w:r>
      <w:r>
        <w:rPr/>
        <w:t>在以后会计期间不再转回。可收回金额根据资产的公允价值减去处置费用后的净额与资产预计未来现金流</w:t>
      </w:r>
      <w:r>
        <w:rPr/>
        <w:t> 量的现值两者之间较高者确定。资产未来现金流量的现值则按照资产在持续使用过程中和最终处置时所产 生的预计未来现金流量，选择恰当的折现率对其进行折现后的金额加以确定。</w:t>
      </w:r>
    </w:p>
    <w:p>
      <w:pPr>
        <w:spacing w:line="240" w:lineRule="auto" w:before="8"/>
        <w:rPr>
          <w:rFonts w:ascii="宋体" w:hAnsi="宋体" w:cs="宋体" w:eastAsia="宋体" w:hint="default"/>
          <w:sz w:val="23"/>
          <w:szCs w:val="23"/>
        </w:rPr>
      </w:pPr>
    </w:p>
    <w:p>
      <w:pPr>
        <w:pStyle w:val="Heading3"/>
        <w:spacing w:line="240" w:lineRule="auto"/>
        <w:ind w:left="153" w:right="102"/>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spacing w:line="506" w:lineRule="auto" w:before="0"/>
        <w:ind w:left="469" w:right="4265" w:hanging="31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本公司在建工程按实际成本计量，按立项项目分类核算。</w:t>
      </w:r>
    </w:p>
    <w:p>
      <w:pPr>
        <w:spacing w:after="0" w:line="50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3" w:right="102" w:firstLine="360"/>
        <w:jc w:val="left"/>
      </w:pPr>
      <w:r>
        <w:rPr/>
        <w:t>在建工程按各项工程所发生的实际支出核算，在达到预定可使用状态时转作固定资产。所建造的固定 </w:t>
      </w:r>
      <w:r>
        <w:rPr>
          <w:spacing w:val="-3"/>
        </w:rPr>
        <w:t>资产已达到预定可使用状态，但尚未办理竣工决算手续的，自达到预定可使用状态之日起，根据工程预算、</w:t>
      </w:r>
      <w:r>
        <w:rPr>
          <w:spacing w:val="-90"/>
        </w:rPr>
        <w:t> </w:t>
      </w:r>
      <w:r>
        <w:rPr>
          <w:spacing w:val="-90"/>
        </w:rPr>
      </w:r>
      <w:r>
        <w:rPr/>
        <w:t>造价或者工程实际成本等，按估计的价值转入固定资产，并计提固定资产的折旧，待办理了竣工决算手续</w:t>
      </w:r>
      <w:r>
        <w:rPr/>
        <w:t> 后再对原估计值进行调整。为购建或者生产符合资本化条件的资产而借入的专门借款或占用了一般借款发 生的借款利息以及专门借款发生的辅助费用，在所购建或者生产的符合资本化条件的资产达到预定可使用 或者可销售状态之前根据其发生额予以资本化。</w:t>
      </w:r>
    </w:p>
    <w:p>
      <w:pPr>
        <w:spacing w:line="590" w:lineRule="atLeast" w:before="7"/>
        <w:ind w:left="574"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期末对在建工程逐项进行检查，如果有证据表明，在建工程已经发生了减值，则计提减值准备。在建</w:t>
      </w:r>
    </w:p>
    <w:p>
      <w:pPr>
        <w:pStyle w:val="BodyText"/>
        <w:spacing w:line="240" w:lineRule="auto" w:before="37"/>
        <w:ind w:right="102"/>
        <w:jc w:val="left"/>
      </w:pPr>
      <w:r>
        <w:rPr/>
        <w:t>工程减值损失一经确认，在以后会计期间不转回。</w:t>
      </w:r>
    </w:p>
    <w:p>
      <w:pPr>
        <w:spacing w:line="240" w:lineRule="auto" w:before="11"/>
        <w:rPr>
          <w:rFonts w:ascii="宋体" w:hAnsi="宋体" w:cs="宋体" w:eastAsia="宋体" w:hint="default"/>
          <w:sz w:val="25"/>
          <w:szCs w:val="25"/>
        </w:rPr>
      </w:pPr>
    </w:p>
    <w:p>
      <w:pPr>
        <w:pStyle w:val="Heading3"/>
        <w:spacing w:line="240" w:lineRule="auto"/>
        <w:ind w:right="102"/>
        <w:jc w:val="left"/>
        <w:rPr>
          <w:b w:val="0"/>
          <w:bCs w:val="0"/>
        </w:rPr>
      </w:pPr>
      <w:r>
        <w:rPr>
          <w:rFonts w:ascii="Times New Roman" w:hAnsi="Times New Roman" w:cs="Times New Roman" w:eastAsia="Times New Roman" w:hint="default"/>
        </w:rPr>
        <w:t>14</w:t>
      </w:r>
      <w:r>
        <w:rPr/>
        <w:t>、借款费用</w:t>
      </w:r>
      <w:r>
        <w:rPr>
          <w:b w:val="0"/>
          <w:bCs w:val="0"/>
        </w:rPr>
      </w:r>
    </w:p>
    <w:p>
      <w:pPr>
        <w:spacing w:line="590" w:lineRule="atLeast" w:before="23"/>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pStyle w:val="BodyText"/>
        <w:spacing w:line="273" w:lineRule="auto" w:before="37"/>
        <w:ind w:left="573" w:right="2271" w:hanging="420"/>
        <w:jc w:val="left"/>
      </w:pPr>
      <w:r>
        <w:rPr/>
        <w:t>关资产成本；其他借款费用，在发生时根据其发生额确认为费用，计入当期损益。 借款费用同时满足下列条件时开始资本化：</w:t>
      </w:r>
    </w:p>
    <w:p>
      <w:pPr>
        <w:pStyle w:val="BodyText"/>
        <w:spacing w:line="273" w:lineRule="auto" w:before="7"/>
        <w:ind w:left="153" w:right="102" w:firstLine="420"/>
        <w:jc w:val="left"/>
      </w:pPr>
      <w:r>
        <w:rPr>
          <w:spacing w:val="-1"/>
        </w:rPr>
        <w:t>①资产支出已经发生，资产支出包括为购建或者生产符合资本化条件的资产而以支付现金、转移非现</w:t>
      </w:r>
      <w:r>
        <w:rPr/>
        <w:t> 金资产或者承担带息债务形式发生的支出；</w:t>
      </w:r>
    </w:p>
    <w:p>
      <w:pPr>
        <w:pStyle w:val="BodyText"/>
        <w:spacing w:line="240" w:lineRule="auto" w:before="7"/>
        <w:ind w:left="573" w:right="102"/>
        <w:jc w:val="left"/>
      </w:pPr>
      <w:r>
        <w:rPr/>
        <w:t>②借款费用已经发生；</w:t>
      </w:r>
    </w:p>
    <w:p>
      <w:pPr>
        <w:pStyle w:val="BodyText"/>
        <w:spacing w:line="240" w:lineRule="auto" w:before="37"/>
        <w:ind w:left="573" w:right="102"/>
        <w:jc w:val="left"/>
      </w:pPr>
      <w:r>
        <w:rPr/>
        <w:t>③为使资产达到预定可使用或者可销售状态所必要的购建或者生产活动已经开始。</w:t>
      </w:r>
    </w:p>
    <w:p>
      <w:pPr>
        <w:spacing w:line="590" w:lineRule="atLeast" w:before="39"/>
        <w:ind w:left="573" w:right="17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购建或者生产符合资本化条件的资产达到预定可使用或者可销售状态时，借款费用应当停止资本化。</w:t>
      </w:r>
    </w:p>
    <w:p>
      <w:pPr>
        <w:pStyle w:val="BodyText"/>
        <w:spacing w:line="273" w:lineRule="auto" w:before="37"/>
        <w:ind w:left="153" w:right="102"/>
        <w:jc w:val="left"/>
      </w:pPr>
      <w:r>
        <w:rPr>
          <w:spacing w:val="-1"/>
        </w:rPr>
        <w:t>在符合资本化条件的资产达到预定可使用或者可销售状态之后所发生的借款费用，应当在发生时根据其发</w:t>
      </w:r>
      <w:r>
        <w:rPr>
          <w:spacing w:val="-81"/>
        </w:rPr>
        <w:t> </w:t>
      </w:r>
      <w:r>
        <w:rPr>
          <w:spacing w:val="-81"/>
        </w:rPr>
      </w:r>
      <w:r>
        <w:rPr/>
        <w:t>生额确认为费用，计入当期损益。</w:t>
      </w:r>
    </w:p>
    <w:p>
      <w:pPr>
        <w:pStyle w:val="BodyText"/>
        <w:spacing w:line="612" w:lineRule="exact" w:before="64"/>
        <w:ind w:left="574" w:right="102"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t>符合资本化条件的资产在购建或者生产过程中发生非正常中断、且中断时间连续超过</w:t>
      </w:r>
      <w:r>
        <w:rPr>
          <w:rFonts w:ascii="Times New Roman" w:hAnsi="Times New Roman" w:cs="Times New Roman" w:eastAsia="Times New Roman" w:hint="default"/>
        </w:rPr>
        <w:t>3</w:t>
      </w:r>
      <w:r>
        <w:rPr/>
        <w:t>个月的，应当</w:t>
      </w:r>
    </w:p>
    <w:p>
      <w:pPr>
        <w:pStyle w:val="BodyText"/>
        <w:spacing w:line="219" w:lineRule="exact"/>
        <w:ind w:right="102"/>
        <w:jc w:val="left"/>
      </w:pPr>
      <w:r>
        <w:rPr/>
        <w:t>暂停借款费用的资本化。在中断期间发生的借款费用应当确认为费用，计入当期损益，直至资产的购建或</w:t>
      </w:r>
    </w:p>
    <w:p>
      <w:pPr>
        <w:pStyle w:val="BodyText"/>
        <w:spacing w:line="273" w:lineRule="auto" w:before="37"/>
        <w:ind w:right="102"/>
        <w:jc w:val="left"/>
      </w:pPr>
      <w:r>
        <w:rPr>
          <w:spacing w:val="-1"/>
        </w:rPr>
        <w:t>者生产活动重新开始。如果中断是所购建或者生产的符合资本化条件的资产达到预定可使用或者可销售状</w:t>
      </w:r>
      <w:r>
        <w:rPr>
          <w:spacing w:val="-81"/>
        </w:rPr>
        <w:t> </w:t>
      </w:r>
      <w:r>
        <w:rPr>
          <w:spacing w:val="-81"/>
        </w:rPr>
      </w:r>
      <w:r>
        <w:rPr/>
        <w:t>态必要的程序，借款费用的资本化应当继续进行。</w:t>
      </w:r>
    </w:p>
    <w:p>
      <w:pPr>
        <w:spacing w:line="590" w:lineRule="atLeast" w:before="9"/>
        <w:ind w:left="57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273" w:lineRule="auto" w:before="37"/>
        <w:ind w:right="170"/>
        <w:jc w:val="left"/>
      </w:pPr>
      <w:r>
        <w:rPr/>
        <w:t>投资收益）及其辅助费用在所购建或者生产的符合资本化条件的资产达到预定可使用或者可销售状态前， 予以资本化。</w:t>
      </w:r>
    </w:p>
    <w:p>
      <w:pPr>
        <w:pStyle w:val="BodyText"/>
        <w:spacing w:line="240" w:lineRule="auto" w:before="6"/>
        <w:ind w:left="574" w:right="102"/>
        <w:jc w:val="left"/>
      </w:pPr>
      <w:r>
        <w:rPr>
          <w:spacing w:val="3"/>
        </w:rPr>
        <w:t>一般借款应予资本化的利息金额根据累计资产支出超过专门借款部分的资产支出按年加权平均数乘</w:t>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73" w:lineRule="auto" w:before="35"/>
        <w:ind w:left="573" w:right="102" w:hanging="420"/>
        <w:jc w:val="left"/>
      </w:pPr>
      <w:r>
        <w:rPr/>
        <w:t>以所占用一般借款的资本化率计算确定。资本化率根据一般借款加权平均利率计算确定。 </w:t>
      </w:r>
      <w:r>
        <w:rPr>
          <w:spacing w:val="-1"/>
        </w:rPr>
        <w:t>借款存在折价或者溢价的，按照实际利率法确定每一会计期间应摊销的折价或者溢价金额，调整每期</w:t>
      </w:r>
    </w:p>
    <w:p>
      <w:pPr>
        <w:pStyle w:val="BodyText"/>
        <w:spacing w:line="240" w:lineRule="auto" w:before="7"/>
        <w:ind w:left="153" w:right="102"/>
        <w:jc w:val="left"/>
      </w:pPr>
      <w:r>
        <w:rPr/>
        <w:t>利息金额。</w:t>
      </w:r>
    </w:p>
    <w:p>
      <w:pPr>
        <w:spacing w:line="240" w:lineRule="auto" w:before="11"/>
        <w:rPr>
          <w:rFonts w:ascii="宋体" w:hAnsi="宋体" w:cs="宋体" w:eastAsia="宋体" w:hint="default"/>
          <w:sz w:val="25"/>
          <w:szCs w:val="25"/>
        </w:rPr>
      </w:pPr>
    </w:p>
    <w:p>
      <w:pPr>
        <w:pStyle w:val="Heading3"/>
        <w:spacing w:line="240" w:lineRule="auto"/>
        <w:ind w:left="153" w:right="102"/>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102"/>
        <w:jc w:val="left"/>
      </w:pPr>
      <w:r>
        <w:rPr>
          <w:rFonts w:ascii="Times New Roman" w:hAnsi="Times New Roman" w:cs="Times New Roman" w:eastAsia="Times New Roman" w:hint="default"/>
        </w:rPr>
        <w:t>a</w:t>
      </w:r>
      <w:r>
        <w:rPr/>
        <w:t>、无形资产按成本进行初始计量。购入的无形资产，按实际支付的价款和相关支出作为实际成本。 </w:t>
      </w:r>
      <w:r>
        <w:rPr>
          <w:rFonts w:ascii="Times New Roman" w:hAnsi="Times New Roman" w:cs="Times New Roman" w:eastAsia="Times New Roman" w:hint="default"/>
        </w:rPr>
        <w:t>b</w:t>
      </w:r>
      <w:r>
        <w:rPr/>
        <w:t>、自行开发的无形资产，其成本包括自满足无形资产确认规定后至达到预定用途前所发生的支出总</w:t>
      </w:r>
    </w:p>
    <w:p>
      <w:pPr>
        <w:pStyle w:val="BodyText"/>
        <w:spacing w:line="240" w:lineRule="auto" w:before="5"/>
        <w:ind w:left="153" w:right="102"/>
        <w:jc w:val="left"/>
      </w:pPr>
      <w:r>
        <w:rPr/>
        <w:t>额。以前期间已经费用化的支出不再调整。</w:t>
      </w:r>
    </w:p>
    <w:p>
      <w:pPr>
        <w:pStyle w:val="BodyText"/>
        <w:spacing w:line="256" w:lineRule="auto" w:before="37"/>
        <w:ind w:left="153" w:right="102" w:firstLine="420"/>
        <w:jc w:val="left"/>
      </w:pPr>
      <w:r>
        <w:rPr>
          <w:rFonts w:ascii="Times New Roman" w:hAnsi="Times New Roman" w:cs="Times New Roman" w:eastAsia="Times New Roman" w:hint="default"/>
        </w:rPr>
        <w:t>c</w:t>
      </w:r>
      <w:r>
        <w:rPr/>
        <w:t>、投资者投入的无形资产，按投资合同或协议约定的价值确定实际成本，但合同或协议约定价值不</w:t>
      </w:r>
      <w:r>
        <w:rPr>
          <w:spacing w:val="2"/>
        </w:rPr>
        <w:t> </w:t>
      </w:r>
      <w:r>
        <w:rPr/>
        <w:t>公允的，按公允价值确定实际成本。</w:t>
      </w:r>
    </w:p>
    <w:p>
      <w:pPr>
        <w:spacing w:line="240" w:lineRule="auto" w:before="10"/>
        <w:rPr>
          <w:rFonts w:ascii="宋体" w:hAnsi="宋体" w:cs="宋体" w:eastAsia="宋体" w:hint="default"/>
          <w:sz w:val="24"/>
          <w:szCs w:val="24"/>
        </w:rPr>
      </w:pPr>
    </w:p>
    <w:p>
      <w:pPr>
        <w:spacing w:line="506" w:lineRule="auto" w:before="0"/>
        <w:ind w:left="573" w:right="101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z w:val="21"/>
          <w:szCs w:val="21"/>
        </w:rPr>
        <w:t>使用寿命有限的无形资产自可供使用时起，在其预计使用寿命内采用直线法分期平均摊销。</w:t>
      </w:r>
    </w:p>
    <w:p>
      <w:pPr>
        <w:spacing w:line="240" w:lineRule="auto" w:before="1"/>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4938"/>
        <w:gridCol w:w="4797"/>
      </w:tblGrid>
      <w:tr>
        <w:trPr>
          <w:trHeight w:val="402" w:hRule="exact"/>
        </w:trPr>
        <w:tc>
          <w:tcPr>
            <w:tcW w:w="4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401" w:hRule="exact"/>
        </w:trPr>
        <w:tc>
          <w:tcPr>
            <w:tcW w:w="49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软件及软件著作权</w:t>
            </w:r>
          </w:p>
        </w:tc>
        <w:tc>
          <w:tcPr>
            <w:tcW w:w="4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6" w:hRule="exact"/>
        </w:trPr>
        <w:tc>
          <w:tcPr>
            <w:tcW w:w="49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4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4" w:hRule="exact"/>
        </w:trPr>
        <w:tc>
          <w:tcPr>
            <w:tcW w:w="49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11"/>
        <w:rPr>
          <w:rFonts w:ascii="宋体" w:hAnsi="宋体" w:cs="宋体" w:eastAsia="宋体" w:hint="default"/>
          <w:sz w:val="19"/>
          <w:szCs w:val="19"/>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 w:firstLine="420"/>
        <w:jc w:val="left"/>
      </w:pPr>
      <w:r>
        <w:rPr>
          <w:spacing w:val="-1"/>
        </w:rPr>
        <w:t>使用寿命不确定的无形资产不予摊销，但每年均应对该无形资产的使用寿命进行复核，并进行减值测</w:t>
      </w:r>
      <w:r>
        <w:rPr/>
        <w:t> 试。</w:t>
      </w:r>
    </w:p>
    <w:p>
      <w:pPr>
        <w:spacing w:line="590" w:lineRule="atLeast" w:before="9"/>
        <w:ind w:left="574"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资产负债表日，公司检查各项无形资产预计给企业带来未来经济利益的能力，对预计可收回金额低于</w:t>
      </w:r>
    </w:p>
    <w:p>
      <w:pPr>
        <w:pStyle w:val="BodyText"/>
        <w:spacing w:line="273" w:lineRule="auto" w:before="37"/>
        <w:ind w:right="102"/>
        <w:jc w:val="left"/>
      </w:pPr>
      <w:r>
        <w:rPr>
          <w:spacing w:val="-1"/>
        </w:rPr>
        <w:t>其账面价值的，按单项预计可收回金额并将其与账面价值的差额计提减值准备。无形资产减值损失一经确</w:t>
      </w:r>
      <w:r>
        <w:rPr>
          <w:spacing w:val="-81"/>
        </w:rPr>
        <w:t> </w:t>
      </w:r>
      <w:r>
        <w:rPr>
          <w:spacing w:val="-81"/>
        </w:rPr>
      </w:r>
      <w:r>
        <w:rPr/>
        <w:t>认，在以后会计期间不得转回。</w:t>
      </w:r>
    </w:p>
    <w:p>
      <w:pPr>
        <w:spacing w:line="240" w:lineRule="auto" w:before="8"/>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4" w:right="102"/>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40" w:lineRule="auto" w:before="7"/>
        <w:ind w:right="102"/>
        <w:jc w:val="left"/>
      </w:pPr>
      <w:r>
        <w:rPr/>
        <w:t>的或具有实质性改进的材料、装置、产品等活动的阶段。</w:t>
      </w:r>
    </w:p>
    <w:p>
      <w:pPr>
        <w:spacing w:line="240" w:lineRule="auto" w:before="11"/>
        <w:rPr>
          <w:rFonts w:ascii="宋体" w:hAnsi="宋体" w:cs="宋体" w:eastAsia="宋体" w:hint="default"/>
          <w:sz w:val="25"/>
          <w:szCs w:val="25"/>
        </w:rPr>
      </w:pPr>
    </w:p>
    <w:p>
      <w:pPr>
        <w:pStyle w:val="Heading3"/>
        <w:spacing w:line="240" w:lineRule="auto"/>
        <w:ind w:right="102"/>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4" w:right="2270"/>
        <w:jc w:val="left"/>
      </w:pPr>
      <w:r>
        <w:rPr/>
        <w:t>内部研究开发项目研究阶段的支出，于发生时计入当期损益。 公司内部研究开发项目开发阶段的支出，符合下列各项时，确认为无形资产：</w:t>
      </w:r>
    </w:p>
    <w:p>
      <w:pPr>
        <w:spacing w:after="0" w:line="273"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left="574" w:right="102"/>
        <w:jc w:val="left"/>
      </w:pPr>
      <w:r>
        <w:rPr/>
        <w:t>①从技术上来讲，完成该无形资产以使其能够使用或出售具有可行性；</w:t>
      </w:r>
    </w:p>
    <w:p>
      <w:pPr>
        <w:pStyle w:val="BodyText"/>
        <w:spacing w:line="240" w:lineRule="auto" w:before="37"/>
        <w:ind w:left="573" w:right="102"/>
        <w:jc w:val="left"/>
      </w:pPr>
      <w:r>
        <w:rPr/>
        <w:t>②具有完成该无形资产并使用或出售的意图；</w:t>
      </w:r>
    </w:p>
    <w:p>
      <w:pPr>
        <w:pStyle w:val="BodyText"/>
        <w:spacing w:line="273" w:lineRule="auto" w:before="37"/>
        <w:ind w:left="153" w:right="102" w:firstLine="420"/>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before="7"/>
        <w:ind w:left="153" w:right="102" w:firstLine="420"/>
        <w:jc w:val="left"/>
      </w:pPr>
      <w:r>
        <w:rPr>
          <w:spacing w:val="-1"/>
        </w:rPr>
        <w:t>④有足够的技术、财务资源和其他资源支持，以完成该无形资产的开发，并有能力使用或出售该无形</w:t>
      </w:r>
      <w:r>
        <w:rPr/>
        <w:t> 资产；</w:t>
      </w:r>
    </w:p>
    <w:p>
      <w:pPr>
        <w:pStyle w:val="BodyText"/>
        <w:spacing w:line="240" w:lineRule="auto" w:before="7"/>
        <w:ind w:left="573" w:right="102"/>
        <w:jc w:val="left"/>
      </w:pPr>
      <w:r>
        <w:rPr/>
        <w:t>⑤归属于该无形资产开发阶段的支出能够可靠地计量。</w:t>
      </w:r>
    </w:p>
    <w:p>
      <w:pPr>
        <w:pStyle w:val="BodyText"/>
        <w:spacing w:line="590" w:lineRule="atLeast" w:before="39"/>
        <w:ind w:left="573" w:right="102" w:hanging="420"/>
        <w:jc w:val="left"/>
      </w:pPr>
      <w:r>
        <w:rPr>
          <w:rFonts w:ascii="Times New Roman" w:hAnsi="Times New Roman" w:cs="Times New Roman" w:eastAsia="Times New Roman" w:hint="default"/>
          <w:b/>
          <w:bCs/>
        </w:rPr>
        <w:t>16</w:t>
      </w:r>
      <w:r>
        <w:rPr>
          <w:rFonts w:ascii="宋体" w:hAnsi="宋体" w:cs="宋体" w:eastAsia="宋体" w:hint="default"/>
          <w:b/>
          <w:bCs/>
        </w:rPr>
        <w:t>、长期待摊费用</w:t>
      </w:r>
      <w:r>
        <w:rPr>
          <w:rFonts w:ascii="宋体" w:hAnsi="宋体" w:cs="宋体" w:eastAsia="宋体" w:hint="default"/>
          <w:b/>
          <w:bCs/>
          <w:spacing w:val="1"/>
          <w:w w:val="99"/>
        </w:rPr>
        <w:t> </w:t>
      </w:r>
      <w:r>
        <w:rPr>
          <w:spacing w:val="-1"/>
        </w:rPr>
        <w:t>长期待摊费用是指已经支出，但受益期限在一年以上（不含一年）的各项费用，长期待摊费用按发生</w:t>
      </w:r>
    </w:p>
    <w:p>
      <w:pPr>
        <w:pStyle w:val="BodyText"/>
        <w:spacing w:line="273" w:lineRule="auto" w:before="37"/>
        <w:ind w:left="153" w:right="102"/>
        <w:jc w:val="left"/>
      </w:pPr>
      <w:r>
        <w:rPr>
          <w:spacing w:val="-1"/>
        </w:rPr>
        <w:t>时的实际成本计价，并在受益期限内平均摊销。如果长期待摊费用项目不能使以后会计期间受益的，则将</w:t>
      </w:r>
      <w:r>
        <w:rPr>
          <w:spacing w:val="-83"/>
        </w:rPr>
        <w:t> </w:t>
      </w:r>
      <w:r>
        <w:rPr>
          <w:spacing w:val="-83"/>
        </w:rPr>
      </w:r>
      <w:r>
        <w:rPr/>
        <w:t>尚未摊销的该项目的摊余价值全部转入当期损益。</w:t>
      </w:r>
    </w:p>
    <w:p>
      <w:pPr>
        <w:spacing w:line="240" w:lineRule="auto" w:before="8"/>
        <w:rPr>
          <w:rFonts w:ascii="宋体" w:hAnsi="宋体" w:cs="宋体" w:eastAsia="宋体" w:hint="default"/>
          <w:sz w:val="23"/>
          <w:szCs w:val="23"/>
        </w:rPr>
      </w:pPr>
    </w:p>
    <w:p>
      <w:pPr>
        <w:pStyle w:val="Heading3"/>
        <w:spacing w:line="240" w:lineRule="auto"/>
        <w:ind w:left="153" w:right="102"/>
        <w:jc w:val="left"/>
        <w:rPr>
          <w:b w:val="0"/>
          <w:bCs w:val="0"/>
        </w:rPr>
      </w:pPr>
      <w:r>
        <w:rPr>
          <w:rFonts w:ascii="Times New Roman" w:hAnsi="Times New Roman" w:cs="Times New Roman" w:eastAsia="Times New Roman" w:hint="default"/>
        </w:rPr>
        <w:t>17</w:t>
      </w:r>
      <w:r>
        <w:rPr/>
        <w:t>、预计负债</w:t>
      </w:r>
      <w:r>
        <w:rPr>
          <w:b w:val="0"/>
          <w:bCs w:val="0"/>
        </w:rPr>
      </w:r>
    </w:p>
    <w:p>
      <w:pPr>
        <w:spacing w:line="590" w:lineRule="atLeast" w:before="23"/>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当与对外担保、未决诉讼或仲裁、产品质量保证、裁员计划、亏损合同、重组义务、固定资产弃置义</w:t>
      </w:r>
    </w:p>
    <w:p>
      <w:pPr>
        <w:pStyle w:val="BodyText"/>
        <w:spacing w:line="240" w:lineRule="auto" w:before="37"/>
        <w:ind w:left="153" w:right="102"/>
        <w:jc w:val="left"/>
      </w:pPr>
      <w:r>
        <w:rPr/>
        <w:t>务等或有事项相关的业务同时符合以下条件时，确认为负债：</w:t>
      </w:r>
    </w:p>
    <w:p>
      <w:pPr>
        <w:pStyle w:val="BodyText"/>
        <w:spacing w:line="240" w:lineRule="auto" w:before="37"/>
        <w:ind w:left="573" w:right="102"/>
        <w:jc w:val="left"/>
      </w:pPr>
      <w:r>
        <w:rPr/>
        <w:t>①该义务是公司承担的现时义务；</w:t>
      </w:r>
    </w:p>
    <w:p>
      <w:pPr>
        <w:pStyle w:val="BodyText"/>
        <w:spacing w:line="240" w:lineRule="auto" w:before="37"/>
        <w:ind w:left="573" w:right="102"/>
        <w:jc w:val="left"/>
      </w:pPr>
      <w:r>
        <w:rPr/>
        <w:t>②履行该义务很可能导致经济利益流出公司；</w:t>
      </w:r>
    </w:p>
    <w:p>
      <w:pPr>
        <w:pStyle w:val="BodyText"/>
        <w:spacing w:line="240" w:lineRule="auto" w:before="37"/>
        <w:ind w:left="573" w:right="102"/>
        <w:jc w:val="left"/>
      </w:pPr>
      <w:r>
        <w:rPr/>
        <w:t>③该义务的金额能够可靠地计量。</w:t>
      </w:r>
    </w:p>
    <w:p>
      <w:pPr>
        <w:spacing w:line="590" w:lineRule="atLeast" w:before="39"/>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3"/>
          <w:sz w:val="21"/>
          <w:szCs w:val="21"/>
        </w:rPr>
        <w:t>预计负债按照履行现时义务所需支出的最佳估计数进行精算并初始计量。所需支出存在一个连续范</w:t>
      </w:r>
    </w:p>
    <w:p>
      <w:pPr>
        <w:pStyle w:val="BodyText"/>
        <w:spacing w:line="273" w:lineRule="auto" w:before="37"/>
        <w:ind w:left="153" w:right="102"/>
        <w:jc w:val="left"/>
      </w:pPr>
      <w:r>
        <w:rPr>
          <w:spacing w:val="-1"/>
        </w:rPr>
        <w:t>围，且该范围内各种结果发生的可能性相同的最佳估计数按该范围的中间值确定；在其他情况下，最佳估</w:t>
      </w:r>
      <w:r>
        <w:rPr>
          <w:spacing w:val="-83"/>
        </w:rPr>
        <w:t> </w:t>
      </w:r>
      <w:r>
        <w:rPr>
          <w:spacing w:val="-83"/>
        </w:rPr>
      </w:r>
      <w:r>
        <w:rPr/>
        <w:t>计数按如下方法确定：</w:t>
      </w:r>
    </w:p>
    <w:p>
      <w:pPr>
        <w:pStyle w:val="BodyText"/>
        <w:spacing w:line="240" w:lineRule="auto" w:before="7"/>
        <w:ind w:left="573" w:right="102"/>
        <w:jc w:val="left"/>
      </w:pPr>
      <w:r>
        <w:rPr/>
        <w:t>①或有事项涉及单个项目时，最佳估计数按最可能发生金额确定；</w:t>
      </w:r>
    </w:p>
    <w:p>
      <w:pPr>
        <w:pStyle w:val="BodyText"/>
        <w:spacing w:line="273" w:lineRule="auto" w:before="37"/>
        <w:ind w:left="573" w:right="102"/>
        <w:jc w:val="left"/>
      </w:pPr>
      <w:r>
        <w:rPr/>
        <w:t>②或有事项涉及多个项目时，最佳估计数按各种可能发生额及其发生概率计算确定。 </w:t>
      </w:r>
      <w:r>
        <w:rPr>
          <w:spacing w:val="-1"/>
        </w:rPr>
        <w:t>公司清偿预计负债所需支出全部或部分预期由第三方或其他方补偿的，则补偿金额在基本确定能收到</w:t>
      </w:r>
    </w:p>
    <w:p>
      <w:pPr>
        <w:pStyle w:val="BodyText"/>
        <w:spacing w:line="240" w:lineRule="auto" w:before="7"/>
        <w:ind w:left="153" w:right="102"/>
        <w:jc w:val="left"/>
      </w:pPr>
      <w:r>
        <w:rPr/>
        <w:t>时，作为资产单独确认。确认的补偿金额不超过所确认预计负债的账面价值。</w:t>
      </w:r>
    </w:p>
    <w:p>
      <w:pPr>
        <w:spacing w:line="240" w:lineRule="auto" w:before="11"/>
        <w:rPr>
          <w:rFonts w:ascii="宋体" w:hAnsi="宋体" w:cs="宋体" w:eastAsia="宋体" w:hint="default"/>
          <w:sz w:val="25"/>
          <w:szCs w:val="25"/>
        </w:rPr>
      </w:pPr>
    </w:p>
    <w:p>
      <w:pPr>
        <w:pStyle w:val="Heading3"/>
        <w:spacing w:line="240" w:lineRule="auto"/>
        <w:ind w:left="153" w:right="102"/>
        <w:jc w:val="left"/>
        <w:rPr>
          <w:b w:val="0"/>
          <w:bCs w:val="0"/>
        </w:rPr>
      </w:pPr>
      <w:r>
        <w:rPr>
          <w:rFonts w:ascii="Times New Roman" w:hAnsi="Times New Roman" w:cs="Times New Roman" w:eastAsia="Times New Roman" w:hint="default"/>
        </w:rPr>
        <w:t>18</w:t>
      </w:r>
      <w:r>
        <w:rPr/>
        <w:t>、收入</w:t>
      </w:r>
      <w:r>
        <w:rPr>
          <w:b w:val="0"/>
          <w:bCs w:val="0"/>
        </w:rPr>
      </w:r>
    </w:p>
    <w:p>
      <w:pPr>
        <w:spacing w:line="590" w:lineRule="atLeast" w:before="23"/>
        <w:ind w:left="514" w:right="230" w:hanging="3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公司已将商品所有权上的主要风险和报酬转移给购买方；公司既没有保留与所有权相联系的继续管理</w:t>
      </w:r>
    </w:p>
    <w:p>
      <w:pPr>
        <w:pStyle w:val="BodyText"/>
        <w:spacing w:line="273" w:lineRule="auto" w:before="37"/>
        <w:ind w:left="153" w:right="102"/>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spacing w:line="240" w:lineRule="auto" w:before="7"/>
        <w:rPr>
          <w:rFonts w:ascii="宋体" w:hAnsi="宋体" w:cs="宋体" w:eastAsia="宋体" w:hint="default"/>
          <w:sz w:val="23"/>
          <w:szCs w:val="23"/>
        </w:rPr>
      </w:pPr>
    </w:p>
    <w:p>
      <w:pPr>
        <w:spacing w:line="506" w:lineRule="auto" w:before="0"/>
        <w:ind w:left="454" w:right="4490" w:hanging="30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让渡资产使用权收入在下列条件均能满足时予以确认：</w:t>
      </w:r>
    </w:p>
    <w:p>
      <w:pPr>
        <w:spacing w:after="0" w:line="50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left="454" w:right="0"/>
        <w:jc w:val="left"/>
      </w:pPr>
      <w:r>
        <w:rPr/>
        <w:t>①相关的经济利益很可能流入公司。</w:t>
      </w:r>
    </w:p>
    <w:p>
      <w:pPr>
        <w:pStyle w:val="BodyText"/>
        <w:spacing w:line="240" w:lineRule="auto" w:before="37"/>
        <w:ind w:left="469" w:right="0"/>
        <w:jc w:val="left"/>
      </w:pPr>
      <w:r>
        <w:rPr/>
        <w:t>②收入的金额能够可靠计量。</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pStyle w:val="BodyText"/>
        <w:spacing w:line="240" w:lineRule="auto" w:before="141"/>
        <w:ind w:left="427" w:right="0"/>
        <w:jc w:val="left"/>
      </w:pPr>
      <w:r>
        <w:rPr/>
        <w:t>①收入的金额能够可靠计量。</w:t>
      </w:r>
    </w:p>
    <w:p>
      <w:pPr>
        <w:pStyle w:val="BodyText"/>
        <w:spacing w:line="240" w:lineRule="auto" w:before="37"/>
        <w:ind w:left="427" w:right="0"/>
        <w:jc w:val="left"/>
      </w:pPr>
      <w:r>
        <w:rPr/>
        <w:t>②相关的经济利益很可能流入企业。</w:t>
      </w:r>
    </w:p>
    <w:p>
      <w:pPr>
        <w:pStyle w:val="BodyText"/>
        <w:spacing w:line="240" w:lineRule="auto" w:before="37"/>
        <w:ind w:left="427" w:right="0"/>
        <w:jc w:val="left"/>
      </w:pPr>
      <w:r>
        <w:rPr/>
        <w:t>③交易的完工进度能够可靠确定。</w:t>
      </w:r>
    </w:p>
    <w:p>
      <w:pPr>
        <w:pStyle w:val="BodyText"/>
        <w:spacing w:line="273" w:lineRule="auto" w:before="37"/>
        <w:ind w:left="405" w:right="3429" w:firstLine="21"/>
        <w:jc w:val="left"/>
      </w:pPr>
      <w:r>
        <w:rPr/>
        <w:t>④交易中已发生的和将发生的成本能够可靠计量。 在同一个会计年度内开始并完工的劳务，在完成劳务时确认收入。</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r>
        <w:rPr>
          <w:rFonts w:ascii="Times New Roman" w:hAnsi="Times New Roman" w:cs="Times New Roman" w:eastAsia="Times New Roman" w:hint="default"/>
        </w:rPr>
        <w:t>19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）类型</w:t>
      </w:r>
      <w:r>
        <w:rPr>
          <w:b w:val="0"/>
          <w:bCs w:val="0"/>
        </w:rPr>
      </w:r>
    </w:p>
    <w:p>
      <w:pPr>
        <w:pStyle w:val="BodyText"/>
        <w:spacing w:line="240" w:lineRule="auto" w:before="142"/>
        <w:ind w:left="619" w:right="0"/>
        <w:jc w:val="left"/>
      </w:pPr>
      <w:r>
        <w:rPr/>
        <w:t>政府补助分为与资产相关的政府补助和与收益相关的政府补助。</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pStyle w:val="BodyText"/>
        <w:spacing w:line="273" w:lineRule="auto" w:before="141"/>
        <w:ind w:right="149" w:firstLine="420"/>
        <w:jc w:val="both"/>
      </w:pPr>
      <w:r>
        <w:rPr>
          <w:spacing w:val="-1"/>
        </w:rPr>
        <w:t>①政府补助为货币性资产的，按收到或应收的金额计量，政府补助为非货币性资产的，按公允价值计</w:t>
      </w:r>
      <w:r>
        <w:rPr/>
        <w:t> 量，如公允价值不能可靠取得，则按名义金额计量。</w:t>
      </w:r>
    </w:p>
    <w:p>
      <w:pPr>
        <w:pStyle w:val="BodyText"/>
        <w:spacing w:line="273" w:lineRule="auto" w:before="7"/>
        <w:ind w:right="148" w:firstLine="399"/>
        <w:jc w:val="both"/>
      </w:pPr>
      <w:r>
        <w:rPr/>
        <w:t>②与资产相关的政府补助，应确认为递延收益，并在相关资产使用寿命内平均分配，计入当期损益， </w:t>
      </w:r>
      <w:r>
        <w:rPr>
          <w:spacing w:val="-1"/>
        </w:rPr>
        <w:t>其中，按名义金额计量的政府补助直接计入当期损益。与收益相关的政府补助，用于补偿以后期间的相关</w:t>
      </w:r>
      <w:r>
        <w:rPr>
          <w:spacing w:val="-83"/>
        </w:rPr>
        <w:t> </w:t>
      </w:r>
      <w:r>
        <w:rPr>
          <w:spacing w:val="-83"/>
        </w:rPr>
      </w:r>
      <w:r>
        <w:rPr>
          <w:spacing w:val="-1"/>
        </w:rPr>
        <w:t>费用或损失的，应确认为递延收益，并在确认相关费用的期间计入当期损益，用于补偿已发生的相关费用</w:t>
      </w:r>
      <w:r>
        <w:rPr>
          <w:spacing w:val="-83"/>
        </w:rPr>
        <w:t> </w:t>
      </w:r>
      <w:r>
        <w:rPr>
          <w:spacing w:val="-83"/>
        </w:rPr>
      </w:r>
      <w:r>
        <w:rPr/>
        <w:t>或损失的，直接计入当期损益。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20</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spacing w:line="357" w:lineRule="auto" w:before="0"/>
        <w:ind w:left="604" w:right="0" w:hanging="45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公司以很可能取得用来抵扣可抵扣暂时性差异的应纳税所得额为限，确认由可抵扣暂时性差异产生的</w:t>
      </w:r>
    </w:p>
    <w:p>
      <w:pPr>
        <w:pStyle w:val="BodyText"/>
        <w:spacing w:line="210" w:lineRule="exact"/>
        <w:ind w:left="153" w:right="0"/>
        <w:jc w:val="left"/>
      </w:pPr>
      <w:r>
        <w:rPr/>
        <w:t>递延所得税资产。</w:t>
      </w:r>
    </w:p>
    <w:p>
      <w:pPr>
        <w:spacing w:line="240" w:lineRule="auto" w:before="9"/>
        <w:rPr>
          <w:rFonts w:ascii="宋体" w:hAnsi="宋体" w:cs="宋体" w:eastAsia="宋体" w:hint="default"/>
          <w:sz w:val="25"/>
          <w:szCs w:val="25"/>
        </w:rPr>
      </w:pPr>
    </w:p>
    <w:p>
      <w:pPr>
        <w:spacing w:line="357" w:lineRule="auto" w:before="0"/>
        <w:ind w:left="514" w:right="170" w:hanging="3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z w:val="21"/>
          <w:szCs w:val="21"/>
        </w:rPr>
        <w:t>公司将当期与以前期间应交未交的应纳税暂时性差异确认为递延所得税负债。但不包括商誉、非企业</w:t>
      </w:r>
    </w:p>
    <w:p>
      <w:pPr>
        <w:pStyle w:val="BodyText"/>
        <w:spacing w:line="210" w:lineRule="exact"/>
        <w:ind w:left="153" w:right="0"/>
        <w:jc w:val="left"/>
      </w:pPr>
      <w:r>
        <w:rPr/>
        <w:t>合并形成的交易且该交易发生时既不影响会计利润也不影响应纳税所得额所形成的暂时性差异。</w:t>
      </w:r>
    </w:p>
    <w:p>
      <w:pPr>
        <w:spacing w:line="600" w:lineRule="atLeast" w:before="26"/>
        <w:ind w:left="153" w:right="57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本报告期主要会计政策、会计估计是否变更</w:t>
      </w:r>
    </w:p>
    <w:p>
      <w:pPr>
        <w:pStyle w:val="BodyText"/>
        <w:spacing w:line="240" w:lineRule="auto" w:before="78"/>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600" w:lineRule="atLeast" w:before="11"/>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本报告期主要会计政策是否变更</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本报告期主要会计估计是否变更</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590" w:lineRule="atLeast" w:before="22"/>
        <w:ind w:left="154" w:right="68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本报告期是否发现前期会计差错</w:t>
      </w:r>
    </w:p>
    <w:p>
      <w:pPr>
        <w:pStyle w:val="BodyText"/>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600" w:lineRule="atLeast" w:before="11"/>
        <w:ind w:left="154" w:right="51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本报告期是否发现采用追溯重述法的前期会计差错</w:t>
      </w:r>
    </w:p>
    <w:p>
      <w:pPr>
        <w:pStyle w:val="BodyText"/>
        <w:spacing w:line="240" w:lineRule="auto" w:before="76"/>
        <w:ind w:right="0"/>
        <w:jc w:val="left"/>
      </w:pPr>
      <w:r>
        <w:rPr/>
        <w:t>□ 是 √</w:t>
      </w:r>
      <w:r>
        <w:rPr>
          <w:spacing w:val="-1"/>
        </w:rPr>
        <w:t> </w:t>
      </w:r>
      <w:r>
        <w:rPr/>
        <w:t>否</w:t>
      </w:r>
    </w:p>
    <w:p>
      <w:pPr>
        <w:spacing w:line="590" w:lineRule="atLeast" w:before="38"/>
        <w:ind w:left="154" w:right="51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本报告期是否发现采用未来适用法的前期会计差错</w:t>
      </w:r>
    </w:p>
    <w:p>
      <w:pPr>
        <w:pStyle w:val="BodyText"/>
        <w:spacing w:line="240" w:lineRule="auto" w:before="78"/>
        <w:ind w:right="0"/>
        <w:jc w:val="left"/>
      </w:pPr>
      <w:r>
        <w:rPr/>
        <w:t>□ 是 √</w:t>
      </w:r>
      <w:r>
        <w:rPr>
          <w:spacing w:val="-1"/>
        </w:rPr>
        <w:t> </w:t>
      </w:r>
      <w:r>
        <w:rPr/>
        <w:t>否</w:t>
      </w:r>
    </w:p>
    <w:p>
      <w:pPr>
        <w:pStyle w:val="Heading3"/>
        <w:spacing w:line="590" w:lineRule="atLeast" w:before="36"/>
        <w:ind w:left="566" w:right="4712" w:hanging="413"/>
        <w:jc w:val="left"/>
        <w:rPr>
          <w:b w:val="0"/>
          <w:bCs w:val="0"/>
        </w:rPr>
      </w:pPr>
      <w:r>
        <w:rPr>
          <w:rFonts w:ascii="Times New Roman" w:hAnsi="Times New Roman" w:cs="Times New Roman" w:eastAsia="Times New Roman" w:hint="default"/>
        </w:rPr>
        <w:t>23</w:t>
      </w:r>
      <w:r>
        <w:rPr/>
        <w:t>、其他主要会计政策、会计估计和财务报表编制方法</w:t>
      </w:r>
      <w:r>
        <w:rPr>
          <w:spacing w:val="1"/>
          <w:w w:val="99"/>
        </w:rPr>
        <w:t> </w:t>
      </w:r>
      <w:r>
        <w:rPr/>
        <w:t>资产减值</w:t>
      </w:r>
      <w:r>
        <w:rPr>
          <w:b w:val="0"/>
          <w:bCs w:val="0"/>
        </w:rPr>
      </w:r>
    </w:p>
    <w:p>
      <w:pPr>
        <w:pStyle w:val="BodyText"/>
        <w:spacing w:line="273" w:lineRule="auto" w:before="37"/>
        <w:ind w:right="149" w:firstLine="420"/>
        <w:jc w:val="both"/>
      </w:pPr>
      <w:r>
        <w:rPr>
          <w:spacing w:val="-1"/>
        </w:rPr>
        <w:t>资产减值，是指资产的可收回金额低于其账面价值。企业应当在资产负债表日判断资产是否存在可能</w:t>
      </w:r>
      <w:r>
        <w:rPr/>
        <w:t> </w:t>
      </w:r>
      <w:r>
        <w:rPr>
          <w:spacing w:val="-1"/>
        </w:rPr>
        <w:t>发生减值的迹象。当资产存在减值迹象时，估计其可收回金额，资产的可收回金额低于其账面价值的，将</w:t>
      </w:r>
      <w:r>
        <w:rPr>
          <w:spacing w:val="-82"/>
        </w:rPr>
        <w:t> </w:t>
      </w:r>
      <w:r>
        <w:rPr>
          <w:spacing w:val="-82"/>
        </w:rPr>
      </w:r>
      <w:r>
        <w:rPr>
          <w:spacing w:val="-1"/>
        </w:rPr>
        <w:t>资产的账面价值减记至可收回金额，减记的金额确认为资产减值损失，计入当期损益，同时计提相应的资</w:t>
      </w:r>
      <w:r>
        <w:rPr>
          <w:spacing w:val="-83"/>
        </w:rPr>
        <w:t> </w:t>
      </w:r>
      <w:r>
        <w:rPr>
          <w:spacing w:val="-83"/>
        </w:rPr>
      </w:r>
      <w:r>
        <w:rPr>
          <w:spacing w:val="-1"/>
        </w:rPr>
        <w:t>产减值准备。商誉和使用寿命不确定的无形资产，无论是否存在减值迹象，每年都应当进行减值测试。商</w:t>
      </w:r>
      <w:r>
        <w:rPr>
          <w:spacing w:val="-82"/>
        </w:rPr>
        <w:t> </w:t>
      </w:r>
      <w:r>
        <w:rPr>
          <w:spacing w:val="-82"/>
        </w:rPr>
      </w:r>
      <w:r>
        <w:rPr>
          <w:spacing w:val="-1"/>
        </w:rPr>
        <w:t>誉结合与其相关的资产组或者资产组组合进行减值测试。长期股权投资、固定资产、在建工程、无形资产</w:t>
      </w:r>
      <w:r>
        <w:rPr>
          <w:spacing w:val="-82"/>
        </w:rPr>
        <w:t> </w:t>
      </w:r>
      <w:r>
        <w:rPr>
          <w:spacing w:val="-82"/>
        </w:rPr>
      </w:r>
      <w:r>
        <w:rPr/>
        <w:t>等资产减值准备的计提依据、确定方法：</w:t>
      </w:r>
    </w:p>
    <w:p>
      <w:pPr>
        <w:pStyle w:val="BodyText"/>
        <w:spacing w:line="256" w:lineRule="auto" w:before="7"/>
        <w:ind w:right="151" w:firstLine="420"/>
        <w:jc w:val="both"/>
      </w:pPr>
      <w:r>
        <w:rPr>
          <w:rFonts w:ascii="Times New Roman" w:hAnsi="Times New Roman" w:cs="Times New Roman" w:eastAsia="Times New Roman" w:hint="default"/>
        </w:rPr>
        <w:t>a.</w:t>
      </w:r>
      <w:r>
        <w:rPr/>
        <w:t>公司在资产负债表日判断长期股权投资、固定资产、在建工程、无形资产等资产是否存在可能发生</w:t>
      </w:r>
      <w:r>
        <w:rPr>
          <w:spacing w:val="1"/>
        </w:rPr>
        <w:t> </w:t>
      </w:r>
      <w:r>
        <w:rPr/>
        <w:t>减值的迹象。存在下列迹象的，表明资产可能发生了减值：</w:t>
      </w:r>
    </w:p>
    <w:p>
      <w:pPr>
        <w:pStyle w:val="BodyText"/>
        <w:spacing w:line="240" w:lineRule="auto" w:before="22"/>
        <w:ind w:left="574" w:right="0"/>
        <w:jc w:val="left"/>
      </w:pPr>
      <w:r>
        <w:rPr/>
        <w:t>①资产的市价当期大幅下跌，其跌幅明显高于因时间的推移或者正常使用而预计的下跌。</w:t>
      </w:r>
    </w:p>
    <w:p>
      <w:pPr>
        <w:pStyle w:val="BodyText"/>
        <w:spacing w:line="273" w:lineRule="auto" w:before="37"/>
        <w:ind w:right="147" w:firstLine="420"/>
        <w:jc w:val="both"/>
      </w:pPr>
      <w:r>
        <w:rPr>
          <w:spacing w:val="3"/>
        </w:rPr>
        <w:t>②企业经营所处的经济、技术或者法律等环境以及资产所处的市场在当期或者将在近期发生重大变</w:t>
      </w:r>
      <w:r>
        <w:rPr/>
        <w:t> 化，从而对企业产生不利影响。</w:t>
      </w:r>
    </w:p>
    <w:p>
      <w:pPr>
        <w:pStyle w:val="BodyText"/>
        <w:spacing w:line="273" w:lineRule="auto" w:before="7"/>
        <w:ind w:right="149" w:firstLine="420"/>
        <w:jc w:val="both"/>
      </w:pPr>
      <w:r>
        <w:rPr>
          <w:spacing w:val="-1"/>
        </w:rPr>
        <w:t>③市场利率或者其他市场投资报酬率在当期已经提高，从而影响企业计算资产预计未来现金流量现值</w:t>
      </w:r>
      <w:r>
        <w:rPr/>
        <w:t> 的折现率导致资产可收回金额大幅度降低。</w:t>
      </w:r>
    </w:p>
    <w:p>
      <w:pPr>
        <w:pStyle w:val="BodyText"/>
        <w:spacing w:line="240" w:lineRule="auto" w:before="7"/>
        <w:ind w:left="574" w:right="0"/>
        <w:jc w:val="left"/>
      </w:pPr>
      <w:r>
        <w:rPr/>
        <w:t>④有证据表明资产已经陈旧过时或者其实体已经损坏。</w:t>
      </w:r>
    </w:p>
    <w:p>
      <w:pPr>
        <w:pStyle w:val="BodyText"/>
        <w:spacing w:line="240" w:lineRule="auto" w:before="37"/>
        <w:ind w:left="574" w:right="0"/>
        <w:jc w:val="left"/>
      </w:pPr>
      <w:r>
        <w:rPr/>
        <w:t>⑤资产已经或者将被闲置、终止使用或者计划提前处置。</w:t>
      </w:r>
    </w:p>
    <w:p>
      <w:pPr>
        <w:pStyle w:val="BodyText"/>
        <w:spacing w:line="273" w:lineRule="auto" w:before="37"/>
        <w:ind w:right="149" w:firstLine="420"/>
        <w:jc w:val="both"/>
      </w:pPr>
      <w:r>
        <w:rPr>
          <w:spacing w:val="-1"/>
        </w:rPr>
        <w:t>⑥企业内部报告的证据表明资产的经济绩效已经低于或者将低于预期，如资产所创造的净现金流量或</w:t>
      </w:r>
      <w:r>
        <w:rPr/>
        <w:t> 者实现的营业利润（或者亏损）远远低于（或者高于）预计金额等。</w:t>
      </w:r>
    </w:p>
    <w:p>
      <w:pPr>
        <w:pStyle w:val="BodyText"/>
        <w:spacing w:line="240" w:lineRule="auto" w:before="7"/>
        <w:ind w:left="574" w:right="0"/>
        <w:jc w:val="left"/>
      </w:pPr>
      <w:r>
        <w:rPr/>
        <w:t>⑦其他表明资产可能已经发生减值的迹象。</w:t>
      </w:r>
    </w:p>
    <w:p>
      <w:pPr>
        <w:pStyle w:val="BodyText"/>
        <w:spacing w:line="264" w:lineRule="auto" w:before="37"/>
        <w:ind w:right="147" w:firstLine="420"/>
        <w:jc w:val="both"/>
      </w:pPr>
      <w:r>
        <w:rPr>
          <w:rFonts w:ascii="Times New Roman" w:hAnsi="Times New Roman" w:cs="Times New Roman" w:eastAsia="Times New Roman" w:hint="default"/>
        </w:rPr>
        <w:t>b.</w:t>
      </w:r>
      <w:r>
        <w:rPr/>
        <w:t>资产存在减值迹象的，估计其可收回金额。可收回金额应当根据资产的公允价值减去处置费用后的</w:t>
      </w:r>
      <w:r>
        <w:rPr>
          <w:spacing w:val="1"/>
        </w:rPr>
        <w:t> </w:t>
      </w:r>
      <w:r>
        <w:rPr>
          <w:spacing w:val="-1"/>
        </w:rPr>
        <w:t>净额与资产预计未来现金流量的现值两者之间较高者确定。资产的公允价值减去处置费用后的净额与资产</w:t>
      </w:r>
      <w:r>
        <w:rPr>
          <w:spacing w:val="-81"/>
        </w:rPr>
        <w:t> </w:t>
      </w:r>
      <w:r>
        <w:rPr>
          <w:spacing w:val="-81"/>
        </w:rPr>
      </w:r>
      <w:r>
        <w:rPr>
          <w:spacing w:val="-1"/>
        </w:rPr>
        <w:t>预计未来现金流量的现值，只要有一项超过了资产的账面价值，就表明资产没有发生减值，不需再估计另</w:t>
      </w:r>
    </w:p>
    <w:p>
      <w:pPr>
        <w:spacing w:after="0" w:line="264"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一项金额。</w:t>
      </w:r>
    </w:p>
    <w:p>
      <w:pPr>
        <w:pStyle w:val="BodyText"/>
        <w:spacing w:line="273" w:lineRule="auto" w:before="37"/>
        <w:ind w:right="128" w:firstLine="420"/>
        <w:jc w:val="both"/>
      </w:pPr>
      <w:r>
        <w:rPr>
          <w:spacing w:val="-1"/>
        </w:rPr>
        <w:t>资产的公允价值减去处置费用后的净额，根据公平交易中销售协议价格减去可直接归属于该资产处置</w:t>
      </w:r>
      <w:r>
        <w:rPr/>
        <w:t> </w:t>
      </w:r>
      <w:r>
        <w:rPr>
          <w:spacing w:val="-1"/>
        </w:rPr>
        <w:t>费用的金额确定。不存在销售协议但存在资产活跃市场的，按照该资产的市场价格减去处置费用后的金额</w:t>
      </w:r>
      <w:r>
        <w:rPr>
          <w:spacing w:val="-81"/>
        </w:rPr>
        <w:t> </w:t>
      </w:r>
      <w:r>
        <w:rPr>
          <w:spacing w:val="-81"/>
        </w:rPr>
      </w:r>
      <w:r>
        <w:rPr/>
        <w:t>确定。资产的市场价格通常应当根据资产的买方出价确定。在不存在销售协议和资产活跃市场的情况下， </w:t>
      </w:r>
      <w:r>
        <w:rPr>
          <w:spacing w:val="-1"/>
        </w:rPr>
        <w:t>当以可获取的最佳信息为基础，估计资产的公允价值减去处置费用后的净额，该净额可以参考同行业类似</w:t>
      </w:r>
      <w:r>
        <w:rPr>
          <w:spacing w:val="-81"/>
        </w:rPr>
        <w:t> </w:t>
      </w:r>
      <w:r>
        <w:rPr>
          <w:spacing w:val="-81"/>
        </w:rPr>
      </w:r>
      <w:r>
        <w:rPr>
          <w:spacing w:val="-1"/>
        </w:rPr>
        <w:t>资产的最近交易价格或者结果进行估计。按照上述规定仍然无法可靠估计资产的公允价值减去处置费用后</w:t>
      </w:r>
      <w:r>
        <w:rPr>
          <w:spacing w:val="-81"/>
        </w:rPr>
        <w:t> </w:t>
      </w:r>
      <w:r>
        <w:rPr>
          <w:spacing w:val="-81"/>
        </w:rPr>
      </w:r>
      <w:r>
        <w:rPr/>
        <w:t>的净额的，以该资产预计未来现金流量的现值作为其可收回金额。</w:t>
      </w:r>
    </w:p>
    <w:p>
      <w:pPr>
        <w:pStyle w:val="BodyText"/>
        <w:spacing w:line="273" w:lineRule="auto" w:before="7"/>
        <w:ind w:left="153" w:right="147" w:firstLine="420"/>
        <w:jc w:val="both"/>
      </w:pPr>
      <w:r>
        <w:rPr>
          <w:spacing w:val="3"/>
        </w:rPr>
        <w:t>资产预计未来现金流量的现值，按照资产在持续使用过程中和最终处置时所产生的预计未来现金流</w:t>
      </w:r>
      <w:r>
        <w:rPr/>
        <w:t> </w:t>
      </w:r>
      <w:r>
        <w:rPr>
          <w:spacing w:val="-1"/>
        </w:rPr>
        <w:t>量，选择恰当的折现率对其进行折现后的金额加以确定。预计资产未来现金流量的现值，应当综合考虑资</w:t>
      </w:r>
      <w:r>
        <w:rPr>
          <w:spacing w:val="-83"/>
        </w:rPr>
        <w:t> </w:t>
      </w:r>
      <w:r>
        <w:rPr>
          <w:spacing w:val="-83"/>
        </w:rPr>
      </w:r>
      <w:r>
        <w:rPr/>
        <w:t>产的预计未来现金流量、使用寿命和折现率等因素。</w:t>
      </w:r>
    </w:p>
    <w:p>
      <w:pPr>
        <w:pStyle w:val="BodyText"/>
        <w:spacing w:line="266" w:lineRule="auto" w:before="7"/>
        <w:ind w:left="153" w:right="128" w:firstLine="420"/>
        <w:jc w:val="right"/>
      </w:pPr>
      <w:r>
        <w:rPr>
          <w:rFonts w:ascii="Times New Roman" w:hAnsi="Times New Roman" w:cs="Times New Roman" w:eastAsia="Times New Roman" w:hint="default"/>
        </w:rPr>
        <w:t>c.</w:t>
      </w:r>
      <w:r>
        <w:rPr/>
        <w:t>可收回金额的计量结果表明，资产的可收回金额低于其账面价值的，将资产的账面价值减记至可收</w:t>
      </w:r>
      <w:r>
        <w:rPr>
          <w:spacing w:val="1"/>
        </w:rPr>
        <w:t> </w:t>
      </w:r>
      <w:r>
        <w:rPr>
          <w:spacing w:val="-1"/>
        </w:rPr>
        <w:t>回金额，减记的金额确认为资产减值损失，计入当期损益，同时计提相应的资产减值准备。资产减值损失</w:t>
      </w:r>
      <w:r>
        <w:rPr/>
        <w:t> </w:t>
      </w:r>
      <w:r>
        <w:rPr>
          <w:spacing w:val="-1"/>
        </w:rPr>
        <w:t>确认后，减值资产的折旧或者摊销费用应当在未来期间作相应调整，以使该资产在剩余使用寿命内，系统</w:t>
      </w:r>
      <w:r>
        <w:rPr/>
        <w:t> 地分摊调整后的资产账面价值（扣除预计净残值）。资产减值损失一经确认，在以后会计期间不得转回。 </w:t>
      </w:r>
      <w:r>
        <w:rPr>
          <w:rFonts w:ascii="Times New Roman" w:hAnsi="Times New Roman" w:cs="Times New Roman" w:eastAsia="Times New Roman" w:hint="default"/>
        </w:rPr>
        <w:t>d.</w:t>
      </w:r>
      <w:r>
        <w:rPr/>
        <w:t>表明一项资产可能发生减值的，一般以单项资产为基础估计其可收回金额。难以对单项资产的可收</w:t>
      </w:r>
      <w:r>
        <w:rPr>
          <w:spacing w:val="1"/>
        </w:rPr>
        <w:t> </w:t>
      </w:r>
      <w:r>
        <w:rPr>
          <w:spacing w:val="-1"/>
        </w:rPr>
        <w:t>回金额进行估计的，以该资产所属的资产组为基础确定资产组的可收回金额。在认定资产组时，以资产组</w:t>
      </w:r>
      <w:r>
        <w:rPr/>
        <w:t> </w:t>
      </w:r>
      <w:r>
        <w:rPr>
          <w:spacing w:val="-1"/>
        </w:rPr>
        <w:t>产生的主要现金流入是否独立于其他资产或者资产组的现金流入为依据。同时，在认定资产组时，考虑管</w:t>
      </w:r>
    </w:p>
    <w:p>
      <w:pPr>
        <w:pStyle w:val="BodyText"/>
        <w:spacing w:line="273" w:lineRule="auto" w:before="14"/>
        <w:ind w:left="566" w:right="2841" w:hanging="413"/>
        <w:jc w:val="left"/>
        <w:rPr>
          <w:rFonts w:ascii="宋体" w:hAnsi="宋体" w:cs="宋体" w:eastAsia="宋体" w:hint="default"/>
        </w:rPr>
      </w:pPr>
      <w:r>
        <w:rPr/>
        <w:t>理层管理生产经营活动的方式和对资产的持续使用或者处置的决策方式等。 </w:t>
      </w:r>
      <w:r>
        <w:rPr>
          <w:rFonts w:ascii="宋体" w:hAnsi="宋体" w:cs="宋体" w:eastAsia="宋体" w:hint="default"/>
          <w:b/>
          <w:bCs/>
        </w:rPr>
        <w:t>职工薪酬</w:t>
      </w:r>
      <w:r>
        <w:rPr>
          <w:rFonts w:ascii="宋体" w:hAnsi="宋体" w:cs="宋体" w:eastAsia="宋体" w:hint="default"/>
        </w:rPr>
      </w:r>
    </w:p>
    <w:p>
      <w:pPr>
        <w:pStyle w:val="BodyText"/>
        <w:spacing w:line="273" w:lineRule="auto" w:before="7"/>
        <w:ind w:left="153" w:right="150" w:firstLine="420"/>
        <w:jc w:val="both"/>
      </w:pPr>
      <w:r>
        <w:rPr>
          <w:spacing w:val="-1"/>
        </w:rPr>
        <w:t>职工薪酬，是指公司为获得职工提供的服务而给予各种形式的报酬以及其他相关支出。职工薪酬包括</w:t>
      </w:r>
      <w:r>
        <w:rPr/>
        <w:t> </w:t>
      </w:r>
      <w:r>
        <w:rPr>
          <w:spacing w:val="-1"/>
        </w:rPr>
        <w:t>职工工资、奖金、津贴和补贴、职工福利费、医疗保险费、养老保险费、失业保险费、工伤保险费和生育</w:t>
      </w:r>
      <w:r>
        <w:rPr>
          <w:spacing w:val="-85"/>
        </w:rPr>
        <w:t> </w:t>
      </w:r>
      <w:r>
        <w:rPr>
          <w:spacing w:val="-85"/>
        </w:rPr>
      </w:r>
      <w:r>
        <w:rPr>
          <w:spacing w:val="-1"/>
        </w:rPr>
        <w:t>保险费等社会保险费、住房公积金、工会经费和职工教育经费、非货币性福利、解除劳动关系给予的补偿</w:t>
      </w:r>
      <w:r>
        <w:rPr>
          <w:spacing w:val="-82"/>
        </w:rPr>
        <w:t> </w:t>
      </w:r>
      <w:r>
        <w:rPr>
          <w:spacing w:val="-82"/>
        </w:rPr>
      </w:r>
      <w:r>
        <w:rPr>
          <w:spacing w:val="-1"/>
        </w:rPr>
        <w:t>金等。公司在职工为其提供服务的会计期间，将应付的职工薪酬确认为负债，除因解除劳动关系外，根据</w:t>
      </w:r>
      <w:r>
        <w:rPr>
          <w:spacing w:val="-82"/>
        </w:rPr>
        <w:t> </w:t>
      </w:r>
      <w:r>
        <w:rPr>
          <w:spacing w:val="-82"/>
        </w:rPr>
      </w:r>
      <w:r>
        <w:rPr>
          <w:spacing w:val="-1"/>
        </w:rPr>
        <w:t>职工提供服务的受益对象，计入相关费用或资产。根据有关规定，保险费及公积金一般按工资总额的一定</w:t>
      </w:r>
      <w:r>
        <w:rPr>
          <w:spacing w:val="-83"/>
        </w:rPr>
        <w:t> </w:t>
      </w:r>
      <w:r>
        <w:rPr>
          <w:spacing w:val="-83"/>
        </w:rPr>
      </w:r>
      <w:r>
        <w:rPr>
          <w:spacing w:val="-1"/>
        </w:rPr>
        <w:t>比例且在不超过规定上限的基础上提取并向劳动和社会保障机构缴纳，相应的支出计入当期生产成本或费</w:t>
      </w:r>
      <w:r>
        <w:rPr>
          <w:spacing w:val="-81"/>
        </w:rPr>
        <w:t> </w:t>
      </w:r>
      <w:r>
        <w:rPr>
          <w:spacing w:val="-81"/>
        </w:rPr>
      </w:r>
      <w:r>
        <w:rPr/>
        <w:t>用。</w:t>
      </w:r>
    </w:p>
    <w:p>
      <w:pPr>
        <w:spacing w:line="273" w:lineRule="auto" w:before="7"/>
        <w:ind w:left="573" w:right="5151" w:hanging="8"/>
        <w:jc w:val="left"/>
        <w:rPr>
          <w:rFonts w:ascii="宋体" w:hAnsi="宋体" w:cs="宋体" w:eastAsia="宋体" w:hint="default"/>
          <w:sz w:val="21"/>
          <w:szCs w:val="21"/>
        </w:rPr>
      </w:pPr>
      <w:r>
        <w:rPr>
          <w:rFonts w:ascii="宋体" w:hAnsi="宋体" w:cs="宋体" w:eastAsia="宋体" w:hint="default"/>
          <w:b/>
          <w:bCs/>
          <w:sz w:val="21"/>
          <w:szCs w:val="21"/>
        </w:rPr>
        <w:t>利润分配政策</w:t>
      </w:r>
      <w:r>
        <w:rPr>
          <w:rFonts w:ascii="宋体" w:hAnsi="宋体" w:cs="宋体" w:eastAsia="宋体" w:hint="default"/>
          <w:b/>
          <w:bCs/>
          <w:w w:val="99"/>
          <w:sz w:val="21"/>
          <w:szCs w:val="21"/>
        </w:rPr>
        <w:t> </w:t>
      </w:r>
      <w:r>
        <w:rPr>
          <w:rFonts w:ascii="宋体" w:hAnsi="宋体" w:cs="宋体" w:eastAsia="宋体" w:hint="default"/>
          <w:sz w:val="21"/>
          <w:szCs w:val="21"/>
        </w:rPr>
        <w:t>公司缴纳所得税后的净利润按下列顺序分配：</w:t>
      </w:r>
    </w:p>
    <w:p>
      <w:pPr>
        <w:pStyle w:val="BodyText"/>
        <w:spacing w:line="240" w:lineRule="auto" w:before="7"/>
        <w:ind w:left="573" w:right="0"/>
        <w:jc w:val="left"/>
      </w:pPr>
      <w:r>
        <w:rPr/>
        <w:t>①弥补以前年度亏损。</w:t>
      </w:r>
    </w:p>
    <w:p>
      <w:pPr>
        <w:pStyle w:val="BodyText"/>
        <w:spacing w:line="240" w:lineRule="auto" w:before="37"/>
        <w:ind w:left="573" w:right="0"/>
        <w:jc w:val="left"/>
      </w:pPr>
      <w:r>
        <w:rPr/>
        <w:t>②按可供股东分配利润的</w:t>
      </w:r>
      <w:r>
        <w:rPr>
          <w:rFonts w:ascii="Times New Roman" w:hAnsi="Times New Roman" w:cs="Times New Roman" w:eastAsia="Times New Roman" w:hint="default"/>
        </w:rPr>
        <w:t>10%</w:t>
      </w:r>
      <w:r>
        <w:rPr/>
        <w:t>提取法定盈余公积。</w:t>
      </w:r>
    </w:p>
    <w:p>
      <w:pPr>
        <w:pStyle w:val="BodyText"/>
        <w:spacing w:line="240" w:lineRule="auto" w:before="21"/>
        <w:ind w:left="573" w:right="0"/>
        <w:jc w:val="left"/>
      </w:pPr>
      <w:r>
        <w:rPr/>
        <w:t>③经股东大会决议，可提取任意盈余公积。</w:t>
      </w:r>
    </w:p>
    <w:p>
      <w:pPr>
        <w:pStyle w:val="BodyText"/>
        <w:spacing w:line="240" w:lineRule="auto" w:before="37"/>
        <w:ind w:left="573" w:right="0"/>
        <w:jc w:val="left"/>
      </w:pPr>
      <w:r>
        <w:rPr/>
        <w:t>④剩余利润根据股东大会决议进行分配。</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shd w:val="clear" w:color="auto" w:fill="CCE8CF"/>
          </w:tcPr>
          <w:p>
            <w:pPr>
              <w:pStyle w:val="TableParagraph"/>
              <w:spacing w:line="319" w:lineRule="auto" w:before="51"/>
              <w:ind w:left="16" w:right="23"/>
              <w:jc w:val="left"/>
              <w:rPr>
                <w:rFonts w:ascii="宋体" w:hAnsi="宋体" w:cs="宋体" w:eastAsia="宋体" w:hint="default"/>
                <w:sz w:val="18"/>
                <w:szCs w:val="18"/>
              </w:rPr>
            </w:pPr>
            <w:r>
              <w:rPr>
                <w:rFonts w:ascii="宋体" w:hAnsi="宋体" w:cs="宋体" w:eastAsia="宋体" w:hint="default"/>
                <w:spacing w:val="-6"/>
                <w:sz w:val="18"/>
                <w:szCs w:val="18"/>
              </w:rPr>
              <w:t>销售收入（营改增试点地区适用应税劳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务收入）</w:t>
            </w:r>
          </w:p>
        </w:tc>
        <w:tc>
          <w:tcPr>
            <w:tcW w:w="302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9" w:space="0" w:color="D3D3D3"/>
              <w:right w:val="single" w:sz="4" w:space="0" w:color="000000"/>
            </w:tcBorders>
            <w:shd w:val="clear" w:color="auto" w:fill="CCE8CF"/>
          </w:tcPr>
          <w:p>
            <w:pPr/>
          </w:p>
        </w:tc>
        <w:tc>
          <w:tcPr>
            <w:tcW w:w="3026" w:type="dxa"/>
            <w:vMerge/>
            <w:tcBorders>
              <w:left w:val="single" w:sz="4" w:space="0" w:color="000000"/>
              <w:right w:val="single" w:sz="4" w:space="0" w:color="000000"/>
            </w:tcBorders>
            <w:shd w:val="clear" w:color="auto" w:fill="CCE8CF"/>
          </w:tcPr>
          <w:p>
            <w:pPr/>
          </w:p>
        </w:tc>
      </w:tr>
      <w:tr>
        <w:trPr>
          <w:trHeight w:val="161"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shd w:val="clear" w:color="auto" w:fill="CCE8CF"/>
          </w:tcPr>
          <w:p>
            <w:pPr/>
          </w:p>
        </w:tc>
        <w:tc>
          <w:tcPr>
            <w:tcW w:w="3026"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0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BodyText"/>
        <w:spacing w:line="307" w:lineRule="auto" w:before="35"/>
        <w:ind w:left="153" w:right="4976"/>
        <w:jc w:val="left"/>
      </w:pPr>
      <w:r>
        <w:rPr/>
        <w:t>各分公司、分厂执行的所得税税率 公司的三家子公司执行的是</w:t>
      </w:r>
      <w:r>
        <w:rPr>
          <w:rFonts w:ascii="Times New Roman" w:hAnsi="Times New Roman" w:cs="Times New Roman" w:eastAsia="Times New Roman" w:hint="default"/>
        </w:rPr>
        <w:t>25%</w:t>
      </w:r>
      <w:r>
        <w:rPr/>
        <w:t>的企业所得税税率。</w:t>
      </w:r>
    </w:p>
    <w:p>
      <w:pPr>
        <w:spacing w:line="240" w:lineRule="auto" w:before="8"/>
        <w:rPr>
          <w:rFonts w:ascii="宋体" w:hAnsi="宋体" w:cs="宋体" w:eastAsia="宋体" w:hint="default"/>
          <w:sz w:val="19"/>
          <w:szCs w:val="19"/>
        </w:rPr>
      </w:pPr>
    </w:p>
    <w:p>
      <w:pPr>
        <w:pStyle w:val="Heading3"/>
        <w:spacing w:line="357" w:lineRule="auto"/>
        <w:ind w:left="634" w:right="7978" w:hanging="480"/>
        <w:jc w:val="left"/>
        <w:rPr>
          <w:b w:val="0"/>
          <w:bCs w:val="0"/>
        </w:rPr>
      </w:pPr>
      <w:r>
        <w:rPr>
          <w:rFonts w:ascii="Times New Roman" w:hAnsi="Times New Roman" w:cs="Times New Roman" w:eastAsia="Times New Roman" w:hint="default"/>
        </w:rPr>
        <w:t>2</w:t>
      </w:r>
      <w:r>
        <w:rPr/>
        <w:t>、税收优惠及批文</w:t>
      </w:r>
      <w:r>
        <w:rPr>
          <w:spacing w:val="1"/>
          <w:w w:val="99"/>
        </w:rPr>
        <w:t> </w:t>
      </w:r>
      <w:r>
        <w:rPr/>
        <w:t>增值税</w:t>
      </w:r>
      <w:r>
        <w:rPr>
          <w:b w:val="0"/>
          <w:bCs w:val="0"/>
        </w:rPr>
      </w:r>
    </w:p>
    <w:p>
      <w:pPr>
        <w:pStyle w:val="BodyText"/>
        <w:spacing w:line="225" w:lineRule="exact"/>
        <w:ind w:right="0" w:firstLine="420"/>
        <w:jc w:val="both"/>
      </w:pPr>
      <w:r>
        <w:rPr/>
        <w:t>公司被认定为软件企业，于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日取得广东省信息产业厅颁发的《软件企业认定证书》。根</w:t>
      </w:r>
    </w:p>
    <w:p>
      <w:pPr>
        <w:pStyle w:val="BodyText"/>
        <w:spacing w:line="261" w:lineRule="auto" w:before="21"/>
        <w:ind w:right="149"/>
        <w:jc w:val="both"/>
      </w:pPr>
      <w:r>
        <w:rPr>
          <w:spacing w:val="-1"/>
        </w:rPr>
        <w:t>据财政部、国家税务总局、海关总署颁布的《关于鼓励软件产业和集成电路产业发展有关税收政策问题的</w:t>
      </w:r>
      <w:r>
        <w:rPr>
          <w:spacing w:val="-83"/>
        </w:rPr>
        <w:t> </w:t>
      </w:r>
      <w:r>
        <w:rPr>
          <w:spacing w:val="-83"/>
        </w:rPr>
      </w:r>
      <w:r>
        <w:rPr>
          <w:spacing w:val="-4"/>
        </w:rPr>
        <w:t>通知》（财税</w:t>
      </w:r>
      <w:r>
        <w:rPr>
          <w:rFonts w:ascii="Times New Roman" w:hAnsi="Times New Roman" w:cs="Times New Roman" w:eastAsia="Times New Roman" w:hint="default"/>
          <w:spacing w:val="-4"/>
        </w:rPr>
        <w:t>[2000]25</w:t>
      </w:r>
      <w:r>
        <w:rPr>
          <w:spacing w:val="-4"/>
        </w:rPr>
        <w:t>号）以及国务院颁布的《进一步鼓励软件产业和集成电路产业发展的若干政策》（国</w:t>
      </w:r>
      <w:r>
        <w:rPr>
          <w:spacing w:val="-70"/>
        </w:rPr>
        <w:t> </w:t>
      </w:r>
      <w:r>
        <w:rPr>
          <w:spacing w:val="-70"/>
        </w:rPr>
      </w:r>
      <w:r>
        <w:rPr>
          <w:spacing w:val="-1"/>
        </w:rPr>
        <w:t>发</w:t>
      </w:r>
      <w:r>
        <w:rPr>
          <w:rFonts w:ascii="Times New Roman" w:hAnsi="Times New Roman" w:cs="Times New Roman" w:eastAsia="Times New Roman" w:hint="default"/>
          <w:spacing w:val="-1"/>
        </w:rPr>
        <w:t>[2011]4</w:t>
      </w:r>
      <w:r>
        <w:rPr>
          <w:spacing w:val="-1"/>
        </w:rPr>
        <w:t>号）的规定，对增值税一般纳税人销售自行开发生产的软件产品，按</w:t>
      </w:r>
      <w:r>
        <w:rPr>
          <w:rFonts w:ascii="Times New Roman" w:hAnsi="Times New Roman" w:cs="Times New Roman" w:eastAsia="Times New Roman" w:hint="default"/>
          <w:spacing w:val="-1"/>
        </w:rPr>
        <w:t>17%</w:t>
      </w:r>
      <w:r>
        <w:rPr>
          <w:spacing w:val="-1"/>
        </w:rPr>
        <w:t>的法定税率征收增值税</w:t>
      </w:r>
      <w:r>
        <w:rPr>
          <w:spacing w:val="-83"/>
        </w:rPr>
        <w:t> </w:t>
      </w:r>
      <w:r>
        <w:rPr>
          <w:spacing w:val="-2"/>
        </w:rPr>
        <w:t>后，对增值税实际税负超过</w:t>
      </w:r>
      <w:r>
        <w:rPr>
          <w:rFonts w:ascii="Times New Roman" w:hAnsi="Times New Roman" w:cs="Times New Roman" w:eastAsia="Times New Roman" w:hint="default"/>
          <w:spacing w:val="-2"/>
        </w:rPr>
        <w:t>3%</w:t>
      </w:r>
      <w:r>
        <w:rPr>
          <w:spacing w:val="-2"/>
        </w:rPr>
        <w:t>的部分实行即征即退政策。所退税款由企业用于研究开发软件产品和扩大再</w:t>
      </w:r>
      <w:r>
        <w:rPr/>
        <w:t> 生产，不作为企业所得税应税收入，不予征收企业所得税。</w:t>
      </w:r>
    </w:p>
    <w:p>
      <w:pPr>
        <w:pStyle w:val="BodyText"/>
        <w:spacing w:line="273" w:lineRule="auto" w:before="18"/>
        <w:ind w:left="574" w:right="0"/>
        <w:jc w:val="left"/>
      </w:pPr>
      <w:r>
        <w:rPr>
          <w:rFonts w:ascii="宋体" w:hAnsi="宋体" w:cs="宋体" w:eastAsia="宋体" w:hint="default"/>
          <w:b/>
          <w:bCs/>
        </w:rPr>
        <w:t>营业税</w:t>
      </w:r>
      <w:r>
        <w:rPr>
          <w:rFonts w:ascii="宋体" w:hAnsi="宋体" w:cs="宋体" w:eastAsia="宋体" w:hint="default"/>
          <w:b/>
          <w:bCs/>
          <w:spacing w:val="1"/>
          <w:w w:val="99"/>
        </w:rPr>
        <w:t> </w:t>
      </w:r>
      <w:r>
        <w:rPr/>
        <w:t>根据国家税收法规，按照营业税征缴范围的营业收入的</w:t>
      </w:r>
      <w:r>
        <w:rPr>
          <w:rFonts w:ascii="Times New Roman" w:hAnsi="Times New Roman" w:cs="Times New Roman" w:eastAsia="Times New Roman" w:hint="default"/>
        </w:rPr>
        <w:t>3%</w:t>
      </w:r>
      <w:r>
        <w:rPr/>
        <w:t>或</w:t>
      </w:r>
      <w:r>
        <w:rPr>
          <w:rFonts w:ascii="Times New Roman" w:hAnsi="Times New Roman" w:cs="Times New Roman" w:eastAsia="Times New Roman" w:hint="default"/>
        </w:rPr>
        <w:t>5%</w:t>
      </w:r>
      <w:r>
        <w:rPr/>
        <w:t>计提缴纳，对符合规定的技术开发收</w:t>
      </w:r>
    </w:p>
    <w:p>
      <w:pPr>
        <w:spacing w:line="273" w:lineRule="auto" w:before="0"/>
        <w:ind w:left="574" w:right="8296" w:hanging="420"/>
        <w:jc w:val="left"/>
        <w:rPr>
          <w:rFonts w:ascii="宋体" w:hAnsi="宋体" w:cs="宋体" w:eastAsia="宋体" w:hint="default"/>
          <w:sz w:val="21"/>
          <w:szCs w:val="21"/>
        </w:rPr>
      </w:pPr>
      <w:r>
        <w:rPr>
          <w:rFonts w:ascii="宋体" w:hAnsi="宋体" w:cs="宋体" w:eastAsia="宋体" w:hint="default"/>
          <w:sz w:val="21"/>
          <w:szCs w:val="21"/>
        </w:rPr>
        <w:t>入免征营业税。 </w:t>
      </w:r>
      <w:r>
        <w:rPr>
          <w:rFonts w:ascii="宋体" w:hAnsi="宋体" w:cs="宋体" w:eastAsia="宋体" w:hint="default"/>
          <w:b/>
          <w:bCs/>
          <w:sz w:val="21"/>
          <w:szCs w:val="21"/>
        </w:rPr>
        <w:t>企业所得税</w:t>
      </w:r>
      <w:r>
        <w:rPr>
          <w:rFonts w:ascii="宋体" w:hAnsi="宋体" w:cs="宋体" w:eastAsia="宋体" w:hint="default"/>
          <w:sz w:val="21"/>
          <w:szCs w:val="21"/>
        </w:rPr>
      </w:r>
    </w:p>
    <w:p>
      <w:pPr>
        <w:pStyle w:val="BodyText"/>
        <w:spacing w:line="256" w:lineRule="auto" w:before="7"/>
        <w:ind w:left="153" w:right="147" w:firstLine="420"/>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日取得广东省科学技术厅、广东省财政厅、广东省国家税务局、广东省地方税务 局联合下发的编号为：</w:t>
      </w:r>
      <w:r>
        <w:rPr>
          <w:rFonts w:ascii="Times New Roman" w:hAnsi="Times New Roman" w:cs="Times New Roman" w:eastAsia="Times New Roman" w:hint="default"/>
        </w:rPr>
        <w:t>GF201144000376</w:t>
      </w:r>
      <w:r>
        <w:rPr/>
        <w:t>的《高新技术企业证书》，该认定有效期为三年。根据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spacing w:val="-93"/>
        </w:rPr>
        <w:t> </w:t>
      </w:r>
      <w:r>
        <w:rPr>
          <w:rFonts w:ascii="Times New Roman" w:hAnsi="Times New Roman" w:cs="Times New Roman" w:eastAsia="Times New Roman" w:hint="default"/>
        </w:rPr>
        <w:t>16</w:t>
      </w:r>
      <w:r>
        <w:rPr/>
        <w:t>日发布的《中华人民共和国企业所得税法》（以下简称</w:t>
      </w:r>
      <w:r>
        <w:rPr>
          <w:rFonts w:ascii="Times New Roman" w:hAnsi="Times New Roman" w:cs="Times New Roman" w:eastAsia="Times New Roman" w:hint="default"/>
        </w:rPr>
        <w:t>“</w:t>
      </w:r>
      <w:r>
        <w:rPr/>
        <w:t>新企业所得税法</w:t>
      </w:r>
      <w:r>
        <w:rPr>
          <w:rFonts w:ascii="Times New Roman" w:hAnsi="Times New Roman" w:cs="Times New Roman" w:eastAsia="Times New Roman" w:hint="default"/>
        </w:rPr>
        <w:t>”</w:t>
      </w:r>
      <w:r>
        <w:rPr/>
        <w:t>）的规定，公司自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日起按照新企业所得税税法的规定计缴企业所得税。新企业所得税规定：企业所得税税率为</w:t>
      </w:r>
      <w:r>
        <w:rPr>
          <w:rFonts w:ascii="Times New Roman" w:hAnsi="Times New Roman" w:cs="Times New Roman" w:eastAsia="Times New Roman" w:hint="default"/>
        </w:rPr>
        <w:t>25%</w:t>
      </w:r>
      <w:r>
        <w:rPr/>
        <w:t>，国家重</w:t>
      </w:r>
      <w:r>
        <w:rPr>
          <w:spacing w:val="-97"/>
        </w:rPr>
        <w:t> </w:t>
      </w:r>
      <w:r>
        <w:rPr>
          <w:spacing w:val="-97"/>
        </w:rPr>
      </w:r>
      <w:r>
        <w:rPr/>
        <w:t>点扶持的高新技术企业减按</w:t>
      </w:r>
      <w:r>
        <w:rPr>
          <w:rFonts w:ascii="Times New Roman" w:hAnsi="Times New Roman" w:cs="Times New Roman" w:eastAsia="Times New Roman" w:hint="default"/>
        </w:rPr>
        <w:t>15%</w:t>
      </w:r>
      <w:r>
        <w:rPr/>
        <w:t>的税率征收。公司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年适用的所得税税率为</w:t>
      </w:r>
      <w:r>
        <w:rPr>
          <w:rFonts w:ascii="Times New Roman" w:hAnsi="Times New Roman" w:cs="Times New Roman" w:eastAsia="Times New Roman" w:hint="default"/>
        </w:rPr>
        <w:t>15%</w:t>
      </w:r>
      <w:r>
        <w:rPr/>
        <w:t>。</w:t>
      </w:r>
    </w:p>
    <w:p>
      <w:pPr>
        <w:spacing w:after="0" w:line="256" w:lineRule="auto"/>
        <w:jc w:val="both"/>
        <w:sectPr>
          <w:pgSz w:w="11910" w:h="16840"/>
          <w:pgMar w:header="877" w:footer="982" w:top="1100" w:bottom="1180" w:left="980" w:right="980"/>
        </w:sectPr>
      </w:pPr>
    </w:p>
    <w:p>
      <w:pPr>
        <w:spacing w:line="240" w:lineRule="auto" w:before="5"/>
        <w:rPr>
          <w:rFonts w:ascii="宋体" w:hAnsi="宋体" w:cs="宋体" w:eastAsia="宋体" w:hint="default"/>
          <w:sz w:val="22"/>
          <w:szCs w:val="22"/>
        </w:rPr>
      </w:pPr>
    </w:p>
    <w:p>
      <w:pPr>
        <w:pStyle w:val="Heading2"/>
        <w:spacing w:line="240" w:lineRule="auto"/>
        <w:ind w:left="519" w:right="0"/>
        <w:jc w:val="left"/>
        <w:rPr>
          <w:b w:val="0"/>
          <w:bCs w:val="0"/>
        </w:rPr>
      </w:pPr>
      <w:r>
        <w:rPr/>
        <w:pict>
          <v:group style="position:absolute;margin-left:70.490997pt;margin-top:.75562pt;width:700.95pt;height:.1pt;mso-position-horizontal-relative:page;mso-position-vertical-relative:paragraph;z-index:-689512" coordorigin="1410,15" coordsize="14019,2">
            <v:shape style="position:absolute;left:1410;top:15;width:14019;height:2" coordorigin="1410,15" coordsize="14019,0" path="m1410,15l15428,15e" filled="false" stroked="true" strokeweight=".72pt" strokecolor="#000000">
              <v:path arrowok="t"/>
            </v:shape>
            <w10:wrap type="none"/>
          </v:group>
        </w:pict>
      </w: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19"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19" w:right="0"/>
        <w:jc w:val="left"/>
        <w:rPr>
          <w:b w:val="0"/>
          <w:bCs w:val="0"/>
        </w:rPr>
      </w:pPr>
      <w:r>
        <w:rPr>
          <w:w w:val="95"/>
        </w:rPr>
        <w:t>（</w:t>
      </w:r>
      <w:r>
        <w:rPr>
          <w:rFonts w:ascii="Times New Roman" w:hAnsi="Times New Roman" w:cs="Times New Roman" w:eastAsia="Times New Roman" w:hint="default"/>
          <w:w w:val="95"/>
        </w:rPr>
        <w:t>1</w:t>
      </w:r>
      <w:r>
        <w:rPr>
          <w:w w:val="95"/>
        </w:rPr>
        <w:t>）通过设立或投资等方式取得的子公司</w:t>
      </w:r>
      <w:r>
        <w:rPr>
          <w:b w:val="0"/>
          <w:bCs w:val="0"/>
        </w:rPr>
      </w:r>
    </w:p>
    <w:p>
      <w:pPr>
        <w:spacing w:before="17"/>
        <w:ind w:left="5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25"/>
          <w:footerReference w:type="default" r:id="rId26"/>
          <w:pgSz w:w="16840" w:h="11910" w:orient="landscape"/>
          <w:pgMar w:header="0" w:footer="0" w:top="800" w:bottom="280" w:left="920" w:right="920"/>
          <w:cols w:num="2" w:equalWidth="0">
            <w:col w:w="4420" w:space="5488"/>
            <w:col w:w="5092"/>
          </w:cols>
        </w:sectPr>
      </w:pPr>
    </w:p>
    <w:p>
      <w:pPr>
        <w:spacing w:line="240" w:lineRule="auto" w:before="3"/>
        <w:rPr>
          <w:rFonts w:ascii="宋体" w:hAnsi="宋体" w:cs="宋体" w:eastAsia="宋体" w:hint="default"/>
          <w:sz w:val="23"/>
          <w:szCs w:val="23"/>
        </w:rPr>
      </w:pPr>
    </w:p>
    <w:p>
      <w:pPr>
        <w:spacing w:before="44"/>
        <w:ind w:left="0" w:right="618"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76"/>
        <w:gridCol w:w="684"/>
        <w:gridCol w:w="683"/>
        <w:gridCol w:w="797"/>
        <w:gridCol w:w="907"/>
        <w:gridCol w:w="1969"/>
        <w:gridCol w:w="1261"/>
        <w:gridCol w:w="997"/>
        <w:gridCol w:w="683"/>
        <w:gridCol w:w="683"/>
        <w:gridCol w:w="684"/>
        <w:gridCol w:w="1124"/>
        <w:gridCol w:w="784"/>
        <w:gridCol w:w="2242"/>
      </w:tblGrid>
      <w:tr>
        <w:trPr>
          <w:trHeight w:val="165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36" w:right="83" w:hanging="450"/>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66"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66" w:right="10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5"/>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从母公司所有者权益冲减子 公司少数股东分担的本期亏 损超过少数股东在该子公司 年初所有者权益中所享有份 额后的余额</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广东蓝盾信息 安全技术有限 公司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60,000,000</w:t>
            </w:r>
          </w:p>
        </w:tc>
        <w:tc>
          <w:tcPr>
            <w:tcW w:w="1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6"/>
                <w:sz w:val="18"/>
                <w:szCs w:val="18"/>
              </w:rPr>
              <w:t>计算机网络技术服务、咨</w:t>
            </w:r>
            <w:r>
              <w:rPr>
                <w:rFonts w:ascii="宋体" w:hAnsi="宋体" w:cs="宋体" w:eastAsia="宋体" w:hint="default"/>
                <w:sz w:val="18"/>
                <w:szCs w:val="18"/>
              </w:rPr>
              <w:t> </w:t>
            </w:r>
            <w:r>
              <w:rPr>
                <w:rFonts w:ascii="宋体" w:hAnsi="宋体" w:cs="宋体" w:eastAsia="宋体" w:hint="default"/>
                <w:spacing w:val="-6"/>
                <w:sz w:val="18"/>
                <w:szCs w:val="18"/>
              </w:rPr>
              <w:t>询；计算机及辅助设备的</w:t>
            </w:r>
            <w:r>
              <w:rPr>
                <w:rFonts w:ascii="宋体" w:hAnsi="宋体" w:cs="宋体" w:eastAsia="宋体" w:hint="default"/>
                <w:sz w:val="18"/>
                <w:szCs w:val="18"/>
              </w:rPr>
              <w:t> 销售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CCE8CF"/>
          </w:tcPr>
          <w:p>
            <w:pPr/>
          </w:p>
        </w:tc>
        <w:tc>
          <w:tcPr>
            <w:tcW w:w="684" w:type="dxa"/>
            <w:tcBorders>
              <w:top w:val="single" w:sz="4" w:space="0" w:color="000000"/>
              <w:left w:val="single" w:sz="4" w:space="0" w:color="000000"/>
              <w:bottom w:val="nil" w:sz="6" w:space="0" w:color="auto"/>
              <w:right w:val="single" w:sz="4" w:space="0" w:color="000000"/>
            </w:tcBorders>
            <w:shd w:val="clear" w:color="auto" w:fill="CCE8CF"/>
          </w:tcPr>
          <w:p>
            <w:pPr/>
          </w:p>
        </w:tc>
        <w:tc>
          <w:tcPr>
            <w:tcW w:w="683" w:type="dxa"/>
            <w:tcBorders>
              <w:top w:val="single" w:sz="4" w:space="0" w:color="000000"/>
              <w:left w:val="single" w:sz="4" w:space="0" w:color="000000"/>
              <w:bottom w:val="nil" w:sz="6" w:space="0" w:color="auto"/>
              <w:right w:val="single" w:sz="4" w:space="0" w:color="000000"/>
            </w:tcBorders>
            <w:shd w:val="clear" w:color="auto" w:fill="CCE8CF"/>
          </w:tcPr>
          <w:p>
            <w:pPr/>
          </w:p>
        </w:tc>
        <w:tc>
          <w:tcPr>
            <w:tcW w:w="797" w:type="dxa"/>
            <w:tcBorders>
              <w:top w:val="single" w:sz="4" w:space="0" w:color="000000"/>
              <w:left w:val="single" w:sz="4" w:space="0" w:color="000000"/>
              <w:bottom w:val="nil" w:sz="6" w:space="0" w:color="auto"/>
              <w:right w:val="single" w:sz="4" w:space="0" w:color="000000"/>
            </w:tcBorders>
            <w:shd w:val="clear" w:color="auto" w:fill="CCE8CF"/>
          </w:tcPr>
          <w:p>
            <w:pPr/>
          </w:p>
        </w:tc>
        <w:tc>
          <w:tcPr>
            <w:tcW w:w="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969"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计算机网络管理员、计算</w:t>
            </w:r>
          </w:p>
        </w:tc>
        <w:tc>
          <w:tcPr>
            <w:tcW w:w="1261" w:type="dxa"/>
            <w:tcBorders>
              <w:top w:val="single" w:sz="4" w:space="0" w:color="000000"/>
              <w:left w:val="single" w:sz="4" w:space="0" w:color="000000"/>
              <w:bottom w:val="nil" w:sz="6" w:space="0" w:color="auto"/>
              <w:right w:val="single" w:sz="4" w:space="0" w:color="000000"/>
            </w:tcBorders>
          </w:tcPr>
          <w:p>
            <w:pPr/>
          </w:p>
        </w:tc>
        <w:tc>
          <w:tcPr>
            <w:tcW w:w="997"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2242"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广东省蓝盾职 业培训学院</w:t>
            </w: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9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42"/>
              <w:jc w:val="left"/>
              <w:rPr>
                <w:rFonts w:ascii="宋体" w:hAnsi="宋体" w:cs="宋体" w:eastAsia="宋体" w:hint="default"/>
                <w:sz w:val="18"/>
                <w:szCs w:val="18"/>
              </w:rPr>
            </w:pPr>
            <w:r>
              <w:rPr>
                <w:rFonts w:ascii="宋体" w:hAnsi="宋体" w:cs="宋体" w:eastAsia="宋体" w:hint="default"/>
                <w:sz w:val="18"/>
                <w:szCs w:val="18"/>
              </w:rPr>
              <w:t>教育培训 服务</w:t>
            </w:r>
          </w:p>
        </w:tc>
        <w:tc>
          <w:tcPr>
            <w:tcW w:w="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3,000,000</w:t>
            </w:r>
          </w:p>
        </w:tc>
        <w:tc>
          <w:tcPr>
            <w:tcW w:w="196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机程序设计员、电子商务</w:t>
            </w:r>
            <w:r>
              <w:rPr>
                <w:rFonts w:ascii="宋体" w:hAnsi="宋体" w:cs="宋体" w:eastAsia="宋体" w:hint="default"/>
                <w:sz w:val="18"/>
                <w:szCs w:val="18"/>
              </w:rPr>
              <w:t> </w:t>
            </w:r>
            <w:r>
              <w:rPr>
                <w:rFonts w:ascii="宋体" w:hAnsi="宋体" w:cs="宋体" w:eastAsia="宋体" w:hint="default"/>
                <w:spacing w:val="-7"/>
                <w:sz w:val="18"/>
                <w:szCs w:val="18"/>
              </w:rPr>
              <w:t>师、通信网络管理员（三</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9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6" w:hRule="exact"/>
        </w:trPr>
        <w:tc>
          <w:tcPr>
            <w:tcW w:w="1276" w:type="dxa"/>
            <w:tcBorders>
              <w:top w:val="nil" w:sz="6" w:space="0" w:color="auto"/>
              <w:left w:val="single" w:sz="4" w:space="0" w:color="000000"/>
              <w:bottom w:val="single" w:sz="4" w:space="0" w:color="000000"/>
              <w:right w:val="single" w:sz="4" w:space="0" w:color="000000"/>
            </w:tcBorders>
            <w:shd w:val="clear" w:color="auto" w:fill="CCE8CF"/>
          </w:tcPr>
          <w:p>
            <w:pPr/>
          </w:p>
        </w:tc>
        <w:tc>
          <w:tcPr>
            <w:tcW w:w="684" w:type="dxa"/>
            <w:tcBorders>
              <w:top w:val="nil" w:sz="6" w:space="0" w:color="auto"/>
              <w:left w:val="single" w:sz="4" w:space="0" w:color="000000"/>
              <w:bottom w:val="single" w:sz="4" w:space="0" w:color="000000"/>
              <w:right w:val="single" w:sz="4" w:space="0" w:color="000000"/>
            </w:tcBorders>
            <w:shd w:val="clear" w:color="auto" w:fill="CCE8CF"/>
          </w:tcPr>
          <w:p>
            <w:pPr/>
          </w:p>
        </w:tc>
        <w:tc>
          <w:tcPr>
            <w:tcW w:w="683" w:type="dxa"/>
            <w:tcBorders>
              <w:top w:val="nil" w:sz="6" w:space="0" w:color="auto"/>
              <w:left w:val="single" w:sz="4" w:space="0" w:color="000000"/>
              <w:bottom w:val="single" w:sz="4" w:space="0" w:color="000000"/>
              <w:right w:val="single" w:sz="4" w:space="0" w:color="000000"/>
            </w:tcBorders>
            <w:shd w:val="clear" w:color="auto" w:fill="CCE8CF"/>
          </w:tcPr>
          <w:p>
            <w:pPr/>
          </w:p>
        </w:tc>
        <w:tc>
          <w:tcPr>
            <w:tcW w:w="797" w:type="dxa"/>
            <w:tcBorders>
              <w:top w:val="nil" w:sz="6" w:space="0" w:color="auto"/>
              <w:left w:val="single" w:sz="4" w:space="0" w:color="000000"/>
              <w:bottom w:val="single" w:sz="4" w:space="0" w:color="000000"/>
              <w:right w:val="single" w:sz="4" w:space="0" w:color="000000"/>
            </w:tcBorders>
            <w:shd w:val="clear" w:color="auto" w:fill="CCE8CF"/>
          </w:tcPr>
          <w:p>
            <w:pPr/>
          </w:p>
        </w:tc>
        <w:tc>
          <w:tcPr>
            <w:tcW w:w="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969"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1261" w:type="dxa"/>
            <w:tcBorders>
              <w:top w:val="nil" w:sz="6" w:space="0" w:color="auto"/>
              <w:left w:val="single" w:sz="4" w:space="0" w:color="000000"/>
              <w:bottom w:val="single" w:sz="4" w:space="0" w:color="000000"/>
              <w:right w:val="single" w:sz="4" w:space="0" w:color="000000"/>
            </w:tcBorders>
          </w:tcPr>
          <w:p>
            <w:pPr/>
          </w:p>
        </w:tc>
        <w:tc>
          <w:tcPr>
            <w:tcW w:w="997"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2242"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广东蓝盾乐庚 信息技术有限 公司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10,000,000</w:t>
            </w:r>
          </w:p>
        </w:tc>
        <w:tc>
          <w:tcPr>
            <w:tcW w:w="1969" w:type="dxa"/>
            <w:tcBorders>
              <w:top w:val="single" w:sz="4" w:space="0" w:color="000000"/>
              <w:left w:val="single" w:sz="4" w:space="0" w:color="000000"/>
              <w:bottom w:val="single" w:sz="4" w:space="0" w:color="000000"/>
              <w:right w:val="single" w:sz="10" w:space="0" w:color="FFFFFF"/>
            </w:tcBorders>
            <w:shd w:val="clear" w:color="auto" w:fill="CCE8CF"/>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承接计算机软件和网络 工程；计算机系统集成 </w:t>
            </w:r>
            <w:r>
              <w:rPr>
                <w:rFonts w:ascii="宋体" w:hAnsi="宋体" w:cs="宋体" w:eastAsia="宋体" w:hint="default"/>
                <w:spacing w:val="-6"/>
                <w:sz w:val="18"/>
                <w:szCs w:val="18"/>
              </w:rPr>
              <w:t>软件咨询；计算机软硬件</w:t>
            </w:r>
            <w:r>
              <w:rPr>
                <w:rFonts w:ascii="宋体" w:hAnsi="宋体" w:cs="宋体" w:eastAsia="宋体" w:hint="default"/>
                <w:sz w:val="18"/>
                <w:szCs w:val="18"/>
              </w:rPr>
              <w:t> 及网络维护</w:t>
            </w:r>
          </w:p>
        </w:tc>
        <w:tc>
          <w:tcPr>
            <w:tcW w:w="126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6"/>
              <w:ind w:left="-15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77" w:right="0"/>
              <w:jc w:val="left"/>
              <w:rPr>
                <w:rFonts w:ascii="Times New Roman" w:hAnsi="Times New Roman" w:cs="Times New Roman" w:eastAsia="Times New Roman" w:hint="default"/>
                <w:sz w:val="18"/>
                <w:szCs w:val="18"/>
              </w:rPr>
            </w:pPr>
            <w:r>
              <w:rPr>
                <w:rFonts w:ascii="Times New Roman"/>
                <w:sz w:val="18"/>
              </w:rPr>
              <w:t>6,000,000.00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27"/>
          <w:szCs w:val="27"/>
        </w:rPr>
      </w:pPr>
    </w:p>
    <w:p>
      <w:pPr>
        <w:spacing w:line="357" w:lineRule="auto" w:before="44"/>
        <w:ind w:left="519" w:right="10681"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76"/>
        <w:ind w:left="0" w:right="519" w:firstLine="0"/>
        <w:jc w:val="right"/>
        <w:rPr>
          <w:rFonts w:ascii="Times New Roman" w:hAnsi="Times New Roman" w:cs="Times New Roman" w:eastAsia="Times New Roman" w:hint="default"/>
          <w:sz w:val="18"/>
          <w:szCs w:val="18"/>
        </w:rPr>
      </w:pPr>
      <w:r>
        <w:rPr>
          <w:rFonts w:ascii="Times New Roman"/>
          <w:sz w:val="18"/>
        </w:rPr>
        <w:t>98</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920" w:right="9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90" w:lineRule="auto" w:before="77"/>
        <w:ind w:left="573" w:right="216" w:hanging="420"/>
        <w:jc w:val="left"/>
      </w:pPr>
      <w:r>
        <w:rPr/>
        <w:t>与上年相比本年（期）新增合并单位</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 报告期，公司新设立2家全资子公司，“广东蓝盾信息安全技术有限公司”及“广东省蓝盾职业培训</w:t>
      </w:r>
    </w:p>
    <w:p>
      <w:pPr>
        <w:pStyle w:val="BodyText"/>
        <w:spacing w:line="268" w:lineRule="exact"/>
        <w:ind w:left="153" w:right="0"/>
        <w:jc w:val="left"/>
      </w:pPr>
      <w:r>
        <w:rPr/>
        <w:t>学院”，投资设立合资公司“广东蓝盾乐庚信息技术有限公司”。</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61"/>
        <w:gridCol w:w="2861"/>
        <w:gridCol w:w="2646"/>
      </w:tblGrid>
      <w:tr>
        <w:trPr>
          <w:trHeight w:val="402" w:hRule="exact"/>
        </w:trPr>
        <w:tc>
          <w:tcPr>
            <w:tcW w:w="4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广东蓝盾信息安全技术有限公司</w:t>
            </w:r>
          </w:p>
        </w:tc>
        <w:tc>
          <w:tcPr>
            <w:tcW w:w="286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62,776,904.92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2,776,904.92</w:t>
            </w:r>
          </w:p>
        </w:tc>
      </w:tr>
      <w:tr>
        <w:trPr>
          <w:trHeight w:val="402" w:hRule="exact"/>
        </w:trPr>
        <w:tc>
          <w:tcPr>
            <w:tcW w:w="4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286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3,003,755.27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3,755.27</w:t>
            </w:r>
          </w:p>
        </w:tc>
      </w:tr>
      <w:tr>
        <w:trPr>
          <w:trHeight w:val="402" w:hRule="exact"/>
        </w:trPr>
        <w:tc>
          <w:tcPr>
            <w:tcW w:w="4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286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27"/>
          <w:szCs w:val="27"/>
        </w:rPr>
      </w:pPr>
    </w:p>
    <w:p>
      <w:pPr>
        <w:spacing w:line="357" w:lineRule="auto" w:before="44"/>
        <w:ind w:left="153" w:right="1851"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、报告期内发生的同一控制下企业合并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、报告期内发生的非同一控制下企业合并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27"/>
          <w:pgSz w:w="11910" w:h="16840"/>
          <w:pgMar w:footer="982" w:header="0"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87"/>
        <w:gridCol w:w="1310"/>
        <w:gridCol w:w="935"/>
        <w:gridCol w:w="1474"/>
        <w:gridCol w:w="1312"/>
        <w:gridCol w:w="934"/>
        <w:gridCol w:w="1605"/>
      </w:tblGrid>
      <w:tr>
        <w:trPr>
          <w:trHeight w:val="207" w:hRule="exact"/>
        </w:trPr>
        <w:tc>
          <w:tcPr>
            <w:tcW w:w="19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9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3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7" w:hRule="exact"/>
        </w:trPr>
        <w:tc>
          <w:tcPr>
            <w:tcW w:w="19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0"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1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212,927.47</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80,506.23</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212,927.47</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80,506.23</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440,317,862.60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167,980,560.95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440,317,862.60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167,980,560.95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7,880,383.63</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787,076.95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7,880,383.63</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787,076.95</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448,411,173.70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168,848,144.13</w:t>
            </w:r>
          </w:p>
        </w:tc>
      </w:tr>
    </w:tbl>
    <w:p>
      <w:pPr>
        <w:spacing w:before="51"/>
        <w:ind w:left="154" w:right="2647"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1"/>
        <w:rPr>
          <w:rFonts w:ascii="宋体" w:hAnsi="宋体" w:cs="宋体" w:eastAsia="宋体" w:hint="default"/>
          <w:sz w:val="13"/>
          <w:szCs w:val="13"/>
        </w:rPr>
      </w:pPr>
    </w:p>
    <w:p>
      <w:pPr>
        <w:pStyle w:val="BodyText"/>
        <w:spacing w:line="256" w:lineRule="auto"/>
        <w:ind w:left="577" w:right="2647"/>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日止，公司不存在质押、冻结，或有潜在收回风险的款项。 其中受限制的货币资金明细如下：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036"/>
        <w:gridCol w:w="2113"/>
        <w:gridCol w:w="2380"/>
      </w:tblGrid>
      <w:tr>
        <w:trPr>
          <w:trHeight w:val="34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0"/>
              <w:ind w:right="1721"/>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3,119,184.00</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4,761,199.63</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787,076.95</w:t>
            </w:r>
          </w:p>
        </w:tc>
      </w:tr>
      <w:tr>
        <w:trPr>
          <w:trHeight w:val="348"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21"/>
              <w:ind w:right="164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7,880,383.63</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787,076.95</w:t>
            </w:r>
          </w:p>
        </w:tc>
      </w:tr>
    </w:tbl>
    <w:p>
      <w:pPr>
        <w:spacing w:line="240" w:lineRule="auto" w:before="2"/>
        <w:rPr>
          <w:rFonts w:ascii="宋体" w:hAnsi="宋体" w:cs="宋体" w:eastAsia="宋体" w:hint="default"/>
          <w:sz w:val="19"/>
          <w:szCs w:val="19"/>
        </w:rPr>
      </w:pPr>
    </w:p>
    <w:p>
      <w:pPr>
        <w:pStyle w:val="Heading3"/>
        <w:spacing w:line="240" w:lineRule="auto" w:before="35"/>
        <w:ind w:right="2647"/>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647"/>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261"/>
        <w:gridCol w:w="850"/>
        <w:gridCol w:w="1196"/>
        <w:gridCol w:w="851"/>
        <w:gridCol w:w="1195"/>
        <w:gridCol w:w="852"/>
        <w:gridCol w:w="1062"/>
        <w:gridCol w:w="844"/>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1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21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1011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采用账龄分析法计提坏 账准备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171,302,834.90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11,030,318.96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83,244,216.56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4,825,376.81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center"/>
              <w:rPr>
                <w:rFonts w:ascii="Times New Roman" w:hAnsi="Times New Roman" w:cs="Times New Roman" w:eastAsia="Times New Roman" w:hint="default"/>
                <w:sz w:val="18"/>
                <w:szCs w:val="18"/>
              </w:rPr>
            </w:pPr>
            <w:r>
              <w:rPr>
                <w:rFonts w:ascii="Times New Roman"/>
                <w:sz w:val="18"/>
              </w:rPr>
              <w:t>171,302,834.90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center"/>
              <w:rPr>
                <w:rFonts w:ascii="Times New Roman" w:hAnsi="Times New Roman" w:cs="Times New Roman" w:eastAsia="Times New Roman" w:hint="default"/>
                <w:sz w:val="18"/>
                <w:szCs w:val="18"/>
              </w:rPr>
            </w:pPr>
            <w:r>
              <w:rPr>
                <w:rFonts w:ascii="Times New Roman"/>
                <w:sz w:val="18"/>
              </w:rPr>
              <w:t>11,030,318.96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center"/>
              <w:rPr>
                <w:rFonts w:ascii="Times New Roman" w:hAnsi="Times New Roman" w:cs="Times New Roman" w:eastAsia="Times New Roman" w:hint="default"/>
                <w:sz w:val="18"/>
                <w:szCs w:val="18"/>
              </w:rPr>
            </w:pPr>
            <w:r>
              <w:rPr>
                <w:rFonts w:ascii="Times New Roman"/>
                <w:sz w:val="18"/>
              </w:rPr>
              <w:t>83,244,216.56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Times New Roman" w:hAnsi="Times New Roman" w:cs="Times New Roman" w:eastAsia="Times New Roman" w:hint="default"/>
                <w:sz w:val="18"/>
                <w:szCs w:val="18"/>
              </w:rPr>
            </w:pPr>
            <w:r>
              <w:rPr>
                <w:rFonts w:ascii="Times New Roman"/>
                <w:sz w:val="18"/>
              </w:rPr>
              <w:t>4,825,376.81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center"/>
              <w:rPr>
                <w:rFonts w:ascii="Times New Roman" w:hAnsi="Times New Roman" w:cs="Times New Roman" w:eastAsia="Times New Roman" w:hint="default"/>
                <w:sz w:val="18"/>
                <w:szCs w:val="18"/>
              </w:rPr>
            </w:pPr>
            <w:r>
              <w:rPr>
                <w:rFonts w:ascii="Times New Roman"/>
                <w:sz w:val="18"/>
              </w:rPr>
              <w:t>171,302,834.90</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 w:right="0"/>
              <w:jc w:val="center"/>
              <w:rPr>
                <w:rFonts w:ascii="Times New Roman" w:hAnsi="Times New Roman" w:cs="Times New Roman" w:eastAsia="Times New Roman" w:hint="default"/>
                <w:sz w:val="18"/>
                <w:szCs w:val="18"/>
              </w:rPr>
            </w:pPr>
            <w:r>
              <w:rPr>
                <w:rFonts w:ascii="Times New Roman"/>
                <w:sz w:val="18"/>
              </w:rPr>
              <w:t>11,030,318.96</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94" w:right="0"/>
              <w:jc w:val="center"/>
              <w:rPr>
                <w:rFonts w:ascii="Times New Roman" w:hAnsi="Times New Roman" w:cs="Times New Roman" w:eastAsia="Times New Roman" w:hint="default"/>
                <w:sz w:val="18"/>
                <w:szCs w:val="18"/>
              </w:rPr>
            </w:pPr>
            <w:r>
              <w:rPr>
                <w:rFonts w:ascii="Times New Roman"/>
                <w:sz w:val="18"/>
              </w:rPr>
              <w:t>83,244,216.56</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4,825,376.81</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spacing w:before="44"/>
        <w:ind w:left="154" w:right="2647"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3" w:right="6431"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53" w:right="264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59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28"/>
          <w:pgSz w:w="11910" w:h="16840"/>
          <w:pgMar w:footer="982" w:header="0" w:top="1100" w:bottom="1180" w:left="980" w:right="54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443"/>
        <w:gridCol w:w="1606"/>
        <w:gridCol w:w="929"/>
        <w:gridCol w:w="1727"/>
        <w:gridCol w:w="1462"/>
        <w:gridCol w:w="929"/>
        <w:gridCol w:w="1462"/>
      </w:tblGrid>
      <w:tr>
        <w:trPr>
          <w:trHeight w:val="402" w:hRule="exact"/>
        </w:trPr>
        <w:tc>
          <w:tcPr>
            <w:tcW w:w="1443"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7" w:hRule="exact"/>
        </w:trPr>
        <w:tc>
          <w:tcPr>
            <w:tcW w:w="14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5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443" w:type="dxa"/>
            <w:vMerge/>
            <w:tcBorders>
              <w:left w:val="single" w:sz="4" w:space="0" w:color="000000"/>
              <w:bottom w:val="nil" w:sz="6" w:space="0" w:color="auto"/>
              <w:right w:val="single" w:sz="4" w:space="0" w:color="000000"/>
            </w:tcBorders>
            <w:shd w:val="clear" w:color="auto" w:fill="D3D3D3"/>
          </w:tcPr>
          <w:p>
            <w:pPr/>
          </w:p>
        </w:tc>
        <w:tc>
          <w:tcPr>
            <w:tcW w:w="2534" w:type="dxa"/>
            <w:gridSpan w:val="2"/>
            <w:vMerge/>
            <w:tcBorders>
              <w:left w:val="single" w:sz="4" w:space="0" w:color="000000"/>
              <w:bottom w:val="single" w:sz="4" w:space="0" w:color="000000"/>
              <w:right w:val="single" w:sz="4" w:space="0" w:color="000000"/>
            </w:tcBorders>
            <w:shd w:val="clear" w:color="auto" w:fill="D3D3D3"/>
          </w:tcPr>
          <w:p>
            <w:pPr/>
          </w:p>
        </w:tc>
        <w:tc>
          <w:tcPr>
            <w:tcW w:w="17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vMerge/>
            <w:tcBorders>
              <w:left w:val="single" w:sz="4" w:space="0" w:color="000000"/>
              <w:bottom w:val="single" w:sz="4" w:space="0" w:color="000000"/>
              <w:right w:val="single" w:sz="4" w:space="0" w:color="000000"/>
            </w:tcBorders>
            <w:shd w:val="clear" w:color="auto" w:fill="D3D3D3"/>
          </w:tcPr>
          <w:p>
            <w:pPr/>
          </w:p>
        </w:tc>
        <w:tc>
          <w:tcPr>
            <w:tcW w:w="14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5" w:hRule="exact"/>
        </w:trPr>
        <w:tc>
          <w:tcPr>
            <w:tcW w:w="1443" w:type="dxa"/>
            <w:vMerge w:val="restart"/>
            <w:tcBorders>
              <w:top w:val="nil" w:sz="6" w:space="0" w:color="auto"/>
              <w:left w:val="single" w:sz="4" w:space="0" w:color="000000"/>
              <w:right w:val="single" w:sz="4" w:space="0" w:color="000000"/>
            </w:tcBorders>
            <w:shd w:val="clear" w:color="auto" w:fill="D3D3D3"/>
          </w:tcPr>
          <w:p>
            <w:pP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443"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141,459,558.93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82.58%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7,072,977.95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75,123,263.31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3,756,163.17</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25,862,159.80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2,586,215.98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6,888,137.44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688,813.74</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3,176,328.99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952,898.70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1,180,040.01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354,012.00</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752,011.38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376,005.69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52,775.80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26,387.90</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52,775.80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42,220.64</w:t>
            </w:r>
          </w:p>
        </w:tc>
        <w:tc>
          <w:tcPr>
            <w:tcW w:w="146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171,302,834.90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11,030,318.96</w:t>
            </w:r>
          </w:p>
        </w:tc>
        <w:tc>
          <w:tcPr>
            <w:tcW w:w="146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83,244,216.56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4,825,376.81</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6"/>
        <w:ind w:left="153" w:right="599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357" w:lineRule="auto" w:before="26"/>
        <w:ind w:left="153" w:right="5451"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期末单项金额虽不重大但单项计提坏账准备的应收账款</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3831" w:firstLine="0"/>
        <w:jc w:val="left"/>
        <w:rPr>
          <w:rFonts w:ascii="宋体" w:hAnsi="宋体" w:cs="宋体" w:eastAsia="宋体" w:hint="default"/>
          <w:sz w:val="18"/>
          <w:szCs w:val="18"/>
        </w:rPr>
      </w:pPr>
      <w:r>
        <w:rPr>
          <w:rFonts w:ascii="宋体" w:hAnsi="宋体" w:cs="宋体" w:eastAsia="宋体" w:hint="default"/>
          <w:sz w:val="18"/>
          <w:szCs w:val="18"/>
        </w:rPr>
        <w:t>无 期末单项金额重大或虽不重大但单独进行减值测试的应收账款坏账准备计提 无</w:t>
      </w:r>
    </w:p>
    <w:p>
      <w:pPr>
        <w:spacing w:line="357" w:lineRule="auto" w:before="29"/>
        <w:ind w:left="153" w:right="3651"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清远市人民政府办公室</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14,080,846.80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广东省公安厅</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9,692,926.12</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海南省公安厅</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9,098,709.99</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82" w:header="0" w:top="1100" w:bottom="1180" w:left="980" w:right="980"/>
          <w:pgNumType w:start="1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广州市黄埔区教育局</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1,634,618.00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广州市黄埔区教育局</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6,986,765.89</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海口市公安局交通警察 支队</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5,336,310.00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46,830,176.80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采用账龄分析法计提坏 账准备</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8,818,516.07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831,051.98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7,479,574.47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703,578.80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8,818,516.07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831,051.98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7,479,574.47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703,578.80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8,818,516.07</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831,051.98</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7,479,574.47</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703,578.80</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13"/>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4"/>
        <w:gridCol w:w="1852"/>
        <w:gridCol w:w="659"/>
        <w:gridCol w:w="1447"/>
        <w:gridCol w:w="1450"/>
        <w:gridCol w:w="656"/>
        <w:gridCol w:w="1668"/>
      </w:tblGrid>
      <w:tr>
        <w:trPr>
          <w:trHeight w:val="402" w:hRule="exact"/>
        </w:trPr>
        <w:tc>
          <w:tcPr>
            <w:tcW w:w="1824" w:type="dxa"/>
            <w:vMerge w:val="restart"/>
            <w:tcBorders>
              <w:top w:val="single" w:sz="4" w:space="0" w:color="000000"/>
              <w:left w:val="single" w:sz="4" w:space="0" w:color="000000"/>
              <w:right w:val="single" w:sz="4" w:space="0" w:color="000000"/>
            </w:tcBorders>
            <w:shd w:val="clear" w:color="auto" w:fill="D3D3D3"/>
          </w:tcPr>
          <w:p>
            <w:pPr/>
          </w:p>
        </w:tc>
        <w:tc>
          <w:tcPr>
            <w:tcW w:w="395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824" w:type="dxa"/>
            <w:vMerge/>
            <w:tcBorders>
              <w:left w:val="single" w:sz="4" w:space="0" w:color="000000"/>
              <w:bottom w:val="nil" w:sz="6" w:space="0" w:color="auto"/>
              <w:right w:val="single" w:sz="4" w:space="0" w:color="000000"/>
            </w:tcBorders>
            <w:shd w:val="clear" w:color="auto" w:fill="D3D3D3"/>
          </w:tcPr>
          <w:p>
            <w:pPr/>
          </w:p>
        </w:tc>
        <w:tc>
          <w:tcPr>
            <w:tcW w:w="25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
        </w:tc>
        <w:tc>
          <w:tcPr>
            <w:tcW w:w="21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8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511" w:type="dxa"/>
            <w:gridSpan w:val="2"/>
            <w:vMerge/>
            <w:tcBorders>
              <w:left w:val="single" w:sz="4" w:space="0" w:color="000000"/>
              <w:bottom w:val="single" w:sz="4" w:space="0" w:color="000000"/>
              <w:right w:val="single" w:sz="4" w:space="0" w:color="000000"/>
            </w:tcBorders>
            <w:shd w:val="clear" w:color="auto" w:fill="D3D3D3"/>
          </w:tcPr>
          <w:p>
            <w:pPr/>
          </w:p>
        </w:tc>
        <w:tc>
          <w:tcPr>
            <w:tcW w:w="1447" w:type="dxa"/>
            <w:vMerge/>
            <w:tcBorders>
              <w:left w:val="single" w:sz="4" w:space="0" w:color="000000"/>
              <w:bottom w:val="nil" w:sz="6" w:space="0" w:color="auto"/>
              <w:right w:val="single" w:sz="4" w:space="0" w:color="000000"/>
            </w:tcBorders>
            <w:shd w:val="clear" w:color="auto" w:fill="D3D3D3"/>
          </w:tcPr>
          <w:p>
            <w:pPr/>
          </w:p>
        </w:tc>
        <w:tc>
          <w:tcPr>
            <w:tcW w:w="2106" w:type="dxa"/>
            <w:gridSpan w:val="2"/>
            <w:vMerge/>
            <w:tcBorders>
              <w:left w:val="single" w:sz="4" w:space="0" w:color="000000"/>
              <w:bottom w:val="single" w:sz="4" w:space="0" w:color="000000"/>
              <w:right w:val="single" w:sz="4" w:space="0" w:color="000000"/>
            </w:tcBorders>
            <w:shd w:val="clear" w:color="auto" w:fill="D3D3D3"/>
          </w:tcPr>
          <w:p>
            <w:pPr/>
          </w:p>
        </w:tc>
        <w:tc>
          <w:tcPr>
            <w:tcW w:w="1668"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824" w:type="dxa"/>
            <w:vMerge/>
            <w:tcBorders>
              <w:left w:val="single" w:sz="4" w:space="0" w:color="000000"/>
              <w:bottom w:val="single" w:sz="4" w:space="0" w:color="FFFFFF"/>
              <w:right w:val="single" w:sz="4" w:space="0" w:color="000000"/>
            </w:tcBorders>
            <w:shd w:val="clear" w:color="auto" w:fill="D3D3D3"/>
          </w:tcPr>
          <w:p>
            <w:pPr/>
          </w:p>
        </w:tc>
        <w:tc>
          <w:tcPr>
            <w:tcW w:w="185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24" w:type="dxa"/>
            <w:vMerge w:val="restart"/>
            <w:tcBorders>
              <w:top w:val="single" w:sz="4" w:space="0" w:color="FFFFFF"/>
              <w:left w:val="single" w:sz="4" w:space="0" w:color="000000"/>
              <w:right w:val="single" w:sz="4" w:space="0" w:color="000000"/>
            </w:tcBorders>
            <w:shd w:val="clear" w:color="auto" w:fill="D3D3D3"/>
          </w:tcPr>
          <w:p>
            <w:pPr/>
          </w:p>
        </w:tc>
        <w:tc>
          <w:tcPr>
            <w:tcW w:w="185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447" w:type="dxa"/>
            <w:vMerge/>
            <w:tcBorders>
              <w:left w:val="single" w:sz="4" w:space="0" w:color="000000"/>
              <w:bottom w:val="nil" w:sz="6" w:space="0" w:color="auto"/>
              <w:right w:val="single" w:sz="4" w:space="0" w:color="000000"/>
            </w:tcBorders>
            <w:shd w:val="clear" w:color="auto" w:fill="D3D3D3"/>
          </w:tcPr>
          <w:p>
            <w:pPr/>
          </w:p>
        </w:tc>
        <w:tc>
          <w:tcPr>
            <w:tcW w:w="14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vMerge/>
            <w:tcBorders>
              <w:left w:val="single" w:sz="4" w:space="0" w:color="000000"/>
              <w:right w:val="single" w:sz="4" w:space="0" w:color="000000"/>
            </w:tcBorders>
            <w:shd w:val="clear" w:color="auto" w:fill="D3D3D3"/>
          </w:tcPr>
          <w:p>
            <w:pPr/>
          </w:p>
        </w:tc>
        <w:tc>
          <w:tcPr>
            <w:tcW w:w="1668"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824" w:type="dxa"/>
            <w:vMerge/>
            <w:tcBorders>
              <w:left w:val="single" w:sz="4" w:space="0" w:color="000000"/>
              <w:right w:val="single" w:sz="4" w:space="0" w:color="000000"/>
            </w:tcBorders>
            <w:shd w:val="clear" w:color="auto" w:fill="D3D3D3"/>
          </w:tcPr>
          <w:p>
            <w:pPr/>
          </w:p>
        </w:tc>
        <w:tc>
          <w:tcPr>
            <w:tcW w:w="18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c>
          <w:tcPr>
            <w:tcW w:w="1447" w:type="dxa"/>
            <w:vMerge w:val="restart"/>
            <w:tcBorders>
              <w:top w:val="nil" w:sz="6" w:space="0" w:color="auto"/>
              <w:left w:val="single" w:sz="4" w:space="0" w:color="000000"/>
              <w:right w:val="single" w:sz="4" w:space="0" w:color="000000"/>
            </w:tcBorders>
            <w:shd w:val="clear" w:color="auto" w:fill="D3D3D3"/>
          </w:tcPr>
          <w:p>
            <w:pPr/>
          </w:p>
        </w:tc>
        <w:tc>
          <w:tcPr>
            <w:tcW w:w="1450" w:type="dxa"/>
            <w:vMerge/>
            <w:tcBorders>
              <w:left w:val="single" w:sz="4" w:space="0" w:color="000000"/>
              <w:bottom w:val="nil" w:sz="6" w:space="0" w:color="auto"/>
              <w:right w:val="single" w:sz="4" w:space="0" w:color="000000"/>
            </w:tcBorders>
            <w:shd w:val="clear" w:color="auto" w:fill="D3D3D3"/>
          </w:tcPr>
          <w:p>
            <w:pPr/>
          </w:p>
        </w:tc>
        <w:tc>
          <w:tcPr>
            <w:tcW w:w="656" w:type="dxa"/>
            <w:vMerge/>
            <w:tcBorders>
              <w:left w:val="single" w:sz="4" w:space="0" w:color="000000"/>
              <w:right w:val="single" w:sz="4" w:space="0" w:color="000000"/>
            </w:tcBorders>
            <w:shd w:val="clear" w:color="auto" w:fill="D3D3D3"/>
          </w:tcPr>
          <w:p>
            <w:pPr/>
          </w:p>
        </w:tc>
        <w:tc>
          <w:tcPr>
            <w:tcW w:w="166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824" w:type="dxa"/>
            <w:vMerge/>
            <w:tcBorders>
              <w:left w:val="single" w:sz="4" w:space="0" w:color="000000"/>
              <w:bottom w:val="single" w:sz="4" w:space="0" w:color="000000"/>
              <w:right w:val="single" w:sz="4" w:space="0" w:color="000000"/>
            </w:tcBorders>
            <w:shd w:val="clear" w:color="auto" w:fill="D3D3D3"/>
          </w:tcPr>
          <w:p>
            <w:pPr/>
          </w:p>
        </w:tc>
        <w:tc>
          <w:tcPr>
            <w:tcW w:w="18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6" w:type="dxa"/>
            <w:vMerge/>
            <w:tcBorders>
              <w:left w:val="single" w:sz="4" w:space="0" w:color="000000"/>
              <w:bottom w:val="single" w:sz="4" w:space="0" w:color="000000"/>
              <w:right w:val="single" w:sz="4" w:space="0" w:color="000000"/>
            </w:tcBorders>
            <w:shd w:val="clear" w:color="auto" w:fill="D3D3D3"/>
          </w:tcPr>
          <w:p>
            <w:pP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7,241,917.69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362,095.89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5,592,468.06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74.77%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279,623.40</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674,397.96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67,439.80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899,750.29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89,975.03</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408,307.24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122,492.17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846,568.12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253,970.44</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399,789.32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199,894.66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121,556.14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60,778.07</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74,872.00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59,897.60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19,231.86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19,231.86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19,231.86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19,231.86</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8,818,516.07</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831,051.98</w:t>
            </w:r>
          </w:p>
        </w:tc>
        <w:tc>
          <w:tcPr>
            <w:tcW w:w="145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7,479,574.47</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703,578.80</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3" w:right="581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line="360" w:lineRule="auto" w:before="28"/>
        <w:ind w:left="153" w:right="5271"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期末单项金额虽不重大但单项计提坏账准备的其他应收款</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3471" w:firstLine="0"/>
        <w:jc w:val="left"/>
        <w:rPr>
          <w:rFonts w:ascii="宋体" w:hAnsi="宋体" w:cs="宋体" w:eastAsia="宋体" w:hint="default"/>
          <w:sz w:val="18"/>
          <w:szCs w:val="18"/>
        </w:rPr>
      </w:pPr>
      <w:r>
        <w:rPr>
          <w:rFonts w:ascii="宋体" w:hAnsi="宋体" w:cs="宋体" w:eastAsia="宋体" w:hint="default"/>
          <w:sz w:val="18"/>
          <w:szCs w:val="18"/>
        </w:rPr>
        <w:t>无 期末单项金额重大或虽不重大但单独进行减值测试的其他应收账款坏账准备计提 无 单项金额不重大但按信用风险特征组合后该组合的风险较大的其他应收款的说明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2392"/>
        <w:gridCol w:w="1913"/>
        <w:gridCol w:w="2498"/>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广州白云工商高级技工学校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195,050.00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广东省政府采购中心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191,153.00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投标保证金和中标服务 费</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广州市悦禾物业管理有限公司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150,855.10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公安部第三研究所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128,880.00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认证费、检测费</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广州高唐天河软件园物业管理有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785,938.10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广州市信息工程招投标 中心</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中介机构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1,875,971.00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山东省鲁成招标有限公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中介机构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中国民航大学</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549,942.60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潮州市政府采购中心</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中国平安财产保险股份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保险公司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226,307.24</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3,613,220.84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7"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2,821,333.08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96.51%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12,640,082.07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97,750.46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781,240.92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769,062.60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5.42%</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2,923,511.54</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14,190,385.59</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孟红星</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北京办事处办公室出租 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680,075.50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预付租赁费</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深圳市博科电子有限公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288,640.00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浙江大华技术股份有限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275,796.00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广州蓝色快线信息技术 服务有限公司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234,777.30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服务费用未结算完毕</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重庆商社电子销售有限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228,240.00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1,707,528.80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357" w:lineRule="auto" w:before="35"/>
        <w:ind w:right="1980" w:hanging="1"/>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）本报告期预付款项中持有本公司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17"/>
          <w:szCs w:val="17"/>
        </w:rPr>
      </w:pPr>
    </w:p>
    <w:p>
      <w:pPr>
        <w:spacing w:line="357" w:lineRule="auto" w:before="0"/>
        <w:ind w:left="154" w:right="515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b/>
          <w:bCs/>
          <w:spacing w:val="1"/>
          <w:w w:val="99"/>
          <w:sz w:val="21"/>
          <w:szCs w:val="21"/>
        </w:rPr>
        <w:t> </w:t>
      </w:r>
      <w:r>
        <w:rPr>
          <w:rFonts w:ascii="宋体" w:hAnsi="宋体" w:cs="宋体" w:eastAsia="宋体" w:hint="default"/>
          <w:sz w:val="21"/>
          <w:szCs w:val="21"/>
        </w:rPr>
        <w:t>报告期末无账龄超过一年的金额较大的预付账款。</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8"/>
        <w:gridCol w:w="1461"/>
        <w:gridCol w:w="1194"/>
        <w:gridCol w:w="1330"/>
        <w:gridCol w:w="1327"/>
        <w:gridCol w:w="1330"/>
        <w:gridCol w:w="1328"/>
      </w:tblGrid>
      <w:tr>
        <w:trPr>
          <w:trHeight w:val="207"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598"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15,034,100.03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15,034,100.03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17,897,155.69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17,897,155.69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2,704,699.77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2,704,699.77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4,384,238.78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4,384,238.78</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17,738,799.80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17,738,799.80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22,281,394.47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22,281,394.47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1"/>
        <w:gridCol w:w="1478"/>
        <w:gridCol w:w="1327"/>
        <w:gridCol w:w="1595"/>
        <w:gridCol w:w="1594"/>
        <w:gridCol w:w="1462"/>
      </w:tblGrid>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95,404,833.98</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70,587,730.23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165,988,726.61</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33,293,062.40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33,293,062.40</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3,103,634.54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1,923,185.66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5,026,820.20</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8,573,239.21</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8,573,239.21</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50,041,853.87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67,944,312.35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117,982,328.62</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7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393,043.96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720,232.22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1,113,276.18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21,392,497.78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15,617,320.90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37,008,301.63</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1,574,917.81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930,246.61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2,505,164.42</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774,319.19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378,314.56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1,152,633.75</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1,015,406.13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814,458.72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1,829,864.85</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17,929,417.14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13,393,109.23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31,321,009.32</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7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98,437.51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101,191.78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199,629.29</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74,012,336.20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128,980,424.98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31,718,144.59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30,787,897.98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2,329,315.35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3,874,186.45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17"/>
        <w:gridCol w:w="1473"/>
        <w:gridCol w:w="4516"/>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7,557,833.08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6,743,374.36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32,112,436.73</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86,661,319.30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294,606.45</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913,646.89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1,251,960.83</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1,251,960.83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42,732.53</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42,732.53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3" w:type="dxa"/>
            <w:tcBorders>
              <w:top w:val="single" w:sz="4" w:space="0" w:color="000000"/>
              <w:left w:val="single" w:sz="13" w:space="0" w:color="CCE8CF"/>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1,207,575.69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1,207,575.69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1,652.61</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1,652.61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72,760,375.37</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127,728,464.15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31,718,144.59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30,787,897.98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2,286,582.82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3,831,453.92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7,557,833.08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6,743,374.36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30,904,861.04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85,453,743.61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其它设备</w:t>
            </w:r>
          </w:p>
        </w:tc>
        <w:tc>
          <w:tcPr>
            <w:tcW w:w="147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292,953.84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911,994.28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15,617,320.90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357" w:lineRule="auto"/>
        <w:ind w:left="153" w:right="6925"/>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）暂时闲置的固定资产情况</w:t>
      </w:r>
      <w:r>
        <w:rPr>
          <w:spacing w:val="1"/>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7"/>
          <w:szCs w:val="17"/>
        </w:rPr>
      </w:pPr>
    </w:p>
    <w:p>
      <w:pPr>
        <w:pStyle w:val="Heading3"/>
        <w:spacing w:line="357" w:lineRule="auto"/>
        <w:ind w:right="6503"/>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）通过融资租赁租入的固定资产</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7"/>
          <w:szCs w:val="17"/>
        </w:rPr>
      </w:pPr>
    </w:p>
    <w:p>
      <w:pPr>
        <w:pStyle w:val="Heading3"/>
        <w:spacing w:line="357" w:lineRule="auto"/>
        <w:ind w:right="6503"/>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7"/>
          <w:szCs w:val="17"/>
        </w:rPr>
      </w:pPr>
    </w:p>
    <w:p>
      <w:pPr>
        <w:pStyle w:val="Heading3"/>
        <w:spacing w:line="357" w:lineRule="auto"/>
        <w:ind w:right="6503"/>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）期末持有待售的固定资产情况</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7"/>
          <w:szCs w:val="17"/>
        </w:rPr>
      </w:pPr>
    </w:p>
    <w:p>
      <w:pPr>
        <w:pStyle w:val="Heading3"/>
        <w:spacing w:line="357" w:lineRule="auto"/>
        <w:ind w:left="153" w:right="6293"/>
        <w:jc w:val="left"/>
        <w:rPr>
          <w:rFonts w:ascii="宋体" w:hAnsi="宋体" w:cs="宋体" w:eastAsia="宋体" w:hint="default"/>
          <w:b w:val="0"/>
          <w:bCs w:val="0"/>
        </w:rPr>
      </w:pPr>
      <w:r>
        <w:rPr/>
        <w:t>（</w:t>
      </w:r>
      <w:r>
        <w:rPr>
          <w:rFonts w:ascii="Times New Roman" w:hAnsi="Times New Roman" w:cs="Times New Roman" w:eastAsia="Times New Roman" w:hint="default"/>
        </w:rPr>
        <w:t>6</w:t>
      </w:r>
      <w:r>
        <w:rPr/>
        <w:t>）未办妥产权证书的固定资产情况</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pStyle w:val="BodyText"/>
        <w:spacing w:line="240" w:lineRule="auto" w:before="152"/>
        <w:ind w:left="153" w:right="0"/>
        <w:jc w:val="left"/>
      </w:pPr>
      <w:r>
        <w:rPr/>
        <w:t>固定资产说明</w:t>
      </w:r>
    </w:p>
    <w:p>
      <w:pPr>
        <w:pStyle w:val="BodyText"/>
        <w:spacing w:line="331" w:lineRule="auto" w:before="165"/>
        <w:ind w:left="153" w:right="150" w:firstLine="588"/>
        <w:jc w:val="both"/>
      </w:pPr>
      <w:r>
        <w:rPr/>
        <w:t>公司已用位于广州市天河区科韵路</w:t>
      </w:r>
      <w:r>
        <w:rPr>
          <w:rFonts w:ascii="Times New Roman" w:hAnsi="Times New Roman" w:cs="Times New Roman" w:eastAsia="Times New Roman" w:hint="default"/>
        </w:rPr>
        <w:t>16</w:t>
      </w:r>
      <w:r>
        <w:rPr/>
        <w:t>号自编</w:t>
      </w:r>
      <w:r>
        <w:rPr>
          <w:rFonts w:ascii="Times New Roman" w:hAnsi="Times New Roman" w:cs="Times New Roman" w:eastAsia="Times New Roman" w:hint="default"/>
        </w:rPr>
        <w:t>1</w:t>
      </w:r>
      <w:r>
        <w:rPr/>
        <w:t>栋</w:t>
      </w:r>
      <w:r>
        <w:rPr>
          <w:rFonts w:ascii="Times New Roman" w:hAnsi="Times New Roman" w:cs="Times New Roman" w:eastAsia="Times New Roman" w:hint="default"/>
        </w:rPr>
        <w:t>2101</w:t>
      </w:r>
      <w:r>
        <w:rPr/>
        <w:t>的房产</w:t>
      </w:r>
      <w:r>
        <w:rPr>
          <w:rFonts w:ascii="Times New Roman" w:hAnsi="Times New Roman" w:cs="Times New Roman" w:eastAsia="Times New Roman" w:hint="default"/>
        </w:rPr>
        <w:t>(</w:t>
      </w:r>
      <w:r>
        <w:rPr/>
        <w:t>房产证号：穗字第</w:t>
      </w:r>
      <w:r>
        <w:rPr>
          <w:rFonts w:ascii="Times New Roman" w:hAnsi="Times New Roman" w:cs="Times New Roman" w:eastAsia="Times New Roman" w:hint="default"/>
        </w:rPr>
        <w:t>0940039965</w:t>
      </w:r>
      <w:r>
        <w:rPr/>
        <w:t>号，账面 </w:t>
      </w:r>
      <w:r>
        <w:rPr>
          <w:spacing w:val="-2"/>
        </w:rPr>
        <w:t>原值为</w:t>
      </w:r>
      <w:r>
        <w:rPr>
          <w:rFonts w:ascii="Times New Roman" w:hAnsi="Times New Roman" w:cs="Times New Roman" w:eastAsia="Times New Roman" w:hint="default"/>
          <w:spacing w:val="-2"/>
        </w:rPr>
        <w:t>15,422,126.20</w:t>
      </w:r>
      <w:r>
        <w:rPr>
          <w:spacing w:val="-2"/>
        </w:rPr>
        <w:t>元</w:t>
      </w:r>
      <w:r>
        <w:rPr>
          <w:rFonts w:ascii="Times New Roman" w:hAnsi="Times New Roman" w:cs="Times New Roman" w:eastAsia="Times New Roman" w:hint="default"/>
          <w:spacing w:val="-2"/>
        </w:rPr>
        <w:t>)</w:t>
      </w:r>
      <w:r>
        <w:rPr>
          <w:spacing w:val="-2"/>
        </w:rPr>
        <w:t>，作为向招商银行股份有限公司广州黄埔大道支行</w:t>
      </w:r>
      <w:r>
        <w:rPr>
          <w:rFonts w:ascii="Times New Roman" w:hAnsi="Times New Roman" w:cs="Times New Roman" w:eastAsia="Times New Roman" w:hint="default"/>
          <w:spacing w:val="-2"/>
        </w:rPr>
        <w:t>8,000</w:t>
      </w:r>
      <w:r>
        <w:rPr>
          <w:spacing w:val="-2"/>
        </w:rPr>
        <w:t>万元长期借款的抵押物，该</w:t>
      </w:r>
      <w:r>
        <w:rPr>
          <w:spacing w:val="-93"/>
        </w:rPr>
        <w:t> </w:t>
      </w:r>
      <w:r>
        <w:rPr>
          <w:spacing w:val="-93"/>
        </w:rPr>
      </w:r>
      <w:r>
        <w:rPr/>
        <w:t>借款合同约定借款到期日为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w:t>
      </w:r>
    </w:p>
    <w:p>
      <w:pPr>
        <w:spacing w:after="0" w:line="331" w:lineRule="auto"/>
        <w:jc w:val="both"/>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54"/>
        <w:gridCol w:w="1207"/>
        <w:gridCol w:w="1195"/>
        <w:gridCol w:w="1194"/>
        <w:gridCol w:w="1195"/>
        <w:gridCol w:w="1195"/>
        <w:gridCol w:w="1327"/>
      </w:tblGrid>
      <w:tr>
        <w:trPr>
          <w:trHeight w:val="402" w:hRule="exact"/>
        </w:trPr>
        <w:tc>
          <w:tcPr>
            <w:tcW w:w="22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5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p>
        </w:tc>
        <w:tc>
          <w:tcPr>
            <w:tcW w:w="120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83,382,822.30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83,382,822.30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4,534,963.00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4,534,963.00</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83,382,822.30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83,382,822.30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4,534,963.00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4,534,963.00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139"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4"/>
        <w:rPr>
          <w:rFonts w:ascii="宋体" w:hAnsi="宋体" w:cs="宋体" w:eastAsia="宋体" w:hint="default"/>
          <w:b/>
          <w:bCs/>
          <w:sz w:val="23"/>
          <w:szCs w:val="23"/>
        </w:rPr>
      </w:pPr>
    </w:p>
    <w:p>
      <w:pPr>
        <w:spacing w:before="44"/>
        <w:ind w:left="0" w:right="238" w:firstLine="0"/>
        <w:jc w:val="right"/>
        <w:rPr>
          <w:rFonts w:ascii="宋体" w:hAnsi="宋体" w:cs="宋体" w:eastAsia="宋体" w:hint="default"/>
          <w:sz w:val="18"/>
          <w:szCs w:val="18"/>
        </w:rPr>
      </w:pPr>
      <w:r>
        <w:rPr/>
        <w:pict>
          <v:group style="position:absolute;margin-left:351.411011pt;margin-top:19.671707pt;width:73.05pt;height:43.05pt;mso-position-horizontal-relative:page;mso-position-vertical-relative:paragraph;z-index:-689464" coordorigin="7028,393" coordsize="1461,861">
            <v:group style="position:absolute;left:7028;top:393;width:726;height:861" coordorigin="7028,393" coordsize="726,861">
              <v:shape style="position:absolute;left:7028;top:393;width:726;height:861" coordorigin="7028,393" coordsize="726,861" path="m7754,549l7754,393,7028,393,7160,549,7754,549xe" filled="true" fillcolor="#d3d3d3" stroked="false">
                <v:path arrowok="t"/>
                <v:fill type="solid"/>
              </v:shape>
              <v:shape style="position:absolute;left:7028;top:393;width:726;height:861" coordorigin="7028,393" coordsize="726,861" path="m7730,1254l7730,1225,7160,549,7052,549,7052,1254,7730,1254xe" filled="true" fillcolor="#d3d3d3" stroked="false">
                <v:path arrowok="t"/>
                <v:fill type="solid"/>
              </v:shape>
              <v:shape style="position:absolute;left:7028;top:393;width:726;height:861" coordorigin="7028,393" coordsize="726,861" path="m7754,1254l7754,549,7730,549,7730,1225,7754,1254xe" filled="true" fillcolor="#d3d3d3" stroked="false">
                <v:path arrowok="t"/>
                <v:fill type="solid"/>
              </v:shape>
            </v:group>
            <v:group style="position:absolute;left:7764;top:393;width:725;height:861" coordorigin="7764,393" coordsize="725,861">
              <v:shape style="position:absolute;left:7764;top:393;width:725;height:861" coordorigin="7764,393" coordsize="725,861" path="m8489,549l8489,393,7764,393,7895,549,8489,549xe" filled="true" fillcolor="#d3d3d3" stroked="false">
                <v:path arrowok="t"/>
                <v:fill type="solid"/>
              </v:shape>
              <v:shape style="position:absolute;left:7764;top:393;width:725;height:861" coordorigin="7764,393" coordsize="725,861" path="m8466,1254l8466,1227,7895,549,7787,549,7787,1254,8466,1254xe" filled="true" fillcolor="#d3d3d3" stroked="false">
                <v:path arrowok="t"/>
                <v:fill type="solid"/>
              </v:shape>
              <v:shape style="position:absolute;left:7764;top:393;width:725;height:861" coordorigin="7764,393" coordsize="725,861" path="m8489,1254l8489,549,8466,549,8466,1227,8489,1254xe" filled="true" fillcolor="#d3d3d3" stroked="false">
                <v:path arrowok="t"/>
                <v:fill type="solid"/>
              </v:shape>
            </v:group>
            <v:group style="position:absolute;left:7787;top:549;width:680;height:353" coordorigin="7787,549" coordsize="680,353">
              <v:shape style="position:absolute;left:7787;top:549;width:680;height:353" coordorigin="7787,549" coordsize="680,353" path="m7787,549l7787,902,8466,902,8466,549,7787,549xe" filled="true" fillcolor="#d3d3d3" stroked="false">
                <v:path arrowok="t"/>
                <v:fill type="solid"/>
              </v:shape>
            </v:group>
            <v:group style="position:absolute;left:7787;top:902;width:680;height:352" coordorigin="7787,902" coordsize="680,352">
              <v:shape style="position:absolute;left:7787;top:902;width:680;height:352" coordorigin="7787,902" coordsize="680,352" path="m7787,902l7787,1254,8466,1254,8466,902,7787,902xe" filled="true" fillcolor="#d3d3d3" stroked="false">
                <v:path arrowok="t"/>
                <v:fill type="solid"/>
              </v:shape>
            </v:group>
            <w10:wrap type="none"/>
          </v:group>
        </w:pict>
      </w:r>
      <w:r>
        <w:rPr/>
        <w:pict>
          <v:group style="position:absolute;margin-left:466.67099pt;margin-top:19.671707pt;width:36.3pt;height:43.05pt;mso-position-horizontal-relative:page;mso-position-vertical-relative:paragraph;z-index:-689440" coordorigin="9333,393" coordsize="726,861">
            <v:group style="position:absolute;left:9333;top:393;width:726;height:861" coordorigin="9333,393" coordsize="726,861">
              <v:shape style="position:absolute;left:9333;top:393;width:726;height:861" coordorigin="9333,393" coordsize="726,861" path="m10059,549l10059,393,9333,393,9465,549,10059,549xe" filled="true" fillcolor="#d3d3d3" stroked="false">
                <v:path arrowok="t"/>
                <v:fill type="solid"/>
              </v:shape>
              <v:shape style="position:absolute;left:9333;top:393;width:726;height:861" coordorigin="9333,393" coordsize="726,861" path="m10037,1254l10037,1227,9465,549,9356,549,9356,1254,10037,1254xe" filled="true" fillcolor="#d3d3d3" stroked="false">
                <v:path arrowok="t"/>
                <v:fill type="solid"/>
              </v:shape>
              <v:shape style="position:absolute;left:9333;top:393;width:726;height:861" coordorigin="9333,393" coordsize="726,861" path="m10059,1254l10059,549,10037,549,10037,1227,10059,1254xe" filled="true" fillcolor="#d3d3d3" stroked="false">
                <v:path arrowok="t"/>
                <v:fill type="solid"/>
              </v:shape>
            </v:group>
            <v:group style="position:absolute;left:9356;top:549;width:681;height:353" coordorigin="9356,549" coordsize="681,353">
              <v:shape style="position:absolute;left:9356;top:549;width:681;height:353" coordorigin="9356,549" coordsize="681,353" path="m9356,549l10037,549,10037,902,9356,902,9356,549xe" filled="true" fillcolor="#d3d3d3" stroked="false">
                <v:path arrowok="t"/>
                <v:fill type="solid"/>
              </v:shape>
            </v:group>
            <v:group style="position:absolute;left:9356;top:902;width:681;height:352" coordorigin="9356,902" coordsize="681,352">
              <v:shape style="position:absolute;left:9356;top:902;width:681;height:352" coordorigin="9356,902" coordsize="681,352" path="m9356,902l10037,902,10037,1254,9356,1254,9356,902xe" filled="true" fillcolor="#d3d3d3" stroked="false">
                <v:path arrowok="t"/>
                <v:fill type="solid"/>
              </v:shape>
            </v:group>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90" w:type="dxa"/>
        <w:tblLayout w:type="fixed"/>
        <w:tblCellMar>
          <w:top w:w="0" w:type="dxa"/>
          <w:left w:w="0" w:type="dxa"/>
          <w:bottom w:w="0" w:type="dxa"/>
          <w:right w:w="0" w:type="dxa"/>
        </w:tblCellMar>
        <w:tblLook w:val="01E0"/>
      </w:tblPr>
      <w:tblGrid>
        <w:gridCol w:w="1134"/>
        <w:gridCol w:w="1418"/>
        <w:gridCol w:w="1417"/>
        <w:gridCol w:w="1559"/>
        <w:gridCol w:w="736"/>
        <w:gridCol w:w="734"/>
        <w:gridCol w:w="835"/>
        <w:gridCol w:w="737"/>
        <w:gridCol w:w="1168"/>
        <w:gridCol w:w="1275"/>
        <w:gridCol w:w="736"/>
        <w:gridCol w:w="1018"/>
        <w:gridCol w:w="1081"/>
      </w:tblGrid>
      <w:tr>
        <w:trPr>
          <w:trHeight w:val="161" w:hRule="exact"/>
        </w:trPr>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0"/>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83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工程投入 占预算比 例</w:t>
            </w:r>
            <w:r>
              <w:rPr>
                <w:rFonts w:ascii="Times New Roman" w:hAnsi="Times New Roman" w:cs="Times New Roman" w:eastAsia="Times New Roman" w:hint="default"/>
                <w:sz w:val="18"/>
                <w:szCs w:val="18"/>
              </w:rPr>
              <w:t>(%)</w:t>
            </w:r>
          </w:p>
        </w:tc>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1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5"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1018" w:type="dxa"/>
            <w:vMerge w:val="restart"/>
            <w:tcBorders>
              <w:top w:val="single" w:sz="4" w:space="0" w:color="000000"/>
              <w:left w:val="single" w:sz="4" w:space="0" w:color="000000"/>
              <w:right w:val="single" w:sz="4" w:space="0" w:color="000000"/>
            </w:tcBorders>
            <w:shd w:val="clear" w:color="auto" w:fill="D3D3D3"/>
          </w:tcPr>
          <w:p>
            <w:pPr/>
          </w:p>
        </w:tc>
        <w:tc>
          <w:tcPr>
            <w:tcW w:w="1081"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134"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835"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116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08" w:right="37"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27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82" w:right="21" w:hanging="160"/>
              <w:jc w:val="left"/>
              <w:rPr>
                <w:rFonts w:ascii="宋体" w:hAnsi="宋体" w:cs="宋体" w:eastAsia="宋体" w:hint="default"/>
                <w:sz w:val="18"/>
                <w:szCs w:val="18"/>
              </w:rPr>
            </w:pPr>
            <w:r>
              <w:rPr>
                <w:rFonts w:ascii="宋体" w:hAnsi="宋体" w:cs="宋体" w:eastAsia="宋体" w:hint="default"/>
                <w:spacing w:val="-6"/>
                <w:sz w:val="18"/>
                <w:szCs w:val="18"/>
              </w:rPr>
              <w:t>其中：本期利息</w:t>
            </w:r>
            <w:r>
              <w:rPr>
                <w:rFonts w:ascii="宋体" w:hAnsi="宋体" w:cs="宋体" w:eastAsia="宋体" w:hint="default"/>
                <w:sz w:val="18"/>
                <w:szCs w:val="18"/>
              </w:rPr>
              <w:t> 资本化金额</w:t>
            </w:r>
          </w:p>
        </w:tc>
        <w:tc>
          <w:tcPr>
            <w:tcW w:w="736" w:type="dxa"/>
            <w:vMerge/>
            <w:tcBorders>
              <w:left w:val="single" w:sz="4" w:space="0" w:color="000000"/>
              <w:right w:val="single" w:sz="4" w:space="0" w:color="000000"/>
            </w:tcBorders>
            <w:shd w:val="clear" w:color="auto" w:fill="D3D3D3"/>
          </w:tcPr>
          <w:p>
            <w:pPr/>
          </w:p>
        </w:tc>
        <w:tc>
          <w:tcPr>
            <w:tcW w:w="1018" w:type="dxa"/>
            <w:vMerge/>
            <w:tcBorders>
              <w:left w:val="single" w:sz="4" w:space="0" w:color="000000"/>
              <w:bottom w:val="nil" w:sz="6" w:space="0" w:color="auto"/>
              <w:right w:val="single" w:sz="4" w:space="0" w:color="000000"/>
            </w:tcBorders>
            <w:shd w:val="clear" w:color="auto" w:fill="D3D3D3"/>
          </w:tcPr>
          <w:p>
            <w:pPr/>
          </w:p>
        </w:tc>
        <w:tc>
          <w:tcPr>
            <w:tcW w:w="1081"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134"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835"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1168" w:type="dxa"/>
            <w:vMerge/>
            <w:tcBorders>
              <w:left w:val="single" w:sz="4" w:space="0" w:color="000000"/>
              <w:right w:val="single" w:sz="4" w:space="0" w:color="000000"/>
            </w:tcBorders>
            <w:shd w:val="clear" w:color="auto" w:fill="D3D3D3"/>
          </w:tcPr>
          <w:p>
            <w:pPr/>
          </w:p>
        </w:tc>
        <w:tc>
          <w:tcPr>
            <w:tcW w:w="1275"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10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0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34"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835"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1168" w:type="dxa"/>
            <w:vMerge/>
            <w:tcBorders>
              <w:left w:val="single" w:sz="4" w:space="0" w:color="000000"/>
              <w:bottom w:val="nil" w:sz="6" w:space="0" w:color="auto"/>
              <w:right w:val="single" w:sz="4" w:space="0" w:color="000000"/>
            </w:tcBorders>
            <w:shd w:val="clear" w:color="auto" w:fill="D3D3D3"/>
          </w:tcPr>
          <w:p>
            <w:pPr/>
          </w:p>
        </w:tc>
        <w:tc>
          <w:tcPr>
            <w:tcW w:w="1275" w:type="dxa"/>
            <w:vMerge/>
            <w:tcBorders>
              <w:left w:val="single" w:sz="4" w:space="0" w:color="000000"/>
              <w:bottom w:val="nil" w:sz="6" w:space="0" w:color="auto"/>
              <w:right w:val="single" w:sz="4" w:space="0" w:color="000000"/>
            </w:tcBorders>
            <w:shd w:val="clear" w:color="auto" w:fill="D3D3D3"/>
          </w:tcPr>
          <w:p>
            <w:pPr/>
          </w:p>
        </w:tc>
        <w:tc>
          <w:tcPr>
            <w:tcW w:w="736" w:type="dxa"/>
            <w:vMerge/>
            <w:tcBorders>
              <w:left w:val="single" w:sz="4" w:space="0" w:color="000000"/>
              <w:right w:val="single" w:sz="4" w:space="0" w:color="000000"/>
            </w:tcBorders>
            <w:shd w:val="clear" w:color="auto" w:fill="D3D3D3"/>
          </w:tcPr>
          <w:p>
            <w:pPr/>
          </w:p>
        </w:tc>
        <w:tc>
          <w:tcPr>
            <w:tcW w:w="1018" w:type="dxa"/>
            <w:vMerge w:val="restart"/>
            <w:tcBorders>
              <w:top w:val="nil" w:sz="6" w:space="0" w:color="auto"/>
              <w:left w:val="single" w:sz="4" w:space="0" w:color="000000"/>
              <w:right w:val="single" w:sz="4" w:space="0" w:color="000000"/>
            </w:tcBorders>
            <w:shd w:val="clear" w:color="auto" w:fill="D3D3D3"/>
          </w:tcPr>
          <w:p>
            <w:pPr/>
          </w:p>
        </w:tc>
        <w:tc>
          <w:tcPr>
            <w:tcW w:w="108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134"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736" w:type="dxa"/>
            <w:vMerge/>
            <w:tcBorders>
              <w:left w:val="single" w:sz="4" w:space="0" w:color="000000"/>
              <w:bottom w:val="single" w:sz="4" w:space="0" w:color="000000"/>
              <w:right w:val="single" w:sz="4" w:space="0" w:color="000000"/>
            </w:tcBorders>
            <w:shd w:val="clear" w:color="auto" w:fill="D3D3D3"/>
          </w:tcPr>
          <w:p>
            <w:pPr/>
          </w:p>
        </w:tc>
        <w:tc>
          <w:tcPr>
            <w:tcW w:w="734" w:type="dxa"/>
            <w:vMerge/>
            <w:tcBorders>
              <w:left w:val="single" w:sz="4" w:space="0" w:color="000000"/>
              <w:bottom w:val="single" w:sz="4" w:space="0" w:color="000000"/>
              <w:right w:val="single" w:sz="4" w:space="0" w:color="000000"/>
            </w:tcBorders>
            <w:shd w:val="clear" w:color="auto" w:fill="D3D3D3"/>
          </w:tcPr>
          <w:p>
            <w:pPr/>
          </w:p>
        </w:tc>
        <w:tc>
          <w:tcPr>
            <w:tcW w:w="835"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vMerge/>
            <w:tcBorders>
              <w:left w:val="single" w:sz="4" w:space="0" w:color="000000"/>
              <w:bottom w:val="single" w:sz="4" w:space="0" w:color="000000"/>
              <w:right w:val="single" w:sz="4" w:space="0" w:color="000000"/>
            </w:tcBorders>
            <w:shd w:val="clear" w:color="auto" w:fill="D3D3D3"/>
          </w:tcPr>
          <w:p>
            <w:pPr/>
          </w:p>
        </w:tc>
        <w:tc>
          <w:tcPr>
            <w:tcW w:w="1018" w:type="dxa"/>
            <w:vMerge/>
            <w:tcBorders>
              <w:left w:val="single" w:sz="4" w:space="0" w:color="000000"/>
              <w:bottom w:val="single" w:sz="4" w:space="0" w:color="000000"/>
              <w:right w:val="single" w:sz="4" w:space="0" w:color="000000"/>
            </w:tcBorders>
            <w:shd w:val="clear" w:color="auto" w:fill="D3D3D3"/>
          </w:tcPr>
          <w:p>
            <w:pPr/>
          </w:p>
        </w:tc>
        <w:tc>
          <w:tcPr>
            <w:tcW w:w="10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134"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蓝盾信息安 全产业基地</w:t>
            </w:r>
          </w:p>
        </w:tc>
        <w:tc>
          <w:tcPr>
            <w:tcW w:w="14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130,584,000.00</w:t>
            </w:r>
          </w:p>
        </w:tc>
        <w:tc>
          <w:tcPr>
            <w:tcW w:w="141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4,534,963.00</w:t>
            </w:r>
          </w:p>
        </w:tc>
        <w:tc>
          <w:tcPr>
            <w:tcW w:w="15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78,847,859.30</w:t>
            </w:r>
          </w:p>
        </w:tc>
        <w:tc>
          <w:tcPr>
            <w:tcW w:w="736" w:type="dxa"/>
            <w:tcBorders>
              <w:top w:val="single" w:sz="4" w:space="0" w:color="000000"/>
              <w:left w:val="single" w:sz="4" w:space="0" w:color="000000"/>
              <w:bottom w:val="single" w:sz="4" w:space="0" w:color="FFFFFF"/>
              <w:right w:val="single" w:sz="4" w:space="0" w:color="000000"/>
            </w:tcBorders>
          </w:tcPr>
          <w:p>
            <w:pPr/>
          </w:p>
        </w:tc>
        <w:tc>
          <w:tcPr>
            <w:tcW w:w="734" w:type="dxa"/>
            <w:tcBorders>
              <w:top w:val="single" w:sz="4" w:space="0" w:color="000000"/>
              <w:left w:val="single" w:sz="4" w:space="0" w:color="000000"/>
              <w:bottom w:val="single" w:sz="4" w:space="0" w:color="FFFFFF"/>
              <w:right w:val="single" w:sz="4" w:space="0" w:color="000000"/>
            </w:tcBorders>
          </w:tcPr>
          <w:p>
            <w:pPr/>
          </w:p>
        </w:tc>
        <w:tc>
          <w:tcPr>
            <w:tcW w:w="835" w:type="dxa"/>
            <w:tcBorders>
              <w:top w:val="single" w:sz="4" w:space="0" w:color="000000"/>
              <w:left w:val="single" w:sz="4" w:space="0" w:color="000000"/>
              <w:bottom w:val="single" w:sz="4" w:space="0" w:color="FFFFFF"/>
              <w:right w:val="single" w:sz="13"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63.85%</w:t>
            </w:r>
          </w:p>
        </w:tc>
        <w:tc>
          <w:tcPr>
            <w:tcW w:w="737"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63.85%</w:t>
            </w:r>
          </w:p>
        </w:tc>
        <w:tc>
          <w:tcPr>
            <w:tcW w:w="116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1,536,819.40</w:t>
            </w:r>
          </w:p>
        </w:tc>
        <w:tc>
          <w:tcPr>
            <w:tcW w:w="127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1,536,819.40</w:t>
            </w:r>
          </w:p>
        </w:tc>
        <w:tc>
          <w:tcPr>
            <w:tcW w:w="736" w:type="dxa"/>
            <w:tcBorders>
              <w:top w:val="single" w:sz="4" w:space="0" w:color="000000"/>
              <w:left w:val="single" w:sz="4" w:space="0" w:color="000000"/>
              <w:bottom w:val="single" w:sz="4" w:space="0" w:color="FFFFFF"/>
              <w:right w:val="single" w:sz="13"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6.15%</w:t>
            </w:r>
          </w:p>
        </w:tc>
        <w:tc>
          <w:tcPr>
            <w:tcW w:w="1018"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319" w:lineRule="auto" w:before="51"/>
              <w:ind w:left="23" w:right="83"/>
              <w:jc w:val="both"/>
              <w:rPr>
                <w:rFonts w:ascii="宋体" w:hAnsi="宋体" w:cs="宋体" w:eastAsia="宋体" w:hint="default"/>
                <w:sz w:val="18"/>
                <w:szCs w:val="18"/>
              </w:rPr>
            </w:pPr>
            <w:r>
              <w:rPr>
                <w:rFonts w:ascii="宋体" w:hAnsi="宋体" w:cs="宋体" w:eastAsia="宋体" w:hint="default"/>
                <w:sz w:val="18"/>
                <w:szCs w:val="18"/>
              </w:rPr>
              <w:t>募股资金、 金融机构贷 款和自筹</w:t>
            </w:r>
          </w:p>
        </w:tc>
        <w:tc>
          <w:tcPr>
            <w:tcW w:w="10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83,382,822.30</w:t>
            </w:r>
          </w:p>
        </w:tc>
      </w:tr>
      <w:tr>
        <w:trPr>
          <w:trHeight w:val="523" w:hRule="exact"/>
        </w:trPr>
        <w:tc>
          <w:tcPr>
            <w:tcW w:w="1134"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130,584,000.00</w:t>
            </w:r>
          </w:p>
        </w:tc>
        <w:tc>
          <w:tcPr>
            <w:tcW w:w="14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4,534,963.00</w:t>
            </w:r>
          </w:p>
        </w:tc>
        <w:tc>
          <w:tcPr>
            <w:tcW w:w="15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78,847,859.30</w:t>
            </w:r>
          </w:p>
        </w:tc>
        <w:tc>
          <w:tcPr>
            <w:tcW w:w="736" w:type="dxa"/>
            <w:tcBorders>
              <w:top w:val="single" w:sz="4" w:space="0" w:color="FFFFFF"/>
              <w:left w:val="single" w:sz="4" w:space="0" w:color="000000"/>
              <w:bottom w:val="single" w:sz="4" w:space="0" w:color="000000"/>
              <w:right w:val="single" w:sz="4" w:space="0" w:color="000000"/>
            </w:tcBorders>
          </w:tcPr>
          <w:p>
            <w:pPr/>
          </w:p>
        </w:tc>
        <w:tc>
          <w:tcPr>
            <w:tcW w:w="734" w:type="dxa"/>
            <w:tcBorders>
              <w:top w:val="single" w:sz="4" w:space="0" w:color="FFFFFF"/>
              <w:left w:val="single" w:sz="4" w:space="0" w:color="000000"/>
              <w:bottom w:val="single" w:sz="4" w:space="0" w:color="000000"/>
              <w:right w:val="single" w:sz="4" w:space="0" w:color="000000"/>
            </w:tcBorders>
          </w:tcPr>
          <w:p>
            <w:pPr/>
          </w:p>
        </w:tc>
        <w:tc>
          <w:tcPr>
            <w:tcW w:w="835"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w:t>
            </w:r>
          </w:p>
        </w:tc>
        <w:tc>
          <w:tcPr>
            <w:tcW w:w="116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1,536,819.40</w:t>
            </w:r>
          </w:p>
        </w:tc>
        <w:tc>
          <w:tcPr>
            <w:tcW w:w="127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1,536,819.40</w:t>
            </w:r>
          </w:p>
        </w:tc>
        <w:tc>
          <w:tcPr>
            <w:tcW w:w="736"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52"/>
              <w:ind w:right="9"/>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2"/>
              <w:ind w:right="7"/>
              <w:jc w:val="center"/>
              <w:rPr>
                <w:rFonts w:ascii="Times New Roman" w:hAnsi="Times New Roman" w:cs="Times New Roman" w:eastAsia="Times New Roman" w:hint="default"/>
                <w:sz w:val="18"/>
                <w:szCs w:val="18"/>
              </w:rPr>
            </w:pPr>
            <w:r>
              <w:rPr>
                <w:rFonts w:ascii="Times New Roman"/>
                <w:sz w:val="18"/>
              </w:rPr>
              <w:t>83,382,822.30</w:t>
            </w:r>
          </w:p>
        </w:tc>
      </w:tr>
    </w:tbl>
    <w:p>
      <w:pPr>
        <w:spacing w:line="240" w:lineRule="auto" w:before="6"/>
        <w:rPr>
          <w:rFonts w:ascii="宋体" w:hAnsi="宋体" w:cs="宋体" w:eastAsia="宋体" w:hint="default"/>
          <w:sz w:val="27"/>
          <w:szCs w:val="27"/>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40" w:lineRule="auto" w:before="90"/>
        <w:ind w:left="139" w:right="0"/>
        <w:jc w:val="left"/>
      </w:pPr>
      <w:r>
        <w:rPr/>
        <w:t>本期增加的在建工程</w:t>
      </w:r>
      <w:r>
        <w:rPr>
          <w:rFonts w:ascii="Times New Roman" w:hAnsi="Times New Roman" w:cs="Times New Roman" w:eastAsia="Times New Roman" w:hint="default"/>
        </w:rPr>
        <w:t>78,847,859.30</w:t>
      </w:r>
      <w:r>
        <w:rPr/>
        <w:t>元，主要为支付蓝盾信息安全产业基地项目的设计费、工程款和城市基础设施配套费等，该项目尚未完工。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109</w:t>
      </w:r>
    </w:p>
    <w:p>
      <w:pPr>
        <w:spacing w:after="0"/>
        <w:jc w:val="right"/>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0" w:footer="0" w:top="8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BodyText"/>
        <w:spacing w:line="430" w:lineRule="atLeast" w:before="150"/>
        <w:ind w:left="577" w:right="159" w:hanging="424"/>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）在建工程的说明</w:t>
      </w:r>
      <w:r>
        <w:rPr>
          <w:rFonts w:ascii="宋体" w:hAnsi="宋体" w:cs="宋体" w:eastAsia="宋体" w:hint="default"/>
          <w:b/>
          <w:bCs/>
          <w:spacing w:val="1"/>
          <w:w w:val="99"/>
        </w:rPr>
        <w:t> </w:t>
      </w:r>
      <w:r>
        <w:rPr/>
        <w:t>本期增加的在建工程</w:t>
      </w:r>
      <w:r>
        <w:rPr>
          <w:rFonts w:ascii="Times New Roman" w:hAnsi="Times New Roman" w:cs="Times New Roman" w:eastAsia="Times New Roman" w:hint="default"/>
        </w:rPr>
        <w:t>78,847,859.30</w:t>
      </w:r>
      <w:r>
        <w:rPr/>
        <w:t>元，主要为支付蓝盾信息安全产业基地项目的设计费、工程款和城</w:t>
      </w:r>
    </w:p>
    <w:p>
      <w:pPr>
        <w:pStyle w:val="BodyText"/>
        <w:spacing w:line="240" w:lineRule="auto" w:before="22"/>
        <w:ind w:right="0"/>
        <w:jc w:val="left"/>
      </w:pPr>
      <w:r>
        <w:rPr/>
        <w:t>市基础设施配套费等，该项目尚未完工。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w:t>
      </w:r>
      <w:r>
        <w:rPr/>
        <w:t>、无形资产</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before="16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75,143,986.00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7,105,287.87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82,249,273.87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7,105,287.87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12,105,287.87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25,143,986.00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25,143,986.00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47,404,217.50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1,890,585.72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49,294,803.22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2,152,777.64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1,387,706.02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3,540,483.66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251,439.86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502,879.70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754,319.56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27,739,768.50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5,214,702.15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32,954,470.65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2,847,222.36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8,564,804.21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24,892,546.14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24,389,666.44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27,739,768.50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5,214,702.15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32,954,470.65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2,847,222.36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8,564,804.21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土地使用权（外购）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24,892,546.14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24,389,666.44</w:t>
            </w:r>
          </w:p>
        </w:tc>
      </w:tr>
    </w:tbl>
    <w:p>
      <w:pPr>
        <w:pStyle w:val="BodyText"/>
        <w:spacing w:line="240" w:lineRule="auto" w:before="26"/>
        <w:ind w:right="0"/>
        <w:jc w:val="left"/>
      </w:pPr>
      <w:r>
        <w:rPr/>
        <w:t>本期摊销额</w:t>
      </w:r>
      <w:r>
        <w:rPr>
          <w:spacing w:val="-56"/>
        </w:rPr>
        <w:t> </w:t>
      </w:r>
      <w:r>
        <w:rPr>
          <w:rFonts w:ascii="Times New Roman" w:hAnsi="Times New Roman" w:cs="Times New Roman" w:eastAsia="Times New Roman" w:hint="default"/>
        </w:rPr>
        <w:t>1,890,585.72</w:t>
      </w:r>
      <w:r>
        <w:rPr>
          <w:rFonts w:ascii="Times New Roman" w:hAnsi="Times New Roman" w:cs="Times New Roman" w:eastAsia="Times New Roman" w:hint="default"/>
          <w:spacing w:val="-4"/>
        </w:rPr>
        <w:t> </w:t>
      </w:r>
      <w:r>
        <w:rPr/>
        <w:t>元。</w:t>
      </w:r>
    </w:p>
    <w:p>
      <w:pPr>
        <w:spacing w:after="0" w:line="240" w:lineRule="auto"/>
        <w:jc w:val="left"/>
        <w:sectPr>
          <w:footerReference w:type="default" r:id="rId32"/>
          <w:pgSz w:w="11910" w:h="16840"/>
          <w:pgMar w:footer="982" w:header="0" w:top="1100" w:bottom="1180" w:left="980" w:right="980"/>
          <w:pgNumType w:start="11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7"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蓝盾网络安全云平 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3,034,920.84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3,034,920.84</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服务器安全综合监 测平台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2,465,884.17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2,465,884.17</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新一代安全 综合运维管理平台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2,999,001.40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2,999,001.40</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统一安全 网关</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2,613,318.04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2,613,318.04</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全网综合监控审计 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4,065,887.54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4,065,887.54</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研发及培训中心建 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1,613,781.82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1,613,781.82</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互联网舆情分析平 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1,332,581.23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1,332,581.23</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开发支出费用化支 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17,169,615.01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17,169,615.01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35,294,990.05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17,169,615.01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18,125,375.04</w:t>
            </w:r>
          </w:p>
        </w:tc>
      </w:tr>
    </w:tbl>
    <w:p>
      <w:pPr>
        <w:pStyle w:val="BodyText"/>
        <w:spacing w:line="240" w:lineRule="auto" w:before="26"/>
        <w:ind w:right="0"/>
        <w:jc w:val="left"/>
      </w:pPr>
      <w:r>
        <w:rPr/>
        <w:t>本期开发支出占本期研究开发项目支出总额的比例</w:t>
      </w:r>
      <w:r>
        <w:rPr>
          <w:spacing w:val="-56"/>
        </w:rPr>
        <w:t> </w:t>
      </w:r>
      <w:r>
        <w:rPr>
          <w:rFonts w:ascii="Times New Roman" w:hAnsi="Times New Roman" w:cs="Times New Roman" w:eastAsia="Times New Roman" w:hint="default"/>
        </w:rPr>
        <w:t>51.35%</w:t>
      </w:r>
      <w:r>
        <w:rPr/>
        <w:t>。</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5,470,312.54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283,020.84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5,187,291.70</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5,470,312.54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283,020.84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5,187,291.70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pStyle w:val="BodyText"/>
        <w:spacing w:line="240" w:lineRule="auto" w:before="89"/>
        <w:ind w:right="0"/>
        <w:jc w:val="left"/>
      </w:pPr>
      <w:r>
        <w:rPr/>
        <w:t>长期待摊费用本期增加额为公司本年度发生的办公室装修费，将初始成本按</w:t>
      </w:r>
      <w:r>
        <w:rPr>
          <w:rFonts w:ascii="Times New Roman" w:hAnsi="Times New Roman" w:cs="Times New Roman" w:eastAsia="Times New Roman" w:hint="default"/>
        </w:rPr>
        <w:t>5</w:t>
      </w:r>
      <w:r>
        <w:rPr/>
        <w:t>年时间进行摊销。</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705"/>
        <w:gridCol w:w="2929"/>
        <w:gridCol w:w="2922"/>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2,019,790.74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1,017,137.46</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无形资产摊销影响</w:t>
            </w:r>
          </w:p>
        </w:tc>
        <w:tc>
          <w:tcPr>
            <w:tcW w:w="292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2,015,524.43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2,829,166.65</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332,483.70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4,367,798.87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3,846,304.11</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360" w:lineRule="auto" w:before="51"/>
        <w:ind w:left="153" w:right="521"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 无</w:t>
      </w:r>
    </w:p>
    <w:p>
      <w:pPr>
        <w:spacing w:before="26"/>
        <w:ind w:left="153" w:right="-19"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855" w:space="59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5"/>
        <w:gridCol w:w="2924"/>
        <w:gridCol w:w="277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3D3D3"/>
          </w:tcPr>
          <w:p>
            <w:pP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11,861,370.94</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5,528,955.61</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1,251,960.83</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1,251,960.83</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13,416,193.33</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18,861,111.00</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2,094,623.91</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28,624,149.01</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25,642,027.44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、资产减值准备明细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1"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1"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5,528,955.61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6,332,415.33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11,861,370.94</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二、固定资产减值准备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1,251,960.83</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1,251,960.83</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6,780,916.44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6,332,415.33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13,113,331.77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pStyle w:val="BodyText"/>
        <w:spacing w:line="240" w:lineRule="auto" w:before="92"/>
        <w:ind w:right="0"/>
        <w:jc w:val="left"/>
      </w:pPr>
      <w:r>
        <w:rPr/>
        <w:t>资产减值准备较上年同期增加，主要是本期应收账款和其他应收款余额增加，计提了坏账准备。</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02"/>
        <w:jc w:val="left"/>
        <w:rPr>
          <w:b w:val="0"/>
          <w:bCs w:val="0"/>
        </w:rPr>
      </w:pPr>
      <w:r>
        <w:rPr>
          <w:rFonts w:ascii="Times New Roman" w:hAnsi="Times New Roman" w:cs="Times New Roman" w:eastAsia="Times New Roman" w:hint="default"/>
        </w:rPr>
        <w:t>12</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33,720,830.00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33,720,830.00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pStyle w:val="BodyText"/>
        <w:spacing w:line="240" w:lineRule="auto" w:before="89"/>
        <w:ind w:right="102"/>
        <w:jc w:val="left"/>
      </w:pPr>
      <w:r>
        <w:rPr/>
        <w:t>期末余额系预付广东电白二建工程有限公司建造蓝盾信息安全产业基地的工程款项。</w:t>
      </w:r>
    </w:p>
    <w:p>
      <w:pPr>
        <w:spacing w:line="240" w:lineRule="auto" w:before="11"/>
        <w:rPr>
          <w:rFonts w:ascii="宋体" w:hAnsi="宋体" w:cs="宋体" w:eastAsia="宋体" w:hint="default"/>
          <w:sz w:val="25"/>
          <w:szCs w:val="25"/>
        </w:rPr>
      </w:pPr>
    </w:p>
    <w:p>
      <w:pPr>
        <w:pStyle w:val="Heading3"/>
        <w:spacing w:line="240" w:lineRule="auto"/>
        <w:ind w:left="153" w:right="102"/>
        <w:jc w:val="left"/>
        <w:rPr>
          <w:b w:val="0"/>
          <w:bCs w:val="0"/>
        </w:rPr>
      </w:pPr>
      <w:r>
        <w:rPr>
          <w:rFonts w:ascii="Times New Roman" w:hAnsi="Times New Roman" w:cs="Times New Roman" w:eastAsia="Times New Roman" w:hint="default"/>
        </w:rPr>
        <w:t>13</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92,500,000.00</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13"/>
          <w:szCs w:val="13"/>
        </w:rPr>
      </w:pPr>
    </w:p>
    <w:p>
      <w:pPr>
        <w:pStyle w:val="BodyText"/>
        <w:spacing w:line="331" w:lineRule="auto"/>
        <w:ind w:left="153" w:right="104" w:firstLine="420"/>
        <w:jc w:val="left"/>
      </w:pPr>
      <w:r>
        <w:rPr/>
        <w:t>保证借款期末余额</w:t>
      </w:r>
      <w:r>
        <w:rPr>
          <w:rFonts w:ascii="Times New Roman" w:hAnsi="Times New Roman" w:cs="Times New Roman" w:eastAsia="Times New Roman" w:hint="default"/>
        </w:rPr>
        <w:t>100,000,000.00</w:t>
      </w:r>
      <w:r>
        <w:rPr/>
        <w:t>元。其中</w:t>
      </w:r>
      <w:r>
        <w:rPr>
          <w:rFonts w:ascii="Times New Roman" w:hAnsi="Times New Roman" w:cs="Times New Roman" w:eastAsia="Times New Roman" w:hint="default"/>
        </w:rPr>
        <w:t>70,000,000.00</w:t>
      </w:r>
      <w:r>
        <w:rPr/>
        <w:t>元，系公司于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月向中国民生银行广州 分行借入，年利率为</w:t>
      </w:r>
      <w:r>
        <w:rPr>
          <w:rFonts w:ascii="Times New Roman" w:hAnsi="Times New Roman" w:cs="Times New Roman" w:eastAsia="Times New Roman" w:hint="default"/>
        </w:rPr>
        <w:t>6.00%</w:t>
      </w:r>
      <w:r>
        <w:rPr/>
        <w:t>，借款期限为</w:t>
      </w:r>
      <w:r>
        <w:rPr>
          <w:rFonts w:ascii="Times New Roman" w:hAnsi="Times New Roman" w:cs="Times New Roman" w:eastAsia="Times New Roman" w:hint="default"/>
        </w:rPr>
        <w:t>1</w:t>
      </w:r>
      <w:r>
        <w:rPr/>
        <w:t>年，由控股股东柯宗庆和柯宗贵提供担保，并分别签订个高保字 </w:t>
      </w:r>
      <w:r>
        <w:rPr>
          <w:spacing w:val="3"/>
        </w:rPr>
        <w:t>第</w:t>
      </w:r>
      <w:r>
        <w:rPr>
          <w:rFonts w:ascii="Times New Roman" w:hAnsi="Times New Roman" w:cs="Times New Roman" w:eastAsia="Times New Roman" w:hint="default"/>
          <w:spacing w:val="3"/>
        </w:rPr>
        <w:t>99032012292147-1</w:t>
      </w:r>
      <w:r>
        <w:rPr>
          <w:spacing w:val="3"/>
        </w:rPr>
        <w:t>号《最高额担保合同》和个高保字第</w:t>
      </w:r>
      <w:r>
        <w:rPr>
          <w:rFonts w:ascii="Times New Roman" w:hAnsi="Times New Roman" w:cs="Times New Roman" w:eastAsia="Times New Roman" w:hint="default"/>
          <w:spacing w:val="3"/>
        </w:rPr>
        <w:t>99032012292147-2</w:t>
      </w:r>
      <w:r>
        <w:rPr>
          <w:spacing w:val="3"/>
        </w:rPr>
        <w:t>号《最高额担保合同》；另</w:t>
      </w:r>
      <w:r>
        <w:rPr>
          <w:spacing w:val="-50"/>
        </w:rPr>
        <w:t> </w:t>
      </w:r>
      <w:r>
        <w:rPr>
          <w:spacing w:val="-50"/>
        </w:rPr>
      </w:r>
      <w:r>
        <w:rPr>
          <w:rFonts w:ascii="Times New Roman" w:hAnsi="Times New Roman" w:cs="Times New Roman" w:eastAsia="Times New Roman" w:hint="default"/>
          <w:spacing w:val="-1"/>
        </w:rPr>
        <w:t>30,000,000.00</w:t>
      </w:r>
      <w:r>
        <w:rPr>
          <w:spacing w:val="-1"/>
        </w:rPr>
        <w:t>元，系公司于</w:t>
      </w:r>
      <w:r>
        <w:rPr>
          <w:spacing w:val="-22"/>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月向深圳发展银行科韵路支行借入，年利率为</w:t>
      </w:r>
      <w:r>
        <w:rPr>
          <w:rFonts w:ascii="Times New Roman" w:hAnsi="Times New Roman" w:cs="Times New Roman" w:eastAsia="Times New Roman" w:hint="default"/>
          <w:spacing w:val="-2"/>
        </w:rPr>
        <w:t>6.31%</w:t>
      </w:r>
      <w:r>
        <w:rPr>
          <w:spacing w:val="-2"/>
        </w:rPr>
        <w:t>，借款期限为</w:t>
      </w:r>
      <w:r>
        <w:rPr>
          <w:rFonts w:ascii="Times New Roman" w:hAnsi="Times New Roman" w:cs="Times New Roman" w:eastAsia="Times New Roman" w:hint="default"/>
          <w:spacing w:val="-2"/>
        </w:rPr>
        <w:t>1</w:t>
      </w:r>
      <w:r>
        <w:rPr>
          <w:spacing w:val="-2"/>
        </w:rPr>
        <w:t>年，</w:t>
      </w:r>
      <w:r>
        <w:rPr>
          <w:spacing w:val="-91"/>
        </w:rPr>
        <w:t> </w:t>
      </w:r>
      <w:r>
        <w:rPr/>
        <w:t>由控股股东柯宗贵提供担保，并签订深发穗科韵额保字第</w:t>
      </w:r>
      <w:r>
        <w:rPr>
          <w:rFonts w:ascii="Times New Roman" w:hAnsi="Times New Roman" w:cs="Times New Roman" w:eastAsia="Times New Roman" w:hint="default"/>
        </w:rPr>
        <w:t>20120628001</w:t>
      </w:r>
      <w:r>
        <w:rPr/>
        <w:t>号《最高额保证担保合同》。</w:t>
      </w:r>
    </w:p>
    <w:p>
      <w:pPr>
        <w:spacing w:line="240" w:lineRule="auto" w:before="10"/>
        <w:rPr>
          <w:rFonts w:ascii="宋体" w:hAnsi="宋体" w:cs="宋体" w:eastAsia="宋体" w:hint="default"/>
          <w:sz w:val="17"/>
          <w:szCs w:val="17"/>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8"/>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102"/>
        <w:jc w:val="left"/>
        <w:rPr>
          <w:b w:val="0"/>
          <w:bCs w:val="0"/>
        </w:rPr>
      </w:pPr>
      <w:r>
        <w:rPr>
          <w:rFonts w:ascii="Times New Roman" w:hAnsi="Times New Roman" w:cs="Times New Roman" w:eastAsia="Times New Roman" w:hint="default"/>
        </w:rPr>
        <w:t>14</w:t>
      </w:r>
      <w:r>
        <w:rPr/>
        <w:t>、应付票据</w:t>
      </w:r>
      <w:r>
        <w:rPr>
          <w:b w:val="0"/>
          <w:bCs w:val="0"/>
        </w:rPr>
      </w:r>
    </w:p>
    <w:p>
      <w:pPr>
        <w:spacing w:line="240" w:lineRule="auto" w:before="9"/>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3,119,184.00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3,119,184.00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3,119,184.00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0" w:footer="982" w:top="1100" w:bottom="1180" w:left="980" w:right="920"/>
        </w:sectPr>
      </w:pPr>
    </w:p>
    <w:p>
      <w:pPr>
        <w:spacing w:line="240" w:lineRule="auto" w:before="9"/>
        <w:rPr>
          <w:rFonts w:ascii="宋体" w:hAnsi="宋体" w:cs="宋体" w:eastAsia="宋体" w:hint="default"/>
          <w:sz w:val="20"/>
          <w:szCs w:val="20"/>
        </w:rPr>
      </w:pPr>
    </w:p>
    <w:p>
      <w:pPr>
        <w:pStyle w:val="Heading3"/>
        <w:spacing w:line="240" w:lineRule="auto" w:before="35"/>
        <w:ind w:left="214" w:right="0"/>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spacing w:before="44"/>
        <w:ind w:left="0" w:right="3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578"/>
        <w:gridCol w:w="2934"/>
        <w:gridCol w:w="3055"/>
      </w:tblGrid>
      <w:tr>
        <w:trPr>
          <w:trHeight w:val="401"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57,176,902.21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17,385,697.80</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350,963.11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1,018,588.57</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63,016.74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305,440.12</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72,944.20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57,663,826.26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18,709,726.49</w:t>
            </w:r>
          </w:p>
        </w:tc>
      </w:tr>
    </w:tbl>
    <w:p>
      <w:pPr>
        <w:spacing w:line="240" w:lineRule="auto" w:before="1"/>
        <w:rPr>
          <w:rFonts w:ascii="宋体" w:hAnsi="宋体" w:cs="宋体" w:eastAsia="宋体" w:hint="default"/>
          <w:sz w:val="19"/>
          <w:szCs w:val="19"/>
        </w:rPr>
      </w:pPr>
    </w:p>
    <w:p>
      <w:pPr>
        <w:pStyle w:val="Heading3"/>
        <w:spacing w:line="240" w:lineRule="auto" w:before="35"/>
        <w:ind w:left="214"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before="168"/>
        <w:ind w:left="2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3937"/>
        <w:gridCol w:w="2718"/>
        <w:gridCol w:w="2951"/>
      </w:tblGrid>
      <w:tr>
        <w:trPr>
          <w:trHeight w:val="512" w:hRule="exact"/>
        </w:trPr>
        <w:tc>
          <w:tcPr>
            <w:tcW w:w="3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564" w:hRule="exact"/>
        </w:trPr>
        <w:tc>
          <w:tcPr>
            <w:tcW w:w="3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深圳市自然通电子实业有限公司</w:t>
            </w:r>
          </w:p>
        </w:tc>
        <w:tc>
          <w:tcPr>
            <w:tcW w:w="2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44,663.79</w:t>
            </w:r>
          </w:p>
        </w:tc>
        <w:tc>
          <w:tcPr>
            <w:tcW w:w="2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材料款未结算完毕</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16</w:t>
      </w:r>
      <w:r>
        <w:rPr/>
        <w:t>、预收账款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spacing w:before="44"/>
        <w:ind w:left="0" w:right="3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14,365,557.90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18,172,348.65</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92,550.00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373,758.00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182,460.00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14,640,567.90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18,546,106.65</w:t>
            </w:r>
          </w:p>
        </w:tc>
      </w:tr>
    </w:tbl>
    <w:p>
      <w:pPr>
        <w:spacing w:line="240" w:lineRule="auto" w:before="1"/>
        <w:rPr>
          <w:rFonts w:ascii="宋体" w:hAnsi="宋体" w:cs="宋体" w:eastAsia="宋体" w:hint="default"/>
          <w:sz w:val="19"/>
          <w:szCs w:val="19"/>
        </w:rPr>
      </w:pPr>
    </w:p>
    <w:p>
      <w:pPr>
        <w:pStyle w:val="Heading3"/>
        <w:spacing w:line="240" w:lineRule="auto" w:before="35"/>
        <w:ind w:left="214"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before="168"/>
        <w:ind w:left="21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2"/>
        <w:rPr>
          <w:rFonts w:ascii="宋体" w:hAnsi="宋体" w:cs="宋体" w:eastAsia="宋体" w:hint="default"/>
          <w:b/>
          <w:bCs/>
          <w:sz w:val="11"/>
          <w:szCs w:val="11"/>
        </w:rPr>
      </w:pPr>
    </w:p>
    <w:tbl>
      <w:tblPr>
        <w:tblW w:w="0" w:type="auto"/>
        <w:jc w:val="left"/>
        <w:tblInd w:w="206" w:type="dxa"/>
        <w:tblLayout w:type="fixed"/>
        <w:tblCellMar>
          <w:top w:w="0" w:type="dxa"/>
          <w:left w:w="0" w:type="dxa"/>
          <w:bottom w:w="0" w:type="dxa"/>
          <w:right w:w="0" w:type="dxa"/>
        </w:tblCellMar>
        <w:tblLook w:val="01E0"/>
      </w:tblPr>
      <w:tblGrid>
        <w:gridCol w:w="3304"/>
        <w:gridCol w:w="3301"/>
        <w:gridCol w:w="3302"/>
      </w:tblGrid>
      <w:tr>
        <w:trPr>
          <w:trHeight w:val="474"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580"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2" w:right="0"/>
              <w:jc w:val="left"/>
              <w:rPr>
                <w:rFonts w:ascii="宋体" w:hAnsi="宋体" w:cs="宋体" w:eastAsia="宋体" w:hint="default"/>
                <w:sz w:val="18"/>
                <w:szCs w:val="18"/>
              </w:rPr>
            </w:pPr>
            <w:r>
              <w:rPr>
                <w:rFonts w:ascii="宋体" w:hAnsi="宋体" w:cs="宋体" w:eastAsia="宋体" w:hint="default"/>
                <w:sz w:val="18"/>
                <w:szCs w:val="18"/>
              </w:rPr>
              <w:t>上海维豪信息安全技术有限公司</w:t>
            </w:r>
          </w:p>
        </w:tc>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162,260.00</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业务未完结</w:t>
            </w:r>
          </w:p>
        </w:tc>
      </w:tr>
    </w:tbl>
    <w:p>
      <w:pPr>
        <w:spacing w:after="0" w:line="240" w:lineRule="auto"/>
        <w:jc w:val="center"/>
        <w:rPr>
          <w:rFonts w:ascii="宋体" w:hAnsi="宋体" w:cs="宋体" w:eastAsia="宋体" w:hint="default"/>
          <w:sz w:val="18"/>
          <w:szCs w:val="18"/>
        </w:rPr>
        <w:sectPr>
          <w:pgSz w:w="11910" w:h="16840"/>
          <w:pgMar w:header="0" w:footer="982" w:top="1100" w:bottom="1180" w:left="920" w:right="74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534"/>
        <w:gridCol w:w="1993"/>
        <w:gridCol w:w="2012"/>
        <w:gridCol w:w="1702"/>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37,106,328.30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33,810,427.93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3,295,900.37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3,544,388.29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3,544,388.29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4,483,524.17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4,483,524.17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1,788,508.28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1,788,508.28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46,922,749.04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43,626,848.67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3,295,900.37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5,377,817.96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2,497,411.33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474,348.92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655,066.24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4,721,565.33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4,022,932.49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523,413.03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84,749.80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114,893.68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145,149.99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62,200.51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34,671.91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47,040.16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126,659.08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144,743.33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94,308.81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11,207.43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11,518,410.26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7,670,501.28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99"/>
        <w:gridCol w:w="2800"/>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150,333.34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186,175.00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193,883.34</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336,508.34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193,883.34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0"/>
        <w:gridCol w:w="3068"/>
        <w:gridCol w:w="2789"/>
      </w:tblGrid>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93,703.02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529,972.83</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31,000.00</w:t>
            </w:r>
          </w:p>
        </w:tc>
      </w:tr>
      <w:tr>
        <w:trPr>
          <w:trHeight w:val="403"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113,703.02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560,972.83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16"/>
        <w:gridCol w:w="1076"/>
        <w:gridCol w:w="1064"/>
        <w:gridCol w:w="1063"/>
        <w:gridCol w:w="776"/>
        <w:gridCol w:w="2128"/>
        <w:gridCol w:w="1416"/>
      </w:tblGrid>
      <w:tr>
        <w:trPr>
          <w:trHeight w:val="804" w:hRule="exact"/>
        </w:trPr>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利率（</w:t>
            </w:r>
            <w:r>
              <w:rPr>
                <w:rFonts w:ascii="Times New Roman" w:hAnsi="Times New Roman" w:cs="Times New Roman" w:eastAsia="Times New Roman" w:hint="default"/>
                <w:spacing w:val="-15"/>
                <w:sz w:val="18"/>
                <w:szCs w:val="18"/>
              </w:rPr>
              <w:t>%</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tabs>
                <w:tab w:pos="788" w:val="left" w:leader="none"/>
              </w:tabs>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tab/>
              <w:t>期末数</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714" w:hRule="exact"/>
        </w:trPr>
        <w:tc>
          <w:tcPr>
            <w:tcW w:w="21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招商银行股份有限公司广 州黄埔大道支行</w:t>
            </w:r>
          </w:p>
        </w:tc>
        <w:tc>
          <w:tcPr>
            <w:tcW w:w="10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2012-08-23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1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招商银行股份有限公司广 州黄埔大道支行</w:t>
            </w:r>
          </w:p>
        </w:tc>
        <w:tc>
          <w:tcPr>
            <w:tcW w:w="10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2012-09-17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102"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9"/>
        <w:rPr>
          <w:rFonts w:ascii="宋体" w:hAnsi="宋体" w:cs="宋体" w:eastAsia="宋体" w:hint="default"/>
          <w:sz w:val="13"/>
          <w:szCs w:val="13"/>
        </w:rPr>
      </w:pPr>
    </w:p>
    <w:p>
      <w:pPr>
        <w:pStyle w:val="BodyText"/>
        <w:spacing w:line="331" w:lineRule="auto"/>
        <w:ind w:right="208" w:firstLine="290"/>
        <w:jc w:val="both"/>
      </w:pPr>
      <w:r>
        <w:rPr>
          <w:spacing w:val="-3"/>
        </w:rPr>
        <w:t>长期借款说明：长期借款期末余额</w:t>
      </w:r>
      <w:r>
        <w:rPr>
          <w:rFonts w:ascii="Times New Roman" w:hAnsi="Times New Roman" w:cs="Times New Roman" w:eastAsia="Times New Roman" w:hint="default"/>
          <w:spacing w:val="-3"/>
        </w:rPr>
        <w:t>80,000,000.00</w:t>
      </w:r>
      <w:r>
        <w:rPr>
          <w:spacing w:val="-3"/>
        </w:rPr>
        <w:t>元，公司已用位于广州市天河区科韵路</w:t>
      </w:r>
      <w:r>
        <w:rPr>
          <w:rFonts w:ascii="Times New Roman" w:hAnsi="Times New Roman" w:cs="Times New Roman" w:eastAsia="Times New Roman" w:hint="default"/>
          <w:spacing w:val="-3"/>
        </w:rPr>
        <w:t>16</w:t>
      </w:r>
      <w:r>
        <w:rPr>
          <w:spacing w:val="-3"/>
        </w:rPr>
        <w:t>号自编</w:t>
      </w:r>
      <w:r>
        <w:rPr>
          <w:rFonts w:ascii="Times New Roman" w:hAnsi="Times New Roman" w:cs="Times New Roman" w:eastAsia="Times New Roman" w:hint="default"/>
          <w:spacing w:val="-3"/>
        </w:rPr>
        <w:t>1</w:t>
      </w:r>
      <w:r>
        <w:rPr>
          <w:spacing w:val="-3"/>
        </w:rPr>
        <w:t>栋</w:t>
      </w:r>
      <w:r>
        <w:rPr>
          <w:rFonts w:ascii="Times New Roman" w:hAnsi="Times New Roman" w:cs="Times New Roman" w:eastAsia="Times New Roman" w:hint="default"/>
          <w:spacing w:val="-3"/>
        </w:rPr>
        <w:t>2101</w:t>
      </w:r>
      <w:r>
        <w:rPr>
          <w:rFonts w:ascii="Times New Roman" w:hAnsi="Times New Roman" w:cs="Times New Roman" w:eastAsia="Times New Roman" w:hint="default"/>
        </w:rPr>
        <w:t> </w:t>
      </w:r>
      <w:r>
        <w:rPr>
          <w:spacing w:val="-2"/>
        </w:rPr>
        <w:t>的房产(房产证号：穗字第</w:t>
      </w:r>
      <w:r>
        <w:rPr>
          <w:rFonts w:ascii="Times New Roman" w:hAnsi="Times New Roman" w:cs="Times New Roman" w:eastAsia="Times New Roman" w:hint="default"/>
          <w:spacing w:val="-2"/>
        </w:rPr>
        <w:t>0940039965</w:t>
      </w:r>
      <w:r>
        <w:rPr>
          <w:spacing w:val="-2"/>
        </w:rPr>
        <w:t>号），账面原值为</w:t>
      </w:r>
      <w:r>
        <w:rPr>
          <w:rFonts w:ascii="Times New Roman" w:hAnsi="Times New Roman" w:cs="Times New Roman" w:eastAsia="Times New Roman" w:hint="default"/>
          <w:spacing w:val="-2"/>
        </w:rPr>
        <w:t>15,422,126.20</w:t>
      </w:r>
      <w:r>
        <w:rPr>
          <w:spacing w:val="-2"/>
        </w:rPr>
        <w:t>元作为抵押，双方签订</w:t>
      </w:r>
      <w:r>
        <w:rPr>
          <w:rFonts w:ascii="Times New Roman" w:hAnsi="Times New Roman" w:cs="Times New Roman" w:eastAsia="Times New Roman" w:hint="default"/>
          <w:spacing w:val="-2"/>
        </w:rPr>
        <w:t>11120803</w:t>
      </w:r>
      <w:r>
        <w:rPr>
          <w:spacing w:val="-2"/>
        </w:rPr>
        <w:t>号抵</w:t>
      </w:r>
      <w:r>
        <w:rPr>
          <w:spacing w:val="-74"/>
        </w:rPr>
        <w:t> </w:t>
      </w:r>
      <w:r>
        <w:rPr/>
        <w:t>押合同。</w:t>
      </w:r>
    </w:p>
    <w:p>
      <w:pPr>
        <w:spacing w:line="240" w:lineRule="auto" w:before="8"/>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22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0"/>
        <w:gridCol w:w="2802"/>
        <w:gridCol w:w="3055"/>
      </w:tblGrid>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基于可信计算机的安全终端产品研发及产业化</w:t>
            </w:r>
          </w:p>
        </w:tc>
        <w:tc>
          <w:tcPr>
            <w:tcW w:w="2802" w:type="dxa"/>
            <w:tcBorders>
              <w:top w:val="single" w:sz="4" w:space="0" w:color="000000"/>
              <w:left w:val="single" w:sz="13" w:space="0" w:color="CCE8CF"/>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蓝盾网络安全云平台</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蓝盾内网主机安全保密及审计系统研发</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网络敏感数据防窃取与反窃取系统</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民营企业上市后备资源库项目</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广州市创新型企业</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网络安全云服务平台的关键技术研究和产业化</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网络安全云平台</w:t>
            </w:r>
          </w:p>
        </w:tc>
        <w:tc>
          <w:tcPr>
            <w:tcW w:w="2802"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流媒体实时过滤与可疑目标捕捉跟踪系统</w:t>
            </w:r>
          </w:p>
        </w:tc>
        <w:tc>
          <w:tcPr>
            <w:tcW w:w="2802" w:type="dxa"/>
            <w:tcBorders>
              <w:top w:val="single" w:sz="4" w:space="0" w:color="000000"/>
              <w:left w:val="single" w:sz="13" w:space="0" w:color="CCE8CF"/>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电子政务信息安全处理和监控审计平台</w:t>
            </w:r>
          </w:p>
        </w:tc>
        <w:tc>
          <w:tcPr>
            <w:tcW w:w="2802" w:type="dxa"/>
            <w:tcBorders>
              <w:top w:val="single" w:sz="4" w:space="0" w:color="000000"/>
              <w:left w:val="single" w:sz="13" w:space="0" w:color="CCE8CF"/>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基于构件的等级保护全网安全监控管理系统</w:t>
            </w:r>
          </w:p>
        </w:tc>
        <w:tc>
          <w:tcPr>
            <w:tcW w:w="2802" w:type="dxa"/>
            <w:tcBorders>
              <w:top w:val="single" w:sz="4" w:space="0" w:color="000000"/>
              <w:left w:val="single" w:sz="13" w:space="0" w:color="CCE8CF"/>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蓝盾信息安全高端人才培养项目</w:t>
            </w:r>
          </w:p>
        </w:tc>
        <w:tc>
          <w:tcPr>
            <w:tcW w:w="2802" w:type="dxa"/>
            <w:tcBorders>
              <w:top w:val="single" w:sz="4" w:space="0" w:color="000000"/>
              <w:left w:val="single" w:sz="13" w:space="0" w:color="CCE8CF"/>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970,000.00</w:t>
            </w:r>
          </w:p>
        </w:tc>
      </w:tr>
      <w:tr>
        <w:trPr>
          <w:trHeight w:val="714"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蓝盾信息安全技术培训学院信息安全技术人才 培养计划</w:t>
            </w:r>
          </w:p>
        </w:tc>
        <w:tc>
          <w:tcPr>
            <w:tcW w:w="2802" w:type="dxa"/>
            <w:tcBorders>
              <w:top w:val="single" w:sz="4" w:space="0" w:color="000000"/>
              <w:left w:val="single" w:sz="13" w:space="0" w:color="CCE8CF"/>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12,380,000.00</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40" w:lineRule="auto" w:before="90"/>
        <w:ind w:right="0"/>
        <w:jc w:val="left"/>
      </w:pPr>
      <w:r>
        <w:rPr>
          <w:spacing w:val="-4"/>
        </w:rPr>
        <w:t>递延收益系与收益相关的政府补助，本期增加</w:t>
      </w:r>
      <w:r>
        <w:rPr>
          <w:rFonts w:ascii="Times New Roman" w:hAnsi="Times New Roman" w:cs="Times New Roman" w:eastAsia="Times New Roman" w:hint="default"/>
          <w:spacing w:val="-4"/>
        </w:rPr>
        <w:t>13,865,200.00</w:t>
      </w:r>
      <w:r>
        <w:rPr>
          <w:spacing w:val="-4"/>
        </w:rPr>
        <w:t>元，本期减少</w:t>
      </w:r>
      <w:r>
        <w:rPr>
          <w:rFonts w:ascii="Times New Roman" w:hAnsi="Times New Roman" w:cs="Times New Roman" w:eastAsia="Times New Roman" w:hint="default"/>
          <w:spacing w:val="-4"/>
        </w:rPr>
        <w:t>10,915,200.00</w:t>
      </w:r>
      <w:r>
        <w:rPr>
          <w:spacing w:val="-4"/>
        </w:rPr>
        <w:t>（转入营业外收入）。</w:t>
      </w:r>
    </w:p>
    <w:p>
      <w:pPr>
        <w:spacing w:line="240" w:lineRule="auto" w:before="8"/>
        <w:rPr>
          <w:rFonts w:ascii="宋体" w:hAnsi="宋体" w:cs="宋体" w:eastAsia="宋体" w:hint="default"/>
          <w:sz w:val="24"/>
          <w:szCs w:val="24"/>
        </w:rPr>
      </w:pPr>
    </w:p>
    <w:p>
      <w:pPr>
        <w:pStyle w:val="Heading3"/>
        <w:spacing w:line="240" w:lineRule="auto"/>
        <w:ind w:left="153" w:right="102"/>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5"/>
        <w:gridCol w:w="1196"/>
        <w:gridCol w:w="1184"/>
        <w:gridCol w:w="1207"/>
      </w:tblGrid>
      <w:tr>
        <w:trPr>
          <w:trHeight w:val="207"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7"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73,500,000.00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24,500,000.00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24,500,000.00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98,000,000.00</w:t>
            </w:r>
          </w:p>
        </w:tc>
      </w:tr>
    </w:tbl>
    <w:p>
      <w:pPr>
        <w:spacing w:before="51"/>
        <w:ind w:left="154" w:right="10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4"/>
        <w:ind w:left="154" w:right="102"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9"/>
        <w:rPr>
          <w:rFonts w:ascii="宋体" w:hAnsi="宋体" w:cs="宋体" w:eastAsia="宋体" w:hint="default"/>
          <w:sz w:val="13"/>
          <w:szCs w:val="13"/>
        </w:rPr>
      </w:pPr>
    </w:p>
    <w:p>
      <w:pPr>
        <w:pStyle w:val="BodyText"/>
        <w:spacing w:line="328" w:lineRule="auto"/>
        <w:ind w:right="102" w:firstLine="41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日，公司在深圳证券交易所创业板成功上市，证券代码“</w:t>
      </w:r>
      <w:r>
        <w:rPr>
          <w:rFonts w:ascii="Times New Roman" w:hAnsi="Times New Roman" w:cs="Times New Roman" w:eastAsia="Times New Roman" w:hint="default"/>
        </w:rPr>
        <w:t>300297</w:t>
      </w:r>
      <w:r>
        <w:rPr/>
        <w:t>”，证券简称“蓝盾股 </w:t>
      </w:r>
      <w:r>
        <w:rPr>
          <w:spacing w:val="-1"/>
        </w:rPr>
        <w:t>份”，共募集资金</w:t>
      </w:r>
      <w:r>
        <w:rPr>
          <w:rFonts w:ascii="Times New Roman" w:hAnsi="Times New Roman" w:cs="Times New Roman" w:eastAsia="Times New Roman" w:hint="default"/>
          <w:spacing w:val="-1"/>
        </w:rPr>
        <w:t>36,006</w:t>
      </w:r>
      <w:r>
        <w:rPr>
          <w:spacing w:val="-1"/>
        </w:rPr>
        <w:t>万元。其中转增资本</w:t>
      </w:r>
      <w:r>
        <w:rPr>
          <w:rFonts w:ascii="Times New Roman" w:hAnsi="Times New Roman" w:cs="Times New Roman" w:eastAsia="Times New Roman" w:hint="default"/>
          <w:spacing w:val="-1"/>
        </w:rPr>
        <w:t>2,450</w:t>
      </w:r>
      <w:r>
        <w:rPr>
          <w:spacing w:val="-1"/>
        </w:rPr>
        <w:t>万元，以上增资业经北京永拓会计师事务所有限责任公</w:t>
      </w:r>
    </w:p>
    <w:p>
      <w:pPr>
        <w:spacing w:after="0" w:line="328" w:lineRule="auto"/>
        <w:jc w:val="left"/>
        <w:sectPr>
          <w:pgSz w:w="11910" w:h="16840"/>
          <w:pgMar w:header="0" w:footer="982" w:top="1100" w:bottom="1180" w:left="980" w:right="92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司审验，并出具京永验字（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21001</w:t>
      </w:r>
      <w:r>
        <w:rPr/>
        <w:t>号验字报告验证。</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410,243,231.67</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81,986,568.17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328,256,663.50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410,243,231.67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10"/>
        <w:rPr>
          <w:rFonts w:ascii="宋体" w:hAnsi="宋体" w:cs="宋体" w:eastAsia="宋体" w:hint="default"/>
          <w:sz w:val="13"/>
          <w:szCs w:val="13"/>
        </w:rPr>
      </w:pPr>
    </w:p>
    <w:p>
      <w:pPr>
        <w:pStyle w:val="BodyText"/>
        <w:spacing w:line="328" w:lineRule="auto"/>
        <w:ind w:left="153" w:right="149" w:firstLine="420"/>
        <w:jc w:val="right"/>
        <w:rPr>
          <w:rFonts w:ascii="Times New Roman" w:hAnsi="Times New Roman" w:cs="Times New Roman" w:eastAsia="Times New Roman" w:hint="default"/>
        </w:rPr>
      </w:pPr>
      <w:r>
        <w:rPr>
          <w:spacing w:val="-2"/>
        </w:rPr>
        <w:t>报告期，公司公开发行股票在深圳证券交易所创业板上市，募集资金总额为</w:t>
      </w:r>
      <w:r>
        <w:rPr>
          <w:rFonts w:ascii="Times New Roman" w:hAnsi="Times New Roman" w:cs="Times New Roman" w:eastAsia="Times New Roman" w:hint="default"/>
          <w:spacing w:val="-2"/>
        </w:rPr>
        <w:t>392,000,000.00</w:t>
      </w:r>
      <w:r>
        <w:rPr>
          <w:spacing w:val="-2"/>
        </w:rPr>
        <w:t>元，扣除发</w:t>
      </w:r>
      <w:r>
        <w:rPr/>
        <w:t> </w:t>
      </w:r>
      <w:r>
        <w:rPr>
          <w:spacing w:val="-1"/>
        </w:rPr>
        <w:t>行费用</w:t>
      </w:r>
      <w:r>
        <w:rPr>
          <w:rFonts w:ascii="Times New Roman" w:hAnsi="Times New Roman" w:cs="Times New Roman" w:eastAsia="Times New Roman" w:hint="default"/>
          <w:spacing w:val="-1"/>
        </w:rPr>
        <w:t>39,243,336.50</w:t>
      </w:r>
      <w:r>
        <w:rPr>
          <w:spacing w:val="-1"/>
        </w:rPr>
        <w:t>元，募集资金净额为</w:t>
      </w:r>
      <w:r>
        <w:rPr>
          <w:rFonts w:ascii="Times New Roman" w:hAnsi="Times New Roman" w:cs="Times New Roman" w:eastAsia="Times New Roman" w:hint="default"/>
          <w:spacing w:val="-1"/>
        </w:rPr>
        <w:t>352,756,663.50</w:t>
      </w:r>
      <w:r>
        <w:rPr>
          <w:spacing w:val="-1"/>
        </w:rPr>
        <w:t>元，股本</w:t>
      </w:r>
      <w:r>
        <w:rPr>
          <w:rFonts w:ascii="Times New Roman" w:hAnsi="Times New Roman" w:cs="Times New Roman" w:eastAsia="Times New Roman" w:hint="default"/>
          <w:spacing w:val="-1"/>
        </w:rPr>
        <w:t>24,500,000.00</w:t>
      </w:r>
      <w:r>
        <w:rPr>
          <w:spacing w:val="-1"/>
        </w:rPr>
        <w:t>元，股本溢价</w:t>
      </w:r>
      <w:r>
        <w:rPr>
          <w:rFonts w:ascii="Times New Roman" w:hAnsi="Times New Roman" w:cs="Times New Roman" w:eastAsia="Times New Roman" w:hint="default"/>
          <w:spacing w:val="-1"/>
        </w:rPr>
        <w:t>328,256,663.50</w:t>
      </w:r>
    </w:p>
    <w:p>
      <w:pPr>
        <w:pStyle w:val="BodyText"/>
        <w:spacing w:line="331" w:lineRule="auto" w:before="23"/>
        <w:ind w:left="153" w:right="216"/>
        <w:jc w:val="left"/>
      </w:pPr>
      <w:r>
        <w:rPr/>
        <w:t>元，已经北京永拓会计师事务所审计，出具了京永验字（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21001</w:t>
      </w:r>
      <w:r>
        <w:rPr/>
        <w:t>号《验资报告》。资本公积本期 增加为募集资金转入。</w:t>
      </w:r>
    </w:p>
    <w:p>
      <w:pPr>
        <w:spacing w:line="240" w:lineRule="auto" w:before="6"/>
        <w:rPr>
          <w:rFonts w:ascii="宋体" w:hAnsi="宋体" w:cs="宋体" w:eastAsia="宋体" w:hint="default"/>
          <w:sz w:val="19"/>
          <w:szCs w:val="19"/>
        </w:rPr>
      </w:pPr>
    </w:p>
    <w:p>
      <w:pPr>
        <w:pStyle w:val="Heading3"/>
        <w:spacing w:line="240" w:lineRule="auto"/>
        <w:ind w:left="153" w:right="0"/>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10,804,841.18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5,531,011.39</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16,335,852.57</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10,804,841.18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5,531,011.39</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16,335,852.57</w:t>
            </w:r>
          </w:p>
        </w:tc>
      </w:tr>
    </w:tbl>
    <w:p>
      <w:pPr>
        <w:spacing w:line="357" w:lineRule="auto" w:before="51"/>
        <w:ind w:left="153" w:right="3471"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82,543,570.65</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82,543,570.65</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58,090,774.13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5,531,011.39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130,203,333.39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319" w:lineRule="auto" w:before="51"/>
        <w:ind w:left="154" w:right="150" w:firstLine="0"/>
        <w:jc w:val="both"/>
        <w:rPr>
          <w:rFonts w:ascii="宋体" w:hAnsi="宋体" w:cs="宋体" w:eastAsia="宋体" w:hint="default"/>
          <w:sz w:val="18"/>
          <w:szCs w:val="18"/>
        </w:rPr>
      </w:pP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pStyle w:val="BodyText"/>
        <w:spacing w:line="240" w:lineRule="auto" w:before="120"/>
        <w:ind w:left="577" w:right="0"/>
        <w:jc w:val="left"/>
      </w:pPr>
      <w:r>
        <w:rPr/>
        <w:t>经</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年第一次临时股东大会决议，公司首次公开发行股票并在创业板上市前滚存未分配利润，将</w:t>
      </w:r>
    </w:p>
    <w:p>
      <w:pPr>
        <w:spacing w:after="0" w:line="240" w:lineRule="auto"/>
        <w:jc w:val="left"/>
        <w:sectPr>
          <w:pgSz w:w="11910" w:h="16840"/>
          <w:pgMar w:header="0" w:footer="982" w:top="1100" w:bottom="1180" w:left="980" w:right="980"/>
        </w:sectPr>
      </w:pPr>
    </w:p>
    <w:p>
      <w:pPr>
        <w:spacing w:line="240" w:lineRule="auto" w:before="7"/>
        <w:rPr>
          <w:rFonts w:ascii="宋体" w:hAnsi="宋体" w:cs="宋体" w:eastAsia="宋体" w:hint="default"/>
          <w:sz w:val="27"/>
          <w:szCs w:val="27"/>
        </w:rPr>
      </w:pPr>
    </w:p>
    <w:p>
      <w:pPr>
        <w:pStyle w:val="BodyText"/>
        <w:spacing w:line="348" w:lineRule="auto" w:before="35"/>
        <w:ind w:left="577" w:right="212" w:hanging="424"/>
        <w:jc w:val="left"/>
      </w:pPr>
      <w:r>
        <w:rPr/>
        <w:t>在上市完成后由公司新老股东共享。 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2012</w:t>
      </w:r>
      <w:r>
        <w:rPr/>
        <w:t>年第五次临时股东大会》决议，通过了《公司利润分配预案》：以公司</w:t>
      </w:r>
    </w:p>
    <w:p>
      <w:pPr>
        <w:pStyle w:val="BodyText"/>
        <w:spacing w:line="328" w:lineRule="auto" w:before="5"/>
        <w:ind w:left="153" w:right="0"/>
        <w:jc w:val="left"/>
      </w:pPr>
      <w:r>
        <w:rPr/>
        <w:t>总股本</w:t>
      </w:r>
      <w:r>
        <w:rPr>
          <w:rFonts w:ascii="Times New Roman" w:hAnsi="Times New Roman" w:cs="Times New Roman" w:eastAsia="Times New Roman" w:hint="default"/>
        </w:rPr>
        <w:t>9,800 </w:t>
      </w:r>
      <w:r>
        <w:rPr/>
        <w:t>万股为基数，向全体股东每</w:t>
      </w:r>
      <w:r>
        <w:rPr>
          <w:rFonts w:ascii="Times New Roman" w:hAnsi="Times New Roman" w:cs="Times New Roman" w:eastAsia="Times New Roman" w:hint="default"/>
        </w:rPr>
        <w:t>10 </w:t>
      </w:r>
      <w:r>
        <w:rPr/>
        <w:t>股派发现金</w:t>
      </w:r>
      <w:r>
        <w:rPr>
          <w:rFonts w:ascii="Times New Roman" w:hAnsi="Times New Roman" w:cs="Times New Roman" w:eastAsia="Times New Roman" w:hint="default"/>
        </w:rPr>
        <w:t>0.5 </w:t>
      </w:r>
      <w:r>
        <w:rPr>
          <w:spacing w:val="-5"/>
        </w:rPr>
        <w:t>元人民币（含税），即每</w:t>
      </w:r>
      <w:r>
        <w:rPr>
          <w:rFonts w:ascii="Times New Roman" w:hAnsi="Times New Roman" w:cs="Times New Roman" w:eastAsia="Times New Roman" w:hint="default"/>
          <w:spacing w:val="-5"/>
        </w:rPr>
        <w:t>10 </w:t>
      </w:r>
      <w:r>
        <w:rPr/>
        <w:t>股派发现金</w:t>
      </w:r>
      <w:r>
        <w:rPr>
          <w:rFonts w:ascii="Times New Roman" w:hAnsi="Times New Roman" w:cs="Times New Roman" w:eastAsia="Times New Roman" w:hint="default"/>
        </w:rPr>
        <w:t>0.45</w:t>
      </w:r>
      <w:r>
        <w:rPr>
          <w:rFonts w:ascii="Times New Roman" w:hAnsi="Times New Roman" w:cs="Times New Roman" w:eastAsia="Times New Roman" w:hint="default"/>
          <w:spacing w:val="40"/>
        </w:rPr>
        <w:t> </w:t>
      </w:r>
      <w:r>
        <w:rPr/>
        <w:t>元 人民币（税后），共计派发现金</w:t>
      </w:r>
      <w:r>
        <w:rPr>
          <w:rFonts w:ascii="Times New Roman" w:hAnsi="Times New Roman" w:cs="Times New Roman" w:eastAsia="Times New Roman" w:hint="default"/>
        </w:rPr>
        <w:t>4,900,000.00</w:t>
      </w:r>
      <w:r>
        <w:rPr>
          <w:rFonts w:ascii="Times New Roman" w:hAnsi="Times New Roman" w:cs="Times New Roman" w:eastAsia="Times New Roman" w:hint="default"/>
          <w:spacing w:val="26"/>
        </w:rPr>
        <w:t> </w:t>
      </w:r>
      <w:r>
        <w:rPr/>
        <w:t>元。</w:t>
      </w:r>
    </w:p>
    <w:p>
      <w:pPr>
        <w:spacing w:line="240" w:lineRule="auto" w:before="12"/>
        <w:rPr>
          <w:rFonts w:ascii="宋体" w:hAnsi="宋体" w:cs="宋体" w:eastAsia="宋体" w:hint="default"/>
          <w:sz w:val="17"/>
          <w:szCs w:val="17"/>
        </w:rPr>
      </w:pPr>
    </w:p>
    <w:p>
      <w:pPr>
        <w:pStyle w:val="Heading3"/>
        <w:spacing w:line="240" w:lineRule="auto"/>
        <w:ind w:left="153" w:right="0"/>
        <w:jc w:val="left"/>
        <w:rPr>
          <w:b w:val="0"/>
          <w:bCs w:val="0"/>
        </w:rPr>
      </w:pPr>
      <w:r>
        <w:rPr>
          <w:rFonts w:ascii="Times New Roman" w:hAnsi="Times New Roman" w:cs="Times New Roman" w:eastAsia="Times New Roman" w:hint="default"/>
        </w:rPr>
        <w:t>27</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345,203,862.94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278,770,826.35</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192,196,870.75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180,761,284.62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110,208,524.82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121,414,149.96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70,716,990.35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100,046,058.53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44,123,786.95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60,127,674.17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23,143,709.09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31,431,059.75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19,289,832.08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54,354,627.07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34,966,666.90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7,896,489.86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4,694,221.78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10,320,135.22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5,692,141.01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16,482,739.25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9,892,317.30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13,308,752.56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5,886,701.84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8,586,230.93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3,988,187.82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19,245,487.37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12,928,818.02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345,203,862.94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192,196,870.75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278,770,826.35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78,634,397.68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21,358,917.14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53,099,173.67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17,699,307.61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245,902,317.27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166,308,601.91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198,748,510.38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129,299,442.82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20,667,147.99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4,529,351.70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26,923,142.30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6,336,276.78</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345,203,862.94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192,196,870.75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278,770,826.35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149,743.59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34,228.60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2,417,982.91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1,033,801.64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7,228,394.47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5,114,016.28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4,721,313.42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2,407,724.43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2,231,930.61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1,120,448.26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1,887,747.54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1,490,422.19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311,869,632.75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170,693,539.55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266,478,792.91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147,281,687.52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6,445,303.44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4,139,678.15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1,083,981.03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440,082.89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3,865,682.84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1,759,702.12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139,743.59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62,400.07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13,413,175.24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9,335,257.79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2,041,264.95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618,908.47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345,203,862.94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192,196,870.75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278,770,826.35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清远市人民政府办公室</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20,058,186.31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揭阳市人力资源和社会保障局</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11,630,341.88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海南省公安厅</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11,060,903.94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广东省公安厅</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11,025,911.59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广东国鸿资讯科技有限公司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10,448,907.53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64,224,251.25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2,088,838.53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2,321,631.77</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1,070,861.14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1,080,141.30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459,077.29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463,798.66</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306,051.53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308,810.03</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3,924,828.49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4,174,381.76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2,119,748.26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1,291,318.65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4,370,240.34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2,675,040.45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14,540,646.44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8,581,767.15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3,546,702.00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1,860,415.20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619,002.20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758,197.80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1,953,074.52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1,396,144.16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4,054,277.50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2,348,779.91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911,570.48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31,272,929.26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19,823,233.80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82" w:top="1100" w:bottom="1180" w:left="980" w:right="980"/>
        </w:sectPr>
      </w:pPr>
    </w:p>
    <w:p>
      <w:pPr>
        <w:pStyle w:val="Heading3"/>
        <w:spacing w:line="240" w:lineRule="auto" w:before="35"/>
        <w:ind w:right="0"/>
        <w:jc w:val="left"/>
        <w:rPr>
          <w:b w:val="0"/>
          <w:bCs w:val="0"/>
        </w:rPr>
      </w:pPr>
      <w:r>
        <w:rPr>
          <w:rFonts w:ascii="Times New Roman" w:hAnsi="Times New Roman" w:cs="Times New Roman" w:eastAsia="Times New Roman" w:hint="default"/>
          <w:w w:val="95"/>
        </w:rPr>
        <w:t>30</w:t>
      </w:r>
      <w:r>
        <w:rPr>
          <w:w w:val="95"/>
        </w:rPr>
        <w:t>、管理费用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418" w:space="7410"/>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7,913,061.89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2,941,372.25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2,163,196.32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1,986,464.56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13,659,710.44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6,581,977.76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2,369,406.96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703,984.70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1,638,872.35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858,380.17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938,738.19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1,206,022.48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988,990.78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6,084,773.14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12,471,475.83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14,266,301.95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2,233,053.13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742,337.10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8,639,633.15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9,883,117.78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3,221,970.04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1,674,005.66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985,222.35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57,223,331.43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47,015,737.55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4,778,909.45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6,839,203.16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-1,613,306.82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-1,120,170.63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132,032.59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79,527.63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20,703.60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3,318,338.82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5,804,560.16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6,332,415.33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1,752,135.80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6,332,415.33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1,752,135.80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0"/>
        <w:gridCol w:w="1966"/>
        <w:gridCol w:w="2160"/>
        <w:gridCol w:w="2160"/>
      </w:tblGrid>
      <w:tr>
        <w:trPr>
          <w:trHeight w:val="161" w:hRule="exact"/>
        </w:trPr>
        <w:tc>
          <w:tcPr>
            <w:tcW w:w="32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10,915,200.00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10,915,200.00</w:t>
            </w: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196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5,980,658.07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8,393,696.43</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17,086.53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35,589.04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17,086.53</w:t>
            </w: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16,912,944.60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13,999,285.47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10,932,286.53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1994"/>
        <w:gridCol w:w="1993"/>
        <w:gridCol w:w="1683"/>
      </w:tblGrid>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蓝盾综合信息安全审计与监控系统研发与产业化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博士后启动经费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年市民营企业奖励专项资金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重点软件企业所得税奖励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1,465,200.00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流媒体实时过滤与可疑目标捕捉跟踪系统</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蓝盾信息安全高端人才培养项目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969"/>
        <w:gridCol w:w="1994"/>
        <w:gridCol w:w="1993"/>
        <w:gridCol w:w="1683"/>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基于构件的等级保护全网安全监控管理系统</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电子政务信息安全处理和监控审计平台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蓝盾信息安全技术培训学院信息安全技术人才培 养计划</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蓝盾网络安全云关键技术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基于可信计算机的安全终端产品研发及产业化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蓝盾系列信息安全产品产业化示范基地建设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年市民营企业奖励专项资金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信息安全等级保护评估公共服务平台</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年港澳关键领域重点突破项目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年度第三批动漫软件项目经费</w:t>
            </w:r>
            <w:r>
              <w:rPr>
                <w:rFonts w:ascii="Times New Roman" w:hAnsi="Times New Roman" w:cs="Times New Roman" w:eastAsia="Times New Roman" w:hint="default"/>
                <w:sz w:val="18"/>
                <w:szCs w:val="18"/>
              </w:rPr>
              <w:t>(</w:t>
            </w:r>
            <w:r>
              <w:rPr>
                <w:rFonts w:ascii="宋体" w:hAnsi="宋体" w:cs="宋体" w:eastAsia="宋体" w:hint="default"/>
                <w:sz w:val="18"/>
                <w:szCs w:val="18"/>
              </w:rPr>
              <w:t>投融资奖励</w:t>
            </w:r>
            <w:r>
              <w:rPr>
                <w:rFonts w:ascii="Times New Roman" w:hAnsi="Times New Roman" w:cs="Times New Roman" w:eastAsia="Times New Roman" w:hint="default"/>
                <w:sz w:val="18"/>
                <w:szCs w:val="18"/>
              </w:rPr>
              <w:t>)</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软件服务外包专项资金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年省中小企业发展专项资金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自主创 新和转型升级贴息</w:t>
            </w:r>
            <w:r>
              <w:rPr>
                <w:rFonts w:ascii="Times New Roman" w:hAnsi="Times New Roman" w:cs="Times New Roman" w:eastAsia="Times New Roman" w:hint="default"/>
                <w:sz w:val="18"/>
                <w:szCs w:val="18"/>
              </w:rPr>
              <w:t>)</w:t>
            </w:r>
            <w:r>
              <w:rPr>
                <w:rFonts w:ascii="宋体" w:hAnsi="宋体" w:cs="宋体" w:eastAsia="宋体" w:hint="default"/>
                <w:sz w:val="18"/>
                <w:szCs w:val="18"/>
              </w:rPr>
              <w:t>项目计划的通知（蓝盾安全综 合运维管理平台）</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244"/>
              <w:jc w:val="left"/>
              <w:rPr>
                <w:rFonts w:ascii="宋体" w:hAnsi="宋体" w:cs="宋体" w:eastAsia="宋体" w:hint="default"/>
                <w:sz w:val="18"/>
                <w:szCs w:val="18"/>
              </w:rPr>
            </w:pPr>
            <w:r>
              <w:rPr>
                <w:rFonts w:ascii="宋体" w:hAnsi="宋体" w:cs="宋体" w:eastAsia="宋体" w:hint="default"/>
                <w:sz w:val="18"/>
                <w:szCs w:val="18"/>
              </w:rPr>
              <w:t>关于表彰和奖励天河区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年度高新技术和软 件、动漫企业高级人才的决定</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10,915,200.00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5,570,000.00</w:t>
            </w:r>
          </w:p>
        </w:tc>
        <w:tc>
          <w:tcPr>
            <w:tcW w:w="1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4"/>
        <w:gridCol w:w="1914"/>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2,320.55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2,320.55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6,348.03</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58,668.58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6"/>
        <w:rPr>
          <w:rFonts w:ascii="宋体" w:hAnsi="宋体" w:cs="宋体" w:eastAsia="宋体" w:hint="default"/>
          <w:b/>
          <w:bCs/>
          <w:sz w:val="9"/>
          <w:szCs w:val="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10,220,145.51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8,637,465.58</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-521,494.76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-612,820.36</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9,698,650.75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8,024,645.22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396"/>
        <w:gridCol w:w="1588"/>
        <w:gridCol w:w="1805"/>
        <w:gridCol w:w="1842"/>
      </w:tblGrid>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58,090,774.13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660"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扣除所得税影响后归属于母公司普通股股东净利润的非 </w:t>
            </w:r>
            <w:r>
              <w:rPr>
                <w:rFonts w:ascii="宋体" w:hAnsi="宋体" w:cs="宋体" w:eastAsia="宋体" w:hint="default"/>
                <w:sz w:val="18"/>
                <w:szCs w:val="18"/>
              </w:rPr>
              <w:t>经常性损益</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9,242,575.26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4,322,750.68</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48,848,198.87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47,997,639.64</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73,500,000.00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73,500,000.00</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报告期因公积金转增股本或股票股利分配等增加的股份 </w:t>
            </w:r>
            <w:r>
              <w:rPr>
                <w:rFonts w:ascii="宋体" w:hAnsi="宋体" w:cs="宋体" w:eastAsia="宋体" w:hint="default"/>
                <w:sz w:val="18"/>
                <w:szCs w:val="18"/>
              </w:rPr>
              <w:t>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5</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4396" w:type="dxa"/>
            <w:vMerge/>
            <w:tcBorders>
              <w:left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96" w:type="dxa"/>
            <w:vMerge/>
            <w:tcBorders>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 w:right="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发行新股或债转股等增加股份下一月份起至报告期年末 </w:t>
            </w:r>
            <w:r>
              <w:rPr>
                <w:rFonts w:ascii="宋体" w:hAnsi="宋体" w:cs="宋体" w:eastAsia="宋体" w:hint="default"/>
                <w:sz w:val="18"/>
                <w:szCs w:val="18"/>
              </w:rPr>
              <w:t>的月份数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w:t>
            </w:r>
          </w:p>
        </w:tc>
      </w:tr>
      <w:tr>
        <w:trPr>
          <w:trHeight w:val="347" w:hRule="exact"/>
        </w:trPr>
        <w:tc>
          <w:tcPr>
            <w:tcW w:w="4396" w:type="dxa"/>
            <w:vMerge/>
            <w:tcBorders>
              <w:left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vMerge/>
            <w:tcBorders>
              <w:left w:val="single" w:sz="6" w:space="0" w:color="000000"/>
              <w:bottom w:val="single" w:sz="6" w:space="0" w:color="000000"/>
              <w:right w:val="single" w:sz="6" w:space="0" w:color="000000"/>
            </w:tcBorders>
          </w:tcPr>
          <w:p>
            <w:pP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9</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发行在外的普通股加权平均数（Ⅱ）</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91,875,000.00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73,500,000.00</w:t>
            </w: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因同一控制下企业合并而调整的发行在外的普通股加权 </w:t>
            </w:r>
            <w:r>
              <w:rPr>
                <w:rFonts w:ascii="宋体" w:hAnsi="宋体" w:cs="宋体" w:eastAsia="宋体" w:hint="default"/>
                <w:sz w:val="18"/>
                <w:szCs w:val="18"/>
              </w:rPr>
              <w:t>平均数（Ⅰ）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13</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0.63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0.71</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0.53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0.65</w:t>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已确认为费用的稀释性潜在普通股利息及其他影响因素</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16</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17</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18</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可转换公司债券、认股权证、股份期权等转换或行权而 </w:t>
            </w:r>
            <w:r>
              <w:rPr>
                <w:rFonts w:ascii="宋体" w:hAnsi="宋体" w:cs="宋体" w:eastAsia="宋体" w:hint="default"/>
                <w:sz w:val="18"/>
                <w:szCs w:val="18"/>
              </w:rPr>
              <w:t>增加的股份数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19</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(100%-17)]÷(13+19)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0.63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0.71</w:t>
            </w:r>
          </w:p>
        </w:tc>
      </w:tr>
      <w:tr>
        <w:trPr>
          <w:trHeight w:val="972"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21=[3+(16-18)</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×(100%-17)]÷(12+19</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0.53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0.65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after="0" w:line="240" w:lineRule="auto"/>
        <w:jc w:val="left"/>
        <w:sectPr>
          <w:pgSz w:w="11910" w:h="16840"/>
          <w:pgMar w:header="0" w:footer="982" w:top="1100" w:bottom="1180" w:left="980" w:right="980"/>
        </w:sectPr>
      </w:pPr>
    </w:p>
    <w:p>
      <w:pPr>
        <w:spacing w:line="240" w:lineRule="auto" w:before="13"/>
        <w:rPr>
          <w:rFonts w:ascii="宋体" w:hAnsi="宋体" w:cs="宋体" w:eastAsia="宋体" w:hint="default"/>
          <w:b/>
          <w:bCs/>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政府专项补贴款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7,552,174.47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8,422,599.75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1,049,696.05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1,475,083.33</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18,499,553.60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销售费用和管理费用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42,438,843.34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14,989,654.93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152,736.19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3,078,219.42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60,659,453.88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募集资金专户利息收入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563,610.77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563,610.77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3,998,500.00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3,998,500.00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58,090,774.13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6,332,415.33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1,752,135.80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8,865,332.53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9,883,117.78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1,127,879.66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6,084,773.14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283,020.84</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2,320.55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4,213,811.18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6,839,203.16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-521,494.76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-612,820.36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4,542,594.67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-3,495,359.19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-88,704,458.07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-31,756,933.97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41,240,330.77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29,537,862.76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35,472,526.83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70,552,369.44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440,530,790.07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168,061,067.18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168,061,067.18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100,024,972.58</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272,469,722.89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68,036,094.60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440,530,790.07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168,061,067.18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212,927.47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80,506.23</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440,317,862.60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167,980,560.95</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440,530,790.07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168,061,067.18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5182"/>
        <w:jc w:val="left"/>
        <w:rPr>
          <w:b w:val="0"/>
          <w:bCs w:val="0"/>
        </w:rPr>
      </w:pPr>
      <w:r>
        <w:rPr/>
        <w:t>八、关联方及关联交易</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182"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柯宗庆、柯宗贵为公司的实际控制人，分别持股</w:t>
      </w:r>
      <w:r>
        <w:rPr>
          <w:rFonts w:ascii="Times New Roman" w:hAnsi="Times New Roman" w:cs="Times New Roman" w:eastAsia="Times New Roman" w:hint="default"/>
          <w:sz w:val="21"/>
          <w:szCs w:val="21"/>
        </w:rPr>
        <w:t>19.07%</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before="91"/>
        <w:ind w:left="0" w:right="8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956"/>
        <w:gridCol w:w="1170"/>
        <w:gridCol w:w="709"/>
        <w:gridCol w:w="956"/>
        <w:gridCol w:w="958"/>
        <w:gridCol w:w="1238"/>
        <w:gridCol w:w="956"/>
        <w:gridCol w:w="956"/>
        <w:gridCol w:w="1172"/>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广东蓝盾信息 安全技术有限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（法人独资）</w:t>
            </w:r>
          </w:p>
        </w:tc>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柯宗贵</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12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11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58952754-1</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广东省蓝盾职 业培训学院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民办非企业单 位</w:t>
            </w:r>
          </w:p>
        </w:tc>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柯宗贵</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教育培训服 务</w:t>
            </w:r>
          </w:p>
        </w:tc>
        <w:tc>
          <w:tcPr>
            <w:tcW w:w="12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11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05857421-8</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广东蓝盾乐庚 信息技术有限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1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柯宗荣</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12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11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05892795-X</w:t>
            </w:r>
          </w:p>
        </w:tc>
      </w:tr>
    </w:tbl>
    <w:p>
      <w:pPr>
        <w:spacing w:line="240" w:lineRule="auto" w:before="2"/>
        <w:rPr>
          <w:rFonts w:ascii="宋体" w:hAnsi="宋体" w:cs="宋体" w:eastAsia="宋体" w:hint="default"/>
          <w:sz w:val="19"/>
          <w:szCs w:val="19"/>
        </w:rPr>
      </w:pPr>
    </w:p>
    <w:p>
      <w:pPr>
        <w:pStyle w:val="Heading3"/>
        <w:spacing w:line="240" w:lineRule="auto" w:before="35"/>
        <w:ind w:right="5182"/>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8"/>
        <w:rPr>
          <w:rFonts w:ascii="宋体" w:hAnsi="宋体" w:cs="宋体" w:eastAsia="宋体" w:hint="default"/>
          <w:b/>
          <w:bCs/>
          <w:sz w:val="26"/>
          <w:szCs w:val="26"/>
        </w:rPr>
      </w:pPr>
    </w:p>
    <w:p>
      <w:pPr>
        <w:spacing w:before="0"/>
        <w:ind w:left="154" w:right="518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5182"/>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以上的法人</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66100600-4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广州融轩投资咨询有限公司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06580173-0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广州景辕创业投资企业（有限合伙）</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05450803-7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石河子鼎诺投资管理有限公司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55058962-2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广东益街坊电子有限公司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55057763-X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中科蓝华生命科技有限公司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06110081-4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广州奥邦投资咨询有限公司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06580505-3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广州白云航空服务有限公司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23121015-2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67349171-3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广州市中经石油化工有限公司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71249454-7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广州市通汇科技有限公司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57215459-0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中经汇通（武汉）有限公司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55198565-1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30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汇通宝有限责任公司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72822119-9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广州市经汇宝信息技术有限公司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58954179-X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Group</w:t>
            </w:r>
            <w:r>
              <w:rPr>
                <w:rFonts w:ascii="Times New Roman"/>
                <w:spacing w:val="-3"/>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(Cayman)Holdings</w:t>
            </w:r>
            <w:r>
              <w:rPr>
                <w:rFonts w:ascii="Times New Roman"/>
                <w:spacing w:val="-9"/>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Access Universe International</w:t>
            </w:r>
            <w:r>
              <w:rPr>
                <w:rFonts w:ascii="Times New Roman"/>
                <w:spacing w:val="-6"/>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Winner choice International</w:t>
            </w:r>
            <w:r>
              <w:rPr>
                <w:rFonts w:ascii="Times New Roman"/>
                <w:spacing w:val="-17"/>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Swoop Success International</w:t>
            </w:r>
            <w:r>
              <w:rPr>
                <w:rFonts w:ascii="Times New Roman"/>
                <w:spacing w:val="-3"/>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广州景轩投资管理有限公司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05061513-4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23316398-6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北京爱创科技股份有限公司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76351629-1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浙江诺睿特生物科技有限公司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关联自然人直接控制的企业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56699152-8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北京金汇华光投资顾问有限公司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58234215-7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苏州璞玉投资管理有限公司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19254825-6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珠海格力电器股份有限公司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13873911-5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江苏通达动力科技股份有限公司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61808620-5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中山达华智能科技股份有限公司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57906384-3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北京华软投资管理有限公司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原关联自然人直接控制的企业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69133808-5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无锡华软投资管理有限公司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原关联自然人直接控制的企业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56026021-4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宜兴华软投资管理有限公司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69787792-8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无锡永中软件有限公司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19066899-1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京华信息科技股份有限公司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73204488-5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原关联自然人担任董事的企业</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66100600-4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蓝盾信息安全技术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蓝盾信息安全技术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蓝盾信息安全技术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89"/>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月，公司控股股东柯宗贵为公司向深圳发展银行广州科韵支行</w:t>
      </w:r>
      <w:r>
        <w:rPr>
          <w:rFonts w:ascii="Times New Roman" w:hAnsi="Times New Roman" w:cs="Times New Roman" w:eastAsia="Times New Roman" w:hint="default"/>
        </w:rPr>
        <w:t>3,000</w:t>
      </w:r>
      <w:r>
        <w:rPr/>
        <w:t>万元贷款提供担保。</w:t>
      </w:r>
    </w:p>
    <w:p>
      <w:pPr>
        <w:pStyle w:val="BodyText"/>
        <w:spacing w:line="240" w:lineRule="auto" w:before="21"/>
        <w:ind w:left="15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月，公司控股股东柯宗贵和柯宗庆为公司向中国民生银行广州分行</w:t>
      </w:r>
      <w:r>
        <w:rPr>
          <w:rFonts w:ascii="Times New Roman" w:hAnsi="Times New Roman" w:cs="Times New Roman" w:eastAsia="Times New Roman" w:hint="default"/>
        </w:rPr>
        <w:t>7,000</w:t>
      </w:r>
      <w:r>
        <w:rPr/>
        <w:t>万元贷款提供担保。</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九、股份支付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spacing w:line="506" w:lineRule="auto" w:before="0"/>
        <w:ind w:left="154" w:right="5238" w:firstLine="0"/>
        <w:jc w:val="left"/>
        <w:rPr>
          <w:rFonts w:ascii="宋体" w:hAnsi="宋体" w:cs="宋体" w:eastAsia="宋体" w:hint="default"/>
          <w:sz w:val="18"/>
          <w:szCs w:val="18"/>
        </w:rPr>
      </w:pPr>
      <w:r>
        <w:rPr>
          <w:rFonts w:ascii="宋体" w:hAnsi="宋体" w:cs="宋体" w:eastAsia="宋体" w:hint="default"/>
          <w:b/>
          <w:bCs/>
          <w:sz w:val="24"/>
          <w:szCs w:val="24"/>
        </w:rPr>
        <w:t>十、或有事项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1"/>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spacing w:line="506" w:lineRule="auto" w:before="0"/>
        <w:ind w:left="154" w:right="8083" w:firstLine="0"/>
        <w:jc w:val="left"/>
        <w:rPr>
          <w:rFonts w:ascii="宋体" w:hAnsi="宋体" w:cs="宋体" w:eastAsia="宋体" w:hint="default"/>
          <w:sz w:val="18"/>
          <w:szCs w:val="18"/>
        </w:rPr>
      </w:pPr>
      <w:r>
        <w:rPr>
          <w:rFonts w:ascii="宋体" w:hAnsi="宋体" w:cs="宋体" w:eastAsia="宋体" w:hint="default"/>
          <w:b/>
          <w:bCs/>
          <w:sz w:val="24"/>
          <w:szCs w:val="24"/>
        </w:rPr>
        <w:t>十一、承诺事项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spacing w:line="506" w:lineRule="auto" w:before="0"/>
        <w:ind w:left="154" w:right="6503" w:firstLine="0"/>
        <w:jc w:val="left"/>
        <w:rPr>
          <w:rFonts w:ascii="宋体" w:hAnsi="宋体" w:cs="宋体" w:eastAsia="宋体" w:hint="default"/>
          <w:sz w:val="18"/>
          <w:szCs w:val="18"/>
        </w:rPr>
      </w:pPr>
      <w:r>
        <w:rPr>
          <w:rFonts w:ascii="宋体" w:hAnsi="宋体" w:cs="宋体" w:eastAsia="宋体" w:hint="default"/>
          <w:b/>
          <w:bCs/>
          <w:sz w:val="24"/>
          <w:szCs w:val="24"/>
        </w:rPr>
        <w:t>十二、资产负债表日后事项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5,880,000.00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9"/>
        <w:rPr>
          <w:rFonts w:ascii="宋体" w:hAnsi="宋体" w:cs="宋体" w:eastAsia="宋体" w:hint="default"/>
          <w:b/>
          <w:bCs/>
          <w:sz w:val="17"/>
          <w:szCs w:val="17"/>
        </w:rPr>
      </w:pPr>
    </w:p>
    <w:p>
      <w:pPr>
        <w:pStyle w:val="BodyText"/>
        <w:spacing w:line="328" w:lineRule="auto"/>
        <w:ind w:left="153" w:right="0" w:firstLine="423"/>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日，公司以自有资金</w:t>
      </w:r>
      <w:r>
        <w:rPr>
          <w:rFonts w:ascii="Times New Roman" w:hAnsi="Times New Roman" w:cs="Times New Roman" w:eastAsia="Times New Roman" w:hint="default"/>
          <w:spacing w:val="-1"/>
        </w:rPr>
        <w:t>700</w:t>
      </w:r>
      <w:r>
        <w:rPr>
          <w:spacing w:val="-1"/>
        </w:rPr>
        <w:t>万元对子公司广东省蓝盾职业培训学院进行增资，增资后广东省</w:t>
      </w:r>
      <w:r>
        <w:rPr/>
        <w:t> 蓝盾职业培训学院注册资本变更为</w:t>
      </w:r>
      <w:r>
        <w:rPr>
          <w:rFonts w:ascii="Times New Roman" w:hAnsi="Times New Roman" w:cs="Times New Roman" w:eastAsia="Times New Roman" w:hint="default"/>
        </w:rPr>
        <w:t>1000</w:t>
      </w:r>
      <w:r>
        <w:rPr/>
        <w:t>万元。</w:t>
      </w:r>
    </w:p>
    <w:p>
      <w:pPr>
        <w:spacing w:after="0" w:line="328" w:lineRule="auto"/>
        <w:jc w:val="left"/>
        <w:sectPr>
          <w:pgSz w:w="11910" w:h="16840"/>
          <w:pgMar w:header="0" w:footer="982" w:top="1100" w:bottom="1180" w:left="980" w:right="980"/>
        </w:sectPr>
      </w:pPr>
    </w:p>
    <w:p>
      <w:pPr>
        <w:spacing w:line="240" w:lineRule="auto" w:before="9"/>
        <w:rPr>
          <w:rFonts w:ascii="宋体" w:hAnsi="宋体" w:cs="宋体" w:eastAsia="宋体" w:hint="default"/>
          <w:sz w:val="19"/>
          <w:szCs w:val="19"/>
        </w:rPr>
      </w:pPr>
    </w:p>
    <w:p>
      <w:pPr>
        <w:spacing w:line="506" w:lineRule="auto" w:before="26"/>
        <w:ind w:left="154" w:right="7608" w:firstLine="0"/>
        <w:jc w:val="left"/>
        <w:rPr>
          <w:rFonts w:ascii="宋体" w:hAnsi="宋体" w:cs="宋体" w:eastAsia="宋体" w:hint="default"/>
          <w:sz w:val="18"/>
          <w:szCs w:val="18"/>
        </w:rPr>
      </w:pPr>
      <w:r>
        <w:rPr>
          <w:rFonts w:ascii="宋体" w:hAnsi="宋体" w:cs="宋体" w:eastAsia="宋体" w:hint="default"/>
          <w:b/>
          <w:bCs/>
          <w:sz w:val="24"/>
          <w:szCs w:val="24"/>
        </w:rPr>
        <w:t>十三、其他重要事项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52"/>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采用账龄分析法计提坏 账准备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160,926,973.50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10,511,525.89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83,244,216.56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4,825,376.81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160,926,973.50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10,511,525.89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83,244,216.56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4,825,376.81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160,926,973.50</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10,511,525.89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83,244,216.56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4,825,376.81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982" w:top="110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组合中，采用账龄分析法计提坏账准备的应收账款</w:t>
      </w:r>
    </w:p>
    <w:p>
      <w:pPr>
        <w:spacing w:before="26"/>
        <w:ind w:left="15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4"/>
        <w:gridCol w:w="1994"/>
        <w:gridCol w:w="665"/>
        <w:gridCol w:w="1473"/>
        <w:gridCol w:w="2115"/>
        <w:gridCol w:w="664"/>
        <w:gridCol w:w="1594"/>
      </w:tblGrid>
      <w:tr>
        <w:trPr>
          <w:trHeight w:val="402" w:hRule="exact"/>
        </w:trPr>
        <w:tc>
          <w:tcPr>
            <w:tcW w:w="1054" w:type="dxa"/>
            <w:vMerge w:val="restart"/>
            <w:tcBorders>
              <w:top w:val="single" w:sz="4" w:space="0" w:color="000000"/>
              <w:left w:val="single" w:sz="4" w:space="0" w:color="000000"/>
              <w:right w:val="single" w:sz="4" w:space="0" w:color="000000"/>
            </w:tcBorders>
            <w:shd w:val="clear" w:color="auto" w:fill="D3D3D3"/>
          </w:tcPr>
          <w:p>
            <w:pPr/>
          </w:p>
        </w:tc>
        <w:tc>
          <w:tcPr>
            <w:tcW w:w="413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54" w:type="dxa"/>
            <w:vMerge/>
            <w:tcBorders>
              <w:left w:val="single" w:sz="4" w:space="0" w:color="000000"/>
              <w:bottom w:val="nil" w:sz="6" w:space="0" w:color="auto"/>
              <w:right w:val="single" w:sz="4" w:space="0" w:color="000000"/>
            </w:tcBorders>
            <w:shd w:val="clear" w:color="auto" w:fill="D3D3D3"/>
          </w:tcPr>
          <w:p>
            <w:pPr/>
          </w:p>
        </w:tc>
        <w:tc>
          <w:tcPr>
            <w:tcW w:w="26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3" w:type="dxa"/>
            <w:vMerge w:val="restart"/>
            <w:tcBorders>
              <w:top w:val="single" w:sz="4" w:space="0" w:color="000000"/>
              <w:left w:val="single" w:sz="4" w:space="0" w:color="000000"/>
              <w:right w:val="single" w:sz="4" w:space="0" w:color="000000"/>
            </w:tcBorders>
            <w:shd w:val="clear" w:color="auto" w:fill="D3D3D3"/>
          </w:tcPr>
          <w:p>
            <w:pPr/>
          </w:p>
        </w:tc>
        <w:tc>
          <w:tcPr>
            <w:tcW w:w="27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0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9" w:type="dxa"/>
            <w:gridSpan w:val="2"/>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nil" w:sz="6" w:space="0" w:color="auto"/>
              <w:right w:val="single" w:sz="4" w:space="0" w:color="000000"/>
            </w:tcBorders>
            <w:shd w:val="clear" w:color="auto" w:fill="D3D3D3"/>
          </w:tcPr>
          <w:p>
            <w:pPr/>
          </w:p>
        </w:tc>
        <w:tc>
          <w:tcPr>
            <w:tcW w:w="2779" w:type="dxa"/>
            <w:gridSpan w:val="2"/>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54" w:type="dxa"/>
            <w:vMerge/>
            <w:tcBorders>
              <w:left w:val="single" w:sz="4" w:space="0" w:color="000000"/>
              <w:bottom w:val="nil" w:sz="6" w:space="0" w:color="auto"/>
              <w:right w:val="single" w:sz="4" w:space="0" w:color="000000"/>
            </w:tcBorders>
            <w:shd w:val="clear" w:color="auto" w:fill="D3D3D3"/>
          </w:tcPr>
          <w:p>
            <w:pPr/>
          </w:p>
        </w:tc>
        <w:tc>
          <w:tcPr>
            <w:tcW w:w="1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54" w:type="dxa"/>
            <w:vMerge w:val="restart"/>
            <w:tcBorders>
              <w:top w:val="nil" w:sz="6" w:space="0" w:color="auto"/>
              <w:left w:val="single" w:sz="4" w:space="0" w:color="000000"/>
              <w:right w:val="single" w:sz="4" w:space="0" w:color="000000"/>
            </w:tcBorders>
            <w:shd w:val="clear" w:color="auto" w:fill="D3D3D3"/>
          </w:tcPr>
          <w:p>
            <w:pPr/>
          </w:p>
        </w:tc>
        <w:tc>
          <w:tcPr>
            <w:tcW w:w="1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3D3D3"/>
          </w:tcPr>
          <w:p>
            <w:pPr/>
          </w:p>
        </w:tc>
        <w:tc>
          <w:tcPr>
            <w:tcW w:w="1473" w:type="dxa"/>
            <w:vMerge/>
            <w:tcBorders>
              <w:left w:val="single" w:sz="4" w:space="0" w:color="000000"/>
              <w:bottom w:val="nil" w:sz="6" w:space="0" w:color="auto"/>
              <w:right w:val="single" w:sz="4" w:space="0" w:color="000000"/>
            </w:tcBorders>
            <w:shd w:val="clear" w:color="auto" w:fill="D3D3D3"/>
          </w:tcPr>
          <w:p>
            <w:pPr/>
          </w:p>
        </w:tc>
        <w:tc>
          <w:tcPr>
            <w:tcW w:w="21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054" w:type="dxa"/>
            <w:vMerge/>
            <w:tcBorders>
              <w:left w:val="single" w:sz="4" w:space="0" w:color="000000"/>
              <w:right w:val="single" w:sz="4" w:space="0" w:color="000000"/>
            </w:tcBorders>
            <w:shd w:val="clear" w:color="auto" w:fill="D3D3D3"/>
          </w:tcPr>
          <w:p>
            <w:pPr/>
          </w:p>
        </w:tc>
        <w:tc>
          <w:tcPr>
            <w:tcW w:w="1994"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1473" w:type="dxa"/>
            <w:vMerge w:val="restart"/>
            <w:tcBorders>
              <w:top w:val="nil" w:sz="6" w:space="0" w:color="auto"/>
              <w:left w:val="single" w:sz="4" w:space="0" w:color="000000"/>
              <w:right w:val="single" w:sz="4" w:space="0" w:color="000000"/>
            </w:tcBorders>
            <w:shd w:val="clear" w:color="auto" w:fill="D3D3D3"/>
          </w:tcPr>
          <w:p>
            <w:pPr/>
          </w:p>
        </w:tc>
        <w:tc>
          <w:tcPr>
            <w:tcW w:w="211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15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054" w:type="dxa"/>
            <w:vMerge/>
            <w:tcBorders>
              <w:left w:val="single" w:sz="4" w:space="0" w:color="000000"/>
              <w:bottom w:val="single" w:sz="4" w:space="0" w:color="000000"/>
              <w:right w:val="single" w:sz="4" w:space="0" w:color="000000"/>
            </w:tcBorders>
            <w:shd w:val="clear" w:color="auto" w:fill="D3D3D3"/>
          </w:tcPr>
          <w:p>
            <w:pPr/>
          </w:p>
        </w:tc>
        <w:tc>
          <w:tcPr>
            <w:tcW w:w="1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single" w:sz="4" w:space="0" w:color="000000"/>
              <w:right w:val="single" w:sz="4" w:space="0" w:color="000000"/>
            </w:tcBorders>
            <w:shd w:val="clear" w:color="auto" w:fill="D3D3D3"/>
          </w:tcPr>
          <w:p>
            <w:pPr/>
          </w:p>
        </w:tc>
        <w:tc>
          <w:tcPr>
            <w:tcW w:w="211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131,083,697.53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81.46%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6,554,184.88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75,123,263.31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3,756,163.17</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25,862,159.80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16.07%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2,586,215.98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6,888,137.44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688,813.74</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3,176,328.99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1.97%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952,898.70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1,180,040.01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354,012.00</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752,011.38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0.47%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376,005.69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52,775.80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26,387.90</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52,775.80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0.03%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42,220.64</w:t>
            </w:r>
          </w:p>
        </w:tc>
        <w:tc>
          <w:tcPr>
            <w:tcW w:w="211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160,926,973.50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10,511,525.89</w:t>
            </w:r>
          </w:p>
        </w:tc>
        <w:tc>
          <w:tcPr>
            <w:tcW w:w="2115"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83,244,216.56</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4,825,376.81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7" w:lineRule="auto" w:before="117"/>
        <w:ind w:left="153" w:right="599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360" w:lineRule="auto" w:before="28"/>
        <w:ind w:left="153" w:right="5451"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期末单项金额虽不重大但单项计提坏账准备的应收账款</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57" w:lineRule="auto" w:before="0"/>
        <w:ind w:left="153" w:right="3831"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 无</w:t>
      </w:r>
    </w:p>
    <w:p>
      <w:pPr>
        <w:spacing w:after="0" w:line="357"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spacing w:line="357" w:lineRule="auto" w:before="44"/>
        <w:ind w:left="153" w:right="3651"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before="166"/>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清远市人民政府办公室</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14,080,846.80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广东省公安厅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9,692,926.12</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海南省公安厅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9,098,709.99</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广州市黄埔区教育局</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1,634,618.00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广州市黄埔区教育局</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6,986,765.89</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海口市公安局交通警察 支队</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5,336,310.00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46,830,176.80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）以应收款项为标的资产进行资产证券化的，需简要说明相关交易安排</w:t>
      </w:r>
      <w:r>
        <w:rPr>
          <w:b w:val="0"/>
          <w:bCs w:val="0"/>
        </w:rPr>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33"/>
          <w:pgSz w:w="11910" w:h="16840"/>
          <w:pgMar w:footer="1512" w:header="0" w:top="1100" w:bottom="1700" w:left="980" w:right="980"/>
          <w:pgNumType w:start="133"/>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采用账龄分析法计提坏账 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8,636,181.07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821,935.23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7,479,574.47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703,578.80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8,636,181.07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821,935.23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9.52%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7,479,574.47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703,578.80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8,636,181.07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821,935.23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7,479,574.47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703,578.80</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34"/>
          <w:pgSz w:w="11910" w:h="16840"/>
          <w:pgMar w:footer="982" w:header="0" w:top="1100" w:bottom="1180" w:left="980" w:right="980"/>
          <w:pgNumType w:start="134"/>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组合中，采用账龄分析法计提坏账准备的其他应收款</w:t>
      </w:r>
    </w:p>
    <w:p>
      <w:pPr>
        <w:spacing w:before="26"/>
        <w:ind w:left="15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3"/>
        <w:gridCol w:w="1804"/>
        <w:gridCol w:w="665"/>
        <w:gridCol w:w="1594"/>
        <w:gridCol w:w="1861"/>
        <w:gridCol w:w="665"/>
        <w:gridCol w:w="1726"/>
      </w:tblGrid>
      <w:tr>
        <w:trPr>
          <w:trHeight w:val="402" w:hRule="exact"/>
        </w:trPr>
        <w:tc>
          <w:tcPr>
            <w:tcW w:w="1243" w:type="dxa"/>
            <w:vMerge w:val="restart"/>
            <w:tcBorders>
              <w:top w:val="single" w:sz="4" w:space="0" w:color="000000"/>
              <w:left w:val="single" w:sz="4" w:space="0" w:color="000000"/>
              <w:right w:val="single" w:sz="4" w:space="0" w:color="000000"/>
            </w:tcBorders>
            <w:shd w:val="clear" w:color="auto" w:fill="D3D3D3"/>
          </w:tcPr>
          <w:p>
            <w:pPr/>
          </w:p>
        </w:tc>
        <w:tc>
          <w:tcPr>
            <w:tcW w:w="406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43" w:type="dxa"/>
            <w:vMerge/>
            <w:tcBorders>
              <w:left w:val="single" w:sz="4" w:space="0" w:color="000000"/>
              <w:bottom w:val="nil" w:sz="6" w:space="0" w:color="auto"/>
              <w:right w:val="single" w:sz="4" w:space="0" w:color="000000"/>
            </w:tcBorders>
            <w:shd w:val="clear" w:color="auto" w:fill="D3D3D3"/>
          </w:tcPr>
          <w:p>
            <w:pPr/>
          </w:p>
        </w:tc>
        <w:tc>
          <w:tcPr>
            <w:tcW w:w="2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
        </w:tc>
        <w:tc>
          <w:tcPr>
            <w:tcW w:w="2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
        </w:tc>
      </w:tr>
      <w:tr>
        <w:trPr>
          <w:trHeight w:val="223" w:hRule="exact"/>
        </w:trPr>
        <w:tc>
          <w:tcPr>
            <w:tcW w:w="12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469" w:type="dxa"/>
            <w:gridSpan w:val="2"/>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c>
          <w:tcPr>
            <w:tcW w:w="2526" w:type="dxa"/>
            <w:gridSpan w:val="2"/>
            <w:vMerge/>
            <w:tcBorders>
              <w:left w:val="single" w:sz="4" w:space="0" w:color="000000"/>
              <w:bottom w:val="single" w:sz="4" w:space="0" w:color="000000"/>
              <w:right w:val="single" w:sz="4" w:space="0" w:color="000000"/>
            </w:tcBorders>
            <w:shd w:val="clear" w:color="auto" w:fill="D3D3D3"/>
          </w:tcPr>
          <w:p>
            <w:pPr/>
          </w:p>
        </w:tc>
        <w:tc>
          <w:tcPr>
            <w:tcW w:w="1726" w:type="dxa"/>
            <w:vMerge/>
            <w:tcBorders>
              <w:left w:val="single" w:sz="4" w:space="0" w:color="000000"/>
              <w:bottom w:val="nil" w:sz="6" w:space="0" w:color="auto"/>
              <w:right w:val="single" w:sz="4" w:space="0" w:color="000000"/>
            </w:tcBorders>
            <w:shd w:val="clear" w:color="auto" w:fill="D3D3D3"/>
          </w:tcPr>
          <w:p>
            <w:pPr/>
          </w:p>
        </w:tc>
      </w:tr>
      <w:tr>
        <w:trPr>
          <w:trHeight w:val="176" w:hRule="exact"/>
        </w:trPr>
        <w:tc>
          <w:tcPr>
            <w:tcW w:w="1243" w:type="dxa"/>
            <w:vMerge/>
            <w:tcBorders>
              <w:left w:val="single" w:sz="4" w:space="0" w:color="000000"/>
              <w:bottom w:val="single" w:sz="4" w:space="0" w:color="FFFFFF"/>
              <w:right w:val="single" w:sz="4" w:space="0" w:color="000000"/>
            </w:tcBorders>
            <w:shd w:val="clear" w:color="auto" w:fill="D3D3D3"/>
          </w:tcPr>
          <w:p>
            <w:pPr/>
          </w:p>
        </w:tc>
        <w:tc>
          <w:tcPr>
            <w:tcW w:w="180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243" w:type="dxa"/>
            <w:vMerge w:val="restart"/>
            <w:tcBorders>
              <w:top w:val="single" w:sz="4" w:space="0" w:color="FFFFFF"/>
              <w:left w:val="single" w:sz="4" w:space="0" w:color="000000"/>
              <w:right w:val="single" w:sz="4" w:space="0" w:color="000000"/>
            </w:tcBorders>
            <w:shd w:val="clear" w:color="auto" w:fill="D3D3D3"/>
          </w:tcPr>
          <w:p>
            <w:pPr/>
          </w:p>
        </w:tc>
        <w:tc>
          <w:tcPr>
            <w:tcW w:w="180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c>
          <w:tcPr>
            <w:tcW w:w="18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3D3D3"/>
          </w:tcPr>
          <w:p>
            <w:pPr/>
          </w:p>
        </w:tc>
        <w:tc>
          <w:tcPr>
            <w:tcW w:w="1726"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243" w:type="dxa"/>
            <w:vMerge/>
            <w:tcBorders>
              <w:left w:val="single" w:sz="4" w:space="0" w:color="000000"/>
              <w:right w:val="single" w:sz="4" w:space="0" w:color="000000"/>
            </w:tcBorders>
            <w:shd w:val="clear" w:color="auto" w:fill="D3D3D3"/>
          </w:tcPr>
          <w:p>
            <w:pPr/>
          </w:p>
        </w:tc>
        <w:tc>
          <w:tcPr>
            <w:tcW w:w="1804"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1594" w:type="dxa"/>
            <w:vMerge w:val="restart"/>
            <w:tcBorders>
              <w:top w:val="nil" w:sz="6" w:space="0" w:color="auto"/>
              <w:left w:val="single" w:sz="4" w:space="0" w:color="000000"/>
              <w:right w:val="single" w:sz="4" w:space="0" w:color="000000"/>
            </w:tcBorders>
            <w:shd w:val="clear" w:color="auto" w:fill="D3D3D3"/>
          </w:tcPr>
          <w:p>
            <w:pPr/>
          </w:p>
        </w:tc>
        <w:tc>
          <w:tcPr>
            <w:tcW w:w="1861"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1726"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43" w:type="dxa"/>
            <w:vMerge/>
            <w:tcBorders>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7,059,582.69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352,979.14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5,592,468.06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279,623.40</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674,397.96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67,439.80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899,750.29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89,975.03</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408,307.24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122,492.17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846,568.12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253,970.44</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399,789.32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199,894.66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121,556.14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60,778.07</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74,872.00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59,897.60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19,231.86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19,231.86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19,231.86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19,231.86</w:t>
            </w:r>
          </w:p>
        </w:tc>
      </w:tr>
      <w:tr>
        <w:trPr>
          <w:trHeight w:val="402" w:hRule="exact"/>
        </w:trPr>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8,636,181.07</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821,935.23</w:t>
            </w:r>
          </w:p>
        </w:tc>
        <w:tc>
          <w:tcPr>
            <w:tcW w:w="186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7,479,574.47</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703,578.80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3" w:right="581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line="360" w:lineRule="auto" w:before="28"/>
        <w:ind w:left="153" w:right="5271"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期末单项金额虽不重大但单项计提坏账准备的其他应收款</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3" w:right="3471" w:firstLine="0"/>
        <w:jc w:val="left"/>
        <w:rPr>
          <w:rFonts w:ascii="宋体" w:hAnsi="宋体" w:cs="宋体" w:eastAsia="宋体" w:hint="default"/>
          <w:sz w:val="18"/>
          <w:szCs w:val="18"/>
        </w:rPr>
      </w:pPr>
      <w:r>
        <w:rPr>
          <w:rFonts w:ascii="宋体" w:hAnsi="宋体" w:cs="宋体" w:eastAsia="宋体" w:hint="default"/>
          <w:sz w:val="18"/>
          <w:szCs w:val="18"/>
        </w:rPr>
        <w:t>无 期末单项金额重大或虽不重大但单独进行减值测试的其他应收账款坏账准备计提 无</w:t>
      </w:r>
    </w:p>
    <w:p>
      <w:pPr>
        <w:spacing w:after="0" w:line="36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spacing w:line="357" w:lineRule="auto" w:before="44"/>
        <w:ind w:left="153" w:right="3471"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3"/>
        <w:gridCol w:w="284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广州白云工商高级技工学校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195,050.00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广东省政府采购中心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191,153.00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投标保证金和中标服务 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广州市悦禾物业管理有限公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150,855.10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公安部第三研究所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128,880.00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认证费、检测费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广州高唐天河软件园物业管 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785,938.10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广州市信息工程招投标 中心</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1,875,971.00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山东省鲁成招标有限公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中介机构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中国民航大学</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549,942.60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潮州市政府采购中心</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中国平安财产保险股份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保险公司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226,307.24</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3,613,220.84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834"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8"/>
        <w:rPr>
          <w:rFonts w:ascii="宋体" w:hAnsi="宋体" w:cs="宋体" w:eastAsia="宋体" w:hint="default"/>
          <w:b/>
          <w:bCs/>
          <w:sz w:val="26"/>
          <w:szCs w:val="26"/>
        </w:rPr>
      </w:pPr>
    </w:p>
    <w:p>
      <w:pPr>
        <w:spacing w:before="0"/>
        <w:ind w:left="8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834"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9"/>
        <w:rPr>
          <w:rFonts w:ascii="宋体" w:hAnsi="宋体" w:cs="宋体" w:eastAsia="宋体" w:hint="default"/>
          <w:b/>
          <w:bCs/>
          <w:sz w:val="26"/>
          <w:szCs w:val="26"/>
        </w:rPr>
      </w:pPr>
    </w:p>
    <w:p>
      <w:pPr>
        <w:spacing w:before="0"/>
        <w:ind w:left="8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834"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9"/>
        <w:rPr>
          <w:rFonts w:ascii="宋体" w:hAnsi="宋体" w:cs="宋体" w:eastAsia="宋体" w:hint="default"/>
          <w:b/>
          <w:bCs/>
          <w:sz w:val="26"/>
          <w:szCs w:val="26"/>
        </w:rPr>
      </w:pPr>
    </w:p>
    <w:p>
      <w:pPr>
        <w:spacing w:before="0"/>
        <w:ind w:left="8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left="834"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8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978"/>
        <w:gridCol w:w="798"/>
        <w:gridCol w:w="1243"/>
        <w:gridCol w:w="798"/>
        <w:gridCol w:w="1187"/>
        <w:gridCol w:w="1134"/>
        <w:gridCol w:w="798"/>
        <w:gridCol w:w="798"/>
        <w:gridCol w:w="941"/>
        <w:gridCol w:w="798"/>
        <w:gridCol w:w="798"/>
        <w:gridCol w:w="798"/>
      </w:tblGrid>
      <w:tr>
        <w:trPr>
          <w:trHeight w:val="357" w:hRule="exact"/>
        </w:trPr>
        <w:tc>
          <w:tcPr>
            <w:tcW w:w="97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94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9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2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04" w:right="104"/>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97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94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673" w:hRule="exact"/>
        </w:trPr>
        <w:tc>
          <w:tcPr>
            <w:tcW w:w="97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广东蓝盾信 息安全技术</w:t>
            </w:r>
          </w:p>
        </w:tc>
        <w:tc>
          <w:tcPr>
            <w:tcW w:w="79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798" w:type="dxa"/>
            <w:vMerge w:val="restart"/>
            <w:tcBorders>
              <w:top w:val="single" w:sz="4" w:space="0" w:color="000000"/>
              <w:left w:val="single" w:sz="4" w:space="0" w:color="000000"/>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978"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shd w:val="clear" w:color="auto" w:fill="CCE8CF"/>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7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w:t>
            </w:r>
          </w:p>
        </w:tc>
        <w:tc>
          <w:tcPr>
            <w:tcW w:w="798" w:type="dxa"/>
            <w:tcBorders>
              <w:top w:val="single" w:sz="4" w:space="0" w:color="000000"/>
              <w:left w:val="single" w:sz="4" w:space="0" w:color="000000"/>
              <w:bottom w:val="nil" w:sz="6" w:space="0" w:color="auto"/>
              <w:right w:val="single" w:sz="4" w:space="0" w:color="000000"/>
            </w:tcBorders>
            <w:shd w:val="clear" w:color="auto" w:fill="CCE8CF"/>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职业培训学</w:t>
            </w:r>
          </w:p>
        </w:tc>
        <w:tc>
          <w:tcPr>
            <w:tcW w:w="79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798" w:type="dxa"/>
            <w:vMerge/>
            <w:tcBorders>
              <w:left w:val="single" w:sz="4" w:space="0" w:color="000000"/>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978"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院</w:t>
            </w:r>
          </w:p>
        </w:tc>
        <w:tc>
          <w:tcPr>
            <w:tcW w:w="798" w:type="dxa"/>
            <w:tcBorders>
              <w:top w:val="nil" w:sz="6" w:space="0" w:color="auto"/>
              <w:left w:val="single" w:sz="4" w:space="0" w:color="000000"/>
              <w:bottom w:val="single" w:sz="4" w:space="0" w:color="000000"/>
              <w:right w:val="single" w:sz="4" w:space="0" w:color="000000"/>
            </w:tcBorders>
            <w:shd w:val="clear" w:color="auto" w:fill="CCE8CF"/>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7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w:t>
            </w:r>
          </w:p>
        </w:tc>
        <w:tc>
          <w:tcPr>
            <w:tcW w:w="798" w:type="dxa"/>
            <w:tcBorders>
              <w:top w:val="single" w:sz="4" w:space="0" w:color="000000"/>
              <w:left w:val="single" w:sz="4" w:space="0" w:color="000000"/>
              <w:bottom w:val="nil" w:sz="6" w:space="0" w:color="auto"/>
              <w:right w:val="single" w:sz="4" w:space="0" w:color="000000"/>
            </w:tcBorders>
            <w:shd w:val="clear" w:color="auto" w:fill="CCE8CF"/>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shd w:val="clear" w:color="auto" w:fill="CCE8CF"/>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庚信息技术</w:t>
            </w:r>
          </w:p>
        </w:tc>
        <w:tc>
          <w:tcPr>
            <w:tcW w:w="79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798" w:type="dxa"/>
            <w:vMerge/>
            <w:tcBorders>
              <w:left w:val="single" w:sz="4" w:space="0" w:color="000000"/>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60%</w:t>
            </w:r>
          </w:p>
        </w:tc>
        <w:tc>
          <w:tcPr>
            <w:tcW w:w="9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978"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shd w:val="clear" w:color="auto" w:fill="CCE8CF"/>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shd w:val="clear" w:color="auto" w:fill="CCE8CF"/>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left="834"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834"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spacing w:before="44"/>
        <w:ind w:left="0" w:right="8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84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321,095,073.73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278,770,826.35</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321,095,073.73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278,770,826.35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176,251,701.06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300" w:right="30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169,488,142.02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102,081,351.68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121,414,149.96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70,716,990.35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90,495,434.06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37,853,859.79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60,127,674.17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23,143,709.09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31,431,059.75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19,289,832.08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54,354,627.07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34,966,666.90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7,896,489.86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4,694,221.78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10,320,135.22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5,692,141.01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13,218,129.08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8,354,657.09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13,308,752.56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5,886,701.84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8,565,818.96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3,977,778.64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19,245,487.37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12,928,818.02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321,095,073.73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176,251,701.06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278,770,826.35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78,634,397.68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21,358,917.14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53,099,173.67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17,699,307.61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221,793,528.06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150,363,432.22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198,748,510.38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129,299,442.82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20,667,147.99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4,529,351.70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26,923,142.30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6,336,276.78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321,095,073.73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176,251,701.06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278,770,826.35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149,743.59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34,228.60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2,417,982.91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1,033,801.64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7,228,394.47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5,114,016.28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4,721,313.42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2,407,724.43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960,520.33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565,901.34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1,887,747.54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1,490,422.19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292,287,346.90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156,835,447.77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266,478,792.91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147,281,687.52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6,445,303.44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4,139,678.15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1,083,981.03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440,082.89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610,589.76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227,171.13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139,743.59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62,400.07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13,413,175.24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9,335,257.79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2,041,264.95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618,908.47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321,095,073.73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176,251,701.06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278,770,826.35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153,335,027.21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清远市人民政府办公室</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20,058,186.31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揭阳市人力资源和社会保障局</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11,630,341.88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海南省公安厅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11,060,903.94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广东省公安厅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11,025,911.59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汕尾市人力资源和社会保障局</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8,321,039.32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62,096,383.04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55,310,113.94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52,320,390.32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5,804,505.51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1,752,135.80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8,579,175.15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9,883,117.78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1,127,879.66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6,084,773.14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283,020.84</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2,320.55</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4,213,811.18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6,839,203.16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-336,053.47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-612,820.36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6,425,900.57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-3,495,359.19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-77,813,090.67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-31,756,933.97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33,873,734.96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29,537,862.76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37,471,318.22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70,552,369.44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386,944,768.60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168,061,067.18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168,061,067.18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100,024,972.58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0" w:type="dxa"/>
            <w:tcBorders>
              <w:top w:val="single" w:sz="4" w:space="0" w:color="000000"/>
              <w:left w:val="single" w:sz="13"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218,883,701.42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68,036,094.60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207"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202"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18" w:space="0" w:color="D3D3D3"/>
              <w:left w:val="single" w:sz="9" w:space="0" w:color="D3D3D3"/>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z w:val="18"/>
              </w:rPr>
              <w:t>10.73%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235" w:firstLine="0"/>
        <w:jc w:val="right"/>
        <w:rPr>
          <w:rFonts w:ascii="宋体" w:hAnsi="宋体" w:cs="宋体" w:eastAsia="宋体" w:hint="default"/>
          <w:sz w:val="18"/>
          <w:szCs w:val="18"/>
        </w:rPr>
      </w:pPr>
      <w:r>
        <w:rPr/>
        <w:pict>
          <v:shape style="position:absolute;margin-left:56.099998pt;margin-top:-335.048279pt;width:475.75pt;height:41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4"/>
                    <w:gridCol w:w="1872"/>
                    <w:gridCol w:w="1925"/>
                    <w:gridCol w:w="853"/>
                    <w:gridCol w:w="3553"/>
                  </w:tblGrid>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4"/>
                          <w:jc w:val="right"/>
                          <w:rPr>
                            <w:rFonts w:ascii="宋体" w:hAnsi="宋体" w:cs="宋体" w:eastAsia="宋体" w:hint="default"/>
                            <w:sz w:val="18"/>
                            <w:szCs w:val="18"/>
                          </w:rPr>
                        </w:pPr>
                        <w:r>
                          <w:rPr>
                            <w:rFonts w:ascii="宋体" w:hAnsi="宋体" w:cs="宋体" w:eastAsia="宋体" w:hint="default"/>
                            <w:spacing w:val="-10"/>
                            <w:sz w:val="18"/>
                            <w:szCs w:val="18"/>
                          </w:rPr>
                          <w:t>期末余额（或本期金额）</w:t>
                        </w:r>
                        <w:r>
                          <w:rPr>
                            <w:rFonts w:ascii="宋体" w:hAnsi="宋体" w:cs="宋体" w:eastAsia="宋体" w:hint="default"/>
                            <w:sz w:val="18"/>
                            <w:szCs w:val="18"/>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期初余额（或上期金额</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17" w:right="62"/>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448,411,173.70</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168,848,144.13</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165.57%</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公司上市，获取募集资金所致</w:t>
                        </w:r>
                      </w:p>
                    </w:tc>
                  </w:tr>
                  <w:tr>
                    <w:trPr>
                      <w:trHeight w:val="336"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160,272,515.94</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78,418,839.75</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104.38%</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公司销售规模扩大，结算期内应收账款增加</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2,923,511.54</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14,190,385.59</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-79.40%</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预付固定资产款项减少</w:t>
                        </w:r>
                      </w:p>
                    </w:tc>
                  </w:tr>
                  <w:tr>
                    <w:trPr>
                      <w:trHeight w:val="649"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127,728,464.15</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72,760,375.37</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75.55%</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7" w:right="6"/>
                          <w:jc w:val="left"/>
                          <w:rPr>
                            <w:rFonts w:ascii="宋体" w:hAnsi="宋体" w:cs="宋体" w:eastAsia="宋体" w:hint="default"/>
                            <w:sz w:val="18"/>
                            <w:szCs w:val="18"/>
                          </w:rPr>
                        </w:pPr>
                        <w:r>
                          <w:rPr>
                            <w:rFonts w:ascii="宋体" w:hAnsi="宋体" w:cs="宋体" w:eastAsia="宋体" w:hint="default"/>
                            <w:spacing w:val="-4"/>
                            <w:sz w:val="18"/>
                            <w:szCs w:val="18"/>
                          </w:rPr>
                          <w:t>报告期内募集资金投入使用，购买的网络设备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增加所致</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83,382,822.30</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4,534,963.00</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1738.67%</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蓝盾信息安全产业基地建设投入</w:t>
                        </w:r>
                      </w:p>
                    </w:tc>
                  </w:tr>
                  <w:tr>
                    <w:trPr>
                      <w:trHeight w:val="649"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18,125,375.04</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 w:right="6"/>
                          <w:jc w:val="left"/>
                          <w:rPr>
                            <w:rFonts w:ascii="宋体" w:hAnsi="宋体" w:cs="宋体" w:eastAsia="宋体" w:hint="default"/>
                            <w:sz w:val="18"/>
                            <w:szCs w:val="18"/>
                          </w:rPr>
                        </w:pPr>
                        <w:r>
                          <w:rPr>
                            <w:rFonts w:ascii="宋体" w:hAnsi="宋体" w:cs="宋体" w:eastAsia="宋体" w:hint="default"/>
                            <w:spacing w:val="-4"/>
                            <w:sz w:val="18"/>
                            <w:szCs w:val="18"/>
                          </w:rPr>
                          <w:t>报告期内公司研发项目进入开发阶段，达到资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本化条件。</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33,720,830.00</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100.00%</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本期增加预付蓝盾信息安全基地工程款</w:t>
                        </w:r>
                      </w:p>
                    </w:tc>
                  </w:tr>
                  <w:tr>
                    <w:trPr>
                      <w:trHeight w:val="336"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57,663,826.26</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18,709,726.49</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208.20%</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上市后公司信用提升，供应商账期放宽</w:t>
                        </w:r>
                      </w:p>
                    </w:tc>
                  </w:tr>
                  <w:tr>
                    <w:trPr>
                      <w:trHeight w:val="418"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7"/>
                          <w:jc w:val="right"/>
                          <w:rPr>
                            <w:rFonts w:ascii="Arial Narrow" w:hAnsi="Arial Narrow" w:cs="Arial Narrow" w:eastAsia="Arial Narrow" w:hint="default"/>
                            <w:sz w:val="18"/>
                            <w:szCs w:val="18"/>
                          </w:rPr>
                        </w:pPr>
                        <w:r>
                          <w:rPr>
                            <w:rFonts w:ascii="Arial Narrow"/>
                            <w:spacing w:val="-1"/>
                            <w:sz w:val="18"/>
                          </w:rPr>
                          <w:t>3,295,900.37</w:t>
                        </w:r>
                        <w:r>
                          <w:rPr>
                            <w:rFonts w:ascii="Arial Narrow"/>
                            <w:sz w:val="18"/>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5"/>
                          <w:jc w:val="right"/>
                          <w:rPr>
                            <w:rFonts w:ascii="Arial Narrow" w:hAnsi="Arial Narrow" w:cs="Arial Narrow" w:eastAsia="Arial Narrow" w:hint="default"/>
                            <w:sz w:val="18"/>
                            <w:szCs w:val="18"/>
                          </w:rPr>
                        </w:pPr>
                        <w:r>
                          <w:rPr>
                            <w:rFonts w:ascii="Arial Narrow"/>
                            <w:sz w:val="18"/>
                          </w:rPr>
                          <w:t>-</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4"/>
                          <w:jc w:val="right"/>
                          <w:rPr>
                            <w:rFonts w:ascii="Arial Narrow" w:hAnsi="Arial Narrow" w:cs="Arial Narrow" w:eastAsia="Arial Narrow" w:hint="default"/>
                            <w:sz w:val="18"/>
                            <w:szCs w:val="18"/>
                          </w:rPr>
                        </w:pPr>
                        <w:r>
                          <w:rPr>
                            <w:rFonts w:ascii="Arial Narrow"/>
                            <w:spacing w:val="-1"/>
                            <w:sz w:val="18"/>
                          </w:rPr>
                          <w:t>100.00%</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7" w:right="0"/>
                          <w:jc w:val="left"/>
                          <w:rPr>
                            <w:rFonts w:ascii="宋体" w:hAnsi="宋体" w:cs="宋体" w:eastAsia="宋体" w:hint="default"/>
                            <w:sz w:val="18"/>
                            <w:szCs w:val="18"/>
                          </w:rPr>
                        </w:pPr>
                        <w:r>
                          <w:rPr>
                            <w:rFonts w:ascii="宋体" w:hAnsi="宋体" w:cs="宋体" w:eastAsia="宋体" w:hint="default"/>
                            <w:sz w:val="18"/>
                            <w:szCs w:val="18"/>
                          </w:rPr>
                          <w:t>期末余额系计提的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年度年终奖金</w:t>
                        </w:r>
                      </w:p>
                    </w:tc>
                  </w:tr>
                  <w:tr>
                    <w:trPr>
                      <w:trHeight w:val="649"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11,518,410.26</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7,670,501.28</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50.17%</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 w:right="6"/>
                          <w:jc w:val="left"/>
                          <w:rPr>
                            <w:rFonts w:ascii="宋体" w:hAnsi="宋体" w:cs="宋体" w:eastAsia="宋体" w:hint="default"/>
                            <w:sz w:val="18"/>
                            <w:szCs w:val="18"/>
                          </w:rPr>
                        </w:pPr>
                        <w:r>
                          <w:rPr>
                            <w:rFonts w:ascii="宋体" w:hAnsi="宋体" w:cs="宋体" w:eastAsia="宋体" w:hint="default"/>
                            <w:spacing w:val="-4"/>
                            <w:sz w:val="18"/>
                            <w:szCs w:val="18"/>
                          </w:rPr>
                          <w:t>应交增值税、应交企业所得税随营业收入的增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长而增长</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336,508.34</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193,883.34</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73.56%</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期末借款余额增加</w:t>
                        </w:r>
                      </w:p>
                    </w:tc>
                  </w:tr>
                  <w:tr>
                    <w:trPr>
                      <w:trHeight w:val="336"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113,703.02</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560,972.83</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-79.73%</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未付费用减少</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98,000,000.00</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73,500,000.00</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33.33%</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募集资金增资</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410,243,231.67</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81,986,568.17</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400.38%</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募集资金转增资本公积</w:t>
                        </w:r>
                      </w:p>
                    </w:tc>
                  </w:tr>
                  <w:tr>
                    <w:trPr>
                      <w:trHeight w:val="649"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31,272,929.26</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19,823,233.80</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57.76%</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1"/>
                          <w:ind w:left="7" w:right="6"/>
                          <w:jc w:val="left"/>
                          <w:rPr>
                            <w:rFonts w:ascii="宋体" w:hAnsi="宋体" w:cs="宋体" w:eastAsia="宋体" w:hint="default"/>
                            <w:sz w:val="18"/>
                            <w:szCs w:val="18"/>
                          </w:rPr>
                        </w:pPr>
                        <w:r>
                          <w:rPr>
                            <w:rFonts w:ascii="宋体" w:hAnsi="宋体" w:cs="宋体" w:eastAsia="宋体" w:hint="default"/>
                            <w:spacing w:val="-4"/>
                            <w:sz w:val="18"/>
                            <w:szCs w:val="18"/>
                          </w:rPr>
                          <w:t>销售规模扩大以及业务拓展造成广告费、销售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人员工资薪金、差旅费以及办公费等费用增加</w:t>
                        </w:r>
                      </w:p>
                    </w:tc>
                  </w:tr>
                  <w:tr>
                    <w:trPr>
                      <w:trHeight w:val="961"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5"/>
                          <w:jc w:val="right"/>
                          <w:rPr>
                            <w:rFonts w:ascii="Times New Roman" w:hAnsi="Times New Roman" w:cs="Times New Roman" w:eastAsia="Times New Roman" w:hint="default"/>
                            <w:sz w:val="18"/>
                            <w:szCs w:val="18"/>
                          </w:rPr>
                        </w:pPr>
                        <w:r>
                          <w:rPr>
                            <w:rFonts w:ascii="Times New Roman"/>
                            <w:spacing w:val="-1"/>
                            <w:sz w:val="18"/>
                          </w:rPr>
                          <w:t>3,318,338.82</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pacing w:val="-1"/>
                            <w:sz w:val="18"/>
                          </w:rPr>
                          <w:t>5,804,560.16</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4"/>
                          <w:jc w:val="right"/>
                          <w:rPr>
                            <w:rFonts w:ascii="Times New Roman" w:hAnsi="Times New Roman" w:cs="Times New Roman" w:eastAsia="Times New Roman" w:hint="default"/>
                            <w:sz w:val="18"/>
                            <w:szCs w:val="18"/>
                          </w:rPr>
                        </w:pPr>
                        <w:r>
                          <w:rPr>
                            <w:rFonts w:ascii="Times New Roman"/>
                            <w:sz w:val="18"/>
                          </w:rPr>
                          <w:t>-42.83%</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7" w:right="6"/>
                          <w:jc w:val="left"/>
                          <w:rPr>
                            <w:rFonts w:ascii="宋体" w:hAnsi="宋体" w:cs="宋体" w:eastAsia="宋体" w:hint="default"/>
                            <w:sz w:val="18"/>
                            <w:szCs w:val="18"/>
                          </w:rPr>
                        </w:pPr>
                        <w:r>
                          <w:rPr>
                            <w:rFonts w:ascii="宋体" w:hAnsi="宋体" w:cs="宋体" w:eastAsia="宋体" w:hint="default"/>
                            <w:sz w:val="18"/>
                            <w:szCs w:val="18"/>
                          </w:rPr>
                          <w:t>公司利用闲置的募集资金归还了去年的贷款 </w:t>
                        </w:r>
                        <w:r>
                          <w:rPr>
                            <w:rFonts w:ascii="宋体" w:hAnsi="宋体" w:cs="宋体" w:eastAsia="宋体" w:hint="default"/>
                            <w:spacing w:val="-4"/>
                            <w:sz w:val="18"/>
                            <w:szCs w:val="18"/>
                          </w:rPr>
                          <w:t>今年新增的贷款均在下半年产生，利息支出较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去年减少。</w:t>
                        </w:r>
                      </w:p>
                    </w:tc>
                  </w:tr>
                  <w:tr>
                    <w:trPr>
                      <w:trHeight w:val="336"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6,332,415.33</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1,752,135.80</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261.41%</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4"/>
                            <w:sz w:val="18"/>
                            <w:szCs w:val="18"/>
                          </w:rPr>
                          <w:t>应收账款余额增加，计提的坏账准备随之增加</w:t>
                        </w:r>
                      </w:p>
                    </w:tc>
                  </w:tr>
                  <w:tr>
                    <w:trPr>
                      <w:trHeight w:val="337" w:hRule="exact"/>
                    </w:trPr>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58,668.58</w:t>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520,000.00</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-88.72%</w:t>
                        </w:r>
                      </w:p>
                    </w:tc>
                    <w:tc>
                      <w:tcPr>
                        <w:tcW w:w="3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公益性捐赠减少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2421"/>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5"/>
        <w:rPr>
          <w:rFonts w:ascii="宋体" w:hAnsi="宋体" w:cs="宋体" w:eastAsia="宋体" w:hint="default"/>
          <w:b/>
          <w:bCs/>
          <w:sz w:val="47"/>
          <w:szCs w:val="47"/>
        </w:rPr>
      </w:pPr>
    </w:p>
    <w:p>
      <w:pPr>
        <w:pStyle w:val="BodyText"/>
        <w:spacing w:line="350" w:lineRule="auto"/>
        <w:ind w:right="0" w:firstLine="423"/>
        <w:jc w:val="left"/>
      </w:pPr>
      <w:r>
        <w:rPr>
          <w:spacing w:val="-1"/>
        </w:rPr>
        <w:t>一、载有公司法定代表人、主管会计工作负责人、公司会计机构负责人（会计主管人员）签名并盖章</w:t>
      </w:r>
      <w:r>
        <w:rPr/>
        <w:t> 的财务报表。</w:t>
      </w:r>
    </w:p>
    <w:p>
      <w:pPr>
        <w:pStyle w:val="BodyText"/>
        <w:spacing w:line="350" w:lineRule="auto" w:before="28"/>
        <w:ind w:left="577" w:right="1157"/>
        <w:jc w:val="left"/>
      </w:pPr>
      <w:r>
        <w:rPr/>
        <w:t>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2012</w:t>
      </w:r>
      <w:r>
        <w:rPr/>
        <w:t>年年度报告文本原件。</w:t>
      </w:r>
    </w:p>
    <w:p>
      <w:pPr>
        <w:pStyle w:val="BodyText"/>
        <w:spacing w:line="698" w:lineRule="auto" w:before="2"/>
        <w:ind w:left="577" w:right="5147"/>
        <w:jc w:val="left"/>
      </w:pPr>
      <w:r>
        <w:rPr/>
        <w:t>五、其他相关资料。 以上备查文件的备置地点：公司董事会办公室</w:t>
      </w:r>
    </w:p>
    <w:sectPr>
      <w:pgSz w:w="11910" w:h="16840"/>
      <w:pgMar w:header="0"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689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689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6895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89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89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89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89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89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89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689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8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89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689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89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689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689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8982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689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689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68968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689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bluedon.com/" TargetMode="External"/><Relationship Id="rId10" Type="http://schemas.openxmlformats.org/officeDocument/2006/relationships/hyperlink" Target="mailto:stock@chinabluedon.cn" TargetMode="External"/><Relationship Id="rId11" Type="http://schemas.openxmlformats.org/officeDocument/2006/relationships/hyperlink" Target="mailto:lee_bluedon@163.com" TargetMode="External"/><Relationship Id="rId12" Type="http://schemas.openxmlformats.org/officeDocument/2006/relationships/hyperlink" Target="mailto:zeyan_xiao@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image" Target="media/image2.jpeg"/><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footer" Target="footer8.xml"/><Relationship Id="rId25" Type="http://schemas.openxmlformats.org/officeDocument/2006/relationships/header" Target="header6.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7.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dc:creator>
  <dc:title>Microsoft Word - 2012年度报告全文new.doc</dc:title>
  <dcterms:created xsi:type="dcterms:W3CDTF">2020-05-04T02:13:03Z</dcterms:created>
  <dcterms:modified xsi:type="dcterms:W3CDTF">2020-05-04T02:13:03Z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Creator">
    <vt:lpwstr>PScript5.dll Version 5.2.2</vt:lpwstr>
  </property>
  <property fmtid="{D5CDD505-2E9C-101B-9397-08002B2CF9AE}" pid="4" name="LastSaved">
    <vt:filetime>2020-05-03T00:00:00Z</vt:filetime>
  </property>
</Properties>
</file>